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39"/>
        <w:spacing w:after="0"/>
        <w:rPr>
          <w:sz w:val="20"/>
          <w:szCs w:val="20"/>
          <w:color w:val="auto"/>
        </w:rPr>
      </w:pPr>
      <w:r>
        <w:rPr>
          <w:rFonts w:ascii="Arial" w:cs="Arial" w:eastAsia="Arial" w:hAnsi="Arial"/>
          <w:sz w:val="22"/>
          <w:szCs w:val="22"/>
          <w:b w:val="1"/>
          <w:bCs w:val="1"/>
          <w:color w:val="auto"/>
        </w:rPr>
        <w:t>Washington, D.C. 20549</w:t>
      </w:r>
    </w:p>
    <w:p>
      <w:pPr>
        <w:spacing w:after="0" w:line="267" w:lineRule="exact"/>
        <w:rPr>
          <w:sz w:val="24"/>
          <w:szCs w:val="24"/>
          <w:color w:val="auto"/>
        </w:rPr>
      </w:pPr>
    </w:p>
    <w:p>
      <w:pPr>
        <w:jc w:val="center"/>
        <w:ind w:right="739"/>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(Amendment No. 3)</w:t>
      </w:r>
    </w:p>
    <w:p>
      <w:pPr>
        <w:spacing w:after="0" w:line="256"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WESTWOOD HLDGS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(Name of Issuer)</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(Title of Class of Securities)</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961765104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852170</wp:posOffset>
            </wp:positionH>
            <wp:positionV relativeFrom="paragraph">
              <wp:posOffset>73660</wp:posOffset>
            </wp:positionV>
            <wp:extent cx="430911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09110"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2300"/>
        <w:spacing w:after="0"/>
        <w:rPr>
          <w:sz w:val="20"/>
          <w:szCs w:val="20"/>
          <w:color w:val="auto"/>
        </w:rPr>
      </w:pPr>
      <w:r>
        <w:rPr>
          <w:rFonts w:ascii="Arial" w:cs="Arial" w:eastAsia="Arial" w:hAnsi="Arial"/>
          <w:sz w:val="21"/>
          <w:szCs w:val="21"/>
          <w:color w:val="auto"/>
        </w:rPr>
        <w:t>(Date of Event Which Requires Filing of this Statement)</w:t>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95" w:lineRule="exact"/>
        <w:rPr>
          <w:sz w:val="24"/>
          <w:szCs w:val="24"/>
          <w:color w:val="auto"/>
        </w:rPr>
      </w:pPr>
    </w:p>
    <w:p>
      <w:pPr>
        <w:ind w:left="620" w:hanging="55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13d-1(b)</w:t>
      </w:r>
    </w:p>
    <w:p>
      <w:pPr>
        <w:sectPr>
          <w:pgSz w:w="11900" w:h="16838" w:orient="portrait"/>
          <w:cols w:equalWidth="0" w:num="1">
            <w:col w:w="10219"/>
          </w:cols>
          <w:pgMar w:left="240" w:top="1440" w:right="1440" w:bottom="142" w:gutter="0" w:footer="0" w:header="0"/>
        </w:sectPr>
      </w:pPr>
    </w:p>
    <w:p>
      <w:pPr>
        <w:spacing w:after="0" w:line="98" w:lineRule="exact"/>
        <w:rPr>
          <w:sz w:val="24"/>
          <w:szCs w:val="24"/>
          <w:color w:val="auto"/>
        </w:r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9"/>
          <w:szCs w:val="19"/>
          <w:color w:val="auto"/>
        </w:rPr>
        <w:t>Rule 13d-1(c)</w:t>
      </w:r>
    </w:p>
    <w:p>
      <w:pPr>
        <w:spacing w:after="0" w:line="132" w:lineRule="exact"/>
        <w:rPr>
          <w:sz w:val="24"/>
          <w:szCs w:val="24"/>
          <w:color w:val="auto"/>
        </w:rPr>
      </w:pPr>
    </w:p>
    <w:p>
      <w:pPr>
        <w:sectPr>
          <w:pgSz w:w="11900" w:h="16838" w:orient="portrait"/>
          <w:cols w:equalWidth="0" w:num="2">
            <w:col w:w="200" w:space="420"/>
            <w:col w:w="9599"/>
          </w:cols>
          <w:pgMar w:left="240" w:top="1440" w:right="1440" w:bottom="142" w:gutter="0" w:footer="0" w:header="0"/>
          <w:type w:val="continuous"/>
        </w:sect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Rule 13d-1(d)</w:t>
      </w:r>
    </w:p>
    <w:p>
      <w:pPr>
        <w:spacing w:after="0" w:line="92" w:lineRule="exact"/>
        <w:rPr>
          <w:sz w:val="24"/>
          <w:szCs w:val="24"/>
          <w:color w:val="auto"/>
        </w:rPr>
      </w:pPr>
    </w:p>
    <w:p>
      <w:pPr>
        <w:sectPr>
          <w:pgSz w:w="11900" w:h="16838" w:orient="portrait"/>
          <w:cols w:equalWidth="0" w:num="2">
            <w:col w:w="200" w:space="420"/>
            <w:col w:w="9599"/>
          </w:cols>
          <w:pgMar w:left="240" w:top="1440" w:right="1440" w:bottom="142" w:gutter="0" w:footer="0" w:header="0"/>
          <w:type w:val="continuous"/>
        </w:sectPr>
      </w:pPr>
    </w:p>
    <w:p>
      <w:pPr>
        <w:jc w:val="both"/>
        <w:ind w:left="20" w:right="1259"/>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ind w:left="20" w:right="1259"/>
        <w:spacing w:after="0" w:line="238"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8" w:lineRule="exact"/>
        <w:rPr>
          <w:sz w:val="24"/>
          <w:szCs w:val="24"/>
          <w:color w:val="auto"/>
        </w:rPr>
      </w:pPr>
    </w:p>
    <w:p>
      <w:pPr>
        <w:ind w:left="60"/>
        <w:spacing w:after="0"/>
        <w:rPr>
          <w:sz w:val="20"/>
          <w:szCs w:val="20"/>
          <w:color w:val="auto"/>
        </w:rPr>
      </w:pPr>
      <w:r>
        <w:rPr>
          <w:rFonts w:ascii="Arial" w:cs="Arial" w:eastAsia="Arial" w:hAnsi="Arial"/>
          <w:sz w:val="22"/>
          <w:szCs w:val="22"/>
          <w:color w:val="auto"/>
        </w:rPr>
        <w:t>CUSIP No. 961765104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6940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4"/>
          <w:szCs w:val="24"/>
          <w:color w:val="auto"/>
        </w:rPr>
      </w:pPr>
    </w:p>
    <w:p>
      <w:pPr>
        <w:ind w:left="700" w:right="6699" w:hanging="435"/>
        <w:spacing w:after="0" w:line="326"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(a) Names of Reporting Persons. Wells Fargo &amp; Company</w:t>
      </w:r>
    </w:p>
    <w:p>
      <w:pPr>
        <w:spacing w:after="0" w:line="1" w:lineRule="exact"/>
        <w:rPr>
          <w:sz w:val="24"/>
          <w:szCs w:val="24"/>
          <w:color w:val="auto"/>
        </w:rPr>
      </w:pPr>
    </w:p>
    <w:p>
      <w:pPr>
        <w:ind w:left="700" w:right="8479" w:hanging="3"/>
        <w:spacing w:after="0" w:line="328" w:lineRule="auto"/>
        <w:tabs>
          <w:tab w:leader="none" w:pos="1006" w:val="left"/>
        </w:tabs>
        <w:numPr>
          <w:ilvl w:val="1"/>
          <w:numId w:val="3"/>
        </w:numPr>
        <w:rPr>
          <w:rFonts w:ascii="Arial" w:cs="Arial" w:eastAsia="Arial" w:hAnsi="Arial"/>
          <w:sz w:val="19"/>
          <w:szCs w:val="19"/>
          <w:color w:val="auto"/>
        </w:rPr>
      </w:pPr>
      <w:r>
        <w:rPr>
          <w:rFonts w:ascii="Arial" w:cs="Arial" w:eastAsia="Arial" w:hAnsi="Arial"/>
          <w:sz w:val="19"/>
          <w:szCs w:val="19"/>
          <w:color w:val="auto"/>
        </w:rPr>
        <w:t>Tax ID 41-0449260</w:t>
      </w:r>
    </w:p>
    <w:p>
      <w:pPr>
        <w:spacing w:after="0" w:line="348" w:lineRule="exact"/>
        <w:rPr>
          <w:rFonts w:ascii="Arial" w:cs="Arial" w:eastAsia="Arial" w:hAnsi="Arial"/>
          <w:sz w:val="19"/>
          <w:szCs w:val="19"/>
          <w:color w:val="auto"/>
        </w:rPr>
      </w:pPr>
    </w:p>
    <w:p>
      <w:pPr>
        <w:ind w:left="700" w:hanging="435"/>
        <w:spacing w:after="0"/>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1040" w:hanging="343"/>
        <w:spacing w:after="0"/>
        <w:tabs>
          <w:tab w:leader="none" w:pos="104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60" w:hanging="363"/>
        <w:spacing w:after="0"/>
        <w:tabs>
          <w:tab w:leader="none" w:pos="106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-748665</wp:posOffset>
            </wp:positionV>
            <wp:extent cx="562991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219"/>
          </w:cols>
          <w:pgMar w:left="240" w:top="1440" w:right="1440" w:bottom="142" w:gutter="0" w:footer="0" w:header="0"/>
          <w:type w:val="continuous"/>
        </w:sectPr>
      </w:pPr>
    </w:p>
    <w:bookmarkStart w:id="1" w:name="page2"/>
    <w:bookmarkEnd w:id="1"/>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12,995</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117,403</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12,995</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-996315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-996315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-550545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-550545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-104140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-104140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 w:lineRule="exact"/>
        <w:rPr>
          <w:sz w:val="20"/>
          <w:szCs w:val="20"/>
          <w:color w:val="auto"/>
        </w:rPr>
      </w:pPr>
    </w:p>
    <w:p>
      <w:pPr>
        <w:ind w:left="1640" w:hanging="220"/>
        <w:spacing w:after="0"/>
        <w:tabs>
          <w:tab w:leader="none" w:pos="16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Dispositive Power 606,353</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619,348</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 6.99 %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-1640840</wp:posOffset>
            </wp:positionV>
            <wp:extent cx="562991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hanging="374"/>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WESTWOOD HLDGS GROUP INC</w:t>
      </w:r>
    </w:p>
    <w:p>
      <w:pPr>
        <w:spacing w:after="0" w:line="80" w:lineRule="exact"/>
        <w:rPr>
          <w:rFonts w:ascii="Arial" w:cs="Arial" w:eastAsia="Arial" w:hAnsi="Arial"/>
          <w:sz w:val="22"/>
          <w:szCs w:val="22"/>
          <w:color w:val="auto"/>
        </w:rPr>
      </w:pPr>
    </w:p>
    <w:p>
      <w:pPr>
        <w:ind w:left="700" w:right="5099" w:hanging="374"/>
        <w:spacing w:after="0" w:line="382" w:lineRule="auto"/>
        <w:tabs>
          <w:tab w:leader="none" w:pos="700" w:val="left"/>
        </w:tabs>
        <w:numPr>
          <w:ilvl w:val="0"/>
          <w:numId w:val="8"/>
        </w:numPr>
        <w:rPr>
          <w:rFonts w:ascii="Arial" w:cs="Arial" w:eastAsia="Arial" w:hAnsi="Arial"/>
          <w:sz w:val="19"/>
          <w:szCs w:val="19"/>
          <w:color w:val="auto"/>
        </w:rPr>
      </w:pPr>
      <w:r>
        <w:rPr>
          <w:rFonts w:ascii="Arial" w:cs="Arial" w:eastAsia="Arial" w:hAnsi="Arial"/>
          <w:sz w:val="19"/>
          <w:szCs w:val="19"/>
          <w:color w:val="auto"/>
        </w:rPr>
        <w:t>Address of Issuer's Principal Executive Offices 200 Crescent Court, Suite 1200, Dallas, TX 75201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right="731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Name of Person Filing Wells Fargo &amp; Company</w:t>
      </w:r>
    </w:p>
    <w:p>
      <w:pPr>
        <w:ind w:left="700" w:right="433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420 Montgomery Street, San Francisco, CA 94163</w:t>
      </w:r>
    </w:p>
    <w:p>
      <w:pPr>
        <w:ind w:left="700" w:right="847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Citizenship Delaware</w:t>
      </w:r>
    </w:p>
    <w:p>
      <w:pPr>
        <w:ind w:left="700" w:hanging="374"/>
        <w:spacing w:after="0"/>
        <w:tabs>
          <w:tab w:leader="none" w:pos="700" w:val="left"/>
        </w:tabs>
        <w:numPr>
          <w:ilvl w:val="0"/>
          <w:numId w:val="9"/>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COM</w:t>
      </w:r>
    </w:p>
    <w:p>
      <w:pPr>
        <w:spacing w:after="0" w:line="80" w:lineRule="exact"/>
        <w:rPr>
          <w:rFonts w:ascii="Arial" w:cs="Arial" w:eastAsia="Arial" w:hAnsi="Arial"/>
          <w:sz w:val="22"/>
          <w:szCs w:val="22"/>
          <w:color w:val="auto"/>
        </w:rPr>
      </w:pPr>
    </w:p>
    <w:p>
      <w:pPr>
        <w:ind w:left="700" w:right="8099" w:hanging="374"/>
        <w:spacing w:after="0" w:line="328"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CUSIP Number 961765104</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120" w:right="1399" w:hanging="816"/>
        <w:spacing w:after="0" w:line="251" w:lineRule="auto"/>
        <w:tabs>
          <w:tab w:leader="none" w:pos="782"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pacing w:after="0" w:line="260" w:lineRule="exact"/>
        <w:rPr>
          <w:rFonts w:ascii="Arial" w:cs="Arial" w:eastAsia="Arial" w:hAnsi="Arial"/>
          <w:sz w:val="22"/>
          <w:szCs w:val="22"/>
          <w:color w:val="auto"/>
        </w:rPr>
      </w:pPr>
    </w:p>
    <w:p>
      <w:pPr>
        <w:ind w:left="780" w:hanging="440"/>
        <w:spacing w:after="0"/>
        <w:tabs>
          <w:tab w:leader="none" w:pos="780" w:val="left"/>
        </w:tabs>
        <w:numPr>
          <w:ilvl w:val="0"/>
          <w:numId w:val="10"/>
        </w:numPr>
        <w:rPr>
          <w:rFonts w:ascii="Arial" w:cs="Arial" w:eastAsia="Arial" w:hAnsi="Arial"/>
          <w:sz w:val="19"/>
          <w:szCs w:val="19"/>
          <w:color w:val="auto"/>
        </w:rPr>
      </w:pPr>
      <w:r>
        <w:rPr>
          <w:rFonts w:ascii="Arial" w:cs="Arial" w:eastAsia="Arial" w:hAnsi="Arial"/>
          <w:sz w:val="19"/>
          <w:szCs w:val="19"/>
          <w:color w:val="auto"/>
        </w:rPr>
        <w:t>[ ]  An employee benefit plan or endowment fund in accordance with 240.13d-1(b)(1)(ii)(F);</w:t>
      </w:r>
    </w:p>
    <w:p>
      <w:pPr>
        <w:sectPr>
          <w:pgSz w:w="11900" w:h="16838" w:orient="portrait"/>
          <w:cols w:equalWidth="0" w:num="1">
            <w:col w:w="10159"/>
          </w:cols>
          <w:pgMar w:left="300" w:top="118" w:right="1440" w:bottom="0" w:gutter="0" w:footer="0" w:header="0"/>
        </w:sectPr>
      </w:pPr>
    </w:p>
    <w:bookmarkStart w:id="2" w:name="page3"/>
    <w:bookmarkEnd w:id="2"/>
    <w:p>
      <w:pPr>
        <w:ind w:left="780" w:hanging="476"/>
        <w:spacing w:after="0"/>
        <w:tabs>
          <w:tab w:leader="none" w:pos="7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[X A parent holding company or control person in accordance with 240.13d-1(b)(1)(ii)(G);</w:t>
      </w:r>
    </w:p>
    <w:p>
      <w:pPr>
        <w:spacing w:after="0" w:line="42" w:lineRule="exact"/>
        <w:rPr>
          <w:rFonts w:ascii="Arial" w:cs="Arial" w:eastAsia="Arial" w:hAnsi="Arial"/>
          <w:sz w:val="19"/>
          <w:szCs w:val="19"/>
          <w:color w:val="auto"/>
        </w:rPr>
      </w:pPr>
    </w:p>
    <w:p>
      <w:pPr>
        <w:ind w:left="780"/>
        <w:spacing w:after="0"/>
        <w:rPr>
          <w:rFonts w:ascii="Arial" w:cs="Arial" w:eastAsia="Arial" w:hAnsi="Arial"/>
          <w:sz w:val="19"/>
          <w:szCs w:val="19"/>
          <w:color w:val="auto"/>
        </w:rPr>
      </w:pPr>
      <w:r>
        <w:rPr>
          <w:rFonts w:ascii="Arial" w:cs="Arial" w:eastAsia="Arial" w:hAnsi="Arial"/>
          <w:sz w:val="22"/>
          <w:szCs w:val="22"/>
          <w:color w:val="auto"/>
        </w:rPr>
        <w:t>]</w:t>
      </w:r>
    </w:p>
    <w:p>
      <w:pPr>
        <w:spacing w:after="0" w:line="80" w:lineRule="exact"/>
        <w:rPr>
          <w:rFonts w:ascii="Arial" w:cs="Arial" w:eastAsia="Arial" w:hAnsi="Arial"/>
          <w:sz w:val="19"/>
          <w:szCs w:val="19"/>
          <w:color w:val="auto"/>
        </w:rPr>
      </w:pPr>
    </w:p>
    <w:p>
      <w:pPr>
        <w:ind w:left="1120" w:right="1559" w:hanging="816"/>
        <w:spacing w:after="0" w:line="251" w:lineRule="auto"/>
        <w:tabs>
          <w:tab w:leader="none" w:pos="782"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120" w:right="1819" w:hanging="768"/>
        <w:spacing w:after="0" w:line="239" w:lineRule="auto"/>
        <w:tabs>
          <w:tab w:leader="none" w:pos="782"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12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non-U.S.institution in accordance with 240.13d-1(b)(1)(ii)(J);</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Group, in accordance with 240.13d-1(b)(1)(ii)(K).</w:t>
      </w:r>
    </w:p>
    <w:p>
      <w:pPr>
        <w:spacing w:after="0" w:line="260" w:lineRule="exact"/>
        <w:rPr>
          <w:sz w:val="20"/>
          <w:szCs w:val="20"/>
          <w:color w:val="auto"/>
        </w:rPr>
      </w:pPr>
    </w:p>
    <w:p>
      <w:pPr>
        <w:ind w:left="1120" w:right="1339"/>
        <w:spacing w:after="0" w:line="251" w:lineRule="auto"/>
        <w:rPr>
          <w:sz w:val="20"/>
          <w:szCs w:val="20"/>
          <w:color w:val="auto"/>
        </w:rPr>
      </w:pPr>
      <w:r>
        <w:rPr>
          <w:rFonts w:ascii="Arial" w:cs="Arial" w:eastAsia="Arial" w:hAnsi="Arial"/>
          <w:sz w:val="22"/>
          <w:szCs w:val="22"/>
          <w:color w:val="auto"/>
        </w:rPr>
        <w:t>If filing as a non-U.S.institution in accordance with 240.13d-1(b)(1)(ii)(J), please specify the type of institution: ______________</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104"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Amount beneficially owned: 619,348</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Percent of class: 6.99%</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vote or to direct the vote 12,995</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vote or to direct the vote 117,403</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12,995</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606,353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365760</wp:posOffset>
            </wp:positionV>
            <wp:extent cx="562991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Person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45720</wp:posOffset>
            </wp:positionV>
            <wp:extent cx="56940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0"/>
          <w:szCs w:val="20"/>
          <w:color w:val="auto"/>
        </w:rPr>
      </w:pPr>
    </w:p>
    <w:p>
      <w:pPr>
        <w:ind w:left="640" w:hanging="435"/>
        <w:spacing w:after="0"/>
        <w:tabs>
          <w:tab w:leader="none" w:pos="6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 Names of Reporting Persons.</w:t>
      </w:r>
    </w:p>
    <w:p>
      <w:pPr>
        <w:spacing w:after="0" w:line="8" w:lineRule="exact"/>
        <w:rPr>
          <w:rFonts w:ascii="Arial" w:cs="Arial" w:eastAsia="Arial" w:hAnsi="Arial"/>
          <w:sz w:val="22"/>
          <w:szCs w:val="22"/>
          <w:color w:val="auto"/>
        </w:rPr>
      </w:pPr>
    </w:p>
    <w:p>
      <w:pPr>
        <w:ind w:left="640"/>
        <w:spacing w:after="0"/>
        <w:rPr>
          <w:rFonts w:ascii="Arial" w:cs="Arial" w:eastAsia="Arial" w:hAnsi="Arial"/>
          <w:sz w:val="22"/>
          <w:szCs w:val="22"/>
          <w:color w:val="auto"/>
        </w:rPr>
      </w:pPr>
      <w:r>
        <w:rPr>
          <w:rFonts w:ascii="Arial" w:cs="Arial" w:eastAsia="Arial" w:hAnsi="Arial"/>
          <w:sz w:val="22"/>
          <w:szCs w:val="22"/>
          <w:color w:val="auto"/>
        </w:rPr>
        <w:t>Wells Capital Management Incorporated</w:t>
      </w:r>
    </w:p>
    <w:p>
      <w:pPr>
        <w:spacing w:after="0" w:line="80" w:lineRule="exact"/>
        <w:rPr>
          <w:sz w:val="20"/>
          <w:szCs w:val="20"/>
          <w:color w:val="auto"/>
        </w:rPr>
      </w:pPr>
    </w:p>
    <w:p>
      <w:pPr>
        <w:ind w:left="640" w:right="8479" w:hanging="3"/>
        <w:spacing w:after="0" w:line="328" w:lineRule="auto"/>
        <w:tabs>
          <w:tab w:leader="none" w:pos="946" w:val="left"/>
        </w:tabs>
        <w:numPr>
          <w:ilvl w:val="1"/>
          <w:numId w:val="14"/>
        </w:numPr>
        <w:rPr>
          <w:rFonts w:ascii="Arial" w:cs="Arial" w:eastAsia="Arial" w:hAnsi="Arial"/>
          <w:sz w:val="19"/>
          <w:szCs w:val="19"/>
          <w:color w:val="auto"/>
        </w:rPr>
      </w:pPr>
      <w:r>
        <w:rPr>
          <w:rFonts w:ascii="Arial" w:cs="Arial" w:eastAsia="Arial" w:hAnsi="Arial"/>
          <w:sz w:val="19"/>
          <w:szCs w:val="19"/>
          <w:color w:val="auto"/>
        </w:rPr>
        <w:t>Tax ID 95-3692822</w:t>
      </w:r>
    </w:p>
    <w:p>
      <w:pPr>
        <w:spacing w:after="0" w:line="348" w:lineRule="exact"/>
        <w:rPr>
          <w:rFonts w:ascii="Arial" w:cs="Arial" w:eastAsia="Arial" w:hAnsi="Arial"/>
          <w:sz w:val="19"/>
          <w:szCs w:val="19"/>
          <w:color w:val="auto"/>
        </w:rPr>
      </w:pPr>
    </w:p>
    <w:p>
      <w:pPr>
        <w:ind w:left="640" w:hanging="435"/>
        <w:spacing w:after="0"/>
        <w:tabs>
          <w:tab w:leader="none" w:pos="6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980" w:hanging="343"/>
        <w:spacing w:after="0"/>
        <w:tabs>
          <w:tab w:leader="none" w:pos="980" w:val="left"/>
        </w:tabs>
        <w:numPr>
          <w:ilvl w:val="1"/>
          <w:numId w:val="15"/>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00" w:hanging="363"/>
        <w:spacing w:after="0"/>
        <w:tabs>
          <w:tab w:leader="none" w:pos="1000" w:val="left"/>
        </w:tabs>
        <w:numPr>
          <w:ilvl w:val="1"/>
          <w:numId w:val="15"/>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22"/>
          <w:szCs w:val="22"/>
          <w:color w:val="auto"/>
        </w:rPr>
        <w:t>4.</w:t>
        <w:tab/>
        <w:t>Citizenship or Place of Organization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0</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559,174</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0</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vMerge w:val="restart"/>
          </w:tcPr>
          <w:p>
            <w:pPr>
              <w:spacing w:after="0"/>
              <w:rPr>
                <w:sz w:val="20"/>
                <w:szCs w:val="20"/>
                <w:color w:val="auto"/>
              </w:rPr>
            </w:pPr>
            <w:r>
              <w:rPr>
                <w:rFonts w:ascii="Arial" w:cs="Arial" w:eastAsia="Arial" w:hAnsi="Arial"/>
                <w:sz w:val="22"/>
                <w:szCs w:val="22"/>
                <w:color w:val="auto"/>
              </w:rPr>
              <w:t>8. Shared Dispositive Power 603,954</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4"/>
                <w:szCs w:val="24"/>
                <w:color w:val="auto"/>
              </w:rPr>
            </w:pPr>
          </w:p>
        </w:tc>
        <w:tc>
          <w:tcPr>
            <w:tcW w:w="7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-1202055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-1202055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-756285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-756285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-309880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-309880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128905</wp:posOffset>
            </wp:positionV>
            <wp:extent cx="562991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159"/>
          </w:cols>
          <w:pgMar w:left="300" w:top="348" w:right="1440" w:bottom="68" w:gutter="0" w:footer="0" w:header="0"/>
        </w:sectPr>
      </w:pPr>
    </w:p>
    <w:p>
      <w:pPr>
        <w:spacing w:after="0" w:line="200" w:lineRule="exact"/>
        <w:rPr>
          <w:sz w:val="20"/>
          <w:szCs w:val="20"/>
          <w:color w:val="auto"/>
        </w:rPr>
      </w:pPr>
    </w:p>
    <w:p>
      <w:pPr>
        <w:spacing w:after="0" w:line="228" w:lineRule="exact"/>
        <w:rPr>
          <w:sz w:val="20"/>
          <w:szCs w:val="20"/>
          <w:color w:val="auto"/>
        </w:rPr>
      </w:pPr>
    </w:p>
    <w:p>
      <w:pPr>
        <w:ind w:left="640" w:hanging="435"/>
        <w:spacing w:after="0"/>
        <w:tabs>
          <w:tab w:leader="none" w:pos="6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603,954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562991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159"/>
          </w:cols>
          <w:pgMar w:left="300" w:top="348" w:right="1440" w:bottom="68" w:gutter="0" w:footer="0" w:header="0"/>
          <w:type w:val="continuous"/>
        </w:sectPr>
      </w:pPr>
    </w:p>
    <w:bookmarkStart w:id="3" w:name="page4"/>
    <w:bookmarkEnd w:id="3"/>
    <w:p>
      <w:pPr>
        <w:ind w:left="640" w:hanging="435"/>
        <w:spacing w:after="0"/>
        <w:tabs>
          <w:tab w:leader="none" w:pos="640" w:val="left"/>
        </w:tabs>
        <w:numPr>
          <w:ilvl w:val="0"/>
          <w:numId w:val="17"/>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1" w:lineRule="exact"/>
        <w:rPr>
          <w:rFonts w:ascii="Arial" w:cs="Arial" w:eastAsia="Arial" w:hAnsi="Arial"/>
          <w:sz w:val="21"/>
          <w:szCs w:val="21"/>
          <w:color w:val="auto"/>
        </w:rPr>
      </w:pPr>
    </w:p>
    <w:p>
      <w:pPr>
        <w:ind w:left="640" w:hanging="435"/>
        <w:spacing w:after="0"/>
        <w:tabs>
          <w:tab w:leader="none" w:pos="6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Percent of Class Represented by Amount in Row (9) 6.81 %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hanging="374"/>
        <w:spacing w:after="0"/>
        <w:tabs>
          <w:tab w:leader="none" w:pos="7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WESTWOOD HLDGS GROUP INC</w:t>
      </w:r>
    </w:p>
    <w:p>
      <w:pPr>
        <w:spacing w:after="0" w:line="80" w:lineRule="exact"/>
        <w:rPr>
          <w:rFonts w:ascii="Arial" w:cs="Arial" w:eastAsia="Arial" w:hAnsi="Arial"/>
          <w:sz w:val="22"/>
          <w:szCs w:val="22"/>
          <w:color w:val="auto"/>
        </w:rPr>
      </w:pPr>
    </w:p>
    <w:p>
      <w:pPr>
        <w:ind w:left="700" w:right="5099" w:hanging="374"/>
        <w:spacing w:after="0" w:line="382" w:lineRule="auto"/>
        <w:tabs>
          <w:tab w:leader="none" w:pos="7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Address of Issuer's Principal Executive Offices 200 Crescent Court, Suite 1200, Dallas, TX 75201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hanging="374"/>
        <w:spacing w:after="0"/>
        <w:tabs>
          <w:tab w:leader="none" w:pos="7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Wells Capital Management Incorporated</w:t>
      </w:r>
    </w:p>
    <w:p>
      <w:pPr>
        <w:spacing w:after="0" w:line="80" w:lineRule="exact"/>
        <w:rPr>
          <w:rFonts w:ascii="Arial" w:cs="Arial" w:eastAsia="Arial" w:hAnsi="Arial"/>
          <w:sz w:val="22"/>
          <w:szCs w:val="22"/>
          <w:color w:val="auto"/>
        </w:rPr>
      </w:pPr>
    </w:p>
    <w:p>
      <w:pPr>
        <w:ind w:left="700" w:right="4339" w:hanging="374"/>
        <w:spacing w:after="0" w:line="326"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525 Market St, 10th Floor, San Francisco, CA 94105</w:t>
      </w:r>
    </w:p>
    <w:p>
      <w:pPr>
        <w:ind w:left="700" w:right="8479" w:hanging="374"/>
        <w:spacing w:after="0" w:line="326"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Citizenship California</w:t>
      </w:r>
    </w:p>
    <w:p>
      <w:pPr>
        <w:ind w:left="700" w:hanging="374"/>
        <w:spacing w:after="0"/>
        <w:tabs>
          <w:tab w:leader="none" w:pos="7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COM</w:t>
      </w:r>
    </w:p>
    <w:p>
      <w:pPr>
        <w:spacing w:after="0" w:line="80" w:lineRule="exact"/>
        <w:rPr>
          <w:rFonts w:ascii="Arial" w:cs="Arial" w:eastAsia="Arial" w:hAnsi="Arial"/>
          <w:sz w:val="22"/>
          <w:szCs w:val="22"/>
          <w:color w:val="auto"/>
        </w:rPr>
      </w:pPr>
    </w:p>
    <w:p>
      <w:pPr>
        <w:ind w:left="700" w:right="8099" w:hanging="374"/>
        <w:spacing w:after="0" w:line="328"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CUSIP Number 961765104</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120" w:right="1399" w:hanging="816"/>
        <w:spacing w:after="0" w:line="251" w:lineRule="auto"/>
        <w:tabs>
          <w:tab w:leader="none" w:pos="782"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rFonts w:ascii="Arial" w:cs="Arial" w:eastAsia="Arial" w:hAnsi="Arial"/>
          <w:sz w:val="22"/>
          <w:szCs w:val="22"/>
          <w:color w:val="auto"/>
        </w:rPr>
      </w:pPr>
    </w:p>
    <w:p>
      <w:pPr>
        <w:ind w:left="780" w:hanging="464"/>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[X An investment adviser in accordance with 240.13d-1(b)(1)(ii)(E);</w:t>
      </w:r>
    </w:p>
    <w:p>
      <w:pPr>
        <w:spacing w:after="0" w:line="8" w:lineRule="exact"/>
        <w:rPr>
          <w:rFonts w:ascii="Arial" w:cs="Arial" w:eastAsia="Arial" w:hAnsi="Arial"/>
          <w:sz w:val="22"/>
          <w:szCs w:val="22"/>
          <w:color w:val="auto"/>
        </w:rPr>
      </w:pPr>
    </w:p>
    <w:p>
      <w:pPr>
        <w:ind w:left="78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80" w:lineRule="exact"/>
        <w:rPr>
          <w:rFonts w:ascii="Arial" w:cs="Arial" w:eastAsia="Arial" w:hAnsi="Arial"/>
          <w:sz w:val="22"/>
          <w:szCs w:val="22"/>
          <w:color w:val="auto"/>
        </w:rPr>
      </w:pPr>
    </w:p>
    <w:p>
      <w:pPr>
        <w:ind w:left="780" w:hanging="440"/>
        <w:spacing w:after="0"/>
        <w:tabs>
          <w:tab w:leader="none" w:pos="780" w:val="left"/>
        </w:tabs>
        <w:numPr>
          <w:ilvl w:val="0"/>
          <w:numId w:val="20"/>
        </w:numPr>
        <w:rPr>
          <w:rFonts w:ascii="Arial" w:cs="Arial" w:eastAsia="Arial" w:hAnsi="Arial"/>
          <w:sz w:val="19"/>
          <w:szCs w:val="19"/>
          <w:color w:val="auto"/>
        </w:rPr>
      </w:pPr>
      <w:r>
        <w:rPr>
          <w:rFonts w:ascii="Arial" w:cs="Arial" w:eastAsia="Arial" w:hAnsi="Arial"/>
          <w:sz w:val="19"/>
          <w:szCs w:val="19"/>
          <w:color w:val="auto"/>
        </w:rPr>
        <w:t>[ ]  An employee benefit plan or endowment fund in accordance with 240.13d-1(b)(1)(ii)(F);</w:t>
      </w:r>
    </w:p>
    <w:p>
      <w:pPr>
        <w:spacing w:after="0" w:line="294" w:lineRule="exact"/>
        <w:rPr>
          <w:rFonts w:ascii="Arial" w:cs="Arial" w:eastAsia="Arial" w:hAnsi="Arial"/>
          <w:sz w:val="19"/>
          <w:szCs w:val="19"/>
          <w:color w:val="auto"/>
        </w:rPr>
      </w:pPr>
    </w:p>
    <w:p>
      <w:pPr>
        <w:ind w:left="780" w:hanging="476"/>
        <w:spacing w:after="0"/>
        <w:tabs>
          <w:tab w:leader="none" w:pos="780" w:val="left"/>
        </w:tabs>
        <w:numPr>
          <w:ilvl w:val="0"/>
          <w:numId w:val="20"/>
        </w:numPr>
        <w:rPr>
          <w:rFonts w:ascii="Arial" w:cs="Arial" w:eastAsia="Arial" w:hAnsi="Arial"/>
          <w:sz w:val="19"/>
          <w:szCs w:val="19"/>
          <w:color w:val="auto"/>
        </w:rPr>
      </w:pPr>
      <w:r>
        <w:rPr>
          <w:rFonts w:ascii="Arial" w:cs="Arial" w:eastAsia="Arial" w:hAnsi="Arial"/>
          <w:sz w:val="19"/>
          <w:szCs w:val="19"/>
          <w:color w:val="auto"/>
        </w:rPr>
        <w:t>[ ]  A parent holding company or control person in accordance with 240.13d-1(b)(1)(ii)(G);</w:t>
      </w:r>
    </w:p>
    <w:p>
      <w:pPr>
        <w:spacing w:after="0" w:line="294" w:lineRule="exact"/>
        <w:rPr>
          <w:rFonts w:ascii="Arial" w:cs="Arial" w:eastAsia="Arial" w:hAnsi="Arial"/>
          <w:sz w:val="19"/>
          <w:szCs w:val="19"/>
          <w:color w:val="auto"/>
        </w:rPr>
      </w:pPr>
    </w:p>
    <w:p>
      <w:pPr>
        <w:ind w:left="1120" w:right="1559" w:hanging="816"/>
        <w:spacing w:after="0" w:line="251" w:lineRule="auto"/>
        <w:tabs>
          <w:tab w:leader="none" w:pos="782"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120" w:right="1819" w:hanging="768"/>
        <w:spacing w:after="0" w:line="239" w:lineRule="auto"/>
        <w:tabs>
          <w:tab w:leader="none" w:pos="782"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12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A non-U.S.institution in accordance with 240.13d-1(b)(1)(ii)(J);</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Group, in accordance with 240.13d-1(b)(1)(ii)(K).</w:t>
      </w:r>
    </w:p>
    <w:p>
      <w:pPr>
        <w:spacing w:after="0" w:line="260" w:lineRule="exact"/>
        <w:rPr>
          <w:sz w:val="20"/>
          <w:szCs w:val="20"/>
          <w:color w:val="auto"/>
        </w:rPr>
      </w:pPr>
    </w:p>
    <w:p>
      <w:pPr>
        <w:ind w:left="1120" w:right="1339"/>
        <w:spacing w:after="0" w:line="251" w:lineRule="auto"/>
        <w:rPr>
          <w:sz w:val="20"/>
          <w:szCs w:val="20"/>
          <w:color w:val="auto"/>
        </w:rPr>
      </w:pPr>
      <w:r>
        <w:rPr>
          <w:rFonts w:ascii="Arial" w:cs="Arial" w:eastAsia="Arial" w:hAnsi="Arial"/>
          <w:sz w:val="22"/>
          <w:szCs w:val="22"/>
          <w:color w:val="auto"/>
        </w:rPr>
        <w:t>If filing as a non-U.S.institution in accordance with 240.13d-1(b)(1)(ii)(J), please specify the type of institution: ______________</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color w:val="auto"/>
        </w:rPr>
        <w:t>Provide the following information regarding the aggregate number and percentage of the class of</w:t>
      </w:r>
    </w:p>
    <w:p>
      <w:pPr>
        <w:sectPr>
          <w:pgSz w:w="11900" w:h="16838" w:orient="portrait"/>
          <w:cols w:equalWidth="0" w:num="1">
            <w:col w:w="10159"/>
          </w:cols>
          <w:pgMar w:left="300" w:top="118" w:right="1440"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securities of the issuer identified in Item 1.</w:t>
      </w:r>
    </w:p>
    <w:p>
      <w:pPr>
        <w:spacing w:after="0" w:line="99" w:lineRule="exact"/>
        <w:rPr>
          <w:sz w:val="20"/>
          <w:szCs w:val="20"/>
          <w:color w:val="auto"/>
        </w:rPr>
      </w:pPr>
    </w:p>
    <w:p>
      <w:pPr>
        <w:ind w:left="800" w:hanging="433"/>
        <w:spacing w:after="0"/>
        <w:tabs>
          <w:tab w:leader="none" w:pos="8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Amount beneficially owned: 603,954</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Percent of class: 6.81%</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Shared power to vote or to direct the vote 559,174</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603,954</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104" w:lineRule="exact"/>
        <w:rPr>
          <w:sz w:val="20"/>
          <w:szCs w:val="20"/>
          <w:color w:val="auto"/>
        </w:rPr>
      </w:pPr>
    </w:p>
    <w:p>
      <w:pPr>
        <w:ind w:right="1779"/>
        <w:spacing w:after="0"/>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w:t>
      </w:r>
    </w:p>
    <w:p>
      <w:pPr>
        <w:spacing w:after="0" w:line="200" w:lineRule="exact"/>
        <w:rPr>
          <w:sz w:val="20"/>
          <w:szCs w:val="20"/>
          <w:color w:val="auto"/>
        </w:rPr>
      </w:pPr>
    </w:p>
    <w:p>
      <w:pPr>
        <w:spacing w:after="0" w:line="224"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ind w:left="860" w:right="1379" w:hanging="863"/>
        <w:spacing w:after="0" w:line="280" w:lineRule="auto"/>
        <w:tabs>
          <w:tab w:leader="none" w:pos="84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1"/>
          <w:szCs w:val="21"/>
          <w:b w:val="1"/>
          <w:bCs w:val="1"/>
          <w:color w:val="auto"/>
        </w:rPr>
        <w:t>Identification and Classification of the Subsidiary Which Acquired the Security Being Reported on By the Parent Holding Company or Control Person.</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See Exhibit B</w:t>
      </w:r>
    </w:p>
    <w:p>
      <w:pPr>
        <w:spacing w:after="0" w:line="9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50" w:lineRule="exact"/>
        <w:rPr>
          <w:sz w:val="20"/>
          <w:szCs w:val="20"/>
          <w:color w:val="auto"/>
        </w:rPr>
      </w:pPr>
    </w:p>
    <w:p>
      <w:pPr>
        <w:jc w:val="both"/>
        <w:ind w:left="480" w:right="1979"/>
        <w:spacing w:after="0" w:line="235"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43"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SIGNATURE</w:t>
      </w:r>
    </w:p>
    <w:p>
      <w:pPr>
        <w:spacing w:after="0" w:line="322" w:lineRule="exact"/>
        <w:rPr>
          <w:sz w:val="20"/>
          <w:szCs w:val="20"/>
          <w:color w:val="auto"/>
        </w:rPr>
      </w:pPr>
    </w:p>
    <w:p>
      <w:pPr>
        <w:ind w:left="240" w:right="11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January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Date</w:t>
      </w:r>
    </w:p>
    <w:p>
      <w:pPr>
        <w:spacing w:after="0" w:line="44"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/s/ Patricia 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Signature</w:t>
      </w:r>
    </w:p>
    <w:p>
      <w:pPr>
        <w:spacing w:after="0" w:line="44"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Patricia Arce, Designated Signer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Name/Title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A</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EXPLANATORY NOTE</w:t>
      </w:r>
    </w:p>
    <w:p>
      <w:pPr>
        <w:spacing w:after="0" w:line="233" w:lineRule="exact"/>
        <w:rPr>
          <w:sz w:val="20"/>
          <w:szCs w:val="20"/>
          <w:color w:val="auto"/>
        </w:rPr>
      </w:pPr>
    </w:p>
    <w:p>
      <w:pPr>
        <w:ind w:right="1379"/>
        <w:spacing w:after="0" w:line="238" w:lineRule="auto"/>
        <w:rPr>
          <w:sz w:val="20"/>
          <w:szCs w:val="20"/>
          <w:color w:val="auto"/>
        </w:rPr>
      </w:pPr>
      <w:r>
        <w:rPr>
          <w:rFonts w:ascii="Arial" w:cs="Arial" w:eastAsia="Arial" w:hAnsi="Arial"/>
          <w:sz w:val="22"/>
          <w:szCs w:val="22"/>
          <w:color w:val="auto"/>
        </w:rPr>
        <w:t>This Schedule 13G is filed by Wells Fargo &amp; Company on its own behalf and on behalf of any subsidiaries listed in Exhibit B. Aggregate beneficial ownership reported by Wells Fargo &amp; Company under Item 9 on page 2 is on a consolidated basis and includes any beneficial ownership separately reported herein by a subsidiary.</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B</w:t>
      </w:r>
    </w:p>
    <w:p>
      <w:pPr>
        <w:spacing w:after="0" w:line="104" w:lineRule="exact"/>
        <w:rPr>
          <w:sz w:val="20"/>
          <w:szCs w:val="20"/>
          <w:color w:val="auto"/>
        </w:rPr>
      </w:pPr>
    </w:p>
    <w:p>
      <w:pPr>
        <w:ind w:right="1299"/>
        <w:spacing w:after="0" w:line="251" w:lineRule="auto"/>
        <w:rPr>
          <w:sz w:val="20"/>
          <w:szCs w:val="20"/>
          <w:color w:val="auto"/>
        </w:rPr>
      </w:pPr>
      <w:r>
        <w:rPr>
          <w:rFonts w:ascii="Arial" w:cs="Arial" w:eastAsia="Arial" w:hAnsi="Arial"/>
          <w:sz w:val="22"/>
          <w:szCs w:val="22"/>
          <w:color w:val="auto"/>
        </w:rPr>
        <w:t>The Schedule 13G to which this attachment is appended is filed by Wells Fargo &amp; Company on behalf of the following subsidiaries:</w:t>
      </w:r>
    </w:p>
    <w:p>
      <w:pPr>
        <w:sectPr>
          <w:pgSz w:w="11900" w:h="16838" w:orient="portrait"/>
          <w:cols w:equalWidth="0" w:num="1">
            <w:col w:w="10159"/>
          </w:cols>
          <w:pgMar w:left="300" w:top="118" w:right="1440" w:bottom="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Wells Fargo Clearing Services, LLC (1)</w:t>
      </w:r>
    </w:p>
    <w:p>
      <w:pPr>
        <w:spacing w:after="0" w:line="238" w:lineRule="auto"/>
        <w:rPr>
          <w:sz w:val="20"/>
          <w:szCs w:val="20"/>
          <w:color w:val="auto"/>
        </w:rPr>
      </w:pPr>
      <w:r>
        <w:rPr>
          <w:rFonts w:ascii="Arial" w:cs="Arial" w:eastAsia="Arial" w:hAnsi="Arial"/>
          <w:sz w:val="22"/>
          <w:szCs w:val="22"/>
          <w:color w:val="auto"/>
        </w:rPr>
        <w:t>Wells Fargo Funds Management, LLC (2)</w:t>
      </w:r>
    </w:p>
    <w:p>
      <w:pPr>
        <w:spacing w:after="0" w:line="230" w:lineRule="auto"/>
        <w:rPr>
          <w:sz w:val="20"/>
          <w:szCs w:val="20"/>
          <w:color w:val="auto"/>
        </w:rPr>
      </w:pPr>
      <w:r>
        <w:rPr>
          <w:rFonts w:ascii="Arial" w:cs="Arial" w:eastAsia="Arial" w:hAnsi="Arial"/>
          <w:sz w:val="22"/>
          <w:szCs w:val="22"/>
          <w:color w:val="auto"/>
        </w:rPr>
        <w:t>Wells Fargo Bank, National Association (3)</w:t>
      </w:r>
    </w:p>
    <w:p>
      <w:pPr>
        <w:spacing w:after="0" w:line="231" w:lineRule="auto"/>
        <w:rPr>
          <w:sz w:val="20"/>
          <w:szCs w:val="20"/>
          <w:color w:val="auto"/>
        </w:rPr>
      </w:pPr>
      <w:r>
        <w:rPr>
          <w:rFonts w:ascii="Arial" w:cs="Arial" w:eastAsia="Arial" w:hAnsi="Arial"/>
          <w:sz w:val="22"/>
          <w:szCs w:val="22"/>
          <w:color w:val="auto"/>
        </w:rPr>
        <w:t>Wells Capital Management Incorporated (2)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Wells Fargo Advisors Financial Network, LLC (1)</w:t>
      </w:r>
    </w:p>
    <w:p>
      <w:pPr>
        <w:spacing w:after="0" w:line="215" w:lineRule="exact"/>
        <w:rPr>
          <w:sz w:val="20"/>
          <w:szCs w:val="20"/>
          <w:color w:val="auto"/>
        </w:rPr>
      </w:pPr>
    </w:p>
    <w:p>
      <w:pPr>
        <w:ind w:left="300" w:hanging="298"/>
        <w:spacing w:after="0"/>
        <w:tabs>
          <w:tab w:leader="none" w:pos="3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Classified as a broker dealer in accordance with Regulation 13d-1(b)(1)(ii)(A).</w:t>
      </w:r>
    </w:p>
    <w:p>
      <w:pPr>
        <w:spacing w:after="0" w:line="8" w:lineRule="exact"/>
        <w:rPr>
          <w:rFonts w:ascii="Arial" w:cs="Arial" w:eastAsia="Arial" w:hAnsi="Arial"/>
          <w:sz w:val="22"/>
          <w:szCs w:val="22"/>
          <w:color w:val="auto"/>
        </w:rPr>
      </w:pPr>
    </w:p>
    <w:p>
      <w:pPr>
        <w:ind w:left="300" w:hanging="298"/>
        <w:spacing w:after="0"/>
        <w:tabs>
          <w:tab w:leader="none" w:pos="3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Classified as a registered investment advisor in accordance with Regulation 13d-1(b)(1)(ii)(E).</w:t>
      </w:r>
    </w:p>
    <w:p>
      <w:pPr>
        <w:spacing w:after="0" w:line="24" w:lineRule="exact"/>
        <w:rPr>
          <w:rFonts w:ascii="Arial" w:cs="Arial" w:eastAsia="Arial" w:hAnsi="Arial"/>
          <w:sz w:val="19"/>
          <w:szCs w:val="19"/>
          <w:color w:val="auto"/>
        </w:rPr>
      </w:pPr>
    </w:p>
    <w:p>
      <w:pPr>
        <w:ind w:left="300" w:hanging="298"/>
        <w:spacing w:after="0"/>
        <w:tabs>
          <w:tab w:leader="none" w:pos="3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Classified as a bank in accordance with Regulation 13d-1(b)(1)(ii)(B).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60" w:right="1379" w:hanging="1079"/>
        <w:spacing w:after="0" w:line="256" w:lineRule="auto"/>
        <w:tabs>
          <w:tab w:leader="none" w:pos="1040" w:val="left"/>
        </w:tabs>
        <w:rPr>
          <w:sz w:val="20"/>
          <w:szCs w:val="20"/>
          <w:color w:val="auto"/>
        </w:rPr>
      </w:pPr>
      <w:r>
        <w:rPr>
          <w:rFonts w:ascii="Arial" w:cs="Arial" w:eastAsia="Arial" w:hAnsi="Arial"/>
          <w:sz w:val="22"/>
          <w:szCs w:val="22"/>
          <w:b w:val="1"/>
          <w:bCs w:val="1"/>
          <w:color w:val="auto"/>
        </w:rPr>
        <w:t>Attention:</w:t>
        <w:tab/>
        <w:t>Intentional misstatements or omissions of fact constitute Federal criminal violations (See 18 U.S.C. 1001)</w:t>
      </w:r>
    </w:p>
    <w:sectPr>
      <w:pgSz w:w="11900" w:h="16838" w:orient="portrait"/>
      <w:cols w:equalWidth="0" w:num="1">
        <w:col w:w="10159"/>
      </w:cols>
      <w:pgMar w:left="30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upperLetter"/>
      <w:start w:val="24"/>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1"/>
    </w:lvl>
    <w:lvl w:ilvl="1">
      <w:lvlJc w:val="left"/>
      <w:lvlText w:val="(%2)"/>
      <w:numFmt w:val="lowerLetter"/>
      <w:start w:val="2"/>
    </w:lvl>
  </w:abstractNum>
  <w:abstractNum w:abstractNumId="3">
    <w:nsid w:val="3352255A"/>
    <w:multiLevelType w:val="hybridMultilevel"/>
    <w:lvl w:ilvl="0">
      <w:lvlJc w:val="left"/>
      <w:lvlText w:val="%1."/>
      <w:numFmt w:val="decimal"/>
      <w:start w:val="2"/>
    </w:lvl>
    <w:lvl w:ilvl="1">
      <w:lvlJc w:val="left"/>
      <w:lvlText w:val="(%2)"/>
      <w:numFmt w:val="lowerLetter"/>
      <w:start w:val="1"/>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1"/>
    </w:lvl>
    <w:lvl w:ilvl="1">
      <w:lvlJc w:val="left"/>
      <w:lvlText w:val="%2."/>
      <w:numFmt w:val="decimal"/>
      <w:start w:val="8"/>
    </w:lvl>
  </w:abstractNum>
  <w:abstractNum w:abstractNumId="6">
    <w:nsid w:val="7FDCC233"/>
    <w:multiLevelType w:val="hybridMultilevel"/>
    <w:lvl w:ilvl="0">
      <w:lvlJc w:val="left"/>
      <w:lvlText w:val="%1."/>
      <w:numFmt w:val="decimal"/>
      <w:start w:val="9"/>
    </w:lvl>
    <w:lvl w:ilvl="1">
      <w:lvlJc w:val="left"/>
      <w:lvlText w:val="%2"/>
      <w:numFmt w:val="decimal"/>
      <w:start w:val="1"/>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1)"/>
      <w:numFmt w:val="lowerLetter"/>
      <w:start w:val="1"/>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lowerLetter"/>
      <w:start w:val="7"/>
    </w:lvl>
  </w:abstractNum>
  <w:abstractNum w:abstractNumId="11">
    <w:nsid w:val="25E45D32"/>
    <w:multiLevelType w:val="hybridMultilevel"/>
    <w:lvl w:ilvl="0">
      <w:lvlJc w:val="left"/>
      <w:lvlText w:val="(%1)"/>
      <w:numFmt w:val="lowerLetter"/>
      <w:start w:val="1"/>
    </w:lvl>
    <w:lvl w:ilvl="1">
      <w:lvlJc w:val="left"/>
      <w:lvlText w:val="(%2)"/>
      <w:numFmt w:val="lowerRoman"/>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lvl w:ilvl="1">
      <w:lvlJc w:val="left"/>
      <w:lvlText w:val="(%2)"/>
      <w:numFmt w:val="lowerLetter"/>
      <w:start w:val="2"/>
    </w:lvl>
  </w:abstractNum>
  <w:abstractNum w:abstractNumId="14">
    <w:nsid w:val="3F2DBA31"/>
    <w:multiLevelType w:val="hybridMultilevel"/>
    <w:lvl w:ilvl="0">
      <w:lvlJc w:val="left"/>
      <w:lvlText w:val="%1."/>
      <w:numFmt w:val="decimal"/>
      <w:start w:val="2"/>
    </w:lvl>
    <w:lvl w:ilvl="1">
      <w:lvlJc w:val="left"/>
      <w:lvlText w:val="(%2)"/>
      <w:numFmt w:val="lowerLetter"/>
      <w:start w:val="1"/>
    </w:lvl>
  </w:abstractNum>
  <w:abstractNum w:abstractNumId="15">
    <w:nsid w:val="7C83E458"/>
    <w:multiLevelType w:val="hybridMultilevel"/>
    <w:lvl w:ilvl="0">
      <w:lvlJc w:val="left"/>
      <w:lvlText w:val="%1."/>
      <w:numFmt w:val="decimal"/>
      <w:start w:val="9"/>
    </w:lvl>
  </w:abstractNum>
  <w:abstractNum w:abstractNumId="16">
    <w:nsid w:val="257130A3"/>
    <w:multiLevelType w:val="hybridMultilevel"/>
    <w:lvl w:ilvl="0">
      <w:lvlJc w:val="left"/>
      <w:lvlText w:val="%1."/>
      <w:numFmt w:val="decimal"/>
      <w:start w:val="10"/>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1"/>
    </w:lvl>
    <w:lvl w:ilvl="1">
      <w:lvlJc w:val="left"/>
      <w:lvlText w:val="(%2)"/>
      <w:numFmt w:val="lowerRoman"/>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2020-02-04T16:05:42Z</dcterms:created>
  <dcterms:modified xsi:type="dcterms:W3CDTF">2020-02-04T16:05:42Z</dcterms:modified>
</cp:coreProperties>
</file>