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4"/>
          <w:szCs w:val="14"/>
          <w:color w:val="auto"/>
        </w:rPr>
        <w:t>As filed with the Securities and Exchange Commission on July 30, 2021</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UNITED STATES</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SECURITIES AND EXCHANGE COMMISSION</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Washington, D.C. 20549</w:t>
      </w:r>
    </w:p>
    <w:p>
      <w:pPr>
        <w:spacing w:after="0" w:line="150"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FORM S-8</w:t>
      </w:r>
    </w:p>
    <w:p>
      <w:pPr>
        <w:spacing w:after="0" w:line="150"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WESTWOOD HOLDINGS GROUP, INC.</w:t>
      </w:r>
    </w:p>
    <w:p>
      <w:pPr>
        <w:spacing w:after="0" w:line="25"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(Exact name of registrant as specified in its charter)</w:t>
      </w:r>
    </w:p>
    <w:p>
      <w:pPr>
        <w:spacing w:after="0" w:line="136"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45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4"/>
              </w:rPr>
              <w:t>Delaware</w:t>
            </w:r>
          </w:p>
        </w:tc>
        <w:tc>
          <w:tcPr>
            <w:tcW w:w="3140" w:type="dxa"/>
            <w:vAlign w:val="bottom"/>
          </w:tcPr>
          <w:p>
            <w:pPr>
              <w:jc w:val="right"/>
              <w:ind w:right="128"/>
              <w:spacing w:after="0"/>
              <w:rPr>
                <w:sz w:val="20"/>
                <w:szCs w:val="20"/>
                <w:color w:val="auto"/>
              </w:rPr>
            </w:pPr>
            <w:r>
              <w:rPr>
                <w:rFonts w:ascii="Arial" w:cs="Arial" w:eastAsia="Arial" w:hAnsi="Arial"/>
                <w:sz w:val="14"/>
                <w:szCs w:val="14"/>
                <w:b w:val="1"/>
                <w:bCs w:val="1"/>
                <w:color w:val="auto"/>
              </w:rPr>
              <w:t>75-2969997</w:t>
            </w:r>
          </w:p>
        </w:tc>
      </w:tr>
      <w:tr>
        <w:trPr>
          <w:trHeight w:val="135"/>
        </w:trPr>
        <w:tc>
          <w:tcPr>
            <w:tcW w:w="4560" w:type="dxa"/>
            <w:vAlign w:val="bottom"/>
          </w:tcPr>
          <w:p>
            <w:pPr>
              <w:jc w:val="center"/>
              <w:ind w:right="2008"/>
              <w:spacing w:after="0" w:line="135" w:lineRule="exact"/>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tcPr>
          <w:p>
            <w:pPr>
              <w:jc w:val="center"/>
              <w:ind w:left="1988"/>
              <w:spacing w:after="0" w:line="135" w:lineRule="exact"/>
              <w:rPr>
                <w:sz w:val="20"/>
                <w:szCs w:val="20"/>
                <w:color w:val="auto"/>
              </w:rPr>
            </w:pPr>
            <w:r>
              <w:rPr>
                <w:rFonts w:ascii="Arial" w:cs="Arial" w:eastAsia="Arial" w:hAnsi="Arial"/>
                <w:sz w:val="14"/>
                <w:szCs w:val="14"/>
                <w:color w:val="auto"/>
                <w:w w:val="97"/>
              </w:rPr>
              <w:t>(I.R.S. Employer</w:t>
            </w:r>
          </w:p>
        </w:tc>
      </w:tr>
      <w:tr>
        <w:trPr>
          <w:trHeight w:val="182"/>
        </w:trPr>
        <w:tc>
          <w:tcPr>
            <w:tcW w:w="4560" w:type="dxa"/>
            <w:vAlign w:val="bottom"/>
          </w:tcPr>
          <w:p>
            <w:pPr>
              <w:jc w:val="center"/>
              <w:ind w:right="2008"/>
              <w:spacing w:after="0"/>
              <w:rPr>
                <w:sz w:val="20"/>
                <w:szCs w:val="20"/>
                <w:color w:val="auto"/>
              </w:rPr>
            </w:pPr>
            <w:r>
              <w:rPr>
                <w:rFonts w:ascii="Arial" w:cs="Arial" w:eastAsia="Arial" w:hAnsi="Arial"/>
                <w:sz w:val="14"/>
                <w:szCs w:val="14"/>
                <w:color w:val="auto"/>
                <w:w w:val="94"/>
              </w:rPr>
              <w:t>or organization)</w:t>
            </w:r>
          </w:p>
        </w:tc>
        <w:tc>
          <w:tcPr>
            <w:tcW w:w="3140" w:type="dxa"/>
            <w:vAlign w:val="bottom"/>
          </w:tcPr>
          <w:p>
            <w:pPr>
              <w:jc w:val="center"/>
              <w:ind w:left="1988"/>
              <w:spacing w:after="0"/>
              <w:rPr>
                <w:sz w:val="20"/>
                <w:szCs w:val="20"/>
                <w:color w:val="auto"/>
              </w:rPr>
            </w:pPr>
            <w:r>
              <w:rPr>
                <w:rFonts w:ascii="Arial" w:cs="Arial" w:eastAsia="Arial" w:hAnsi="Arial"/>
                <w:sz w:val="14"/>
                <w:szCs w:val="14"/>
                <w:color w:val="auto"/>
                <w:w w:val="99"/>
              </w:rPr>
              <w:t>Identification No.)</w:t>
            </w:r>
          </w:p>
        </w:tc>
      </w:tr>
      <w:tr>
        <w:trPr>
          <w:trHeight w:val="263"/>
        </w:trPr>
        <w:tc>
          <w:tcPr>
            <w:tcW w:w="4560" w:type="dxa"/>
            <w:vAlign w:val="bottom"/>
          </w:tcPr>
          <w:p>
            <w:pPr>
              <w:jc w:val="center"/>
              <w:ind w:right="2008"/>
              <w:spacing w:after="0"/>
              <w:rPr>
                <w:sz w:val="20"/>
                <w:szCs w:val="20"/>
                <w:color w:val="auto"/>
              </w:rPr>
            </w:pPr>
            <w:r>
              <w:rPr>
                <w:rFonts w:ascii="Arial" w:cs="Arial" w:eastAsia="Arial" w:hAnsi="Arial"/>
                <w:sz w:val="14"/>
                <w:szCs w:val="14"/>
                <w:b w:val="1"/>
                <w:bCs w:val="1"/>
                <w:color w:val="auto"/>
                <w:w w:val="93"/>
              </w:rPr>
              <w:t>200 Crescent Court, Suite 1200</w:t>
            </w:r>
          </w:p>
        </w:tc>
        <w:tc>
          <w:tcPr>
            <w:tcW w:w="314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35"/>
        </w:trPr>
        <w:tc>
          <w:tcPr>
            <w:tcW w:w="4560" w:type="dxa"/>
            <w:vAlign w:val="bottom"/>
          </w:tcPr>
          <w:p>
            <w:pPr>
              <w:jc w:val="center"/>
              <w:ind w:right="2008"/>
              <w:spacing w:after="0" w:line="135" w:lineRule="exact"/>
              <w:rPr>
                <w:sz w:val="20"/>
                <w:szCs w:val="20"/>
                <w:color w:val="auto"/>
              </w:rPr>
            </w:pPr>
            <w:r>
              <w:rPr>
                <w:rFonts w:ascii="Arial" w:cs="Arial" w:eastAsia="Arial" w:hAnsi="Arial"/>
                <w:sz w:val="14"/>
                <w:szCs w:val="14"/>
                <w:b w:val="1"/>
                <w:bCs w:val="1"/>
                <w:color w:val="auto"/>
                <w:w w:val="90"/>
              </w:rPr>
              <w:t>Dallas, Texas</w:t>
            </w:r>
          </w:p>
        </w:tc>
        <w:tc>
          <w:tcPr>
            <w:tcW w:w="3140" w:type="dxa"/>
            <w:vAlign w:val="bottom"/>
          </w:tcPr>
          <w:p>
            <w:pPr>
              <w:jc w:val="center"/>
              <w:ind w:left="1988"/>
              <w:spacing w:after="0" w:line="135" w:lineRule="exact"/>
              <w:rPr>
                <w:sz w:val="20"/>
                <w:szCs w:val="20"/>
                <w:color w:val="auto"/>
              </w:rPr>
            </w:pPr>
            <w:r>
              <w:rPr>
                <w:rFonts w:ascii="Arial" w:cs="Arial" w:eastAsia="Arial" w:hAnsi="Arial"/>
                <w:sz w:val="14"/>
                <w:szCs w:val="14"/>
                <w:color w:val="auto"/>
                <w:w w:val="96"/>
              </w:rPr>
              <w:t>(Zip Code)</w:t>
            </w:r>
          </w:p>
        </w:tc>
      </w:tr>
      <w:tr>
        <w:trPr>
          <w:trHeight w:val="182"/>
        </w:trPr>
        <w:tc>
          <w:tcPr>
            <w:tcW w:w="4560" w:type="dxa"/>
            <w:vAlign w:val="bottom"/>
          </w:tcPr>
          <w:p>
            <w:pPr>
              <w:jc w:val="center"/>
              <w:ind w:right="2008"/>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spacing w:after="0"/>
              <w:rPr>
                <w:sz w:val="15"/>
                <w:szCs w:val="15"/>
                <w:color w:val="auto"/>
              </w:rPr>
            </w:pPr>
          </w:p>
        </w:tc>
      </w:tr>
    </w:tbl>
    <w:p>
      <w:pPr>
        <w:spacing w:after="0" w:line="295"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EIGHTH AMENDED AND RESTATED WESTWOOD HOLDINGS GROUP, INC. STOCK INCENTIVE PLAN</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(Full title of the plan)</w:t>
      </w:r>
    </w:p>
    <w:p>
      <w:pPr>
        <w:spacing w:after="0" w:line="146"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Brian O. Casey</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Chief Executive Officer</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Westwood Holdings Group, Inc.</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Dallas, Texas 75201</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(Name and address of agent for service)</w:t>
      </w:r>
    </w:p>
    <w:p>
      <w:pPr>
        <w:spacing w:after="0" w:line="146"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(214) 756-6900</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0"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Copies to:</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Bryn Sappington</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c/o Norton Rose Fulbright US LLP</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2200 Ross Avenue, Suite 3600</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Dallas, Texas 75201</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Telephone: (214) 855-8000</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Facsimile: (214) 855-8200</w:t>
      </w:r>
    </w:p>
    <w:p>
      <w:pPr>
        <w:spacing w:after="0" w:line="151"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3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580" w:type="dxa"/>
            <w:vAlign w:val="bottom"/>
          </w:tcPr>
          <w:p>
            <w:pPr>
              <w:ind w:left="28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57"/>
        </w:trPr>
        <w:tc>
          <w:tcPr>
            <w:tcW w:w="4300" w:type="dxa"/>
            <w:vAlign w:val="bottom"/>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4580" w:type="dxa"/>
            <w:vAlign w:val="bottom"/>
          </w:tcPr>
          <w:p>
            <w:pPr>
              <w:ind w:left="28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56"/>
        </w:trPr>
        <w:tc>
          <w:tcPr>
            <w:tcW w:w="4300" w:type="dxa"/>
            <w:vAlign w:val="bottom"/>
          </w:tcPr>
          <w:p>
            <w:pPr>
              <w:spacing w:after="0"/>
              <w:rPr>
                <w:sz w:val="22"/>
                <w:szCs w:val="22"/>
                <w:color w:val="auto"/>
              </w:rPr>
            </w:pPr>
          </w:p>
        </w:tc>
        <w:tc>
          <w:tcPr>
            <w:tcW w:w="4580" w:type="dxa"/>
            <w:vAlign w:val="bottom"/>
          </w:tcPr>
          <w:p>
            <w:pPr>
              <w:ind w:left="28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153" w:lineRule="exact"/>
        <w:rPr>
          <w:sz w:val="24"/>
          <w:szCs w:val="24"/>
          <w:color w:val="auto"/>
        </w:rPr>
      </w:pPr>
    </w:p>
    <w:p>
      <w:pPr>
        <w:ind w:left="160" w:right="32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17"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CALCULATION OF REGISTRATION FEE</w:t>
      </w:r>
    </w:p>
    <w:p>
      <w:pPr>
        <w:spacing w:after="0" w:line="166" w:lineRule="exact"/>
        <w:rPr>
          <w:sz w:val="24"/>
          <w:szCs w:val="24"/>
          <w:color w:val="auto"/>
        </w:rPr>
      </w:pPr>
    </w:p>
    <w:tbl>
      <w:tblPr>
        <w:tblLayout w:type="fixed"/>
        <w:tblInd w:w="570" w:type="dxa"/>
        <w:tblCellMar>
          <w:top w:w="0" w:type="dxa"/>
          <w:left w:w="0" w:type="dxa"/>
          <w:bottom w:w="0" w:type="dxa"/>
          <w:right w:w="0" w:type="dxa"/>
        </w:tblCellMar>
      </w:tblPr>
      <w:tr>
        <w:trPr>
          <w:trHeight w:val="418"/>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to be</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Amount to be registered(1)(2)</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Proposed maximum offering</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maximum aggregate</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Amount of registration fee(3)</w:t>
            </w:r>
          </w:p>
        </w:tc>
        <w:tc>
          <w:tcPr>
            <w:tcW w:w="0" w:type="dxa"/>
            <w:vAlign w:val="bottom"/>
          </w:tcPr>
          <w:p>
            <w:pPr>
              <w:spacing w:after="0"/>
              <w:rPr>
                <w:sz w:val="1"/>
                <w:szCs w:val="1"/>
                <w:color w:val="auto"/>
              </w:rPr>
            </w:pP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registered</w:t>
            </w:r>
          </w:p>
        </w:tc>
        <w:tc>
          <w:tcPr>
            <w:tcW w:w="2060" w:type="dxa"/>
            <w:vAlign w:val="bottom"/>
            <w:tcBorders>
              <w:right w:val="single" w:sz="8" w:color="auto"/>
            </w:tcBorders>
            <w:vMerge w:val="continue"/>
          </w:tcPr>
          <w:p>
            <w:pPr>
              <w:spacing w:after="0"/>
              <w:rPr>
                <w:sz w:val="15"/>
                <w:szCs w:val="15"/>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price per share(3)</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offering price(3)</w:t>
            </w:r>
          </w:p>
        </w:tc>
        <w:tc>
          <w:tcPr>
            <w:tcW w:w="1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940" w:type="dxa"/>
            <w:vAlign w:val="bottom"/>
            <w:tcBorders>
              <w:left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Common Stock, $0.01 par</w:t>
            </w:r>
          </w:p>
        </w:tc>
        <w:tc>
          <w:tcPr>
            <w:tcW w:w="2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337,519 shares</w:t>
            </w:r>
          </w:p>
        </w:tc>
        <w:tc>
          <w:tcPr>
            <w:tcW w:w="19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$23.04</w:t>
            </w:r>
          </w:p>
        </w:tc>
        <w:tc>
          <w:tcPr>
            <w:tcW w:w="19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$7,690,370.75</w:t>
            </w:r>
          </w:p>
        </w:tc>
        <w:tc>
          <w:tcPr>
            <w:tcW w:w="1980" w:type="dxa"/>
            <w:vAlign w:val="bottom"/>
            <w:tcBorders>
              <w:right w:val="single" w:sz="8" w:color="auto"/>
            </w:tcBorders>
          </w:tcPr>
          <w:p>
            <w:pPr>
              <w:jc w:val="right"/>
              <w:ind w:right="708"/>
              <w:spacing w:after="0" w:line="129" w:lineRule="exact"/>
              <w:rPr>
                <w:sz w:val="20"/>
                <w:szCs w:val="20"/>
                <w:color w:val="auto"/>
              </w:rPr>
            </w:pPr>
            <w:r>
              <w:rPr>
                <w:rFonts w:ascii="Arial" w:cs="Arial" w:eastAsia="Arial" w:hAnsi="Arial"/>
                <w:sz w:val="14"/>
                <w:szCs w:val="14"/>
                <w:color w:val="auto"/>
              </w:rPr>
              <w:t>$839.02</w:t>
            </w:r>
          </w:p>
        </w:tc>
        <w:tc>
          <w:tcPr>
            <w:tcW w:w="0" w:type="dxa"/>
            <w:vAlign w:val="bottom"/>
          </w:tcPr>
          <w:p>
            <w:pPr>
              <w:spacing w:after="0"/>
              <w:rPr>
                <w:sz w:val="1"/>
                <w:szCs w:val="1"/>
                <w:color w:val="auto"/>
              </w:rPr>
            </w:pP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value per share</w:t>
            </w:r>
          </w:p>
        </w:tc>
        <w:tc>
          <w:tcPr>
            <w:tcW w:w="20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ind w:left="560" w:hanging="4"/>
        <w:spacing w:after="0" w:line="252" w:lineRule="auto"/>
        <w:tabs>
          <w:tab w:leader="none" w:pos="77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Form S-8 Registration Statement (this “Registration Statement”) registers 250,000 shares of Westwood Holdings Group, Inc.'s common stock, par value $0.01 per share (the "Common Stock"), reserved under the Eighth Amended and Restated Westwood Holdings Group, Inc. Stock Incentive Plan (the "Plan") and 87,519 shares of Common Stock that were previously issued as restricted stock awards under the Plan but which were forfeited and returned to the Plan in accordance with the terms of the Plan, for an aggregate registration of 337,519 shares of Common Stock.</w:t>
      </w:r>
    </w:p>
    <w:p>
      <w:pPr>
        <w:spacing w:after="0" w:line="25" w:lineRule="exact"/>
        <w:rPr>
          <w:rFonts w:ascii="Arial" w:cs="Arial" w:eastAsia="Arial" w:hAnsi="Arial"/>
          <w:sz w:val="14"/>
          <w:szCs w:val="14"/>
          <w:color w:val="auto"/>
        </w:rPr>
      </w:pPr>
    </w:p>
    <w:p>
      <w:pPr>
        <w:jc w:val="both"/>
        <w:ind w:left="560" w:hanging="4"/>
        <w:spacing w:after="0" w:line="257" w:lineRule="auto"/>
        <w:tabs>
          <w:tab w:leader="none" w:pos="771"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2" w:lineRule="exact"/>
        <w:rPr>
          <w:rFonts w:ascii="Arial" w:cs="Arial" w:eastAsia="Arial" w:hAnsi="Arial"/>
          <w:sz w:val="14"/>
          <w:szCs w:val="14"/>
          <w:color w:val="auto"/>
        </w:rPr>
      </w:pPr>
    </w:p>
    <w:p>
      <w:pPr>
        <w:jc w:val="both"/>
        <w:ind w:left="560" w:hanging="4"/>
        <w:spacing w:after="0" w:line="257" w:lineRule="auto"/>
        <w:tabs>
          <w:tab w:leader="none" w:pos="77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$23.04 (high) and $22.532 (low) sale price of the Registrant’s Common Stock as reported on the New York Stock Exchange on July 26, 2021, which date is within five business days prior to filing this Registration Statement.</w:t>
      </w:r>
    </w:p>
    <w:p>
      <w:pPr>
        <w:sectPr>
          <w:pgSz w:w="11900" w:h="16838" w:orient="portrait"/>
          <w:cols w:equalWidth="0" w:num="1">
            <w:col w:w="11140"/>
          </w:cols>
          <w:pgMar w:left="420" w:top="90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54" w:lineRule="exact"/>
        <w:rPr>
          <w:sz w:val="20"/>
          <w:szCs w:val="20"/>
          <w:color w:val="auto"/>
        </w:rPr>
      </w:pPr>
    </w:p>
    <w:p>
      <w:pPr>
        <w:jc w:val="both"/>
        <w:ind w:firstLine="141"/>
        <w:spacing w:after="0" w:line="328" w:lineRule="auto"/>
        <w:rPr>
          <w:sz w:val="20"/>
          <w:szCs w:val="20"/>
          <w:color w:val="auto"/>
        </w:rPr>
      </w:pPr>
      <w:r>
        <w:rPr>
          <w:rFonts w:ascii="Arial" w:cs="Arial" w:eastAsia="Arial" w:hAnsi="Arial"/>
          <w:sz w:val="13"/>
          <w:szCs w:val="13"/>
          <w:color w:val="auto"/>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250,000 shares of Westwood Holdings Group, Inc. (the "Registrant") common stock, par value $0.01 per share (the "Common Stock"), reserved under the Eighth Amended and Restated Westwood Holdings Group, Inc. Stock Incentive Plan (the "Plan") and 87,519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and the Registration Statement on Form S-8 registering 300,348 shares of the Registrant’s Common Stock, filed on July 11, 2019 (Registration Statement 333-232595); and the Registration Statement on Form S-8 registering 391,786 shares of the Registrant's Common Stock, filed on June 5, 2020 (Registration Statement 333-238965)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27" w:lineRule="exact"/>
        <w:rPr>
          <w:sz w:val="20"/>
          <w:szCs w:val="20"/>
          <w:color w:val="auto"/>
        </w:rPr>
      </w:pPr>
    </w:p>
    <w:p>
      <w:pPr>
        <w:jc w:val="both"/>
        <w:ind w:right="20" w:firstLine="158"/>
        <w:spacing w:after="0" w:line="27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120"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2020, filed with the Commission on March 4, 2021;</w:t>
      </w:r>
    </w:p>
    <w:p>
      <w:pPr>
        <w:spacing w:after="0" w:line="190" w:lineRule="exact"/>
        <w:rPr>
          <w:rFonts w:ascii="Arial" w:cs="Arial" w:eastAsia="Arial" w:hAnsi="Arial"/>
          <w:sz w:val="14"/>
          <w:szCs w:val="14"/>
          <w:color w:val="auto"/>
        </w:rPr>
      </w:pPr>
    </w:p>
    <w:p>
      <w:pPr>
        <w:ind w:left="940" w:hanging="284"/>
        <w:spacing w:after="0"/>
        <w:tabs>
          <w:tab w:leader="none" w:pos="94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2021, filed with the Commission on April 28, 2021;</w:t>
      </w:r>
    </w:p>
    <w:p>
      <w:pPr>
        <w:spacing w:after="0" w:line="136" w:lineRule="exact"/>
        <w:rPr>
          <w:rFonts w:ascii="Arial" w:cs="Arial" w:eastAsia="Arial" w:hAnsi="Arial"/>
          <w:sz w:val="14"/>
          <w:szCs w:val="14"/>
          <w:color w:val="auto"/>
        </w:rPr>
      </w:pPr>
    </w:p>
    <w:p>
      <w:pPr>
        <w:ind w:left="900" w:hanging="244"/>
        <w:spacing w:after="0"/>
        <w:tabs>
          <w:tab w:leader="none" w:pos="9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June 30, 2021, filed with the Commission on July 27, 2021;</w:t>
      </w:r>
    </w:p>
    <w:p>
      <w:pPr>
        <w:spacing w:after="0" w:line="163" w:lineRule="exact"/>
        <w:rPr>
          <w:rFonts w:ascii="Arial" w:cs="Arial" w:eastAsia="Arial" w:hAnsi="Arial"/>
          <w:sz w:val="14"/>
          <w:szCs w:val="14"/>
          <w:color w:val="auto"/>
        </w:rPr>
      </w:pPr>
    </w:p>
    <w:p>
      <w:pPr>
        <w:ind w:left="940" w:hanging="284"/>
        <w:spacing w:after="0"/>
        <w:tabs>
          <w:tab w:leader="none" w:pos="9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reports on Form 8-K filed with the Commission on April 29, 2021, May 3, 2021, and May 12, 2021;</w:t>
      </w:r>
    </w:p>
    <w:p>
      <w:pPr>
        <w:spacing w:after="0" w:line="149" w:lineRule="exact"/>
        <w:rPr>
          <w:rFonts w:ascii="Arial" w:cs="Arial" w:eastAsia="Arial" w:hAnsi="Arial"/>
          <w:sz w:val="14"/>
          <w:szCs w:val="14"/>
          <w:color w:val="auto"/>
        </w:rPr>
      </w:pPr>
    </w:p>
    <w:p>
      <w:pPr>
        <w:ind w:left="900" w:hanging="244"/>
        <w:spacing w:after="0"/>
        <w:tabs>
          <w:tab w:leader="none" w:pos="9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 on Form 8-K/A filed with the Commission on April 30, 2021; and</w:t>
      </w:r>
    </w:p>
    <w:p>
      <w:pPr>
        <w:spacing w:after="0" w:line="163" w:lineRule="exact"/>
        <w:rPr>
          <w:rFonts w:ascii="Arial" w:cs="Arial" w:eastAsia="Arial" w:hAnsi="Arial"/>
          <w:sz w:val="14"/>
          <w:szCs w:val="14"/>
          <w:color w:val="auto"/>
        </w:rPr>
      </w:pPr>
    </w:p>
    <w:p>
      <w:pPr>
        <w:ind w:left="1300" w:hanging="644"/>
        <w:spacing w:after="0" w:line="293" w:lineRule="auto"/>
        <w:tabs>
          <w:tab w:leader="none" w:pos="967"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Registrant’s Common Stock contained in the Registrant’s Registration Statement on Form 10 (Amendment No. 5) filed with the Commission on June 6, 2002.</w:t>
      </w:r>
    </w:p>
    <w:p>
      <w:pPr>
        <w:spacing w:after="0" w:line="93" w:lineRule="exact"/>
        <w:rPr>
          <w:sz w:val="20"/>
          <w:szCs w:val="20"/>
          <w:color w:val="auto"/>
        </w:rPr>
      </w:pPr>
    </w:p>
    <w:p>
      <w:pPr>
        <w:jc w:val="both"/>
        <w:ind w:firstLine="193"/>
        <w:spacing w:after="0" w:line="26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111" w:lineRule="exact"/>
        <w:rPr>
          <w:sz w:val="20"/>
          <w:szCs w:val="20"/>
          <w:color w:val="auto"/>
        </w:rPr>
      </w:pPr>
    </w:p>
    <w:p>
      <w:pPr>
        <w:jc w:val="both"/>
        <w:ind w:firstLine="247"/>
        <w:spacing w:after="0" w:line="26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111" w:lineRule="exact"/>
        <w:rPr>
          <w:sz w:val="20"/>
          <w:szCs w:val="20"/>
          <w:color w:val="auto"/>
        </w:rPr>
      </w:pPr>
    </w:p>
    <w:p>
      <w:pPr>
        <w:jc w:val="both"/>
        <w:ind w:firstLine="193"/>
        <w:spacing w:after="0" w:line="29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240"/>
          </w:cols>
          <w:pgMar w:left="320" w:top="1440" w:right="33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Item 8. Exhibits.</w:t>
            </w:r>
          </w:p>
        </w:tc>
        <w:tc>
          <w:tcPr>
            <w:tcW w:w="110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19"/>
                <w:szCs w:val="19"/>
                <w:color w:val="auto"/>
              </w:rPr>
            </w:pPr>
          </w:p>
        </w:tc>
        <w:tc>
          <w:tcPr>
            <w:tcW w:w="8860" w:type="dxa"/>
            <w:vAlign w:val="bottom"/>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1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color w:val="auto"/>
                <w:w w:val="92"/>
              </w:rPr>
              <w:t>4.1</w:t>
            </w:r>
          </w:p>
        </w:tc>
        <w:tc>
          <w:tcPr>
            <w:tcW w:w="1100" w:type="dxa"/>
            <w:vAlign w:val="bottom"/>
            <w:vMerge w:val="continue"/>
          </w:tcPr>
          <w:p>
            <w:pPr>
              <w:spacing w:after="0"/>
              <w:rPr>
                <w:sz w:val="11"/>
                <w:szCs w:val="11"/>
                <w:color w:val="auto"/>
              </w:rPr>
            </w:pPr>
          </w:p>
        </w:tc>
        <w:tc>
          <w:tcPr>
            <w:tcW w:w="8860" w:type="dxa"/>
            <w:vAlign w:val="bottom"/>
          </w:tcPr>
          <w:p>
            <w:pPr>
              <w:ind w:left="60"/>
              <w:spacing w:after="0" w:line="129" w:lineRule="exact"/>
              <w:rPr>
                <w:sz w:val="20"/>
                <w:szCs w:val="20"/>
                <w:color w:val="auto"/>
              </w:rPr>
            </w:pPr>
            <w:r>
              <w:rPr>
                <w:rFonts w:ascii="Arial" w:cs="Arial" w:eastAsia="Arial" w:hAnsi="Arial"/>
                <w:sz w:val="14"/>
                <w:szCs w:val="14"/>
                <w:color w:val="auto"/>
                <w:w w:val="97"/>
              </w:rPr>
              <w:t>Amended and Restated Certificate of Incorporation of Westwood Holdings Group, Inc. (incorporated by reference from the Form 10-12B filed with</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the Commission on April 30, 2002)</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4.1.1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6"/>
              </w:rPr>
              <w:t>First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from the Form 8-K filed with the Commission on May 7, 2008)</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4.1.2</w:t>
            </w:r>
          </w:p>
        </w:tc>
        <w:tc>
          <w:tcPr>
            <w:tcW w:w="1100" w:type="dxa"/>
            <w:vAlign w:val="bottom"/>
          </w:tcPr>
          <w:p>
            <w:pPr>
              <w:ind w:left="480"/>
              <w:spacing w:after="0"/>
              <w:rPr>
                <w:sz w:val="20"/>
                <w:szCs w:val="20"/>
                <w:color w:val="auto"/>
              </w:rPr>
            </w:pPr>
            <w:r>
              <w:rPr>
                <w:rFonts w:ascii="Arial" w:cs="Arial" w:eastAsia="Arial" w:hAnsi="Arial"/>
                <w:sz w:val="14"/>
                <w:szCs w:val="14"/>
                <w:color w:val="auto"/>
              </w:rPr>
              <w:t>__</w:t>
            </w:r>
          </w:p>
        </w:tc>
        <w:tc>
          <w:tcPr>
            <w:tcW w:w="8860" w:type="dxa"/>
            <w:vAlign w:val="bottom"/>
          </w:tcPr>
          <w:p>
            <w:pPr>
              <w:ind w:left="60"/>
              <w:spacing w:after="0"/>
              <w:rPr>
                <w:sz w:val="20"/>
                <w:szCs w:val="20"/>
                <w:color w:val="auto"/>
              </w:rPr>
            </w:pPr>
            <w:r>
              <w:rPr>
                <w:rFonts w:ascii="Arial" w:cs="Arial" w:eastAsia="Arial" w:hAnsi="Arial"/>
                <w:sz w:val="14"/>
                <w:szCs w:val="14"/>
                <w:color w:val="auto"/>
              </w:rPr>
              <w:t>Second Amendment to Amended and Restated Certificate of Incorporation of Westwood Holdings Group, Inc., as amended (incorporated by</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reference from the Schedule 14A filed with the Commission on March 20, 2017)</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4.1.3</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5"/>
              </w:rPr>
              <w:t>Third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from the Schedule 14A filed with the Commission on March 19, 2019)</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9"/>
              </w:rPr>
              <w:t>Amended and Restated Bylaws of Westwood Holdings Group, Inc. (incorporated by reference from the Form 8-K filed with the Commission on</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April 25, 2012)</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4.2.1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6"/>
              </w:rPr>
              <w:t>Amendment No. 1 to the Amended and Restated Bylaws of Westwood Holdings Group, Inc. (incorporated by reference from the Schedule 14A filed</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with the Commission on March 20, 2017)</w:t>
            </w: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4.2.2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6"/>
              </w:rPr>
              <w:t>Amendment No. 2 to the Amended and Restated Bylaws of Westwood Holdings Group, Inc. (incorporated by reference from the Schedule 14A filed</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with the Commission on March 19, 2019)</w:t>
            </w:r>
          </w:p>
        </w:tc>
        <w:tc>
          <w:tcPr>
            <w:tcW w:w="0" w:type="dxa"/>
            <w:vAlign w:val="bottom"/>
          </w:tcPr>
          <w:p>
            <w:pPr>
              <w:spacing w:after="0"/>
              <w:rPr>
                <w:sz w:val="1"/>
                <w:szCs w:val="1"/>
                <w:color w:val="auto"/>
              </w:rPr>
            </w:pPr>
          </w:p>
        </w:tc>
      </w:tr>
      <w:tr>
        <w:trPr>
          <w:trHeight w:val="278"/>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242"/>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5"/>
              </w:rPr>
              <w:t>Eighth Amended and Restated Westwood Holdings Group, Inc. Stock Incentive Plan (incorporated by reference from the Schedule 14A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Commission on March 5, 2021)</w:t>
            </w:r>
          </w:p>
        </w:tc>
        <w:tc>
          <w:tcPr>
            <w:tcW w:w="0" w:type="dxa"/>
            <w:vAlign w:val="bottom"/>
          </w:tcPr>
          <w:p>
            <w:pPr>
              <w:spacing w:after="0"/>
              <w:rPr>
                <w:sz w:val="1"/>
                <w:szCs w:val="1"/>
                <w:color w:val="auto"/>
              </w:rPr>
            </w:pPr>
          </w:p>
        </w:tc>
      </w:tr>
      <w:tr>
        <w:trPr>
          <w:trHeight w:val="278"/>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5.1*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Opinion of Norton Rose Fulbright US LLP</w:t>
            </w:r>
          </w:p>
        </w:tc>
        <w:tc>
          <w:tcPr>
            <w:tcW w:w="0" w:type="dxa"/>
            <w:vAlign w:val="bottom"/>
          </w:tcPr>
          <w:p>
            <w:pPr>
              <w:spacing w:after="0"/>
              <w:rPr>
                <w:sz w:val="1"/>
                <w:szCs w:val="1"/>
                <w:color w:val="auto"/>
              </w:rPr>
            </w:pPr>
          </w:p>
        </w:tc>
      </w:tr>
      <w:tr>
        <w:trPr>
          <w:trHeight w:val="284"/>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23.1*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283"/>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23.2*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284"/>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24.1*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Power of Attorney (included in the signature page to this Registration Statement)</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980" w:hanging="765"/>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00"/>
          </w:cols>
          <w:pgMar w:left="320" w:top="144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July 30, 2021.</w:t>
      </w:r>
    </w:p>
    <w:p>
      <w:pPr>
        <w:spacing w:after="0" w:line="200" w:lineRule="exact"/>
        <w:rPr>
          <w:sz w:val="20"/>
          <w:szCs w:val="20"/>
          <w:color w:val="auto"/>
        </w:rPr>
      </w:pP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WESTWOOD HOLDINGS GROUP, INC.</w:t>
      </w:r>
    </w:p>
    <w:p>
      <w:pPr>
        <w:spacing w:after="0" w:line="285" w:lineRule="exact"/>
        <w:rPr>
          <w:sz w:val="20"/>
          <w:szCs w:val="20"/>
          <w:color w:val="auto"/>
        </w:rPr>
      </w:pPr>
    </w:p>
    <w:p>
      <w:pPr>
        <w:ind w:left="4260"/>
        <w:spacing w:after="0"/>
        <w:tabs>
          <w:tab w:leader="none" w:pos="5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46990</wp:posOffset>
            </wp:positionV>
            <wp:extent cx="26231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62"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Brian O. Casey</w:t>
      </w:r>
    </w:p>
    <w:p>
      <w:pPr>
        <w:spacing w:after="0" w:line="69"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40" w:lineRule="exact"/>
        <w:rPr>
          <w:sz w:val="20"/>
          <w:szCs w:val="20"/>
          <w:color w:val="auto"/>
        </w:rPr>
      </w:pPr>
    </w:p>
    <w:p>
      <w:pPr>
        <w:jc w:val="both"/>
        <w:ind w:firstLine="147"/>
        <w:spacing w:after="0" w:line="270"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240"/>
          </w:cols>
          <w:pgMar w:left="320" w:top="1440" w:right="339" w:bottom="1440" w:gutter="0" w:footer="0" w:header="0"/>
        </w:sectPr>
      </w:pPr>
    </w:p>
    <w:bookmarkStart w:id="4" w:name="page5"/>
    <w:bookmarkEnd w:id="4"/>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ind w:left="1500"/>
              <w:spacing w:after="0"/>
              <w:rPr>
                <w:sz w:val="20"/>
                <w:szCs w:val="20"/>
                <w:color w:val="auto"/>
              </w:rPr>
            </w:pPr>
            <w:r>
              <w:rPr>
                <w:rFonts w:ascii="Arial" w:cs="Arial" w:eastAsia="Arial" w:hAnsi="Arial"/>
                <w:sz w:val="14"/>
                <w:szCs w:val="14"/>
                <w:color w:val="auto"/>
              </w:rPr>
              <w:t>Signature</w:t>
            </w:r>
          </w:p>
        </w:tc>
        <w:tc>
          <w:tcPr>
            <w:tcW w:w="280" w:type="dxa"/>
            <w:vAlign w:val="bottom"/>
          </w:tcPr>
          <w:p>
            <w:pPr>
              <w:spacing w:after="0"/>
              <w:rPr>
                <w:sz w:val="15"/>
                <w:szCs w:val="15"/>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rPr>
              <w:t>Title</w:t>
            </w:r>
          </w:p>
        </w:tc>
        <w:tc>
          <w:tcPr>
            <w:tcW w:w="1740" w:type="dxa"/>
            <w:vAlign w:val="bottom"/>
          </w:tcPr>
          <w:p>
            <w:pPr>
              <w:ind w:left="7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9"/>
        </w:trPr>
        <w:tc>
          <w:tcPr>
            <w:tcW w:w="3560" w:type="dxa"/>
            <w:vAlign w:val="bottom"/>
          </w:tcPr>
          <w:p>
            <w:pPr>
              <w:ind w:left="60"/>
              <w:spacing w:after="0"/>
              <w:rPr>
                <w:sz w:val="20"/>
                <w:szCs w:val="20"/>
                <w:color w:val="auto"/>
              </w:rPr>
            </w:pPr>
            <w:r>
              <w:rPr>
                <w:rFonts w:ascii="Arial" w:cs="Arial" w:eastAsia="Arial" w:hAnsi="Arial"/>
                <w:sz w:val="14"/>
                <w:szCs w:val="14"/>
                <w:color w:val="auto"/>
              </w:rPr>
              <w:t>/s/ Brian O. Casey</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President, Chief Executive Officer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vMerge w:val="restart"/>
          </w:tcPr>
          <w:p>
            <w:pPr>
              <w:spacing w:after="0"/>
              <w:rPr>
                <w:sz w:val="4"/>
                <w:szCs w:val="4"/>
                <w:color w:val="auto"/>
              </w:rPr>
            </w:pPr>
          </w:p>
        </w:tc>
        <w:tc>
          <w:tcPr>
            <w:tcW w:w="56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7"/>
              </w:rPr>
              <w:t>(Principal Executive Officer)</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Brian O. Casey</w:t>
            </w:r>
          </w:p>
        </w:tc>
        <w:tc>
          <w:tcPr>
            <w:tcW w:w="280" w:type="dxa"/>
            <w:vAlign w:val="bottom"/>
            <w:vMerge w:val="continue"/>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3"/>
        </w:trPr>
        <w:tc>
          <w:tcPr>
            <w:tcW w:w="3560" w:type="dxa"/>
            <w:vAlign w:val="bottom"/>
          </w:tcPr>
          <w:p>
            <w:pPr>
              <w:ind w:left="60"/>
              <w:spacing w:after="0"/>
              <w:rPr>
                <w:sz w:val="20"/>
                <w:szCs w:val="20"/>
                <w:color w:val="auto"/>
              </w:rPr>
            </w:pPr>
            <w:r>
              <w:rPr>
                <w:rFonts w:ascii="Arial" w:cs="Arial" w:eastAsia="Arial" w:hAnsi="Arial"/>
                <w:sz w:val="14"/>
                <w:szCs w:val="14"/>
                <w:color w:val="auto"/>
              </w:rPr>
              <w:t>/s/ Murray Forbes III</w:t>
            </w:r>
          </w:p>
        </w:tc>
        <w:tc>
          <w:tcPr>
            <w:tcW w:w="280" w:type="dxa"/>
            <w:vAlign w:val="bottom"/>
          </w:tcPr>
          <w:p>
            <w:pPr>
              <w:spacing w:after="0"/>
              <w:rPr>
                <w:sz w:val="24"/>
                <w:szCs w:val="24"/>
                <w:color w:val="auto"/>
              </w:rPr>
            </w:pPr>
          </w:p>
        </w:tc>
        <w:tc>
          <w:tcPr>
            <w:tcW w:w="56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Chief Financial Officer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vMerge w:val="restart"/>
          </w:tcPr>
          <w:p>
            <w:pPr>
              <w:spacing w:after="0"/>
              <w:rPr>
                <w:sz w:val="4"/>
                <w:szCs w:val="4"/>
                <w:color w:val="auto"/>
              </w:rPr>
            </w:pPr>
          </w:p>
        </w:tc>
        <w:tc>
          <w:tcPr>
            <w:tcW w:w="5620" w:type="dxa"/>
            <w:vAlign w:val="bottom"/>
            <w:gridSpan w:val="2"/>
            <w:vMerge w:val="restart"/>
          </w:tcPr>
          <w:p>
            <w:pPr>
              <w:ind w:left="800"/>
              <w:spacing w:after="0"/>
              <w:rPr>
                <w:sz w:val="20"/>
                <w:szCs w:val="20"/>
                <w:color w:val="auto"/>
              </w:rPr>
            </w:pPr>
            <w:r>
              <w:rPr>
                <w:rFonts w:ascii="Arial" w:cs="Arial" w:eastAsia="Arial" w:hAnsi="Arial"/>
                <w:sz w:val="14"/>
                <w:szCs w:val="14"/>
                <w:color w:val="auto"/>
              </w:rPr>
              <w:t>(Principal Financial Officer and Principal Accounting Officer)</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Murray Forbes III</w:t>
            </w:r>
          </w:p>
        </w:tc>
        <w:tc>
          <w:tcPr>
            <w:tcW w:w="280" w:type="dxa"/>
            <w:vAlign w:val="bottom"/>
            <w:vMerge w:val="continue"/>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Richard M. Frank</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Chairman of the Board of Directors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Richard M. Frank</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Susan M. Byrne</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Vice Chairman of the Board of Directors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Susan M. Byrne</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7"/>
        </w:trPr>
        <w:tc>
          <w:tcPr>
            <w:tcW w:w="3560" w:type="dxa"/>
            <w:vAlign w:val="bottom"/>
          </w:tcPr>
          <w:p>
            <w:pPr>
              <w:ind w:left="60"/>
              <w:spacing w:after="0"/>
              <w:rPr>
                <w:sz w:val="20"/>
                <w:szCs w:val="20"/>
                <w:color w:val="auto"/>
              </w:rPr>
            </w:pPr>
            <w:r>
              <w:rPr>
                <w:rFonts w:ascii="Arial" w:cs="Arial" w:eastAsia="Arial" w:hAnsi="Arial"/>
                <w:sz w:val="14"/>
                <w:szCs w:val="14"/>
                <w:color w:val="auto"/>
              </w:rPr>
              <w:t>/s/ Ellen H. Masterson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Ellen H. Masterson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Geoffrey R. Norman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Geoffrey R. Norman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Raymond E. Wooldridge</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Raymond E. Wooldridge</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Randy Bowman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20"/>
              <w:spacing w:after="0"/>
              <w:rPr>
                <w:sz w:val="20"/>
                <w:szCs w:val="20"/>
                <w:color w:val="auto"/>
              </w:rPr>
            </w:pPr>
            <w:r>
              <w:rPr>
                <w:rFonts w:ascii="Arial" w:cs="Arial" w:eastAsia="Arial" w:hAnsi="Arial"/>
                <w:sz w:val="14"/>
                <w:szCs w:val="14"/>
                <w:color w:val="auto"/>
              </w:rPr>
              <w:t>July 30, 2021</w:t>
            </w:r>
          </w:p>
        </w:tc>
        <w:tc>
          <w:tcPr>
            <w:tcW w:w="0" w:type="dxa"/>
            <w:vAlign w:val="bottom"/>
          </w:tcPr>
          <w:p>
            <w:pPr>
              <w:spacing w:after="0"/>
              <w:rPr>
                <w:sz w:val="1"/>
                <w:szCs w:val="1"/>
                <w:color w:val="auto"/>
              </w:rPr>
            </w:pPr>
          </w:p>
        </w:tc>
      </w:tr>
      <w:tr>
        <w:trPr>
          <w:trHeight w:val="182"/>
        </w:trPr>
        <w:tc>
          <w:tcPr>
            <w:tcW w:w="3560" w:type="dxa"/>
            <w:vAlign w:val="bottom"/>
          </w:tcPr>
          <w:p>
            <w:pPr>
              <w:ind w:left="60"/>
              <w:spacing w:after="0"/>
              <w:rPr>
                <w:sz w:val="20"/>
                <w:szCs w:val="20"/>
                <w:color w:val="auto"/>
              </w:rPr>
            </w:pPr>
            <w:r>
              <w:rPr>
                <w:rFonts w:ascii="Arial" w:cs="Arial" w:eastAsia="Arial" w:hAnsi="Arial"/>
                <w:sz w:val="14"/>
                <w:szCs w:val="14"/>
                <w:color w:val="auto"/>
              </w:rPr>
              <w:t>Randy Bowman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20" w:type="dxa"/>
            <w:vAlign w:val="bottom"/>
            <w:gridSpan w:val="15"/>
          </w:tcPr>
          <w:p>
            <w:pPr>
              <w:ind w:left="2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540"/>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20" w:type="dxa"/>
            <w:vAlign w:val="bottom"/>
            <w:gridSpan w:val="15"/>
          </w:tcPr>
          <w:p>
            <w:pPr>
              <w:ind w:left="1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020" w:type="dxa"/>
            <w:vAlign w:val="bottom"/>
            <w:tcBorders>
              <w:bottom w:val="single" w:sz="8" w:color="auto"/>
            </w:tcBorders>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800" w:type="dxa"/>
            <w:vAlign w:val="bottom"/>
            <w:gridSpan w:val="22"/>
          </w:tcPr>
          <w:p>
            <w:pPr>
              <w:spacing w:after="0" w:line="142" w:lineRule="exact"/>
              <w:rPr>
                <w:rFonts w:ascii="Arial" w:cs="Arial" w:eastAsia="Arial" w:hAnsi="Arial"/>
                <w:sz w:val="14"/>
                <w:szCs w:val="14"/>
                <w:color w:val="0000FF"/>
                <w:w w:val="97"/>
              </w:rPr>
            </w:pPr>
            <w:hyperlink r:id="rId9">
              <w:r>
                <w:rPr>
                  <w:rFonts w:ascii="Arial" w:cs="Arial" w:eastAsia="Arial" w:hAnsi="Arial"/>
                  <w:sz w:val="14"/>
                  <w:szCs w:val="14"/>
                  <w:color w:val="0000FF"/>
                  <w:w w:val="97"/>
                </w:rPr>
                <w:t>Amended and Restated Certificate of Incorporation of Westwood Holdings Group, Inc. (incorporated by reference from the Form 10-12B filed with</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9">
              <w:r>
                <w:rPr>
                  <w:rFonts w:ascii="Arial" w:cs="Arial" w:eastAsia="Arial" w:hAnsi="Arial"/>
                  <w:sz w:val="13"/>
                  <w:szCs w:val="13"/>
                  <w:color w:val="0000FF"/>
                </w:rPr>
                <w:t>the Commission on April 30, 2002)</w:t>
              </w:r>
            </w:hyperlink>
          </w:p>
        </w:tc>
        <w:tc>
          <w:tcPr>
            <w:tcW w:w="662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w w:val="96"/>
              </w:rPr>
              <w:t>4.1.1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8800" w:type="dxa"/>
            <w:vAlign w:val="bottom"/>
            <w:gridSpan w:val="22"/>
          </w:tcPr>
          <w:p>
            <w:pPr>
              <w:spacing w:after="0"/>
              <w:rPr>
                <w:rFonts w:ascii="Arial" w:cs="Arial" w:eastAsia="Arial" w:hAnsi="Arial"/>
                <w:sz w:val="14"/>
                <w:szCs w:val="14"/>
                <w:color w:val="0000FF"/>
                <w:w w:val="96"/>
              </w:rPr>
            </w:pPr>
            <w:hyperlink r:id="rId10">
              <w:r>
                <w:rPr>
                  <w:rFonts w:ascii="Arial" w:cs="Arial" w:eastAsia="Arial" w:hAnsi="Arial"/>
                  <w:sz w:val="14"/>
                  <w:szCs w:val="14"/>
                  <w:color w:val="0000FF"/>
                  <w:w w:val="96"/>
                </w:rPr>
                <w:t>First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7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0">
              <w:r>
                <w:rPr>
                  <w:rFonts w:ascii="Arial" w:cs="Arial" w:eastAsia="Arial" w:hAnsi="Arial"/>
                  <w:sz w:val="13"/>
                  <w:szCs w:val="13"/>
                  <w:color w:val="0000FF"/>
                </w:rPr>
                <w:t>from the Form 8-K filed with the Commission on May 7, 2008)</w:t>
              </w:r>
            </w:hyperlink>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w w:val="96"/>
              </w:rPr>
              <w:t>4.1.2</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60" w:type="dxa"/>
            <w:vAlign w:val="bottom"/>
          </w:tcPr>
          <w:p>
            <w:pPr>
              <w:spacing w:after="0"/>
              <w:rPr>
                <w:sz w:val="22"/>
                <w:szCs w:val="22"/>
                <w:color w:val="auto"/>
              </w:rPr>
            </w:pPr>
          </w:p>
        </w:tc>
        <w:tc>
          <w:tcPr>
            <w:tcW w:w="8800" w:type="dxa"/>
            <w:vAlign w:val="bottom"/>
            <w:gridSpan w:val="22"/>
          </w:tcPr>
          <w:p>
            <w:pPr>
              <w:spacing w:after="0"/>
              <w:rPr>
                <w:rFonts w:ascii="Arial" w:cs="Arial" w:eastAsia="Arial" w:hAnsi="Arial"/>
                <w:sz w:val="14"/>
                <w:szCs w:val="14"/>
                <w:color w:val="0000FF"/>
              </w:rPr>
            </w:pPr>
            <w:hyperlink r:id="rId11">
              <w:r>
                <w:rPr>
                  <w:rFonts w:ascii="Arial" w:cs="Arial" w:eastAsia="Arial" w:hAnsi="Arial"/>
                  <w:sz w:val="14"/>
                  <w:szCs w:val="14"/>
                  <w:color w:val="0000FF"/>
                </w:rPr>
                <w:t>Second Amendment to Amended and Restated Certificate of Incorporation of Westwood Holdings Group, Inc., as amended (incorporated by</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70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1">
              <w:r>
                <w:rPr>
                  <w:rFonts w:ascii="Arial" w:cs="Arial" w:eastAsia="Arial" w:hAnsi="Arial"/>
                  <w:sz w:val="13"/>
                  <w:szCs w:val="13"/>
                  <w:color w:val="0000FF"/>
                </w:rPr>
                <w:t>reference from the Schedule 14A filed with the Commission on March 20, 2017)</w:t>
              </w:r>
            </w:hyperlink>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w w:val="96"/>
              </w:rPr>
              <w:t>4.1.3</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2"/>
                <w:szCs w:val="22"/>
                <w:color w:val="auto"/>
              </w:rPr>
            </w:pPr>
          </w:p>
        </w:tc>
        <w:tc>
          <w:tcPr>
            <w:tcW w:w="8800" w:type="dxa"/>
            <w:vAlign w:val="bottom"/>
            <w:gridSpan w:val="22"/>
          </w:tcPr>
          <w:p>
            <w:pPr>
              <w:spacing w:after="0"/>
              <w:rPr>
                <w:rFonts w:ascii="Arial" w:cs="Arial" w:eastAsia="Arial" w:hAnsi="Arial"/>
                <w:sz w:val="14"/>
                <w:szCs w:val="14"/>
                <w:color w:val="0000FF"/>
                <w:w w:val="95"/>
              </w:rPr>
            </w:pPr>
            <w:hyperlink r:id="rId12">
              <w:r>
                <w:rPr>
                  <w:rFonts w:ascii="Arial" w:cs="Arial" w:eastAsia="Arial" w:hAnsi="Arial"/>
                  <w:sz w:val="14"/>
                  <w:szCs w:val="14"/>
                  <w:color w:val="0000FF"/>
                  <w:w w:val="95"/>
                </w:rPr>
                <w:t>Third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10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r:id="rId12">
              <w:r>
                <w:rPr>
                  <w:rFonts w:ascii="Arial" w:cs="Arial" w:eastAsia="Arial" w:hAnsi="Arial"/>
                  <w:sz w:val="13"/>
                  <w:szCs w:val="13"/>
                  <w:color w:val="0000FF"/>
                </w:rPr>
                <w:t>from the Schedule 14A filed with the Commission on March 19, 2019)</w:t>
              </w:r>
            </w:hyperlink>
          </w:p>
        </w:tc>
        <w:tc>
          <w:tcPr>
            <w:tcW w:w="448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8800" w:type="dxa"/>
            <w:vAlign w:val="bottom"/>
            <w:gridSpan w:val="22"/>
          </w:tcPr>
          <w:p>
            <w:pPr>
              <w:spacing w:after="0"/>
              <w:rPr>
                <w:rFonts w:ascii="Arial" w:cs="Arial" w:eastAsia="Arial" w:hAnsi="Arial"/>
                <w:sz w:val="14"/>
                <w:szCs w:val="14"/>
                <w:color w:val="0000FF"/>
                <w:w w:val="99"/>
              </w:rPr>
            </w:pPr>
            <w:hyperlink r:id="rId13">
              <w:r>
                <w:rPr>
                  <w:rFonts w:ascii="Arial" w:cs="Arial" w:eastAsia="Arial" w:hAnsi="Arial"/>
                  <w:sz w:val="14"/>
                  <w:szCs w:val="14"/>
                  <w:color w:val="0000FF"/>
                  <w:w w:val="99"/>
                </w:rPr>
                <w:t>Amended and Restated Bylaws of Westwood Holdings Group, Inc. (incorporated by reference from the Form 8-K filed with the Commission on</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3">
              <w:r>
                <w:rPr>
                  <w:rFonts w:ascii="Arial" w:cs="Arial" w:eastAsia="Arial" w:hAnsi="Arial"/>
                  <w:sz w:val="13"/>
                  <w:szCs w:val="13"/>
                  <w:color w:val="0000FF"/>
                </w:rPr>
                <w:t>April 25, 2012)</w:t>
              </w:r>
            </w:hyperlink>
          </w:p>
        </w:tc>
        <w:tc>
          <w:tcPr>
            <w:tcW w:w="7760" w:type="dxa"/>
            <w:vAlign w:val="bottom"/>
            <w:tcBorders>
              <w:top w:val="single" w:sz="8" w:color="0000FF"/>
            </w:tcBorders>
            <w:gridSpan w:val="17"/>
          </w:tcPr>
          <w:p>
            <w:pPr>
              <w:spacing w:after="0"/>
              <w:rPr>
                <w:sz w:val="10"/>
                <w:szCs w:val="10"/>
                <w:color w:val="auto"/>
              </w:rPr>
            </w:pPr>
          </w:p>
        </w:tc>
        <w:tc>
          <w:tcPr>
            <w:tcW w:w="1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w w:val="96"/>
              </w:rPr>
              <w:t>4.2.1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8800" w:type="dxa"/>
            <w:vAlign w:val="bottom"/>
            <w:gridSpan w:val="22"/>
          </w:tcPr>
          <w:p>
            <w:pPr>
              <w:spacing w:after="0"/>
              <w:rPr>
                <w:rFonts w:ascii="Arial" w:cs="Arial" w:eastAsia="Arial" w:hAnsi="Arial"/>
                <w:sz w:val="14"/>
                <w:szCs w:val="14"/>
                <w:color w:val="0000FF"/>
                <w:w w:val="96"/>
              </w:rPr>
            </w:pPr>
            <w:hyperlink r:id="rId14">
              <w:r>
                <w:rPr>
                  <w:rFonts w:ascii="Arial" w:cs="Arial" w:eastAsia="Arial" w:hAnsi="Arial"/>
                  <w:sz w:val="14"/>
                  <w:szCs w:val="14"/>
                  <w:color w:val="0000FF"/>
                  <w:w w:val="96"/>
                </w:rPr>
                <w:t>Amendment No. 1 to the Amended and Restated Bylaws of Westwood Holdings Group, Inc. (incorporated by reference from the Schedule 14A filed</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14">
              <w:r>
                <w:rPr>
                  <w:rFonts w:ascii="Arial" w:cs="Arial" w:eastAsia="Arial" w:hAnsi="Arial"/>
                  <w:sz w:val="13"/>
                  <w:szCs w:val="13"/>
                  <w:color w:val="0000FF"/>
                </w:rPr>
                <w:t>with the Commission on March 20, 2017)</w:t>
              </w:r>
            </w:hyperlink>
          </w:p>
        </w:tc>
        <w:tc>
          <w:tcPr>
            <w:tcW w:w="6200" w:type="dxa"/>
            <w:vAlign w:val="bottom"/>
            <w:tcBorders>
              <w:top w:val="single" w:sz="8" w:color="0000FF"/>
            </w:tcBorders>
            <w:gridSpan w:val="11"/>
          </w:tcPr>
          <w:p>
            <w:pPr>
              <w:spacing w:after="0"/>
              <w:rPr>
                <w:sz w:val="10"/>
                <w:szCs w:val="10"/>
                <w:color w:val="auto"/>
              </w:rPr>
            </w:pPr>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w w:val="96"/>
              </w:rPr>
              <w:t>4.2.2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8800" w:type="dxa"/>
            <w:vAlign w:val="bottom"/>
            <w:gridSpan w:val="22"/>
          </w:tcPr>
          <w:p>
            <w:pPr>
              <w:spacing w:after="0"/>
              <w:rPr>
                <w:rFonts w:ascii="Arial" w:cs="Arial" w:eastAsia="Arial" w:hAnsi="Arial"/>
                <w:sz w:val="14"/>
                <w:szCs w:val="14"/>
                <w:color w:val="0000FF"/>
                <w:w w:val="96"/>
              </w:rPr>
            </w:pPr>
            <w:hyperlink r:id="rId15">
              <w:r>
                <w:rPr>
                  <w:rFonts w:ascii="Arial" w:cs="Arial" w:eastAsia="Arial" w:hAnsi="Arial"/>
                  <w:sz w:val="14"/>
                  <w:szCs w:val="14"/>
                  <w:color w:val="0000FF"/>
                  <w:w w:val="96"/>
                </w:rPr>
                <w:t>Amendment No. 2 to the Amended and Restated Bylaws of Westwood Holdings Group, Inc. (incorporated by reference from the Schedule 14A filed</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5">
              <w:r>
                <w:rPr>
                  <w:rFonts w:ascii="Arial" w:cs="Arial" w:eastAsia="Arial" w:hAnsi="Arial"/>
                  <w:sz w:val="13"/>
                  <w:szCs w:val="13"/>
                  <w:color w:val="0000FF"/>
                </w:rPr>
                <w:t>with the Commission on March 19, 2019)</w:t>
              </w:r>
            </w:hyperlink>
          </w:p>
        </w:tc>
        <w:tc>
          <w:tcPr>
            <w:tcW w:w="6140" w:type="dxa"/>
            <w:vAlign w:val="bottom"/>
            <w:tcBorders>
              <w:top w:val="single" w:sz="8" w:color="0000FF"/>
            </w:tcBorders>
            <w:gridSpan w:val="9"/>
          </w:tcPr>
          <w:p>
            <w:pPr>
              <w:spacing w:after="0"/>
              <w:rPr>
                <w:sz w:val="10"/>
                <w:szCs w:val="10"/>
                <w:color w:val="auto"/>
              </w:rPr>
            </w:pPr>
          </w:p>
        </w:tc>
        <w:tc>
          <w:tcPr>
            <w:tcW w:w="60" w:type="dxa"/>
            <w:vAlign w:val="bottom"/>
            <w:gridSpan w:val="2"/>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8800" w:type="dxa"/>
            <w:vAlign w:val="bottom"/>
            <w:gridSpan w:val="22"/>
          </w:tcPr>
          <w:p>
            <w:pPr>
              <w:spacing w:after="0"/>
              <w:rPr>
                <w:rFonts w:ascii="Arial" w:cs="Arial" w:eastAsia="Arial" w:hAnsi="Arial"/>
                <w:sz w:val="14"/>
                <w:szCs w:val="14"/>
                <w:color w:val="0000FF"/>
              </w:rPr>
            </w:pPr>
            <w:hyperlink r:id="rId16">
              <w:r>
                <w:rPr>
                  <w:rFonts w:ascii="Arial" w:cs="Arial" w:eastAsia="Arial" w:hAnsi="Arial"/>
                  <w:sz w:val="14"/>
                  <w:szCs w:val="14"/>
                  <w:color w:val="0000FF"/>
                </w:rPr>
                <w:t>Form of Certificate Evidencing Common Stock (incorporated by reference from the Form 10-12B filed with the Commission on April 30, 2002)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4.4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800" w:type="dxa"/>
            <w:vAlign w:val="bottom"/>
            <w:gridSpan w:val="22"/>
          </w:tcPr>
          <w:p>
            <w:pPr>
              <w:spacing w:after="0"/>
              <w:rPr>
                <w:rFonts w:ascii="Arial" w:cs="Arial" w:eastAsia="Arial" w:hAnsi="Arial"/>
                <w:sz w:val="14"/>
                <w:szCs w:val="14"/>
                <w:color w:val="0000FF"/>
                <w:w w:val="95"/>
              </w:rPr>
            </w:pPr>
            <w:hyperlink r:id="rId17">
              <w:r>
                <w:rPr>
                  <w:rFonts w:ascii="Arial" w:cs="Arial" w:eastAsia="Arial" w:hAnsi="Arial"/>
                  <w:sz w:val="14"/>
                  <w:szCs w:val="14"/>
                  <w:color w:val="0000FF"/>
                  <w:w w:val="95"/>
                </w:rPr>
                <w:t>Eighth Amended and Restated Westwood Holdings Group, Inc. Stock Incentive Plan (incorporated by reference from the Schedule 14A filed with the</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2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17">
              <w:r>
                <w:rPr>
                  <w:rFonts w:ascii="Arial" w:cs="Arial" w:eastAsia="Arial" w:hAnsi="Arial"/>
                  <w:sz w:val="14"/>
                  <w:szCs w:val="14"/>
                  <w:color w:val="0000FF"/>
                </w:rPr>
                <w:t>Commission on March 5, 2021)</w:t>
              </w:r>
            </w:hyperlink>
          </w:p>
        </w:tc>
        <w:tc>
          <w:tcPr>
            <w:tcW w:w="18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4"/>
                <w:szCs w:val="14"/>
                <w:color w:val="auto"/>
              </w:rPr>
              <w:t>5.1*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8800" w:type="dxa"/>
            <w:vAlign w:val="bottom"/>
            <w:gridSpan w:val="22"/>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Opinion of Norton Rose Fulbright US LLP</w:t>
              </w:r>
            </w:hyperlink>
          </w:p>
        </w:tc>
        <w:tc>
          <w:tcPr>
            <w:tcW w:w="0" w:type="dxa"/>
            <w:vAlign w:val="bottom"/>
          </w:tcPr>
          <w:p>
            <w:pPr>
              <w:spacing w:after="0"/>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rPr>
              <w:t>23.1*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204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5"/>
              </w:rPr>
            </w:pPr>
            <w:hyperlink w:anchor="page9">
              <w:r>
                <w:rPr>
                  <w:rFonts w:ascii="Arial" w:cs="Arial" w:eastAsia="Arial" w:hAnsi="Arial"/>
                  <w:sz w:val="14"/>
                  <w:szCs w:val="14"/>
                  <w:color w:val="0000FF"/>
                  <w:w w:val="95"/>
                </w:rPr>
                <w:t>Consent of Deloitte &amp; Touche LLP</w:t>
              </w:r>
            </w:hyperlink>
          </w:p>
        </w:tc>
        <w:tc>
          <w:tcPr>
            <w:tcW w:w="440" w:type="dxa"/>
            <w:vAlign w:val="bottom"/>
            <w:tcBorders>
              <w:top w:val="single" w:sz="8" w:color="0000FF"/>
            </w:tcBorders>
            <w:gridSpan w:val="4"/>
          </w:tcPr>
          <w:p>
            <w:pPr>
              <w:spacing w:after="0"/>
              <w:rPr>
                <w:sz w:val="22"/>
                <w:szCs w:val="22"/>
                <w:color w:val="auto"/>
              </w:rPr>
            </w:pPr>
          </w:p>
        </w:tc>
        <w:tc>
          <w:tcPr>
            <w:tcW w:w="632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rPr>
              <w:t>23.2*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5480" w:type="dxa"/>
            <w:vAlign w:val="bottom"/>
            <w:tcBorders>
              <w:bottom w:val="single" w:sz="8" w:color="0000FF"/>
            </w:tcBorders>
            <w:gridSpan w:val="12"/>
          </w:tcPr>
          <w:p>
            <w:pPr>
              <w:spacing w:after="0"/>
              <w:rPr>
                <w:rFonts w:ascii="Arial" w:cs="Arial" w:eastAsia="Arial" w:hAnsi="Arial"/>
                <w:sz w:val="14"/>
                <w:szCs w:val="14"/>
                <w:color w:val="0000FF"/>
                <w:w w:val="95"/>
              </w:rPr>
            </w:pPr>
            <w:hyperlink w:anchor="page7">
              <w:r>
                <w:rPr>
                  <w:rFonts w:ascii="Arial" w:cs="Arial" w:eastAsia="Arial" w:hAnsi="Arial"/>
                  <w:sz w:val="14"/>
                  <w:szCs w:val="14"/>
                  <w:color w:val="0000FF"/>
                  <w:w w:val="95"/>
                </w:rPr>
                <w:t>Consent of Norton Rose Fulbright US LLP (included in the opinion filed as Exhibit 5.1 hereto)</w:t>
              </w:r>
            </w:hyperlink>
          </w:p>
        </w:tc>
        <w:tc>
          <w:tcPr>
            <w:tcW w:w="33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rPr>
              <w:t>24.1*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4680" w:type="dxa"/>
            <w:vAlign w:val="bottom"/>
            <w:tcBorders>
              <w:bottom w:val="single" w:sz="8" w:color="0000FF"/>
            </w:tcBorders>
            <w:gridSpan w:val="11"/>
          </w:tcPr>
          <w:p>
            <w:pPr>
              <w:spacing w:after="0"/>
              <w:rPr>
                <w:rFonts w:ascii="Arial" w:cs="Arial" w:eastAsia="Arial" w:hAnsi="Arial"/>
                <w:sz w:val="14"/>
                <w:szCs w:val="14"/>
                <w:color w:val="0000FF"/>
                <w:w w:val="93"/>
              </w:rPr>
            </w:pPr>
            <w:hyperlink w:anchor="page3">
              <w:r>
                <w:rPr>
                  <w:rFonts w:ascii="Arial" w:cs="Arial" w:eastAsia="Arial" w:hAnsi="Arial"/>
                  <w:sz w:val="14"/>
                  <w:szCs w:val="14"/>
                  <w:color w:val="0000FF"/>
                  <w:w w:val="93"/>
                </w:rPr>
                <w:t>Power of Attorney (included in the signature page to this Registration Statement)</w:t>
              </w:r>
            </w:hyperlink>
          </w:p>
        </w:tc>
        <w:tc>
          <w:tcPr>
            <w:tcW w:w="41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920" w:hanging="859"/>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0960"/>
          </w:cols>
          <w:pgMar w:left="460" w:top="1413" w:right="479" w:bottom="1440" w:gutter="0" w:footer="0" w:header="0"/>
        </w:sectPr>
      </w:pPr>
    </w:p>
    <w:bookmarkStart w:id="6" w:name="page7"/>
    <w:bookmarkEnd w:id="6"/>
    <w:p>
      <w:pPr>
        <w:spacing w:after="0" w:line="33" w:lineRule="exact"/>
        <w:rPr>
          <w:sz w:val="20"/>
          <w:szCs w:val="20"/>
          <w:color w:val="auto"/>
        </w:rPr>
      </w:pPr>
    </w:p>
    <w:p>
      <w:pPr>
        <w:ind w:left="20"/>
        <w:spacing w:after="0"/>
        <w:rPr>
          <w:sz w:val="20"/>
          <w:szCs w:val="20"/>
          <w:color w:val="auto"/>
        </w:rPr>
      </w:pPr>
      <w:r>
        <w:rPr>
          <w:rFonts w:ascii="Arial" w:cs="Arial" w:eastAsia="Arial" w:hAnsi="Arial"/>
          <w:sz w:val="19"/>
          <w:szCs w:val="19"/>
          <w:color w:val="auto"/>
        </w:rPr>
        <w:t>July 30, 2021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-674370</wp:posOffset>
            </wp:positionV>
            <wp:extent cx="2305685"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extLst>
                    </a:blip>
                    <a:srcRect/>
                    <a:stretch>
                      <a:fillRect/>
                    </a:stretch>
                  </pic:blipFill>
                  <pic:spPr bwMode="auto">
                    <a:xfrm>
                      <a:off x="0" y="0"/>
                      <a:ext cx="2305685" cy="2482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2200 Ross Avenue, Suite 3600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75201-7932</w:t>
      </w:r>
    </w:p>
    <w:p>
      <w:pPr>
        <w:spacing w:after="0" w:line="27" w:lineRule="exact"/>
        <w:rPr>
          <w:sz w:val="20"/>
          <w:szCs w:val="20"/>
          <w:color w:val="auto"/>
        </w:rPr>
      </w:pPr>
    </w:p>
    <w:p>
      <w:pPr>
        <w:sectPr>
          <w:pgSz w:w="11900" w:h="16838" w:orient="portrait"/>
          <w:cols w:equalWidth="0" w:num="2">
            <w:col w:w="6460" w:space="720"/>
            <w:col w:w="4060"/>
          </w:cols>
          <w:pgMar w:left="320" w:top="1440" w:right="339" w:bottom="1440" w:gutter="0" w:footer="0" w:header="0"/>
        </w:sectPr>
      </w:pPr>
    </w:p>
    <w:p>
      <w:pPr>
        <w:ind w:left="20"/>
        <w:spacing w:after="0"/>
        <w:rPr>
          <w:sz w:val="20"/>
          <w:szCs w:val="20"/>
          <w:color w:val="auto"/>
        </w:rPr>
      </w:pPr>
      <w:r>
        <w:rPr>
          <w:rFonts w:ascii="Arial" w:cs="Arial" w:eastAsia="Arial" w:hAnsi="Arial"/>
          <w:sz w:val="19"/>
          <w:szCs w:val="19"/>
          <w:color w:val="auto"/>
        </w:rPr>
        <w:t>Westwood Holdings Group,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7"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200 Crescent Court, Suite 1200</w:t>
      </w:r>
    </w:p>
    <w:p>
      <w:pPr>
        <w:sectPr>
          <w:pgSz w:w="11900" w:h="16838" w:orient="portrait"/>
          <w:cols w:equalWidth="0" w:num="1">
            <w:col w:w="11240"/>
          </w:cols>
          <w:pgMar w:left="320" w:top="1440"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Dallas Texas 75201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Tel +1 214 855 8000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Fax +1 214 855 8200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nortonrosefulbright.com</w:t>
      </w:r>
    </w:p>
    <w:p>
      <w:pPr>
        <w:spacing w:after="0" w:line="200"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9"/>
          <w:szCs w:val="19"/>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211"/>
        <w:spacing w:after="0" w:line="229" w:lineRule="auto"/>
        <w:rPr>
          <w:sz w:val="20"/>
          <w:szCs w:val="20"/>
          <w:color w:val="auto"/>
        </w:rPr>
      </w:pPr>
      <w:r>
        <w:rPr>
          <w:rFonts w:ascii="Arial" w:cs="Arial" w:eastAsia="Arial" w:hAnsi="Arial"/>
          <w:sz w:val="20"/>
          <w:szCs w:val="20"/>
          <w:color w:val="auto"/>
        </w:rPr>
        <w:t>We have acted as special counsel for the Company in connection with the Company’s registration under the Securities Act of 1933 (the “Act”) of 337,519 shares (the “Shares”) of common stock of the Company, par value $0.01 per share, which may be issued upon the terms and subject to the conditions set forth in the Eighth Amended and Restated Westwood Holdings Group, Inc. Stock Incentive Plan (the “Plan”), under the Company’s registration statement on Form S-8 (the “Registration Statement”) filed with the Securities and Exchange Commission (the “Commission”) on July 30, 2021.</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28, 2021 approving the amendment to the Plan, including by increasing the number of shares covered by the Plan to 5,648,100 and (vi) the Plan.</w:t>
      </w:r>
    </w:p>
    <w:p>
      <w:pPr>
        <w:spacing w:after="0" w:line="22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40"/>
          </w:cols>
          <w:pgMar w:left="320" w:top="1440" w:right="3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-113030</wp:posOffset>
            </wp:positionV>
            <wp:extent cx="137985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137985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10" w:lineRule="exact"/>
        <w:rPr>
          <w:sz w:val="20"/>
          <w:szCs w:val="20"/>
          <w:color w:val="auto"/>
        </w:rPr>
      </w:pPr>
    </w:p>
    <w:p>
      <w:pPr>
        <w:jc w:val="both"/>
        <w:ind w:firstLine="198"/>
        <w:spacing w:after="0" w:line="243" w:lineRule="auto"/>
        <w:rPr>
          <w:sz w:val="20"/>
          <w:szCs w:val="20"/>
          <w:color w:val="auto"/>
        </w:rPr>
      </w:pPr>
      <w:r>
        <w:rPr>
          <w:rFonts w:ascii="Arial" w:cs="Arial" w:eastAsia="Arial" w:hAnsi="Arial"/>
          <w:sz w:val="20"/>
          <w:szCs w:val="20"/>
          <w:color w:val="auto"/>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00"/>
        <w:spacing w:after="0"/>
        <w:rPr>
          <w:sz w:val="20"/>
          <w:szCs w:val="20"/>
          <w:color w:val="auto"/>
        </w:rPr>
      </w:pPr>
      <w:r>
        <w:rPr>
          <w:rFonts w:ascii="Arial" w:cs="Arial" w:eastAsia="Arial" w:hAnsi="Arial"/>
          <w:sz w:val="20"/>
          <w:szCs w:val="20"/>
          <w:u w:val="single" w:color="auto"/>
          <w:color w:val="auto"/>
        </w:rPr>
        <w:t>/s/ Norton Rose Fulbright US LLP</w:t>
      </w:r>
    </w:p>
    <w:p>
      <w:pPr>
        <w:ind w:left="5700"/>
        <w:spacing w:after="0"/>
        <w:rPr>
          <w:sz w:val="20"/>
          <w:szCs w:val="20"/>
          <w:color w:val="auto"/>
        </w:rPr>
      </w:pPr>
      <w:r>
        <w:rPr>
          <w:rFonts w:ascii="Arial" w:cs="Arial" w:eastAsia="Arial" w:hAnsi="Arial"/>
          <w:sz w:val="20"/>
          <w:szCs w:val="20"/>
          <w:color w:val="auto"/>
        </w:rPr>
        <w:t>Norton Rose Fulbright US LLP</w:t>
      </w:r>
    </w:p>
    <w:p>
      <w:pPr>
        <w:sectPr>
          <w:pgSz w:w="11900" w:h="16838" w:orient="portrait"/>
          <w:cols w:equalWidth="0" w:num="1">
            <w:col w:w="11240"/>
          </w:cols>
          <w:pgMar w:left="320" w:top="31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 dated March 4, 2021 relating to the consolidated financial statements of Westwood Holdings Group, Inc. and subsidiaries (the “Company”) appearing in the Annual Report on Form 10-K of the Company for the year ended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July 30, 2021</w:t>
      </w:r>
    </w:p>
    <w:sectPr>
      <w:pgSz w:w="11900" w:h="16838" w:orient="portrait"/>
      <w:cols w:equalWidth="0" w:num="1">
        <w:col w:w="10980"/>
      </w:cols>
      <w:pgMar w:left="320" w:top="88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image" Target="media/image3.jpeg"/><Relationship Id="rId9" Type="http://schemas.openxmlformats.org/officeDocument/2006/relationships/hyperlink" Target="http://www.sec.gov/Archives/edgar/data/1165002/000093066102001393/dex31.txt" TargetMode="External"/><Relationship Id="rId10" Type="http://schemas.openxmlformats.org/officeDocument/2006/relationships/hyperlink" Target="http://www.sec.gov/Archives/edgar/data/1165002/000115752308003859/a5679024ex3_1.txt" TargetMode="External"/><Relationship Id="rId11" Type="http://schemas.openxmlformats.org/officeDocument/2006/relationships/hyperlink" Target="http://www.sec.gov/Archives/edgar/data/1165002/000116500217000037/definitiveproxy2017.htm#s8807AF33911FBA994060DCAA60BCE789" TargetMode="External"/><Relationship Id="rId12" Type="http://schemas.openxmlformats.org/officeDocument/2006/relationships/hyperlink" Target="http://www.sec.gov/Archives/edgar/data/1165002/000116500219000029/proxy2019.htm#sC3ED34905610592F842268C3E8F763CF" TargetMode="External"/><Relationship Id="rId13" Type="http://schemas.openxmlformats.org/officeDocument/2006/relationships/hyperlink" Target="http://www.sec.gov/Archives/edgar/data/1165002/000119312512182024/d339295dex31.htm" TargetMode="External"/><Relationship Id="rId14" Type="http://schemas.openxmlformats.org/officeDocument/2006/relationships/hyperlink" Target="http://www.sec.gov/Archives/edgar/data/1165002/000116500217000037/definitiveproxy2017.htm#sE4CE5208F82D13538AB5DCAA60DD1A34" TargetMode="External"/><Relationship Id="rId15" Type="http://schemas.openxmlformats.org/officeDocument/2006/relationships/hyperlink" Target="http://www.sec.gov/Archives/edgar/data/1165002/000116500219000029/proxy2019.htm#s44513A9C1EBF5C10B8D9E073452F008F" TargetMode="External"/><Relationship Id="rId16" Type="http://schemas.openxmlformats.org/officeDocument/2006/relationships/hyperlink" Target="http://www.sec.gov/Archives/edgar/data/1165002/000093066102001393/dex41.txt" TargetMode="External"/><Relationship Id="rId17" Type="http://schemas.openxmlformats.org/officeDocument/2006/relationships/hyperlink" Target="https://www.sec.gov/Archives/edgar/data/0001165002/000116500221000029/proxy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2021-07-30T15:40:11Z</dcterms:created>
  <dcterms:modified xsi:type="dcterms:W3CDTF">2021-07-30T15:40:11Z</dcterms:modified>
</cp:coreProperties>
</file>