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29, 2020</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240"/>
          </w:cols>
          <w:pgMar w:left="320" w:top="1043" w:right="339" w:bottom="1440" w:gutter="0" w:footer="0" w:header="0"/>
        </w:sectPr>
      </w:pPr>
    </w:p>
    <w:p>
      <w:pPr>
        <w:spacing w:after="0" w:line="200" w:lineRule="exact"/>
        <w:rPr>
          <w:sz w:val="24"/>
          <w:szCs w:val="24"/>
          <w:color w:val="auto"/>
        </w:rPr>
      </w:pPr>
    </w:p>
    <w:p>
      <w:pPr>
        <w:spacing w:after="0" w:line="358"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001-31234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6"/>
          <w:szCs w:val="16"/>
          <w:color w:val="auto"/>
        </w:rPr>
        <w:t>75-2969997</w:t>
      </w:r>
    </w:p>
    <w:p>
      <w:pPr>
        <w:spacing w:after="0" w:line="86" w:lineRule="exact"/>
        <w:rPr>
          <w:sz w:val="24"/>
          <w:szCs w:val="24"/>
          <w:color w:val="auto"/>
        </w:rPr>
      </w:pPr>
    </w:p>
    <w:p>
      <w:pPr>
        <w:sectPr>
          <w:pgSz w:w="11900" w:h="16838" w:orient="portrait"/>
          <w:cols w:equalWidth="0" w:num="3">
            <w:col w:w="4500" w:space="720"/>
            <w:col w:w="3000" w:space="720"/>
            <w:col w:w="2300"/>
          </w:cols>
          <w:pgMar w:left="320" w:top="1043" w:right="3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5" w:lineRule="exact"/>
        <w:rPr>
          <w:sz w:val="24"/>
          <w:szCs w:val="24"/>
          <w:color w:val="auto"/>
        </w:rPr>
      </w:pPr>
    </w:p>
    <w:p>
      <w:pPr>
        <w:sectPr>
          <w:pgSz w:w="11900" w:h="16838" w:orient="portrait"/>
          <w:cols w:equalWidth="0" w:num="3">
            <w:col w:w="3900" w:space="720"/>
            <w:col w:w="2800" w:space="720"/>
            <w:col w:w="3100"/>
          </w:cols>
          <w:pgMar w:left="320" w:top="1043" w:right="339" w:bottom="1440" w:gutter="0" w:footer="0" w:header="0"/>
          <w:type w:val="continuous"/>
        </w:sectPr>
      </w:pPr>
    </w:p>
    <w:p>
      <w:pPr>
        <w:ind w:left="1240"/>
        <w:spacing w:after="0"/>
        <w:rPr>
          <w:sz w:val="20"/>
          <w:szCs w:val="20"/>
          <w:color w:val="auto"/>
        </w:rPr>
      </w:pPr>
      <w:r>
        <w:rPr>
          <w:rFonts w:ascii="Arial" w:cs="Arial" w:eastAsia="Arial" w:hAnsi="Arial"/>
          <w:sz w:val="18"/>
          <w:szCs w:val="18"/>
          <w:color w:val="auto"/>
        </w:rPr>
        <w:t>of incorporation)</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043" w:right="339" w:bottom="1440" w:gutter="0" w:footer="0" w:header="0"/>
          <w:type w:val="continuous"/>
        </w:sectPr>
      </w:pPr>
    </w:p>
    <w:p>
      <w:pPr>
        <w:spacing w:after="0" w:line="274" w:lineRule="exact"/>
        <w:rPr>
          <w:sz w:val="24"/>
          <w:szCs w:val="24"/>
          <w:color w:val="auto"/>
        </w:rPr>
      </w:pPr>
    </w:p>
    <w:p>
      <w:pPr>
        <w:ind w:right="320" w:firstLine="36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6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6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6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8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2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40" w:type="dxa"/>
            <w:vAlign w:val="bottom"/>
          </w:tcPr>
          <w:p>
            <w:pPr>
              <w:spacing w:after="0"/>
              <w:rPr>
                <w:sz w:val="17"/>
                <w:szCs w:val="17"/>
                <w:color w:val="auto"/>
              </w:rPr>
            </w:pPr>
          </w:p>
        </w:tc>
      </w:tr>
      <w:tr>
        <w:trPr>
          <w:trHeight w:val="330"/>
        </w:trPr>
        <w:tc>
          <w:tcPr>
            <w:tcW w:w="8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24"/>
                <w:szCs w:val="24"/>
                <w:color w:val="auto"/>
              </w:rPr>
            </w:pPr>
          </w:p>
        </w:tc>
        <w:tc>
          <w:tcPr>
            <w:tcW w:w="3820" w:type="dxa"/>
            <w:vAlign w:val="bottom"/>
            <w:gridSpan w:val="3"/>
          </w:tcPr>
          <w:p>
            <w:pPr>
              <w:jc w:val="center"/>
              <w:ind w:left="15"/>
              <w:spacing w:after="0"/>
              <w:rPr>
                <w:sz w:val="20"/>
                <w:szCs w:val="20"/>
                <w:color w:val="auto"/>
              </w:rPr>
            </w:pPr>
            <w:r>
              <w:rPr>
                <w:rFonts w:ascii="Arial" w:cs="Arial" w:eastAsia="Arial" w:hAnsi="Arial"/>
                <w:sz w:val="18"/>
                <w:szCs w:val="18"/>
                <w:color w:val="auto"/>
                <w:w w:val="92"/>
              </w:rPr>
              <w:t>Trading Symbol(s)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80" w:type="dxa"/>
            <w:vAlign w:val="bottom"/>
          </w:tcPr>
          <w:p>
            <w:pPr>
              <w:spacing w:after="0"/>
              <w:rPr>
                <w:sz w:val="24"/>
                <w:szCs w:val="24"/>
                <w:color w:val="auto"/>
              </w:rPr>
            </w:pPr>
          </w:p>
        </w:tc>
        <w:tc>
          <w:tcPr>
            <w:tcW w:w="2540" w:type="dxa"/>
            <w:vAlign w:val="bottom"/>
            <w:gridSpan w:val="2"/>
          </w:tcPr>
          <w:p>
            <w:pPr>
              <w:jc w:val="center"/>
              <w:ind w:right="1180"/>
              <w:spacing w:after="0"/>
              <w:rPr>
                <w:sz w:val="20"/>
                <w:szCs w:val="20"/>
                <w:color w:val="auto"/>
              </w:rPr>
            </w:pPr>
            <w:r>
              <w:rPr>
                <w:rFonts w:ascii="Arial" w:cs="Arial" w:eastAsia="Arial" w:hAnsi="Arial"/>
                <w:sz w:val="18"/>
                <w:szCs w:val="18"/>
                <w:color w:val="auto"/>
                <w:w w:val="99"/>
              </w:rPr>
              <w:t>WHG</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77" w:lineRule="exact"/>
        <w:rPr>
          <w:sz w:val="24"/>
          <w:szCs w:val="24"/>
          <w:color w:val="auto"/>
        </w:rPr>
      </w:pPr>
    </w:p>
    <w:p>
      <w:pPr>
        <w:ind w:right="5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ind w:left="92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31" w:lineRule="exact"/>
        <w:rPr>
          <w:sz w:val="24"/>
          <w:szCs w:val="24"/>
          <w:color w:val="auto"/>
        </w:rPr>
      </w:pPr>
    </w:p>
    <w:p>
      <w:pPr>
        <w:ind w:right="200"/>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04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ITEM 2.02: RESULTS OF OPERATIONS AND FINANCIAL CONDITION</w:t>
      </w:r>
    </w:p>
    <w:p>
      <w:pPr>
        <w:spacing w:after="0" w:line="24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On April 29, 2020, Westwood Holdings Group, Inc. (“Westwood”) announced its financial results for the quarter ended March 31, 2020, a copy of which is furnished with this Current Report on Form 8-K as Exhibit 99.1.</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 Exhibits: The following exhibit is furnished with this report:</w:t>
      </w:r>
    </w:p>
    <w:p>
      <w:pPr>
        <w:spacing w:after="0" w:line="243"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243"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99.1 </w:t>
      </w:r>
      <w:hyperlink w:anchor="page4">
        <w:r>
          <w:rPr>
            <w:rFonts w:ascii="Arial" w:cs="Arial" w:eastAsia="Arial" w:hAnsi="Arial"/>
            <w:sz w:val="20"/>
            <w:szCs w:val="20"/>
            <w:u w:val="single" w:color="auto"/>
            <w:color w:val="0000FF"/>
          </w:rPr>
          <w:t>Press Release dated April 29, 2020</w:t>
        </w:r>
      </w:hyperlink>
    </w:p>
    <w:p>
      <w:pPr>
        <w:sectPr>
          <w:pgSz w:w="11900" w:h="16838" w:orient="portrait"/>
          <w:cols w:equalWidth="0" w:num="1">
            <w:col w:w="11160"/>
          </w:cols>
          <w:pgMar w:left="320" w:top="892" w:right="4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firstLine="396"/>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April 29, 2020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WESTWOOD HOLDINGS GROUP,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Murray Forbes III</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160"/>
          </w:cols>
          <w:pgMar w:left="320" w:top="892"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First Quarter 2020 Results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Strong Relative Performance for our US Value Equity Products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Functioning Smoothly Amid COVID-19 Pandemic</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Dallas, TX, April 29, 2020 – Westwood Holdings Group, Inc. (NYSE: WHG) today reported first quarter 2020 earnings.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Highlights from the quarter include:</w:t>
      </w:r>
    </w:p>
    <w:p>
      <w:pPr>
        <w:spacing w:after="0" w:line="188" w:lineRule="exact"/>
        <w:rPr>
          <w:sz w:val="20"/>
          <w:szCs w:val="20"/>
          <w:color w:val="auto"/>
        </w:rPr>
      </w:pPr>
    </w:p>
    <w:p>
      <w:pPr>
        <w:ind w:left="660" w:right="460" w:hanging="328"/>
        <w:spacing w:after="0" w:line="26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Our LargeCap Value, SMidCap, SmallCap Value, AllCap Value and LargeCap Select strategies, and our Total Return strategy fund all beat their primary benchmarks for the quarter.</w:t>
      </w:r>
    </w:p>
    <w:p>
      <w:pPr>
        <w:spacing w:after="0" w:line="120" w:lineRule="exact"/>
        <w:rPr>
          <w:rFonts w:ascii="Arial" w:cs="Arial" w:eastAsia="Arial" w:hAnsi="Arial"/>
          <w:sz w:val="22"/>
          <w:szCs w:val="22"/>
          <w:color w:val="auto"/>
        </w:rPr>
      </w:pPr>
    </w:p>
    <w:p>
      <w:pPr>
        <w:ind w:left="660" w:right="240" w:hanging="328"/>
        <w:spacing w:after="0" w:line="26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Our LargeCap Value, SMidCap and AllCap Value strategies achieved top quartile institutional rankings, while our Total Return strategy fund achieved a top decile institutional ranking.</w:t>
      </w:r>
    </w:p>
    <w:p>
      <w:pPr>
        <w:spacing w:after="0" w:line="120" w:lineRule="exact"/>
        <w:rPr>
          <w:rFonts w:ascii="Arial" w:cs="Arial" w:eastAsia="Arial" w:hAnsi="Arial"/>
          <w:sz w:val="22"/>
          <w:szCs w:val="22"/>
          <w:color w:val="auto"/>
        </w:rPr>
      </w:pPr>
    </w:p>
    <w:p>
      <w:pPr>
        <w:ind w:left="660" w:right="460" w:hanging="328"/>
        <w:spacing w:after="0" w:line="26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Our significant investment in cloud-based systems and business continuity planning enabled our teams to continue to serve our clients well while working remotely amid the COVID-19 pandemic.</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Revenues of $16.7 million compared with $18.6 million in the fourth quarter of 2019 and $23.9 million a year ago.</w:t>
      </w:r>
    </w:p>
    <w:p>
      <w:pPr>
        <w:spacing w:after="0" w:line="177" w:lineRule="exact"/>
        <w:rPr>
          <w:rFonts w:ascii="Arial" w:cs="Arial" w:eastAsia="Arial" w:hAnsi="Arial"/>
          <w:sz w:val="21"/>
          <w:szCs w:val="21"/>
          <w:color w:val="auto"/>
        </w:rPr>
      </w:pPr>
    </w:p>
    <w:p>
      <w:pPr>
        <w:jc w:val="both"/>
        <w:ind w:left="660" w:right="260" w:hanging="328"/>
        <w:spacing w:after="0" w:line="25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Net income of $1.1 million compared with $2.5 million in the fourth quarter of 2019 and $0.4 million a year ago. Non-GAAP Economic Earnings of $4.2 million, compared with $5.4 million in the fourth quarter of 2019 and $4.1 million a year ago.</w:t>
      </w:r>
    </w:p>
    <w:p>
      <w:pPr>
        <w:spacing w:after="0" w:line="131"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Repurchased 272,059 shares of our common stock for an aggregate purchase price of $4.9 million.</w:t>
      </w:r>
    </w:p>
    <w:p>
      <w:pPr>
        <w:spacing w:after="0" w:line="165" w:lineRule="exact"/>
        <w:rPr>
          <w:rFonts w:ascii="Arial" w:cs="Arial" w:eastAsia="Arial" w:hAnsi="Arial"/>
          <w:sz w:val="22"/>
          <w:szCs w:val="22"/>
          <w:color w:val="auto"/>
        </w:rPr>
      </w:pPr>
    </w:p>
    <w:p>
      <w:pPr>
        <w:ind w:left="660" w:right="260" w:hanging="328"/>
        <w:spacing w:after="0" w:line="26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At quarter-end, Westwood had $82.4 million in cash and short-term investments, stockholders' equity of $138.4 million and no debt.</w:t>
      </w:r>
    </w:p>
    <w:p>
      <w:pPr>
        <w:spacing w:after="0" w:line="200" w:lineRule="exact"/>
        <w:rPr>
          <w:sz w:val="20"/>
          <w:szCs w:val="20"/>
          <w:color w:val="auto"/>
        </w:rPr>
      </w:pP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After quarter-end we repurchased an additional 407,697 shares of our common stock for an aggregate purchase price of approximately $8.1 million, which completed the amount previously authorized under our share repurchase program. Subsequently, Westwood’s Board of Directors authorized an additional $10.0 million of share repurchases under our share repurchase program.</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Revenues were lower than the fourth quarter of 2019 and last year's first quarter principally due to lower average assets under management ("AUM").</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AUM at March 31, 2020 totaled $11.6 billion, versus $15.2 billion at December 31, 2019 and $16.8 billion at March 31, 2019. The decreases were due to net outflows in our Income Opportunity and LargeCap Value strategies primarily during late 2019 and pandemic-affected market depreciation in early 2020 across multiple strategies.</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First quarter 2020 net income of $1.1 million was lower than fourth quarter 2019 net income of $2.5 million primarily due to lower revenues and unrealized losses on private investments, partially offset by lower operating expenses and income taxes. Diluted earnings per share ("EPS") for the first quarter of 2020 were $0.13 compared to $0.30 for the fourth quarter of 2019. Non-GAAP Economic Earnings for the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22"/>
          <w:szCs w:val="22"/>
          <w:color w:val="auto"/>
        </w:rPr>
        <w:t>first quarter of 2020 were $4.2 million, or $0.50 per share, a decrease from $5.4 million, or $0.64 per share, in 2019's fourth quarter.</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First quarter 2020 net income of $1.1 million increased from first quarter 2019 net income of $0.4 million primarily due to lower operating expenses, particularly employee compensation and benefits, foreign currency transaction gains and income taxes, partially offset by lower revenues and unrealized losses on private investments. Diluted EPS for the first quarter of 2020 were $0.13 compared to $0.05 for the first quarter of 2019. Non-GAAP Economic Earnings for the first quarter of 2020 were $4.2 million, or $0.50 per share, up from $4.1 million, or $0.49 per share for the first quarter of 2019.</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Brian Casey, Westwood’s President and CEO, commented, "The first quarter of 2020 will go down in history as one of the toughest on record. Our U.S. investment teams performed well and we had solid momentum in our sales and distribution efforts prior to the Covid-19 shutdown. The investments we have made in technology over the past several years allowed our entire team to work seamlessly from their homes. We held daily management team meetings and weekly crisis team meetings to manage through the early stages of the global pandemic. We completed the remainder of our buyback program and established a new $10.0 million share repurchase program for future flexibility while remaining debt free. We are suspending our second quarter dividend in order to preserve capital during these unprecedented times. Our Board of Directors will review the dividend each quarter for potential reinstatement when we have greater clarity with respect to the economy and the capital markets."</w:t>
      </w:r>
    </w:p>
    <w:p>
      <w:pPr>
        <w:spacing w:after="0" w:line="4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Economic Earnings and Economic EPS are non-GAAP performance measures and are explained and reconciled with the most comparable GAAP numbers in the attached tables.</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first quarter 2020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May 7, 2020 by dialing 855-859-2056 (U.S. and Canada) or 404-537-3406 (international) and entering the passcode 3591568.</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Westwood Holdings Group, Inc. provides investment management services to institutional investors, private wealth clients and financial intermediaries. The firm has $11.6 billion in assets under management, of which $1.6 billion are in values-based, global-sanctions compliant and socially responsible investment mandates as of March 31, 2020. Westwood offers a range of investment strategies including U.S. equities, Multi-Asset, Emerging Markets equities, Global Convertible securities and Master Limited Partnerships (MLPs)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Westwood also maintains offices in Toronto, Boston and Houston.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w:t>
      </w:r>
    </w:p>
    <w:p>
      <w:pPr>
        <w:sectPr>
          <w:pgSz w:w="11900" w:h="16838" w:orient="portrait"/>
          <w:cols w:equalWidth="0" w:num="1">
            <w:col w:w="11240"/>
          </w:cols>
          <w:pgMar w:left="320" w:top="1009" w:right="339" w:bottom="1440" w:gutter="0" w:footer="0" w:header="0"/>
        </w:sectPr>
      </w:pPr>
    </w:p>
    <w:bookmarkStart w:id="5" w:name="page6"/>
    <w:bookmarkEnd w:id="5"/>
    <w:p>
      <w:pPr>
        <w:jc w:val="both"/>
        <w:ind w:right="20"/>
        <w:spacing w:after="0" w:line="251" w:lineRule="auto"/>
        <w:rPr>
          <w:sz w:val="20"/>
          <w:szCs w:val="20"/>
          <w:color w:val="auto"/>
        </w:rPr>
      </w:pPr>
      <w:r>
        <w:rPr>
          <w:rFonts w:ascii="Arial" w:cs="Arial" w:eastAsia="Arial" w:hAnsi="Arial"/>
          <w:sz w:val="22"/>
          <w:szCs w:val="22"/>
          <w:color w:val="auto"/>
        </w:rPr>
        <w:t>amended. Actual results and the timing of some events could differ materially from those projected in or contemplated by the forward-looking statements due to a number of factors, including, without limitation:</w:t>
      </w:r>
    </w:p>
    <w:p>
      <w:pPr>
        <w:spacing w:after="0" w:line="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the composition and market value of our AUM; our ability to maintain our fee structure in light of competitive fee pressures; the impact of the recent COVID-19 pandemic; the significant concentration of our revenues in a small number of customers; our ability to avoid termination of client agreements and the related investment redemptions; regulations adversely affecting the financial services industry; competition in the investment management industry; our ability to develop and market new investment strategies successfully; our AUM include investments in foreign companies; our reputation and our relationships with current and potential customers; our ability to attract and retain qualified personnel; our ability to maintain effective cyber security; our ability to perform operational tasks; our ability to identify and execute on our strategic initiatives; our ability to maintain effective information systems; our ability to select and oversee third-party vendors; litigation risks;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our stock is thinly traded and may be subject to volatility; our organizational documents contain provisions that may prevent or deter another group from paying a premium over the market price to our stockholders to acquire our stock; we are a holding company dependent on the operations and funds of our subsidiaries; our relationships with investment consulting firms; and the other risks detailed from time to time in Westwood’s SEC filings, including, but not limited to, its annual report on Form 10-K for the year ended December 31, 2019 and its quarterly report on Form 10-Q for the quarter ended March 31, 2020.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240"/>
          </w:cols>
          <w:pgMar w:left="320" w:top="90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6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33"/>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800" w:type="dxa"/>
            <w:vAlign w:val="bottom"/>
          </w:tcPr>
          <w:p>
            <w:pPr>
              <w:ind w:left="340"/>
              <w:spacing w:after="0"/>
              <w:rPr>
                <w:sz w:val="20"/>
                <w:szCs w:val="20"/>
                <w:color w:val="auto"/>
              </w:rPr>
            </w:pPr>
            <w:r>
              <w:rPr>
                <w:rFonts w:ascii="Arial" w:cs="Arial" w:eastAsia="Arial" w:hAnsi="Arial"/>
                <w:sz w:val="18"/>
                <w:szCs w:val="18"/>
                <w:color w:val="auto"/>
              </w:rPr>
              <w:t>Advisory fees: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Asset-based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11,102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12,768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16,406</w:t>
            </w:r>
          </w:p>
        </w:tc>
      </w:tr>
      <w:tr>
        <w:trPr>
          <w:trHeight w:val="243"/>
        </w:trPr>
        <w:tc>
          <w:tcPr>
            <w:tcW w:w="6800" w:type="dxa"/>
            <w:vAlign w:val="bottom"/>
          </w:tcPr>
          <w:p>
            <w:pPr>
              <w:ind w:left="660"/>
              <w:spacing w:after="0"/>
              <w:rPr>
                <w:sz w:val="20"/>
                <w:szCs w:val="20"/>
                <w:color w:val="auto"/>
              </w:rPr>
            </w:pPr>
            <w:r>
              <w:rPr>
                <w:rFonts w:ascii="Arial" w:cs="Arial" w:eastAsia="Arial" w:hAnsi="Arial"/>
                <w:sz w:val="18"/>
                <w:szCs w:val="18"/>
                <w:color w:val="auto"/>
              </w:rPr>
              <w:t>Performance-based</w:t>
            </w: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180</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Trust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6,539</w:t>
            </w:r>
          </w:p>
        </w:tc>
      </w:tr>
      <w:tr>
        <w:trPr>
          <w:trHeight w:val="243"/>
        </w:trPr>
        <w:tc>
          <w:tcPr>
            <w:tcW w:w="68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737</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6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16,669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18,616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23,862</w:t>
            </w:r>
          </w:p>
        </w:tc>
      </w:tr>
      <w:tr>
        <w:trPr>
          <w:trHeight w:val="250"/>
        </w:trPr>
        <w:tc>
          <w:tcPr>
            <w:tcW w:w="68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340"/>
              <w:spacing w:after="0"/>
              <w:rPr>
                <w:sz w:val="20"/>
                <w:szCs w:val="20"/>
                <w:color w:val="auto"/>
              </w:rPr>
            </w:pPr>
            <w:r>
              <w:rPr>
                <w:rFonts w:ascii="Arial" w:cs="Arial" w:eastAsia="Arial" w:hAnsi="Arial"/>
                <w:sz w:val="18"/>
                <w:szCs w:val="18"/>
                <w:color w:val="auto"/>
              </w:rPr>
              <w:t>Employee compensation and benefits</w:t>
            </w: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12,092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14,610</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530</w:t>
            </w:r>
          </w:p>
        </w:tc>
      </w:tr>
      <w:tr>
        <w:trPr>
          <w:trHeight w:val="243"/>
        </w:trPr>
        <w:tc>
          <w:tcPr>
            <w:tcW w:w="6800" w:type="dxa"/>
            <w:vAlign w:val="bottom"/>
          </w:tcPr>
          <w:p>
            <w:pPr>
              <w:ind w:left="340"/>
              <w:spacing w:after="0"/>
              <w:rPr>
                <w:sz w:val="20"/>
                <w:szCs w:val="20"/>
                <w:color w:val="auto"/>
              </w:rPr>
            </w:pPr>
            <w:r>
              <w:rPr>
                <w:rFonts w:ascii="Arial" w:cs="Arial" w:eastAsia="Arial" w:hAnsi="Arial"/>
                <w:sz w:val="18"/>
                <w:szCs w:val="18"/>
                <w:color w:val="auto"/>
              </w:rPr>
              <w:t>Westwood mutual funds</w:t>
            </w: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846</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Information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1,977</w:t>
            </w:r>
          </w:p>
        </w:tc>
      </w:tr>
      <w:tr>
        <w:trPr>
          <w:trHeight w:val="243"/>
        </w:trPr>
        <w:tc>
          <w:tcPr>
            <w:tcW w:w="6800" w:type="dxa"/>
            <w:vAlign w:val="bottom"/>
          </w:tcPr>
          <w:p>
            <w:pPr>
              <w:ind w:left="34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1,149</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2,434</w:t>
            </w:r>
          </w:p>
        </w:tc>
      </w:tr>
      <w:tr>
        <w:trPr>
          <w:trHeight w:val="243"/>
        </w:trPr>
        <w:tc>
          <w:tcPr>
            <w:tcW w:w="6800" w:type="dxa"/>
            <w:vAlign w:val="bottom"/>
          </w:tcPr>
          <w:p>
            <w:pPr>
              <w:ind w:left="340"/>
              <w:spacing w:after="0"/>
              <w:rPr>
                <w:sz w:val="20"/>
                <w:szCs w:val="20"/>
                <w:color w:val="auto"/>
              </w:rPr>
            </w:pPr>
            <w:r>
              <w:rPr>
                <w:rFonts w:ascii="Arial" w:cs="Arial" w:eastAsia="Arial" w:hAnsi="Arial"/>
                <w:sz w:val="18"/>
                <w:szCs w:val="18"/>
                <w:color w:val="auto"/>
              </w:rPr>
              <w:t>(Gain) loss on foreign currency transactions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820</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16,253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19,573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22,366</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Net operating income (loss)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1,496</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gains (losses) on private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6800" w:type="dxa"/>
            <w:vAlign w:val="bottom"/>
          </w:tcPr>
          <w:p>
            <w:pPr>
              <w:ind w:left="340"/>
              <w:spacing w:after="0"/>
              <w:rPr>
                <w:sz w:val="20"/>
                <w:szCs w:val="20"/>
                <w:color w:val="auto"/>
              </w:rPr>
            </w:pPr>
            <w:r>
              <w:rPr>
                <w:rFonts w:ascii="Arial" w:cs="Arial" w:eastAsia="Arial" w:hAnsi="Arial"/>
                <w:sz w:val="18"/>
                <w:szCs w:val="18"/>
                <w:color w:val="auto"/>
              </w:rPr>
              <w:t>Investment income</w:t>
            </w: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1,496</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1,104</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392</w:t>
            </w:r>
          </w:p>
        </w:tc>
      </w:tr>
      <w:tr>
        <w:trPr>
          <w:trHeight w:val="27"/>
        </w:trPr>
        <w:tc>
          <w:tcPr>
            <w:tcW w:w="6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43"/>
        </w:trPr>
        <w:tc>
          <w:tcPr>
            <w:tcW w:w="68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831</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3,397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0.05</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0.05</w:t>
            </w:r>
          </w:p>
        </w:tc>
      </w:tr>
      <w:tr>
        <w:trPr>
          <w:trHeight w:val="203"/>
        </w:trPr>
        <w:tc>
          <w:tcPr>
            <w:tcW w:w="6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8,414,393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8,389,322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8,363,109</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8,458,473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8,449,689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8,455,386</w:t>
            </w:r>
          </w:p>
        </w:tc>
      </w:tr>
      <w:tr>
        <w:trPr>
          <w:trHeight w:val="203"/>
        </w:trPr>
        <w:tc>
          <w:tcPr>
            <w:tcW w:w="6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Economic Earnings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4,116</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Economic EPS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0.49</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6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0.72</w:t>
            </w:r>
          </w:p>
        </w:tc>
      </w:tr>
    </w:tbl>
    <w:p>
      <w:pPr>
        <w:sectPr>
          <w:pgSz w:w="11900" w:h="16838" w:orient="portrait"/>
          <w:cols w:equalWidth="0" w:num="1">
            <w:col w:w="11180"/>
          </w:cols>
          <w:pgMar w:left="320" w:top="895" w:right="399" w:bottom="1440" w:gutter="0" w:footer="0" w:header="0"/>
        </w:sectPr>
      </w:pPr>
    </w:p>
    <w:bookmarkStart w:id="7" w:name="page8"/>
    <w:bookmarkEnd w:id="7"/>
    <w:p>
      <w:pPr>
        <w:ind w:right="518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49,766</w:t>
            </w:r>
          </w:p>
        </w:tc>
        <w:tc>
          <w:tcPr>
            <w:tcW w:w="0" w:type="dxa"/>
            <w:vAlign w:val="bottom"/>
          </w:tcPr>
          <w:p>
            <w:pPr>
              <w:spacing w:after="0"/>
              <w:rPr>
                <w:sz w:val="1"/>
                <w:szCs w:val="1"/>
                <w:color w:val="auto"/>
              </w:rPr>
            </w:pPr>
          </w:p>
        </w:tc>
      </w:tr>
      <w:tr>
        <w:trPr>
          <w:trHeight w:val="243"/>
        </w:trPr>
        <w:tc>
          <w:tcPr>
            <w:tcW w:w="81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43"/>
        </w:trPr>
        <w:tc>
          <w:tcPr>
            <w:tcW w:w="8140" w:type="dxa"/>
            <w:vAlign w:val="bottom"/>
          </w:tcPr>
          <w:p>
            <w:pPr>
              <w:ind w:left="320"/>
              <w:spacing w:after="0"/>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37"/>
        </w:trPr>
        <w:tc>
          <w:tcPr>
            <w:tcW w:w="814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96,386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116,961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0"/>
                <w:szCs w:val="20"/>
                <w:color w:val="auto"/>
              </w:rPr>
            </w:pPr>
            <w:r>
              <w:rPr>
                <w:rFonts w:ascii="Arial" w:cs="Arial" w:eastAsia="Arial" w:hAnsi="Arial"/>
                <w:sz w:val="18"/>
                <w:szCs w:val="18"/>
                <w:color w:val="auto"/>
              </w:rPr>
              <w:t>Noncurrent investments at fair value</w:t>
            </w: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3,831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14,833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15,256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$7,570 and $7,395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157,802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178,707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Dividends payable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43"/>
        </w:trPr>
        <w:tc>
          <w:tcPr>
            <w:tcW w:w="8140" w:type="dxa"/>
            <w:vAlign w:val="bottom"/>
          </w:tcPr>
          <w:p>
            <w:pPr>
              <w:ind w:left="320"/>
              <w:spacing w:after="0"/>
              <w:rPr>
                <w:sz w:val="20"/>
                <w:szCs w:val="20"/>
                <w:color w:val="auto"/>
              </w:rPr>
            </w:pPr>
            <w:r>
              <w:rPr>
                <w:rFonts w:ascii="Arial" w:cs="Arial" w:eastAsia="Arial" w:hAnsi="Arial"/>
                <w:sz w:val="18"/>
                <w:szCs w:val="18"/>
                <w:color w:val="auto"/>
              </w:rPr>
              <w:t>Compensation and benefits payable</w:t>
            </w: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8140" w:type="dxa"/>
            <w:vAlign w:val="bottom"/>
          </w:tcPr>
          <w:p>
            <w:pPr>
              <w:ind w:left="320"/>
              <w:spacing w:after="0"/>
              <w:rPr>
                <w:sz w:val="20"/>
                <w:szCs w:val="20"/>
                <w:color w:val="auto"/>
              </w:rPr>
            </w:pPr>
            <w:r>
              <w:rPr>
                <w:rFonts w:ascii="Arial" w:cs="Arial" w:eastAsia="Arial" w:hAnsi="Arial"/>
                <w:sz w:val="18"/>
                <w:szCs w:val="18"/>
                <w:color w:val="auto"/>
              </w:rPr>
              <w:t>Accrued stock repurchases</w:t>
            </w: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814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11,698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21,355</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dividends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237"/>
        </w:trPr>
        <w:tc>
          <w:tcPr>
            <w:tcW w:w="8140" w:type="dxa"/>
            <w:vAlign w:val="bottom"/>
          </w:tcPr>
          <w:p>
            <w:pPr>
              <w:ind w:left="6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19,413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30,420</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Common stock, $0.01 par value, authorized 25,000,000 shares, issued 10,548,103 and outstanding</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8,780,041 shares at March 31, 2020; issued 10,306,570 and outstanding 8,881,086 shares at December 31,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206,267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203,441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4"/>
              </w:rPr>
              <w:t>Treasury stock, at cost – 1,768,061 shares at March 31, 2020; 1,425,483 shares at December 31, 2019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10,967</w:t>
            </w:r>
          </w:p>
        </w:tc>
        <w:tc>
          <w:tcPr>
            <w:tcW w:w="0" w:type="dxa"/>
            <w:vAlign w:val="bottom"/>
          </w:tcPr>
          <w:p>
            <w:pPr>
              <w:spacing w:after="0"/>
              <w:rPr>
                <w:sz w:val="1"/>
                <w:szCs w:val="1"/>
                <w:color w:val="auto"/>
              </w:rPr>
            </w:pPr>
          </w:p>
        </w:tc>
      </w:tr>
      <w:tr>
        <w:trPr>
          <w:trHeight w:val="236"/>
        </w:trPr>
        <w:tc>
          <w:tcPr>
            <w:tcW w:w="8140" w:type="dxa"/>
            <w:vAlign w:val="bottom"/>
          </w:tcPr>
          <w:p>
            <w:pPr>
              <w:ind w:left="6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138,389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148,287</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157,802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178,707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895"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rPr>
          <w:sz w:val="20"/>
          <w:szCs w:val="20"/>
          <w:color w:val="auto"/>
        </w:rPr>
      </w:pPr>
      <w:r>
        <w:rPr>
          <w:rFonts w:ascii="Arial" w:cs="Arial" w:eastAsia="Arial" w:hAnsi="Arial"/>
          <w:sz w:val="20"/>
          <w:szCs w:val="20"/>
          <w:b w:val="1"/>
          <w:bCs w:val="1"/>
          <w:color w:val="auto"/>
        </w:rPr>
        <w:t>(in thousands)</w:t>
      </w:r>
    </w:p>
    <w:p>
      <w:pPr>
        <w:spacing w:after="0"/>
        <w:rPr>
          <w:sz w:val="20"/>
          <w:szCs w:val="20"/>
          <w:color w:val="auto"/>
        </w:rPr>
      </w:pPr>
      <w:r>
        <w:rPr>
          <w:rFonts w:ascii="Arial" w:cs="Arial" w:eastAsia="Arial" w:hAnsi="Arial"/>
          <w:sz w:val="20"/>
          <w:szCs w:val="20"/>
          <w:b w:val="1"/>
          <w:bCs w:val="1"/>
          <w:color w:val="auto"/>
        </w:rPr>
        <w:t>(unaudited)</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3"/>
        </w:trPr>
        <w:tc>
          <w:tcPr>
            <w:tcW w:w="818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392</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180" w:type="dxa"/>
            <w:vAlign w:val="bottom"/>
          </w:tcPr>
          <w:p>
            <w:pPr>
              <w:ind w:left="64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212</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413</w:t>
            </w:r>
          </w:p>
        </w:tc>
      </w:tr>
      <w:tr>
        <w:trPr>
          <w:trHeight w:val="223"/>
        </w:trPr>
        <w:tc>
          <w:tcPr>
            <w:tcW w:w="8180" w:type="dxa"/>
            <w:vAlign w:val="bottom"/>
          </w:tcPr>
          <w:p>
            <w:pPr>
              <w:ind w:left="640"/>
              <w:spacing w:after="0"/>
              <w:rPr>
                <w:sz w:val="20"/>
                <w:szCs w:val="20"/>
                <w:color w:val="auto"/>
              </w:rPr>
            </w:pPr>
            <w:r>
              <w:rPr>
                <w:rFonts w:ascii="Arial" w:cs="Arial" w:eastAsia="Arial" w:hAnsi="Arial"/>
                <w:sz w:val="16"/>
                <w:szCs w:val="16"/>
                <w:color w:val="auto"/>
              </w:rPr>
              <w:t>Unrealized (gains) losses on investments</w:t>
            </w:r>
          </w:p>
        </w:tc>
        <w:tc>
          <w:tcPr>
            <w:tcW w:w="2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(374)</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3,252</w:t>
            </w:r>
          </w:p>
        </w:tc>
      </w:tr>
      <w:tr>
        <w:trPr>
          <w:trHeight w:val="224"/>
        </w:trPr>
        <w:tc>
          <w:tcPr>
            <w:tcW w:w="8180" w:type="dxa"/>
            <w:vAlign w:val="bottom"/>
          </w:tcPr>
          <w:p>
            <w:pPr>
              <w:ind w:left="6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273</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Non-cash lease expense</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w:t>
            </w:r>
          </w:p>
        </w:tc>
      </w:tr>
      <w:tr>
        <w:trPr>
          <w:trHeight w:val="223"/>
        </w:trPr>
        <w:tc>
          <w:tcPr>
            <w:tcW w:w="818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(purchases) sales of investments – trading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16,554</w:t>
            </w:r>
          </w:p>
        </w:tc>
      </w:tr>
      <w:tr>
        <w:trPr>
          <w:trHeight w:val="224"/>
        </w:trPr>
        <w:tc>
          <w:tcPr>
            <w:tcW w:w="8180" w:type="dxa"/>
            <w:vAlign w:val="bottom"/>
          </w:tcPr>
          <w:p>
            <w:pPr>
              <w:ind w:left="64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2,981</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r>
      <w:tr>
        <w:trPr>
          <w:trHeight w:val="224"/>
        </w:trPr>
        <w:tc>
          <w:tcPr>
            <w:tcW w:w="8180" w:type="dxa"/>
            <w:vAlign w:val="bottom"/>
          </w:tcPr>
          <w:p>
            <w:pPr>
              <w:ind w:left="64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(275)</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Compensation and benefits payable</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(12,305)</w:t>
            </w:r>
          </w:p>
        </w:tc>
      </w:tr>
      <w:tr>
        <w:trPr>
          <w:trHeight w:val="223"/>
        </w:trPr>
        <w:tc>
          <w:tcPr>
            <w:tcW w:w="8180" w:type="dxa"/>
            <w:vAlign w:val="bottom"/>
          </w:tcPr>
          <w:p>
            <w:pPr>
              <w:ind w:left="64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379</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17"/>
        </w:trPr>
        <w:tc>
          <w:tcPr>
            <w:tcW w:w="8180" w:type="dxa"/>
            <w:vAlign w:val="bottom"/>
          </w:tcPr>
          <w:p>
            <w:pPr>
              <w:ind w:left="9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11,522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10,565</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18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17"/>
        </w:trPr>
        <w:tc>
          <w:tcPr>
            <w:tcW w:w="8180" w:type="dxa"/>
            <w:vAlign w:val="bottom"/>
          </w:tcPr>
          <w:p>
            <w:pPr>
              <w:ind w:left="96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4"/>
        </w:trPr>
        <w:tc>
          <w:tcPr>
            <w:tcW w:w="8180" w:type="dxa"/>
            <w:vAlign w:val="bottom"/>
          </w:tcPr>
          <w:p>
            <w:pPr>
              <w:ind w:left="320"/>
              <w:spacing w:after="0"/>
              <w:rPr>
                <w:sz w:val="20"/>
                <w:szCs w:val="20"/>
                <w:color w:val="auto"/>
              </w:rPr>
            </w:pPr>
            <w:r>
              <w:rPr>
                <w:rFonts w:ascii="Arial" w:cs="Arial" w:eastAsia="Arial" w:hAnsi="Arial"/>
                <w:sz w:val="16"/>
                <w:szCs w:val="16"/>
                <w:color w:val="auto"/>
              </w:rPr>
              <w:t>Purchases of treasury stock</w:t>
            </w:r>
          </w:p>
        </w:tc>
        <w:tc>
          <w:tcPr>
            <w:tcW w:w="2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(981)</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treasury stock for employee stock plans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8180" w:type="dxa"/>
            <w:vAlign w:val="bottom"/>
          </w:tcPr>
          <w:p>
            <w:pPr>
              <w:ind w:left="320"/>
              <w:spacing w:after="0"/>
              <w:rPr>
                <w:sz w:val="20"/>
                <w:szCs w:val="20"/>
                <w:color w:val="auto"/>
              </w:rPr>
            </w:pPr>
            <w:r>
              <w:rPr>
                <w:rFonts w:ascii="Arial" w:cs="Arial" w:eastAsia="Arial" w:hAnsi="Arial"/>
                <w:sz w:val="16"/>
                <w:szCs w:val="16"/>
                <w:color w:val="auto"/>
              </w:rPr>
              <w:t>Restricted stock returned for payment of taxes</w:t>
            </w:r>
          </w:p>
        </w:tc>
        <w:tc>
          <w:tcPr>
            <w:tcW w:w="2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(2,385)</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dividends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(7,686)</w:t>
            </w:r>
          </w:p>
        </w:tc>
      </w:tr>
      <w:tr>
        <w:trPr>
          <w:trHeight w:val="217"/>
        </w:trPr>
        <w:tc>
          <w:tcPr>
            <w:tcW w:w="8180" w:type="dxa"/>
            <w:vAlign w:val="bottom"/>
          </w:tcPr>
          <w:p>
            <w:pPr>
              <w:ind w:left="96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(13,088)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(11,052)</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Effect of currency rate changes on cash</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780</w:t>
            </w:r>
          </w:p>
        </w:tc>
      </w:tr>
      <w:tr>
        <w:trPr>
          <w:trHeight w:val="217"/>
        </w:trPr>
        <w:tc>
          <w:tcPr>
            <w:tcW w:w="8180" w:type="dxa"/>
            <w:vAlign w:val="bottom"/>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49,766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52,449</w:t>
            </w:r>
          </w:p>
        </w:tc>
      </w:tr>
      <w:tr>
        <w:trPr>
          <w:trHeight w:val="217"/>
        </w:trPr>
        <w:tc>
          <w:tcPr>
            <w:tcW w:w="818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45,116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52,421</w:t>
            </w:r>
          </w:p>
        </w:tc>
      </w:tr>
      <w:tr>
        <w:trPr>
          <w:trHeight w:val="33"/>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paid during the period for income taxes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453</w:t>
            </w:r>
          </w:p>
        </w:tc>
      </w:tr>
      <w:tr>
        <w:trPr>
          <w:trHeight w:val="223"/>
        </w:trPr>
        <w:tc>
          <w:tcPr>
            <w:tcW w:w="8180" w:type="dxa"/>
            <w:vAlign w:val="bottom"/>
          </w:tcPr>
          <w:p>
            <w:pPr>
              <w:ind w:left="320"/>
              <w:spacing w:after="0"/>
              <w:rPr>
                <w:sz w:val="20"/>
                <w:szCs w:val="20"/>
                <w:color w:val="auto"/>
              </w:rPr>
            </w:pPr>
            <w:r>
              <w:rPr>
                <w:rFonts w:ascii="Arial" w:cs="Arial" w:eastAsia="Arial" w:hAnsi="Arial"/>
                <w:sz w:val="16"/>
                <w:szCs w:val="16"/>
                <w:color w:val="auto"/>
              </w:rPr>
              <w:t>Accrued dividends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5,245</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7,980</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purchases of property and equipment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w:t>
            </w:r>
          </w:p>
        </w:tc>
      </w:tr>
      <w:tr>
        <w:trPr>
          <w:trHeight w:val="223"/>
        </w:trPr>
        <w:tc>
          <w:tcPr>
            <w:tcW w:w="8180" w:type="dxa"/>
            <w:vAlign w:val="bottom"/>
          </w:tcPr>
          <w:p>
            <w:pPr>
              <w:ind w:left="320"/>
              <w:spacing w:after="0"/>
              <w:rPr>
                <w:sz w:val="20"/>
                <w:szCs w:val="20"/>
                <w:color w:val="auto"/>
              </w:rPr>
            </w:pPr>
            <w:r>
              <w:rPr>
                <w:rFonts w:ascii="Arial" w:cs="Arial" w:eastAsia="Arial" w:hAnsi="Arial"/>
                <w:sz w:val="16"/>
                <w:szCs w:val="16"/>
                <w:color w:val="auto"/>
              </w:rPr>
              <w:t>Accrued purchases of treasury stock</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220"/>
          </w:cols>
          <w:pgMar w:left="320" w:top="895" w:right="359" w:bottom="1440" w:gutter="0" w:footer="0" w:header="0"/>
        </w:sectPr>
      </w:pPr>
    </w:p>
    <w:bookmarkStart w:id="9" w:name="page10"/>
    <w:bookmarkEnd w:id="9"/>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6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392</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2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2,616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3,252</w:t>
            </w:r>
          </w:p>
        </w:tc>
      </w:tr>
      <w:tr>
        <w:trPr>
          <w:trHeight w:val="27"/>
        </w:trPr>
        <w:tc>
          <w:tcPr>
            <w:tcW w:w="6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413</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2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59</w:t>
            </w:r>
          </w:p>
        </w:tc>
      </w:tr>
      <w:tr>
        <w:trPr>
          <w:trHeight w:val="27"/>
        </w:trPr>
        <w:tc>
          <w:tcPr>
            <w:tcW w:w="6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4,116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8,458,473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8,449,689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8,455,386</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Economic EPS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0.49</w:t>
            </w:r>
          </w:p>
        </w:tc>
      </w:tr>
    </w:tbl>
    <w:p>
      <w:pPr>
        <w:spacing w:after="0" w:line="200" w:lineRule="exact"/>
        <w:rPr>
          <w:sz w:val="20"/>
          <w:szCs w:val="20"/>
          <w:color w:val="auto"/>
        </w:rPr>
      </w:pPr>
    </w:p>
    <w:p>
      <w:pPr>
        <w:spacing w:after="0" w:line="27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4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2020-04-30T17:43:39Z</dcterms:created>
  <dcterms:modified xsi:type="dcterms:W3CDTF">2020-04-30T17:43:39Z</dcterms:modified>
</cp:coreProperties>
</file>