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jpeg" ContentType="image/jpeg"/>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43" w:lineRule="exact"/>
        <w:rPr>
          <w:sz w:val="24"/>
          <w:szCs w:val="24"/>
          <w:color w:val="auto"/>
        </w:rPr>
      </w:pPr>
    </w:p>
    <w:p>
      <w:pPr>
        <w:spacing w:after="0"/>
        <w:rPr>
          <w:sz w:val="20"/>
          <w:szCs w:val="20"/>
          <w:color w:val="auto"/>
        </w:rPr>
      </w:pPr>
      <w:r>
        <w:rPr>
          <w:rFonts w:ascii="Times New Roman" w:cs="Times New Roman" w:eastAsia="Times New Roman" w:hAnsi="Times New Roman"/>
          <w:sz w:val="8"/>
          <w:szCs w:val="8"/>
          <w:b w:val="1"/>
          <w:bCs w:val="1"/>
          <w:color w:val="auto"/>
        </w:rPr>
        <w:t>(Mark One)</w:t>
      </w:r>
    </w:p>
    <w:p>
      <w:pPr>
        <w:spacing w:after="0" w:line="18" w:lineRule="exact"/>
        <w:rPr>
          <w:sz w:val="24"/>
          <w:szCs w:val="24"/>
          <w:color w:val="auto"/>
        </w:rPr>
      </w:pPr>
    </w:p>
    <w:p>
      <w:pPr>
        <w:ind w:left="20"/>
        <w:spacing w:after="0" w:line="111" w:lineRule="exact"/>
        <w:rPr>
          <w:sz w:val="20"/>
          <w:szCs w:val="20"/>
          <w:color w:val="auto"/>
        </w:rPr>
      </w:pPr>
      <w:r>
        <w:rPr>
          <w:rFonts w:ascii="MS PGothic" w:cs="MS PGothic" w:eastAsia="MS PGothic" w:hAnsi="MS PGothic"/>
          <w:sz w:val="11"/>
          <w:szCs w:val="11"/>
          <w:color w:val="auto"/>
        </w:rPr>
        <w:t>☒</w:t>
      </w:r>
    </w:p>
    <w:p>
      <w:pPr>
        <w:spacing w:after="0" w:line="200" w:lineRule="exact"/>
        <w:rPr>
          <w:sz w:val="24"/>
          <w:szCs w:val="24"/>
          <w:color w:val="auto"/>
        </w:rPr>
      </w:pPr>
    </w:p>
    <w:p>
      <w:pPr>
        <w:spacing w:after="0" w:line="302" w:lineRule="exact"/>
        <w:rPr>
          <w:sz w:val="24"/>
          <w:szCs w:val="24"/>
          <w:color w:val="auto"/>
        </w:rPr>
      </w:pPr>
    </w:p>
    <w:p>
      <w:pPr>
        <w:ind w:left="40"/>
        <w:spacing w:after="0" w:line="111" w:lineRule="exact"/>
        <w:rPr>
          <w:sz w:val="20"/>
          <w:szCs w:val="20"/>
          <w:color w:val="auto"/>
        </w:rPr>
      </w:pPr>
      <w:r>
        <w:rPr>
          <w:rFonts w:ascii="MS PGothic" w:cs="MS PGothic" w:eastAsia="MS PGothic" w:hAnsi="MS PGothic"/>
          <w:sz w:val="11"/>
          <w:szCs w:val="11"/>
          <w:color w:val="auto"/>
        </w:rPr>
        <w:t>☐</w:t>
      </w:r>
    </w:p>
    <w:p>
      <w:pPr>
        <w:spacing w:after="0" w:line="20" w:lineRule="exact"/>
        <w:rPr>
          <w:sz w:val="24"/>
          <w:szCs w:val="24"/>
          <w:color w:val="auto"/>
        </w:rPr>
      </w:pPr>
      <w:r>
        <w:rPr>
          <w:sz w:val="24"/>
          <w:szCs w:val="24"/>
          <w:color w:val="auto"/>
        </w:rPr>
        <w:br w:type="column"/>
      </w:r>
    </w:p>
    <w:p>
      <w:pPr>
        <w:jc w:val="center"/>
        <w:ind w:right="700"/>
        <w:spacing w:after="0"/>
        <w:rPr>
          <w:sz w:val="20"/>
          <w:szCs w:val="20"/>
          <w:color w:val="auto"/>
        </w:rPr>
      </w:pPr>
      <w:r>
        <w:rPr>
          <w:rFonts w:ascii="Times New Roman" w:cs="Times New Roman" w:eastAsia="Times New Roman" w:hAnsi="Times New Roman"/>
          <w:sz w:val="17"/>
          <w:szCs w:val="17"/>
          <w:b w:val="1"/>
          <w:bCs w:val="1"/>
          <w:color w:val="auto"/>
        </w:rPr>
        <w:t>UNITED STATES</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-414020</wp:posOffset>
            </wp:positionH>
            <wp:positionV relativeFrom="paragraph">
              <wp:posOffset>-181610</wp:posOffset>
            </wp:positionV>
            <wp:extent cx="7114540" cy="6985"/>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7114540" cy="6985"/>
                    </a:xfrm>
                    <a:prstGeom prst="rect">
                      <a:avLst/>
                    </a:prstGeom>
                    <a:noFill/>
                  </pic:spPr>
                </pic:pic>
              </a:graphicData>
            </a:graphic>
          </wp:anchor>
        </w:drawing>
        <w:drawing>
          <wp:anchor simplePos="0" relativeHeight="251657728" behindDoc="1" locked="0" layoutInCell="0" allowOverlap="1">
            <wp:simplePos x="0" y="0"/>
            <wp:positionH relativeFrom="column">
              <wp:posOffset>-414020</wp:posOffset>
            </wp:positionH>
            <wp:positionV relativeFrom="paragraph">
              <wp:posOffset>-208915</wp:posOffset>
            </wp:positionV>
            <wp:extent cx="7114540" cy="6985"/>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7114540" cy="6985"/>
                    </a:xfrm>
                    <a:prstGeom prst="rect">
                      <a:avLst/>
                    </a:prstGeom>
                    <a:noFill/>
                  </pic:spPr>
                </pic:pic>
              </a:graphicData>
            </a:graphic>
          </wp:anchor>
        </w:drawing>
      </w:r>
    </w:p>
    <w:p>
      <w:pPr>
        <w:spacing w:after="0" w:line="1" w:lineRule="exact"/>
        <w:rPr>
          <w:sz w:val="24"/>
          <w:szCs w:val="24"/>
          <w:color w:val="auto"/>
        </w:rPr>
      </w:pPr>
    </w:p>
    <w:p>
      <w:pPr>
        <w:jc w:val="center"/>
        <w:ind w:right="700"/>
        <w:spacing w:after="0"/>
        <w:rPr>
          <w:sz w:val="20"/>
          <w:szCs w:val="20"/>
          <w:color w:val="auto"/>
        </w:rPr>
      </w:pPr>
      <w:r>
        <w:rPr>
          <w:rFonts w:ascii="Times New Roman" w:cs="Times New Roman" w:eastAsia="Times New Roman" w:hAnsi="Times New Roman"/>
          <w:sz w:val="17"/>
          <w:szCs w:val="17"/>
          <w:b w:val="1"/>
          <w:bCs w:val="1"/>
          <w:color w:val="auto"/>
        </w:rPr>
        <w:t>SECURITIES AND EXCHANGE COMMISSION</w:t>
      </w:r>
    </w:p>
    <w:p>
      <w:pPr>
        <w:jc w:val="center"/>
        <w:ind w:right="700"/>
        <w:spacing w:after="0"/>
        <w:rPr>
          <w:sz w:val="20"/>
          <w:szCs w:val="20"/>
          <w:color w:val="auto"/>
        </w:rPr>
      </w:pPr>
      <w:r>
        <w:rPr>
          <w:rFonts w:ascii="Times New Roman" w:cs="Times New Roman" w:eastAsia="Times New Roman" w:hAnsi="Times New Roman"/>
          <w:sz w:val="11"/>
          <w:szCs w:val="11"/>
          <w:b w:val="1"/>
          <w:bCs w:val="1"/>
          <w:color w:val="auto"/>
        </w:rPr>
        <w:t>Washington, D.C. 20549</w:t>
      </w:r>
    </w:p>
    <w:p>
      <w:pPr>
        <w:spacing w:after="0" w:line="8" w:lineRule="exact"/>
        <w:rPr>
          <w:sz w:val="24"/>
          <w:szCs w:val="24"/>
          <w:color w:val="auto"/>
        </w:rPr>
      </w:pPr>
    </w:p>
    <w:p>
      <w:pPr>
        <w:ind w:left="3340"/>
        <w:spacing w:after="0"/>
        <w:rPr>
          <w:sz w:val="20"/>
          <w:szCs w:val="20"/>
          <w:color w:val="auto"/>
        </w:rPr>
      </w:pPr>
      <w:r>
        <w:rPr>
          <w:rFonts w:ascii="Times New Roman" w:cs="Times New Roman" w:eastAsia="Times New Roman" w:hAnsi="Times New Roman"/>
          <w:sz w:val="8"/>
          <w:szCs w:val="8"/>
          <w:b w:val="1"/>
          <w:bCs w:val="1"/>
          <w:color w:val="auto"/>
        </w:rPr>
        <w:t>____________________________________________________________________________</w:t>
      </w:r>
    </w:p>
    <w:p>
      <w:pPr>
        <w:spacing w:after="0" w:line="51" w:lineRule="exact"/>
        <w:rPr>
          <w:sz w:val="24"/>
          <w:szCs w:val="24"/>
          <w:color w:val="auto"/>
        </w:rPr>
      </w:pPr>
    </w:p>
    <w:p>
      <w:pPr>
        <w:jc w:val="center"/>
        <w:ind w:right="700"/>
        <w:spacing w:after="0"/>
        <w:rPr>
          <w:sz w:val="20"/>
          <w:szCs w:val="20"/>
          <w:color w:val="auto"/>
        </w:rPr>
      </w:pPr>
      <w:r>
        <w:rPr>
          <w:rFonts w:ascii="Times New Roman" w:cs="Times New Roman" w:eastAsia="Times New Roman" w:hAnsi="Times New Roman"/>
          <w:sz w:val="17"/>
          <w:szCs w:val="17"/>
          <w:b w:val="1"/>
          <w:bCs w:val="1"/>
          <w:color w:val="auto"/>
        </w:rPr>
        <w:t>Form 10-K</w:t>
      </w:r>
    </w:p>
    <w:p>
      <w:pPr>
        <w:spacing w:after="0" w:line="19" w:lineRule="exact"/>
        <w:rPr>
          <w:sz w:val="24"/>
          <w:szCs w:val="24"/>
          <w:color w:val="auto"/>
        </w:rPr>
      </w:pPr>
    </w:p>
    <w:p>
      <w:pPr>
        <w:ind w:left="3340"/>
        <w:spacing w:after="0"/>
        <w:rPr>
          <w:sz w:val="20"/>
          <w:szCs w:val="20"/>
          <w:color w:val="auto"/>
        </w:rPr>
      </w:pPr>
      <w:r>
        <w:rPr>
          <w:rFonts w:ascii="Times New Roman" w:cs="Times New Roman" w:eastAsia="Times New Roman" w:hAnsi="Times New Roman"/>
          <w:sz w:val="8"/>
          <w:szCs w:val="8"/>
          <w:b w:val="1"/>
          <w:bCs w:val="1"/>
          <w:color w:val="auto"/>
        </w:rPr>
        <w:t>____________________________________________________________________________</w:t>
      </w:r>
    </w:p>
    <w:p>
      <w:pPr>
        <w:spacing w:after="0" w:line="166" w:lineRule="exact"/>
        <w:rPr>
          <w:sz w:val="24"/>
          <w:szCs w:val="24"/>
          <w:color w:val="auto"/>
        </w:rPr>
      </w:pPr>
    </w:p>
    <w:p>
      <w:pPr>
        <w:spacing w:after="0"/>
        <w:rPr>
          <w:sz w:val="20"/>
          <w:szCs w:val="20"/>
          <w:color w:val="auto"/>
        </w:rPr>
      </w:pPr>
      <w:r>
        <w:rPr>
          <w:rFonts w:ascii="Times New Roman" w:cs="Times New Roman" w:eastAsia="Times New Roman" w:hAnsi="Times New Roman"/>
          <w:sz w:val="11"/>
          <w:szCs w:val="11"/>
          <w:b w:val="1"/>
          <w:bCs w:val="1"/>
          <w:color w:val="auto"/>
        </w:rPr>
        <w:t>ANNUAL REPORT PURSUANT TO SECTION 13 OR 15(d) OF THE SECURITIES EXCHANGE ACT OF 1934</w:t>
      </w:r>
    </w:p>
    <w:p>
      <w:pPr>
        <w:spacing w:after="0" w:line="149" w:lineRule="exact"/>
        <w:rPr>
          <w:sz w:val="24"/>
          <w:szCs w:val="24"/>
          <w:color w:val="auto"/>
        </w:rPr>
      </w:pPr>
    </w:p>
    <w:p>
      <w:pPr>
        <w:jc w:val="center"/>
        <w:ind w:right="700"/>
        <w:spacing w:after="0"/>
        <w:rPr>
          <w:sz w:val="20"/>
          <w:szCs w:val="20"/>
          <w:color w:val="auto"/>
        </w:rPr>
      </w:pPr>
      <w:r>
        <w:rPr>
          <w:rFonts w:ascii="Times New Roman" w:cs="Times New Roman" w:eastAsia="Times New Roman" w:hAnsi="Times New Roman"/>
          <w:sz w:val="11"/>
          <w:szCs w:val="11"/>
          <w:b w:val="1"/>
          <w:bCs w:val="1"/>
          <w:color w:val="auto"/>
        </w:rPr>
        <w:t>For the fiscal year ended December 31, 2025</w:t>
      </w:r>
    </w:p>
    <w:p>
      <w:pPr>
        <w:spacing w:after="0" w:line="68" w:lineRule="exact"/>
        <w:rPr>
          <w:sz w:val="24"/>
          <w:szCs w:val="24"/>
          <w:color w:val="auto"/>
        </w:rPr>
      </w:pPr>
    </w:p>
    <w:p>
      <w:pPr>
        <w:jc w:val="center"/>
        <w:ind w:right="700"/>
        <w:spacing w:after="0"/>
        <w:rPr>
          <w:sz w:val="20"/>
          <w:szCs w:val="20"/>
          <w:color w:val="auto"/>
        </w:rPr>
      </w:pPr>
      <w:r>
        <w:rPr>
          <w:rFonts w:ascii="Times New Roman" w:cs="Times New Roman" w:eastAsia="Times New Roman" w:hAnsi="Times New Roman"/>
          <w:sz w:val="10"/>
          <w:szCs w:val="10"/>
          <w:b w:val="1"/>
          <w:bCs w:val="1"/>
          <w:color w:val="auto"/>
        </w:rPr>
        <w:t>OR</w:t>
      </w:r>
    </w:p>
    <w:p>
      <w:pPr>
        <w:spacing w:after="0" w:line="30" w:lineRule="exact"/>
        <w:rPr>
          <w:sz w:val="24"/>
          <w:szCs w:val="24"/>
          <w:color w:val="auto"/>
        </w:rPr>
      </w:pPr>
    </w:p>
    <w:p>
      <w:pPr>
        <w:ind w:left="20"/>
        <w:spacing w:after="0"/>
        <w:rPr>
          <w:sz w:val="20"/>
          <w:szCs w:val="20"/>
          <w:color w:val="auto"/>
        </w:rPr>
      </w:pPr>
      <w:r>
        <w:rPr>
          <w:rFonts w:ascii="Times New Roman" w:cs="Times New Roman" w:eastAsia="Times New Roman" w:hAnsi="Times New Roman"/>
          <w:sz w:val="11"/>
          <w:szCs w:val="11"/>
          <w:b w:val="1"/>
          <w:bCs w:val="1"/>
          <w:color w:val="auto"/>
        </w:rPr>
        <w:t>TRANSITION REPORT PURSUANT TO SECTION 13 OR 15(d) OF THE SECURITIES EXCHANGE ACT OF 1934</w:t>
      </w:r>
    </w:p>
    <w:p>
      <w:pPr>
        <w:spacing w:after="0" w:line="153" w:lineRule="exact"/>
        <w:rPr>
          <w:sz w:val="24"/>
          <w:szCs w:val="24"/>
          <w:color w:val="auto"/>
        </w:rPr>
      </w:pPr>
    </w:p>
    <w:p>
      <w:pPr>
        <w:ind w:left="3640"/>
        <w:spacing w:after="0"/>
        <w:tabs>
          <w:tab w:leader="none" w:pos="5500" w:val="left"/>
        </w:tabs>
        <w:rPr>
          <w:sz w:val="20"/>
          <w:szCs w:val="20"/>
          <w:color w:val="auto"/>
        </w:rPr>
      </w:pPr>
      <w:r>
        <w:rPr>
          <w:rFonts w:ascii="Times New Roman" w:cs="Times New Roman" w:eastAsia="Times New Roman" w:hAnsi="Times New Roman"/>
          <w:sz w:val="10"/>
          <w:szCs w:val="10"/>
          <w:b w:val="1"/>
          <w:bCs w:val="1"/>
          <w:color w:val="auto"/>
        </w:rPr>
        <w:t>For the transition period from</w:t>
      </w:r>
      <w:r>
        <w:rPr>
          <w:sz w:val="20"/>
          <w:szCs w:val="20"/>
          <w:color w:val="auto"/>
        </w:rPr>
        <w:tab/>
      </w:r>
      <w:r>
        <w:rPr>
          <w:rFonts w:ascii="Times New Roman" w:cs="Times New Roman" w:eastAsia="Times New Roman" w:hAnsi="Times New Roman"/>
          <w:sz w:val="9"/>
          <w:szCs w:val="9"/>
          <w:b w:val="1"/>
          <w:bCs w:val="1"/>
          <w:color w:val="auto"/>
        </w:rPr>
        <w:t>to</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3142615</wp:posOffset>
            </wp:positionH>
            <wp:positionV relativeFrom="paragraph">
              <wp:posOffset>-1905</wp:posOffset>
            </wp:positionV>
            <wp:extent cx="822325" cy="6985"/>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822325" cy="6985"/>
                    </a:xfrm>
                    <a:prstGeom prst="rect">
                      <a:avLst/>
                    </a:prstGeom>
                    <a:noFill/>
                  </pic:spPr>
                </pic:pic>
              </a:graphicData>
            </a:graphic>
          </wp:anchor>
        </w:drawing>
      </w:r>
    </w:p>
    <w:p>
      <w:pPr>
        <w:spacing w:after="0" w:line="45" w:lineRule="exact"/>
        <w:rPr>
          <w:sz w:val="24"/>
          <w:szCs w:val="24"/>
          <w:color w:val="auto"/>
        </w:rPr>
      </w:pPr>
    </w:p>
    <w:p>
      <w:pPr>
        <w:jc w:val="center"/>
        <w:ind w:right="700"/>
        <w:spacing w:after="0"/>
        <w:rPr>
          <w:sz w:val="20"/>
          <w:szCs w:val="20"/>
          <w:color w:val="auto"/>
        </w:rPr>
      </w:pPr>
      <w:r>
        <w:rPr>
          <w:rFonts w:ascii="Times New Roman" w:cs="Times New Roman" w:eastAsia="Times New Roman" w:hAnsi="Times New Roman"/>
          <w:sz w:val="10"/>
          <w:szCs w:val="10"/>
          <w:b w:val="1"/>
          <w:bCs w:val="1"/>
          <w:color w:val="auto"/>
        </w:rPr>
        <w:t>Commission file number 1-31234</w:t>
      </w:r>
    </w:p>
    <w:p>
      <w:pPr>
        <w:spacing w:after="0" w:line="59" w:lineRule="exact"/>
        <w:rPr>
          <w:sz w:val="24"/>
          <w:szCs w:val="24"/>
          <w:color w:val="auto"/>
        </w:rPr>
      </w:pPr>
    </w:p>
    <w:p>
      <w:pPr>
        <w:ind w:left="3340"/>
        <w:spacing w:after="0"/>
        <w:rPr>
          <w:sz w:val="20"/>
          <w:szCs w:val="20"/>
          <w:color w:val="auto"/>
        </w:rPr>
      </w:pPr>
      <w:r>
        <w:rPr>
          <w:rFonts w:ascii="Times New Roman" w:cs="Times New Roman" w:eastAsia="Times New Roman" w:hAnsi="Times New Roman"/>
          <w:sz w:val="8"/>
          <w:szCs w:val="8"/>
          <w:b w:val="1"/>
          <w:bCs w:val="1"/>
          <w:color w:val="auto"/>
        </w:rPr>
        <w:t>____________________________________________________________________________</w:t>
      </w:r>
    </w:p>
    <w:p>
      <w:pPr>
        <w:spacing w:after="0" w:line="54" w:lineRule="exact"/>
        <w:rPr>
          <w:sz w:val="24"/>
          <w:szCs w:val="24"/>
          <w:color w:val="auto"/>
        </w:rPr>
      </w:pPr>
    </w:p>
    <w:p>
      <w:pPr>
        <w:jc w:val="center"/>
        <w:ind w:right="700"/>
        <w:spacing w:after="0"/>
        <w:rPr>
          <w:sz w:val="20"/>
          <w:szCs w:val="20"/>
          <w:color w:val="auto"/>
        </w:rPr>
      </w:pPr>
      <w:r>
        <w:rPr>
          <w:rFonts w:ascii="Times New Roman" w:cs="Times New Roman" w:eastAsia="Times New Roman" w:hAnsi="Times New Roman"/>
          <w:sz w:val="17"/>
          <w:szCs w:val="17"/>
          <w:b w:val="1"/>
          <w:bCs w:val="1"/>
          <w:color w:val="auto"/>
        </w:rPr>
        <w:t>WESTWOOD HOLDINGS GROUP, INC.</w:t>
      </w:r>
    </w:p>
    <w:p>
      <w:pPr>
        <w:spacing w:after="0" w:line="17" w:lineRule="exact"/>
        <w:rPr>
          <w:sz w:val="24"/>
          <w:szCs w:val="24"/>
          <w:color w:val="auto"/>
        </w:rPr>
      </w:pPr>
    </w:p>
    <w:p>
      <w:pPr>
        <w:jc w:val="center"/>
        <w:ind w:right="700"/>
        <w:spacing w:after="0"/>
        <w:rPr>
          <w:sz w:val="20"/>
          <w:szCs w:val="20"/>
          <w:color w:val="auto"/>
        </w:rPr>
      </w:pPr>
      <w:r>
        <w:rPr>
          <w:rFonts w:ascii="Times New Roman" w:cs="Times New Roman" w:eastAsia="Times New Roman" w:hAnsi="Times New Roman"/>
          <w:sz w:val="10"/>
          <w:szCs w:val="10"/>
          <w:color w:val="auto"/>
        </w:rPr>
        <w:t>(Exact name of registrant as specified in its charter)</w:t>
      </w:r>
    </w:p>
    <w:p>
      <w:pPr>
        <w:spacing w:after="0" w:line="3" w:lineRule="exact"/>
        <w:rPr>
          <w:sz w:val="24"/>
          <w:szCs w:val="24"/>
          <w:color w:val="auto"/>
        </w:rPr>
      </w:pPr>
    </w:p>
    <w:p>
      <w:pPr>
        <w:ind w:left="3340"/>
        <w:spacing w:after="0"/>
        <w:rPr>
          <w:sz w:val="20"/>
          <w:szCs w:val="20"/>
          <w:color w:val="auto"/>
        </w:rPr>
      </w:pPr>
      <w:r>
        <w:rPr>
          <w:rFonts w:ascii="Times New Roman" w:cs="Times New Roman" w:eastAsia="Times New Roman" w:hAnsi="Times New Roman"/>
          <w:sz w:val="8"/>
          <w:szCs w:val="8"/>
          <w:b w:val="1"/>
          <w:bCs w:val="1"/>
          <w:color w:val="auto"/>
        </w:rPr>
        <w:t>____________________________________________________________________________</w:t>
      </w:r>
    </w:p>
    <w:p>
      <w:pPr>
        <w:spacing w:after="0" w:line="28" w:lineRule="exact"/>
        <w:rPr>
          <w:sz w:val="24"/>
          <w:szCs w:val="24"/>
          <w:color w:val="auto"/>
        </w:rPr>
      </w:pPr>
    </w:p>
    <w:p>
      <w:pPr>
        <w:ind w:left="1780"/>
        <w:spacing w:after="0"/>
        <w:tabs>
          <w:tab w:leader="none" w:pos="7600" w:val="left"/>
        </w:tabs>
        <w:rPr>
          <w:sz w:val="20"/>
          <w:szCs w:val="20"/>
          <w:color w:val="auto"/>
        </w:rPr>
      </w:pPr>
      <w:r>
        <w:rPr>
          <w:rFonts w:ascii="Times New Roman" w:cs="Times New Roman" w:eastAsia="Times New Roman" w:hAnsi="Times New Roman"/>
          <w:sz w:val="11"/>
          <w:szCs w:val="11"/>
          <w:b w:val="1"/>
          <w:bCs w:val="1"/>
          <w:color w:val="auto"/>
        </w:rPr>
        <w:t>Delaware</w:t>
      </w:r>
      <w:r>
        <w:rPr>
          <w:sz w:val="20"/>
          <w:szCs w:val="20"/>
          <w:color w:val="auto"/>
        </w:rPr>
        <w:tab/>
      </w:r>
      <w:r>
        <w:rPr>
          <w:rFonts w:ascii="Times New Roman" w:cs="Times New Roman" w:eastAsia="Times New Roman" w:hAnsi="Times New Roman"/>
          <w:sz w:val="11"/>
          <w:szCs w:val="11"/>
          <w:b w:val="1"/>
          <w:bCs w:val="1"/>
          <w:color w:val="auto"/>
        </w:rPr>
        <w:t>75-2969997</w:t>
      </w:r>
    </w:p>
    <w:p>
      <w:pPr>
        <w:spacing w:after="0" w:line="29" w:lineRule="exact"/>
        <w:rPr>
          <w:sz w:val="24"/>
          <w:szCs w:val="24"/>
          <w:color w:val="auto"/>
        </w:rPr>
      </w:pPr>
    </w:p>
    <w:p>
      <w:pPr>
        <w:ind w:left="1420"/>
        <w:spacing w:after="0"/>
        <w:tabs>
          <w:tab w:leader="none" w:pos="7540" w:val="left"/>
        </w:tabs>
        <w:rPr>
          <w:sz w:val="20"/>
          <w:szCs w:val="20"/>
          <w:color w:val="auto"/>
        </w:rPr>
      </w:pPr>
      <w:r>
        <w:rPr>
          <w:rFonts w:ascii="Times New Roman" w:cs="Times New Roman" w:eastAsia="Times New Roman" w:hAnsi="Times New Roman"/>
          <w:sz w:val="10"/>
          <w:szCs w:val="10"/>
          <w:color w:val="auto"/>
        </w:rPr>
        <w:t>(State or other jurisdiction of</w:t>
      </w:r>
      <w:r>
        <w:rPr>
          <w:sz w:val="20"/>
          <w:szCs w:val="20"/>
          <w:color w:val="auto"/>
        </w:rPr>
        <w:tab/>
      </w:r>
      <w:r>
        <w:rPr>
          <w:rFonts w:ascii="Times New Roman" w:cs="Times New Roman" w:eastAsia="Times New Roman" w:hAnsi="Times New Roman"/>
          <w:sz w:val="9"/>
          <w:szCs w:val="9"/>
          <w:color w:val="auto"/>
        </w:rPr>
        <w:t>(I.R.S. Employer</w:t>
      </w:r>
    </w:p>
    <w:p>
      <w:pPr>
        <w:jc w:val="right"/>
        <w:ind w:right="2320"/>
        <w:spacing w:after="0"/>
        <w:tabs>
          <w:tab w:leader="none" w:pos="700" w:val="left"/>
        </w:tabs>
        <w:rPr>
          <w:sz w:val="20"/>
          <w:szCs w:val="20"/>
          <w:color w:val="auto"/>
        </w:rPr>
      </w:pPr>
      <w:r>
        <w:rPr>
          <w:rFonts w:ascii="Times New Roman" w:cs="Times New Roman" w:eastAsia="Times New Roman" w:hAnsi="Times New Roman"/>
          <w:sz w:val="10"/>
          <w:szCs w:val="10"/>
          <w:color w:val="auto"/>
        </w:rPr>
        <w:t>incorporation or organization)</w:t>
      </w:r>
      <w:r>
        <w:rPr>
          <w:sz w:val="20"/>
          <w:szCs w:val="20"/>
          <w:color w:val="auto"/>
        </w:rPr>
        <w:tab/>
      </w:r>
      <w:r>
        <w:rPr>
          <w:rFonts w:ascii="Times New Roman" w:cs="Times New Roman" w:eastAsia="Times New Roman" w:hAnsi="Times New Roman"/>
          <w:sz w:val="9"/>
          <w:szCs w:val="9"/>
          <w:color w:val="auto"/>
        </w:rPr>
        <w:t>Identification No.)</w:t>
      </w:r>
    </w:p>
    <w:p>
      <w:pPr>
        <w:spacing w:after="0" w:line="18" w:lineRule="exact"/>
        <w:rPr>
          <w:sz w:val="24"/>
          <w:szCs w:val="24"/>
          <w:color w:val="auto"/>
        </w:rPr>
      </w:pPr>
    </w:p>
    <w:p>
      <w:pPr>
        <w:sectPr>
          <w:pgSz w:w="11900" w:h="16838" w:orient="portrait"/>
          <w:cols w:equalWidth="0" w:num="2">
            <w:col w:w="440" w:space="260"/>
            <w:col w:w="10580"/>
          </w:cols>
          <w:pgMar w:left="300" w:top="1017" w:right="319" w:bottom="1440" w:gutter="0" w:footer="0" w:header="0"/>
        </w:sectPr>
      </w:pPr>
    </w:p>
    <w:p>
      <w:pPr>
        <w:ind w:left="1960"/>
        <w:spacing w:after="0"/>
        <w:rPr>
          <w:sz w:val="20"/>
          <w:szCs w:val="20"/>
          <w:color w:val="auto"/>
        </w:rPr>
      </w:pPr>
      <w:r>
        <w:rPr>
          <w:rFonts w:ascii="Times New Roman" w:cs="Times New Roman" w:eastAsia="Times New Roman" w:hAnsi="Times New Roman"/>
          <w:sz w:val="11"/>
          <w:szCs w:val="11"/>
          <w:b w:val="1"/>
          <w:bCs w:val="1"/>
          <w:color w:val="auto"/>
        </w:rPr>
        <w:t>200 Crescent Court, Suite 1200</w:t>
      </w:r>
    </w:p>
    <w:p>
      <w:pPr>
        <w:spacing w:after="0" w:line="33" w:lineRule="exact"/>
        <w:rPr>
          <w:sz w:val="24"/>
          <w:szCs w:val="24"/>
          <w:color w:val="auto"/>
        </w:rPr>
      </w:pPr>
    </w:p>
    <w:p>
      <w:pPr>
        <w:ind w:left="2360"/>
        <w:spacing w:after="0"/>
        <w:tabs>
          <w:tab w:leader="none" w:pos="8440" w:val="left"/>
        </w:tabs>
        <w:rPr>
          <w:sz w:val="20"/>
          <w:szCs w:val="20"/>
          <w:color w:val="auto"/>
        </w:rPr>
      </w:pPr>
      <w:r>
        <w:rPr>
          <w:rFonts w:ascii="Times New Roman" w:cs="Times New Roman" w:eastAsia="Times New Roman" w:hAnsi="Times New Roman"/>
          <w:sz w:val="11"/>
          <w:szCs w:val="11"/>
          <w:b w:val="1"/>
          <w:bCs w:val="1"/>
          <w:color w:val="auto"/>
        </w:rPr>
        <w:t>Dallas, Texas</w:t>
      </w:r>
      <w:r>
        <w:rPr>
          <w:sz w:val="20"/>
          <w:szCs w:val="20"/>
          <w:color w:val="auto"/>
        </w:rPr>
        <w:tab/>
      </w:r>
      <w:r>
        <w:rPr>
          <w:rFonts w:ascii="Times New Roman" w:cs="Times New Roman" w:eastAsia="Times New Roman" w:hAnsi="Times New Roman"/>
          <w:sz w:val="11"/>
          <w:szCs w:val="11"/>
          <w:b w:val="1"/>
          <w:bCs w:val="1"/>
          <w:color w:val="auto"/>
        </w:rPr>
        <w:t>75201</w:t>
      </w:r>
    </w:p>
    <w:p>
      <w:pPr>
        <w:spacing w:after="0" w:line="39" w:lineRule="exact"/>
        <w:rPr>
          <w:sz w:val="24"/>
          <w:szCs w:val="24"/>
          <w:color w:val="auto"/>
        </w:rPr>
      </w:pPr>
    </w:p>
    <w:p>
      <w:pPr>
        <w:ind w:left="1920"/>
        <w:spacing w:after="0"/>
        <w:tabs>
          <w:tab w:leader="none" w:pos="8360" w:val="left"/>
        </w:tabs>
        <w:rPr>
          <w:sz w:val="20"/>
          <w:szCs w:val="20"/>
          <w:color w:val="auto"/>
        </w:rPr>
      </w:pPr>
      <w:r>
        <w:rPr>
          <w:rFonts w:ascii="Times New Roman" w:cs="Times New Roman" w:eastAsia="Times New Roman" w:hAnsi="Times New Roman"/>
          <w:sz w:val="10"/>
          <w:szCs w:val="10"/>
          <w:color w:val="auto"/>
        </w:rPr>
        <w:t>(Address of principal executive offices)</w:t>
      </w:r>
      <w:r>
        <w:rPr>
          <w:sz w:val="20"/>
          <w:szCs w:val="20"/>
          <w:color w:val="auto"/>
        </w:rPr>
        <w:tab/>
      </w:r>
      <w:r>
        <w:rPr>
          <w:rFonts w:ascii="Times New Roman" w:cs="Times New Roman" w:eastAsia="Times New Roman" w:hAnsi="Times New Roman"/>
          <w:sz w:val="9"/>
          <w:szCs w:val="9"/>
          <w:color w:val="auto"/>
        </w:rPr>
        <w:t>(Zip Code)</w:t>
      </w:r>
    </w:p>
    <w:p>
      <w:pPr>
        <w:spacing w:after="0" w:line="155"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11"/>
          <w:szCs w:val="11"/>
          <w:b w:val="1"/>
          <w:bCs w:val="1"/>
          <w:color w:val="auto"/>
        </w:rPr>
        <w:t>Registrant’s telephone number, including area code: (214) 756-6900</w:t>
      </w:r>
    </w:p>
    <w:p>
      <w:pPr>
        <w:spacing w:after="0" w:line="64"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11"/>
          <w:szCs w:val="11"/>
          <w:b w:val="1"/>
          <w:bCs w:val="1"/>
          <w:color w:val="auto"/>
        </w:rPr>
        <w:t>SECURITIES REGISTERED PURSUANT TO SECTION 12(b) OF THE ACT:</w:t>
      </w:r>
    </w:p>
    <w:p>
      <w:pPr>
        <w:spacing w:after="0" w:line="42" w:lineRule="exact"/>
        <w:rPr>
          <w:sz w:val="24"/>
          <w:szCs w:val="24"/>
          <w:color w:val="auto"/>
        </w:rPr>
      </w:pPr>
    </w:p>
    <w:tbl>
      <w:tblPr>
        <w:tblLayout w:type="fixed"/>
        <w:tblInd w:w="0" w:type="dxa"/>
        <w:tblCellMar>
          <w:top w:w="0" w:type="dxa"/>
          <w:left w:w="0" w:type="dxa"/>
          <w:bottom w:w="0" w:type="dxa"/>
          <w:right w:w="0" w:type="dxa"/>
        </w:tblCellMar>
      </w:tblPr>
      <w:tr>
        <w:trPr>
          <w:trHeight w:val="126"/>
        </w:trPr>
        <w:tc>
          <w:tcPr>
            <w:tcW w:w="1800" w:type="dxa"/>
            <w:vAlign w:val="bottom"/>
          </w:tcPr>
          <w:p>
            <w:pPr>
              <w:spacing w:after="0"/>
              <w:rPr>
                <w:sz w:val="11"/>
                <w:szCs w:val="11"/>
                <w:color w:val="auto"/>
              </w:rPr>
            </w:pPr>
          </w:p>
        </w:tc>
        <w:tc>
          <w:tcPr>
            <w:tcW w:w="3400" w:type="dxa"/>
            <w:vAlign w:val="bottom"/>
            <w:gridSpan w:val="2"/>
          </w:tcPr>
          <w:p>
            <w:pPr>
              <w:jc w:val="center"/>
              <w:ind w:right="2503"/>
              <w:spacing w:after="0"/>
              <w:rPr>
                <w:sz w:val="20"/>
                <w:szCs w:val="20"/>
                <w:color w:val="auto"/>
              </w:rPr>
            </w:pPr>
            <w:r>
              <w:rPr>
                <w:rFonts w:ascii="Times New Roman" w:cs="Times New Roman" w:eastAsia="Times New Roman" w:hAnsi="Times New Roman"/>
                <w:sz w:val="11"/>
                <w:szCs w:val="11"/>
                <w:color w:val="auto"/>
              </w:rPr>
              <w:t>Title of each class:</w:t>
            </w:r>
          </w:p>
        </w:tc>
        <w:tc>
          <w:tcPr>
            <w:tcW w:w="1180" w:type="dxa"/>
            <w:vAlign w:val="bottom"/>
            <w:gridSpan w:val="4"/>
          </w:tcPr>
          <w:p>
            <w:pPr>
              <w:jc w:val="center"/>
              <w:ind w:right="300"/>
              <w:spacing w:after="0"/>
              <w:rPr>
                <w:sz w:val="20"/>
                <w:szCs w:val="20"/>
                <w:color w:val="auto"/>
              </w:rPr>
            </w:pPr>
            <w:r>
              <w:rPr>
                <w:rFonts w:ascii="Times New Roman" w:cs="Times New Roman" w:eastAsia="Times New Roman" w:hAnsi="Times New Roman"/>
                <w:sz w:val="11"/>
                <w:szCs w:val="11"/>
                <w:color w:val="auto"/>
              </w:rPr>
              <w:t>Trading Symbol:</w:t>
            </w:r>
          </w:p>
        </w:tc>
        <w:tc>
          <w:tcPr>
            <w:tcW w:w="1680" w:type="dxa"/>
            <w:vAlign w:val="bottom"/>
          </w:tcPr>
          <w:p>
            <w:pPr>
              <w:spacing w:after="0"/>
              <w:rPr>
                <w:sz w:val="11"/>
                <w:szCs w:val="11"/>
                <w:color w:val="auto"/>
              </w:rPr>
            </w:pPr>
          </w:p>
        </w:tc>
        <w:tc>
          <w:tcPr>
            <w:tcW w:w="2020" w:type="dxa"/>
            <w:vAlign w:val="bottom"/>
          </w:tcPr>
          <w:p>
            <w:pPr>
              <w:jc w:val="center"/>
              <w:spacing w:after="0"/>
              <w:rPr>
                <w:sz w:val="20"/>
                <w:szCs w:val="20"/>
                <w:color w:val="auto"/>
              </w:rPr>
            </w:pPr>
            <w:r>
              <w:rPr>
                <w:rFonts w:ascii="Times New Roman" w:cs="Times New Roman" w:eastAsia="Times New Roman" w:hAnsi="Times New Roman"/>
                <w:sz w:val="11"/>
                <w:szCs w:val="11"/>
                <w:color w:val="auto"/>
              </w:rPr>
              <w:t>Name of each exchange on which registered:</w:t>
            </w:r>
          </w:p>
        </w:tc>
      </w:tr>
      <w:tr>
        <w:trPr>
          <w:trHeight w:val="20"/>
        </w:trPr>
        <w:tc>
          <w:tcPr>
            <w:tcW w:w="1800" w:type="dxa"/>
            <w:vAlign w:val="bottom"/>
          </w:tcPr>
          <w:p>
            <w:pPr>
              <w:spacing w:after="0" w:line="20" w:lineRule="exact"/>
              <w:rPr>
                <w:sz w:val="1"/>
                <w:szCs w:val="1"/>
                <w:color w:val="auto"/>
              </w:rPr>
            </w:pPr>
          </w:p>
        </w:tc>
        <w:tc>
          <w:tcPr>
            <w:tcW w:w="840" w:type="dxa"/>
            <w:vAlign w:val="bottom"/>
            <w:shd w:val="clear" w:color="auto" w:fill="000000"/>
          </w:tcPr>
          <w:p>
            <w:pPr>
              <w:spacing w:after="0" w:line="20" w:lineRule="exact"/>
              <w:rPr>
                <w:sz w:val="1"/>
                <w:szCs w:val="1"/>
                <w:color w:val="auto"/>
              </w:rPr>
            </w:pPr>
          </w:p>
        </w:tc>
        <w:tc>
          <w:tcPr>
            <w:tcW w:w="256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620" w:type="dxa"/>
            <w:vAlign w:val="bottom"/>
            <w:shd w:val="clear" w:color="auto" w:fill="000000"/>
          </w:tcPr>
          <w:p>
            <w:pPr>
              <w:spacing w:after="0" w:line="20" w:lineRule="exact"/>
              <w:rPr>
                <w:sz w:val="1"/>
                <w:szCs w:val="1"/>
                <w:color w:val="auto"/>
              </w:rPr>
            </w:pPr>
          </w:p>
        </w:tc>
        <w:tc>
          <w:tcPr>
            <w:tcW w:w="140" w:type="dxa"/>
            <w:vAlign w:val="bottom"/>
            <w:shd w:val="clear" w:color="auto" w:fill="000000"/>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1680" w:type="dxa"/>
            <w:vAlign w:val="bottom"/>
          </w:tcPr>
          <w:p>
            <w:pPr>
              <w:spacing w:after="0" w:line="20" w:lineRule="exact"/>
              <w:rPr>
                <w:sz w:val="1"/>
                <w:szCs w:val="1"/>
                <w:color w:val="auto"/>
              </w:rPr>
            </w:pPr>
          </w:p>
        </w:tc>
        <w:tc>
          <w:tcPr>
            <w:tcW w:w="2020" w:type="dxa"/>
            <w:vAlign w:val="bottom"/>
            <w:shd w:val="clear" w:color="auto" w:fill="000000"/>
          </w:tcPr>
          <w:p>
            <w:pPr>
              <w:spacing w:after="0" w:line="20" w:lineRule="exact"/>
              <w:rPr>
                <w:sz w:val="1"/>
                <w:szCs w:val="1"/>
                <w:color w:val="auto"/>
              </w:rPr>
            </w:pPr>
          </w:p>
        </w:tc>
      </w:tr>
      <w:tr>
        <w:trPr>
          <w:trHeight w:val="163"/>
        </w:trPr>
        <w:tc>
          <w:tcPr>
            <w:tcW w:w="5200" w:type="dxa"/>
            <w:vAlign w:val="bottom"/>
            <w:gridSpan w:val="3"/>
          </w:tcPr>
          <w:p>
            <w:pPr>
              <w:jc w:val="center"/>
              <w:ind w:right="723"/>
              <w:spacing w:after="0"/>
              <w:rPr>
                <w:sz w:val="20"/>
                <w:szCs w:val="20"/>
                <w:color w:val="auto"/>
              </w:rPr>
            </w:pPr>
            <w:r>
              <w:rPr>
                <w:rFonts w:ascii="Times New Roman" w:cs="Times New Roman" w:eastAsia="Times New Roman" w:hAnsi="Times New Roman"/>
                <w:sz w:val="11"/>
                <w:szCs w:val="11"/>
                <w:b w:val="1"/>
                <w:bCs w:val="1"/>
                <w:color w:val="auto"/>
              </w:rPr>
              <w:t>Common Stock, par value $0.01 per share</w:t>
            </w:r>
          </w:p>
        </w:tc>
        <w:tc>
          <w:tcPr>
            <w:tcW w:w="60" w:type="dxa"/>
            <w:vAlign w:val="bottom"/>
          </w:tcPr>
          <w:p>
            <w:pPr>
              <w:spacing w:after="0"/>
              <w:rPr>
                <w:sz w:val="14"/>
                <w:szCs w:val="14"/>
                <w:color w:val="auto"/>
              </w:rPr>
            </w:pPr>
          </w:p>
        </w:tc>
        <w:tc>
          <w:tcPr>
            <w:tcW w:w="620" w:type="dxa"/>
            <w:vAlign w:val="bottom"/>
          </w:tcPr>
          <w:p>
            <w:pPr>
              <w:jc w:val="center"/>
              <w:ind w:left="83"/>
              <w:spacing w:after="0"/>
              <w:rPr>
                <w:sz w:val="20"/>
                <w:szCs w:val="20"/>
                <w:color w:val="auto"/>
              </w:rPr>
            </w:pPr>
            <w:r>
              <w:rPr>
                <w:rFonts w:ascii="Times New Roman" w:cs="Times New Roman" w:eastAsia="Times New Roman" w:hAnsi="Times New Roman"/>
                <w:sz w:val="11"/>
                <w:szCs w:val="11"/>
                <w:b w:val="1"/>
                <w:bCs w:val="1"/>
                <w:color w:val="auto"/>
                <w:w w:val="99"/>
              </w:rPr>
              <w:t>WHG</w:t>
            </w:r>
          </w:p>
        </w:tc>
        <w:tc>
          <w:tcPr>
            <w:tcW w:w="140" w:type="dxa"/>
            <w:vAlign w:val="bottom"/>
          </w:tcPr>
          <w:p>
            <w:pPr>
              <w:spacing w:after="0"/>
              <w:rPr>
                <w:sz w:val="14"/>
                <w:szCs w:val="14"/>
                <w:color w:val="auto"/>
              </w:rPr>
            </w:pPr>
          </w:p>
        </w:tc>
        <w:tc>
          <w:tcPr>
            <w:tcW w:w="360" w:type="dxa"/>
            <w:vAlign w:val="bottom"/>
          </w:tcPr>
          <w:p>
            <w:pPr>
              <w:spacing w:after="0"/>
              <w:rPr>
                <w:sz w:val="14"/>
                <w:szCs w:val="14"/>
                <w:color w:val="auto"/>
              </w:rPr>
            </w:pPr>
          </w:p>
        </w:tc>
        <w:tc>
          <w:tcPr>
            <w:tcW w:w="1680" w:type="dxa"/>
            <w:vAlign w:val="bottom"/>
          </w:tcPr>
          <w:p>
            <w:pPr>
              <w:spacing w:after="0"/>
              <w:rPr>
                <w:sz w:val="14"/>
                <w:szCs w:val="14"/>
                <w:color w:val="auto"/>
              </w:rPr>
            </w:pPr>
          </w:p>
        </w:tc>
        <w:tc>
          <w:tcPr>
            <w:tcW w:w="2020" w:type="dxa"/>
            <w:vAlign w:val="bottom"/>
          </w:tcPr>
          <w:p>
            <w:pPr>
              <w:jc w:val="center"/>
              <w:spacing w:after="0"/>
              <w:rPr>
                <w:sz w:val="20"/>
                <w:szCs w:val="20"/>
                <w:color w:val="auto"/>
              </w:rPr>
            </w:pPr>
            <w:r>
              <w:rPr>
                <w:rFonts w:ascii="Times New Roman" w:cs="Times New Roman" w:eastAsia="Times New Roman" w:hAnsi="Times New Roman"/>
                <w:sz w:val="11"/>
                <w:szCs w:val="11"/>
                <w:b w:val="1"/>
                <w:bCs w:val="1"/>
                <w:color w:val="auto"/>
              </w:rPr>
              <w:t>New York Stock Exchange</w:t>
            </w:r>
          </w:p>
        </w:tc>
      </w:tr>
      <w:tr>
        <w:trPr>
          <w:trHeight w:val="265"/>
        </w:trPr>
        <w:tc>
          <w:tcPr>
            <w:tcW w:w="1800" w:type="dxa"/>
            <w:vAlign w:val="bottom"/>
          </w:tcPr>
          <w:p>
            <w:pPr>
              <w:spacing w:after="0"/>
              <w:rPr>
                <w:sz w:val="23"/>
                <w:szCs w:val="23"/>
                <w:color w:val="auto"/>
              </w:rPr>
            </w:pPr>
          </w:p>
        </w:tc>
        <w:tc>
          <w:tcPr>
            <w:tcW w:w="840" w:type="dxa"/>
            <w:vAlign w:val="bottom"/>
          </w:tcPr>
          <w:p>
            <w:pPr>
              <w:spacing w:after="0"/>
              <w:rPr>
                <w:sz w:val="23"/>
                <w:szCs w:val="23"/>
                <w:color w:val="auto"/>
              </w:rPr>
            </w:pPr>
          </w:p>
        </w:tc>
        <w:tc>
          <w:tcPr>
            <w:tcW w:w="7440" w:type="dxa"/>
            <w:vAlign w:val="bottom"/>
            <w:gridSpan w:val="7"/>
          </w:tcPr>
          <w:p>
            <w:pPr>
              <w:jc w:val="center"/>
              <w:ind w:right="1383"/>
              <w:spacing w:after="0"/>
              <w:rPr>
                <w:sz w:val="20"/>
                <w:szCs w:val="20"/>
                <w:color w:val="auto"/>
              </w:rPr>
            </w:pPr>
            <w:r>
              <w:rPr>
                <w:rFonts w:ascii="Times New Roman" w:cs="Times New Roman" w:eastAsia="Times New Roman" w:hAnsi="Times New Roman"/>
                <w:sz w:val="11"/>
                <w:szCs w:val="11"/>
                <w:b w:val="1"/>
                <w:bCs w:val="1"/>
                <w:color w:val="auto"/>
              </w:rPr>
              <w:t>SECURITIES REGISTERED PURSUANT TO SECTION 12(g) OF THE ACT:</w:t>
            </w:r>
          </w:p>
        </w:tc>
      </w:tr>
      <w:tr>
        <w:trPr>
          <w:trHeight w:val="135"/>
        </w:trPr>
        <w:tc>
          <w:tcPr>
            <w:tcW w:w="1800" w:type="dxa"/>
            <w:vAlign w:val="bottom"/>
          </w:tcPr>
          <w:p>
            <w:pPr>
              <w:spacing w:after="0"/>
              <w:rPr>
                <w:sz w:val="11"/>
                <w:szCs w:val="11"/>
                <w:color w:val="auto"/>
              </w:rPr>
            </w:pPr>
          </w:p>
        </w:tc>
        <w:tc>
          <w:tcPr>
            <w:tcW w:w="840" w:type="dxa"/>
            <w:vAlign w:val="bottom"/>
          </w:tcPr>
          <w:p>
            <w:pPr>
              <w:spacing w:after="0"/>
              <w:rPr>
                <w:sz w:val="11"/>
                <w:szCs w:val="11"/>
                <w:color w:val="auto"/>
              </w:rPr>
            </w:pPr>
          </w:p>
        </w:tc>
        <w:tc>
          <w:tcPr>
            <w:tcW w:w="256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620" w:type="dxa"/>
            <w:vAlign w:val="bottom"/>
          </w:tcPr>
          <w:p>
            <w:pPr>
              <w:jc w:val="center"/>
              <w:ind w:left="83"/>
              <w:spacing w:after="0"/>
              <w:rPr>
                <w:sz w:val="20"/>
                <w:szCs w:val="20"/>
                <w:color w:val="auto"/>
              </w:rPr>
            </w:pPr>
            <w:r>
              <w:rPr>
                <w:rFonts w:ascii="Times New Roman" w:cs="Times New Roman" w:eastAsia="Times New Roman" w:hAnsi="Times New Roman"/>
                <w:sz w:val="11"/>
                <w:szCs w:val="11"/>
                <w:b w:val="1"/>
                <w:bCs w:val="1"/>
                <w:color w:val="auto"/>
                <w:w w:val="97"/>
              </w:rPr>
              <w:t>None</w:t>
            </w:r>
          </w:p>
        </w:tc>
        <w:tc>
          <w:tcPr>
            <w:tcW w:w="140" w:type="dxa"/>
            <w:vAlign w:val="bottom"/>
          </w:tcPr>
          <w:p>
            <w:pPr>
              <w:spacing w:after="0"/>
              <w:rPr>
                <w:sz w:val="11"/>
                <w:szCs w:val="11"/>
                <w:color w:val="auto"/>
              </w:rPr>
            </w:pPr>
          </w:p>
        </w:tc>
        <w:tc>
          <w:tcPr>
            <w:tcW w:w="360" w:type="dxa"/>
            <w:vAlign w:val="bottom"/>
          </w:tcPr>
          <w:p>
            <w:pPr>
              <w:spacing w:after="0"/>
              <w:rPr>
                <w:sz w:val="11"/>
                <w:szCs w:val="11"/>
                <w:color w:val="auto"/>
              </w:rPr>
            </w:pPr>
          </w:p>
        </w:tc>
        <w:tc>
          <w:tcPr>
            <w:tcW w:w="1680" w:type="dxa"/>
            <w:vAlign w:val="bottom"/>
          </w:tcPr>
          <w:p>
            <w:pPr>
              <w:spacing w:after="0"/>
              <w:rPr>
                <w:sz w:val="11"/>
                <w:szCs w:val="11"/>
                <w:color w:val="auto"/>
              </w:rPr>
            </w:pPr>
          </w:p>
        </w:tc>
        <w:tc>
          <w:tcPr>
            <w:tcW w:w="2020" w:type="dxa"/>
            <w:vAlign w:val="bottom"/>
          </w:tcPr>
          <w:p>
            <w:pPr>
              <w:spacing w:after="0"/>
              <w:rPr>
                <w:sz w:val="11"/>
                <w:szCs w:val="11"/>
                <w:color w:val="auto"/>
              </w:rPr>
            </w:pPr>
          </w:p>
        </w:tc>
      </w:tr>
      <w:tr>
        <w:trPr>
          <w:trHeight w:val="110"/>
        </w:trPr>
        <w:tc>
          <w:tcPr>
            <w:tcW w:w="8060" w:type="dxa"/>
            <w:vAlign w:val="bottom"/>
            <w:gridSpan w:val="8"/>
          </w:tcPr>
          <w:p>
            <w:pPr>
              <w:jc w:val="center"/>
              <w:ind w:left="3187"/>
              <w:spacing w:after="0"/>
              <w:rPr>
                <w:sz w:val="20"/>
                <w:szCs w:val="20"/>
                <w:color w:val="auto"/>
              </w:rPr>
            </w:pPr>
            <w:r>
              <w:rPr>
                <w:rFonts w:ascii="Times New Roman" w:cs="Times New Roman" w:eastAsia="Times New Roman" w:hAnsi="Times New Roman"/>
                <w:sz w:val="8"/>
                <w:szCs w:val="8"/>
                <w:b w:val="1"/>
                <w:bCs w:val="1"/>
                <w:color w:val="auto"/>
              </w:rPr>
              <w:t>____________________________________________________________________________</w:t>
            </w:r>
          </w:p>
        </w:tc>
        <w:tc>
          <w:tcPr>
            <w:tcW w:w="2020" w:type="dxa"/>
            <w:vAlign w:val="bottom"/>
          </w:tcPr>
          <w:p>
            <w:pPr>
              <w:spacing w:after="0"/>
              <w:rPr>
                <w:sz w:val="9"/>
                <w:szCs w:val="9"/>
                <w:color w:val="auto"/>
              </w:rPr>
            </w:pPr>
          </w:p>
        </w:tc>
      </w:tr>
      <w:tr>
        <w:trPr>
          <w:trHeight w:val="208"/>
        </w:trPr>
        <w:tc>
          <w:tcPr>
            <w:tcW w:w="5200" w:type="dxa"/>
            <w:vAlign w:val="bottom"/>
            <w:gridSpan w:val="3"/>
          </w:tcPr>
          <w:p>
            <w:pPr>
              <w:spacing w:after="0"/>
              <w:rPr>
                <w:sz w:val="20"/>
                <w:szCs w:val="20"/>
                <w:color w:val="auto"/>
              </w:rPr>
            </w:pPr>
            <w:r>
              <w:rPr>
                <w:rFonts w:ascii="Times New Roman" w:cs="Times New Roman" w:eastAsia="Times New Roman" w:hAnsi="Times New Roman"/>
                <w:sz w:val="11"/>
                <w:szCs w:val="11"/>
                <w:color w:val="auto"/>
              </w:rPr>
              <w:t>Indicate by check mark if registrant is a well-known seasoned issuer, as defined in Rule 405 of the Securities Act.</w:t>
            </w:r>
          </w:p>
        </w:tc>
        <w:tc>
          <w:tcPr>
            <w:tcW w:w="680" w:type="dxa"/>
            <w:vAlign w:val="bottom"/>
            <w:gridSpan w:val="2"/>
          </w:tcPr>
          <w:p>
            <w:pPr>
              <w:ind w:left="60"/>
              <w:spacing w:after="0" w:line="127" w:lineRule="exact"/>
              <w:rPr>
                <w:sz w:val="20"/>
                <w:szCs w:val="20"/>
                <w:color w:val="auto"/>
              </w:rPr>
            </w:pPr>
            <w:r>
              <w:rPr>
                <w:rFonts w:ascii="Times New Roman" w:cs="Times New Roman" w:eastAsia="Times New Roman" w:hAnsi="Times New Roman"/>
                <w:sz w:val="11"/>
                <w:szCs w:val="11"/>
                <w:color w:val="auto"/>
              </w:rPr>
              <w:t xml:space="preserve">Yes </w:t>
            </w:r>
            <w:r>
              <w:rPr>
                <w:rFonts w:ascii="MS PGothic" w:cs="MS PGothic" w:eastAsia="MS PGothic" w:hAnsi="MS PGothic"/>
                <w:sz w:val="11"/>
                <w:szCs w:val="11"/>
                <w:color w:val="auto"/>
              </w:rPr>
              <w:t>☐</w:t>
            </w:r>
            <w:r>
              <w:rPr>
                <w:rFonts w:ascii="Times New Roman" w:cs="Times New Roman" w:eastAsia="Times New Roman" w:hAnsi="Times New Roman"/>
                <w:sz w:val="11"/>
                <w:szCs w:val="11"/>
                <w:color w:val="auto"/>
              </w:rPr>
              <w:t xml:space="preserve">  No</w:t>
            </w:r>
          </w:p>
        </w:tc>
        <w:tc>
          <w:tcPr>
            <w:tcW w:w="500" w:type="dxa"/>
            <w:vAlign w:val="bottom"/>
            <w:gridSpan w:val="2"/>
          </w:tcPr>
          <w:p>
            <w:pPr>
              <w:spacing w:after="0" w:line="111" w:lineRule="exact"/>
              <w:rPr>
                <w:sz w:val="20"/>
                <w:szCs w:val="20"/>
                <w:color w:val="auto"/>
              </w:rPr>
            </w:pPr>
            <w:r>
              <w:rPr>
                <w:rFonts w:ascii="MS PGothic" w:cs="MS PGothic" w:eastAsia="MS PGothic" w:hAnsi="MS PGothic"/>
                <w:sz w:val="11"/>
                <w:szCs w:val="11"/>
                <w:color w:val="auto"/>
              </w:rPr>
              <w:t>☒</w:t>
            </w:r>
          </w:p>
        </w:tc>
        <w:tc>
          <w:tcPr>
            <w:tcW w:w="1680" w:type="dxa"/>
            <w:vAlign w:val="bottom"/>
          </w:tcPr>
          <w:p>
            <w:pPr>
              <w:spacing w:after="0"/>
              <w:rPr>
                <w:sz w:val="18"/>
                <w:szCs w:val="18"/>
                <w:color w:val="auto"/>
              </w:rPr>
            </w:pPr>
          </w:p>
        </w:tc>
        <w:tc>
          <w:tcPr>
            <w:tcW w:w="2020" w:type="dxa"/>
            <w:vAlign w:val="bottom"/>
          </w:tcPr>
          <w:p>
            <w:pPr>
              <w:spacing w:after="0"/>
              <w:rPr>
                <w:sz w:val="18"/>
                <w:szCs w:val="18"/>
                <w:color w:val="auto"/>
              </w:rPr>
            </w:pPr>
          </w:p>
        </w:tc>
      </w:tr>
      <w:tr>
        <w:trPr>
          <w:trHeight w:val="202"/>
        </w:trPr>
        <w:tc>
          <w:tcPr>
            <w:tcW w:w="5880" w:type="dxa"/>
            <w:vAlign w:val="bottom"/>
            <w:gridSpan w:val="5"/>
          </w:tcPr>
          <w:p>
            <w:pPr>
              <w:spacing w:after="0"/>
              <w:rPr>
                <w:sz w:val="20"/>
                <w:szCs w:val="20"/>
                <w:color w:val="auto"/>
              </w:rPr>
            </w:pPr>
            <w:r>
              <w:rPr>
                <w:rFonts w:ascii="Times New Roman" w:cs="Times New Roman" w:eastAsia="Times New Roman" w:hAnsi="Times New Roman"/>
                <w:sz w:val="11"/>
                <w:szCs w:val="11"/>
                <w:color w:val="auto"/>
              </w:rPr>
              <w:t>Indicate by check mark if the registrant is not required to file reports pursuant to Section 13 or Section 15(d) of the Exchange Act.</w:t>
            </w:r>
          </w:p>
        </w:tc>
        <w:tc>
          <w:tcPr>
            <w:tcW w:w="500" w:type="dxa"/>
            <w:vAlign w:val="bottom"/>
            <w:gridSpan w:val="2"/>
          </w:tcPr>
          <w:p>
            <w:pPr>
              <w:ind w:left="120"/>
              <w:spacing w:after="0" w:line="127" w:lineRule="exact"/>
              <w:rPr>
                <w:sz w:val="20"/>
                <w:szCs w:val="20"/>
                <w:color w:val="auto"/>
              </w:rPr>
            </w:pPr>
            <w:r>
              <w:rPr>
                <w:rFonts w:ascii="Times New Roman" w:cs="Times New Roman" w:eastAsia="Times New Roman" w:hAnsi="Times New Roman"/>
                <w:sz w:val="11"/>
                <w:szCs w:val="11"/>
                <w:color w:val="auto"/>
              </w:rPr>
              <w:t xml:space="preserve">Yes </w:t>
            </w:r>
            <w:r>
              <w:rPr>
                <w:rFonts w:ascii="MS PGothic" w:cs="MS PGothic" w:eastAsia="MS PGothic" w:hAnsi="MS PGothic"/>
                <w:sz w:val="11"/>
                <w:szCs w:val="11"/>
                <w:color w:val="auto"/>
              </w:rPr>
              <w:t>☐</w:t>
            </w:r>
          </w:p>
        </w:tc>
        <w:tc>
          <w:tcPr>
            <w:tcW w:w="3700" w:type="dxa"/>
            <w:vAlign w:val="bottom"/>
            <w:gridSpan w:val="2"/>
          </w:tcPr>
          <w:p>
            <w:pPr>
              <w:ind w:left="60"/>
              <w:spacing w:after="0" w:line="127" w:lineRule="exact"/>
              <w:rPr>
                <w:sz w:val="20"/>
                <w:szCs w:val="20"/>
                <w:color w:val="auto"/>
              </w:rPr>
            </w:pPr>
            <w:r>
              <w:rPr>
                <w:rFonts w:ascii="Times New Roman" w:cs="Times New Roman" w:eastAsia="Times New Roman" w:hAnsi="Times New Roman"/>
                <w:sz w:val="11"/>
                <w:szCs w:val="11"/>
                <w:color w:val="auto"/>
              </w:rPr>
              <w:t xml:space="preserve">No </w:t>
            </w:r>
            <w:r>
              <w:rPr>
                <w:rFonts w:ascii="MS PGothic" w:cs="MS PGothic" w:eastAsia="MS PGothic" w:hAnsi="MS PGothic"/>
                <w:sz w:val="11"/>
                <w:szCs w:val="11"/>
                <w:color w:val="auto"/>
              </w:rPr>
              <w:t>☒</w:t>
            </w:r>
          </w:p>
        </w:tc>
      </w:tr>
    </w:tbl>
    <w:p>
      <w:pPr>
        <w:spacing w:after="0" w:line="26" w:lineRule="exact"/>
        <w:rPr>
          <w:sz w:val="24"/>
          <w:szCs w:val="24"/>
          <w:color w:val="auto"/>
        </w:rPr>
      </w:pPr>
    </w:p>
    <w:p>
      <w:pPr>
        <w:spacing w:after="0" w:line="157" w:lineRule="exact"/>
        <w:rPr>
          <w:sz w:val="20"/>
          <w:szCs w:val="20"/>
          <w:color w:val="auto"/>
        </w:rPr>
      </w:pPr>
      <w:r>
        <w:rPr>
          <w:rFonts w:ascii="Times New Roman" w:cs="Times New Roman" w:eastAsia="Times New Roman" w:hAnsi="Times New Roman"/>
          <w:sz w:val="11"/>
          <w:szCs w:val="11"/>
          <w:color w:val="auto"/>
        </w:rPr>
        <w:t xml:space="preserve">Indicate by check mark whether the registrant (1) has filed all reports required to be filed by Section 13 or 15(d) of the Securities Exchange Act of 1934 during the preceding 12 months (or for such shorter period that the registrant was required to file such reports), and (2) has been subject to such filing requirements for the past 90 days. Yes </w:t>
      </w:r>
      <w:r>
        <w:rPr>
          <w:rFonts w:ascii="MS PGothic" w:cs="MS PGothic" w:eastAsia="MS PGothic" w:hAnsi="MS PGothic"/>
          <w:sz w:val="11"/>
          <w:szCs w:val="11"/>
          <w:color w:val="auto"/>
        </w:rPr>
        <w:t>☒</w:t>
      </w:r>
      <w:r>
        <w:rPr>
          <w:rFonts w:ascii="Times New Roman" w:cs="Times New Roman" w:eastAsia="Times New Roman" w:hAnsi="Times New Roman"/>
          <w:sz w:val="11"/>
          <w:szCs w:val="11"/>
          <w:color w:val="auto"/>
        </w:rPr>
        <w:t xml:space="preserve"> No </w:t>
      </w:r>
      <w:r>
        <w:rPr>
          <w:rFonts w:ascii="MS PGothic" w:cs="MS PGothic" w:eastAsia="MS PGothic" w:hAnsi="MS PGothic"/>
          <w:sz w:val="11"/>
          <w:szCs w:val="11"/>
          <w:color w:val="auto"/>
        </w:rPr>
        <w:t>☐</w:t>
      </w:r>
    </w:p>
    <w:p>
      <w:pPr>
        <w:spacing w:after="0" w:line="26" w:lineRule="exact"/>
        <w:rPr>
          <w:sz w:val="24"/>
          <w:szCs w:val="24"/>
          <w:color w:val="auto"/>
        </w:rPr>
      </w:pPr>
    </w:p>
    <w:p>
      <w:pPr>
        <w:ind w:right="20"/>
        <w:spacing w:after="0" w:line="157" w:lineRule="exact"/>
        <w:rPr>
          <w:sz w:val="20"/>
          <w:szCs w:val="20"/>
          <w:color w:val="auto"/>
        </w:rPr>
      </w:pPr>
      <w:r>
        <w:rPr>
          <w:rFonts w:ascii="Times New Roman" w:cs="Times New Roman" w:eastAsia="Times New Roman" w:hAnsi="Times New Roman"/>
          <w:sz w:val="11"/>
          <w:szCs w:val="11"/>
          <w:color w:val="auto"/>
        </w:rPr>
        <w:t xml:space="preserve">Indicate by check mark whether the registrant has submitted electronically every Interactive Data File required to be submitted pursuant to Rule 405 of Regulation S-T during the preceding 12 months (or for such shorter period that the registrant was required to submit and post such files). Yes </w:t>
      </w:r>
      <w:r>
        <w:rPr>
          <w:rFonts w:ascii="MS PGothic" w:cs="MS PGothic" w:eastAsia="MS PGothic" w:hAnsi="MS PGothic"/>
          <w:sz w:val="11"/>
          <w:szCs w:val="11"/>
          <w:color w:val="auto"/>
        </w:rPr>
        <w:t>☒</w:t>
      </w:r>
      <w:r>
        <w:rPr>
          <w:rFonts w:ascii="Times New Roman" w:cs="Times New Roman" w:eastAsia="Times New Roman" w:hAnsi="Times New Roman"/>
          <w:sz w:val="11"/>
          <w:szCs w:val="11"/>
          <w:color w:val="auto"/>
        </w:rPr>
        <w:t xml:space="preserve"> No </w:t>
      </w:r>
      <w:r>
        <w:rPr>
          <w:rFonts w:ascii="MS PGothic" w:cs="MS PGothic" w:eastAsia="MS PGothic" w:hAnsi="MS PGothic"/>
          <w:sz w:val="11"/>
          <w:szCs w:val="11"/>
          <w:color w:val="auto"/>
        </w:rPr>
        <w:t>☐</w:t>
      </w:r>
    </w:p>
    <w:p>
      <w:pPr>
        <w:spacing w:after="0" w:line="26" w:lineRule="exact"/>
        <w:rPr>
          <w:sz w:val="24"/>
          <w:szCs w:val="24"/>
          <w:color w:val="auto"/>
        </w:rPr>
      </w:pPr>
    </w:p>
    <w:p>
      <w:pPr>
        <w:ind w:right="280"/>
        <w:spacing w:after="0" w:line="277" w:lineRule="auto"/>
        <w:rPr>
          <w:sz w:val="20"/>
          <w:szCs w:val="20"/>
          <w:color w:val="auto"/>
        </w:rPr>
      </w:pPr>
      <w:r>
        <w:rPr>
          <w:rFonts w:ascii="Times New Roman" w:cs="Times New Roman" w:eastAsia="Times New Roman" w:hAnsi="Times New Roman"/>
          <w:sz w:val="11"/>
          <w:szCs w:val="11"/>
          <w:color w:val="auto"/>
        </w:rPr>
        <w:t>Indicate by check mark whether the registrant is a large accelerated filer, an accelerated filer, a non-accelerated filer, a smaller reporting company, or emerging growth company. See the definitions of “large accelerated filer”, “accelerated filer”, “smaller reporting company”, and “emerging growth company” in Rule 12b-2 of the Exchange Act.</w:t>
      </w:r>
    </w:p>
    <w:tbl>
      <w:tblPr>
        <w:tblLayout w:type="fixed"/>
        <w:tblInd w:w="20" w:type="dxa"/>
        <w:tblCellMar>
          <w:top w:w="0" w:type="dxa"/>
          <w:left w:w="0" w:type="dxa"/>
          <w:bottom w:w="0" w:type="dxa"/>
          <w:right w:w="0" w:type="dxa"/>
        </w:tblCellMar>
      </w:tblPr>
      <w:tr>
        <w:trPr>
          <w:trHeight w:val="191"/>
        </w:trPr>
        <w:tc>
          <w:tcPr>
            <w:tcW w:w="2080" w:type="dxa"/>
            <w:vAlign w:val="bottom"/>
          </w:tcPr>
          <w:p>
            <w:pPr>
              <w:spacing w:after="0"/>
              <w:rPr>
                <w:sz w:val="20"/>
                <w:szCs w:val="20"/>
                <w:color w:val="auto"/>
              </w:rPr>
            </w:pPr>
            <w:r>
              <w:rPr>
                <w:rFonts w:ascii="Times New Roman" w:cs="Times New Roman" w:eastAsia="Times New Roman" w:hAnsi="Times New Roman"/>
                <w:sz w:val="11"/>
                <w:szCs w:val="11"/>
                <w:color w:val="auto"/>
              </w:rPr>
              <w:t>Large accelerated filer</w:t>
            </w:r>
          </w:p>
        </w:tc>
        <w:tc>
          <w:tcPr>
            <w:tcW w:w="3380" w:type="dxa"/>
            <w:vAlign w:val="bottom"/>
          </w:tcPr>
          <w:p>
            <w:pPr>
              <w:ind w:left="1040"/>
              <w:spacing w:after="0" w:line="111" w:lineRule="exact"/>
              <w:rPr>
                <w:sz w:val="20"/>
                <w:szCs w:val="20"/>
                <w:color w:val="auto"/>
              </w:rPr>
            </w:pPr>
            <w:r>
              <w:rPr>
                <w:rFonts w:ascii="MS PGothic" w:cs="MS PGothic" w:eastAsia="MS PGothic" w:hAnsi="MS PGothic"/>
                <w:sz w:val="11"/>
                <w:szCs w:val="11"/>
                <w:color w:val="auto"/>
              </w:rPr>
              <w:t>☐</w:t>
            </w:r>
          </w:p>
        </w:tc>
        <w:tc>
          <w:tcPr>
            <w:tcW w:w="4360" w:type="dxa"/>
            <w:vAlign w:val="bottom"/>
          </w:tcPr>
          <w:p>
            <w:pPr>
              <w:ind w:left="2200"/>
              <w:spacing w:after="0"/>
              <w:rPr>
                <w:sz w:val="20"/>
                <w:szCs w:val="20"/>
                <w:color w:val="auto"/>
              </w:rPr>
            </w:pPr>
            <w:r>
              <w:rPr>
                <w:rFonts w:ascii="Times New Roman" w:cs="Times New Roman" w:eastAsia="Times New Roman" w:hAnsi="Times New Roman"/>
                <w:sz w:val="11"/>
                <w:szCs w:val="11"/>
                <w:color w:val="auto"/>
              </w:rPr>
              <w:t>Accelerated filer</w:t>
            </w:r>
          </w:p>
        </w:tc>
        <w:tc>
          <w:tcPr>
            <w:tcW w:w="1000" w:type="dxa"/>
            <w:vAlign w:val="bottom"/>
          </w:tcPr>
          <w:p>
            <w:pPr>
              <w:ind w:left="900"/>
              <w:spacing w:after="0" w:line="111" w:lineRule="exact"/>
              <w:rPr>
                <w:sz w:val="20"/>
                <w:szCs w:val="20"/>
                <w:color w:val="auto"/>
              </w:rPr>
            </w:pPr>
            <w:r>
              <w:rPr>
                <w:rFonts w:ascii="MS PGothic" w:cs="MS PGothic" w:eastAsia="MS PGothic" w:hAnsi="MS PGothic"/>
                <w:sz w:val="11"/>
                <w:szCs w:val="11"/>
                <w:color w:val="auto"/>
                <w:w w:val="72"/>
              </w:rPr>
              <w:t>☐</w:t>
            </w:r>
          </w:p>
        </w:tc>
      </w:tr>
      <w:tr>
        <w:trPr>
          <w:trHeight w:val="297"/>
        </w:trPr>
        <w:tc>
          <w:tcPr>
            <w:tcW w:w="2080" w:type="dxa"/>
            <w:vAlign w:val="bottom"/>
          </w:tcPr>
          <w:p>
            <w:pPr>
              <w:spacing w:after="0"/>
              <w:rPr>
                <w:sz w:val="20"/>
                <w:szCs w:val="20"/>
                <w:color w:val="auto"/>
              </w:rPr>
            </w:pPr>
            <w:r>
              <w:rPr>
                <w:rFonts w:ascii="Times New Roman" w:cs="Times New Roman" w:eastAsia="Times New Roman" w:hAnsi="Times New Roman"/>
                <w:sz w:val="11"/>
                <w:szCs w:val="11"/>
                <w:color w:val="auto"/>
              </w:rPr>
              <w:t>Non-accelerated filer</w:t>
            </w:r>
          </w:p>
        </w:tc>
        <w:tc>
          <w:tcPr>
            <w:tcW w:w="3380" w:type="dxa"/>
            <w:vAlign w:val="bottom"/>
          </w:tcPr>
          <w:p>
            <w:pPr>
              <w:ind w:left="1040"/>
              <w:spacing w:after="0" w:line="111" w:lineRule="exact"/>
              <w:rPr>
                <w:sz w:val="20"/>
                <w:szCs w:val="20"/>
                <w:color w:val="auto"/>
              </w:rPr>
            </w:pPr>
            <w:r>
              <w:rPr>
                <w:rFonts w:ascii="MS PGothic" w:cs="MS PGothic" w:eastAsia="MS PGothic" w:hAnsi="MS PGothic"/>
                <w:sz w:val="11"/>
                <w:szCs w:val="11"/>
                <w:color w:val="auto"/>
              </w:rPr>
              <w:t>☒</w:t>
            </w:r>
          </w:p>
        </w:tc>
        <w:tc>
          <w:tcPr>
            <w:tcW w:w="4360" w:type="dxa"/>
            <w:vAlign w:val="bottom"/>
          </w:tcPr>
          <w:p>
            <w:pPr>
              <w:ind w:left="2200"/>
              <w:spacing w:after="0"/>
              <w:rPr>
                <w:sz w:val="20"/>
                <w:szCs w:val="20"/>
                <w:color w:val="auto"/>
              </w:rPr>
            </w:pPr>
            <w:r>
              <w:rPr>
                <w:rFonts w:ascii="Times New Roman" w:cs="Times New Roman" w:eastAsia="Times New Roman" w:hAnsi="Times New Roman"/>
                <w:sz w:val="11"/>
                <w:szCs w:val="11"/>
                <w:color w:val="auto"/>
              </w:rPr>
              <w:t>Smaller reporting company</w:t>
            </w:r>
          </w:p>
        </w:tc>
        <w:tc>
          <w:tcPr>
            <w:tcW w:w="1000" w:type="dxa"/>
            <w:vAlign w:val="bottom"/>
          </w:tcPr>
          <w:p>
            <w:pPr>
              <w:ind w:left="900"/>
              <w:spacing w:after="0" w:line="111" w:lineRule="exact"/>
              <w:rPr>
                <w:sz w:val="20"/>
                <w:szCs w:val="20"/>
                <w:color w:val="auto"/>
              </w:rPr>
            </w:pPr>
            <w:r>
              <w:rPr>
                <w:rFonts w:ascii="MS PGothic" w:cs="MS PGothic" w:eastAsia="MS PGothic" w:hAnsi="MS PGothic"/>
                <w:sz w:val="11"/>
                <w:szCs w:val="11"/>
                <w:color w:val="auto"/>
                <w:w w:val="72"/>
              </w:rPr>
              <w:t>☒</w:t>
            </w:r>
          </w:p>
        </w:tc>
      </w:tr>
      <w:tr>
        <w:trPr>
          <w:trHeight w:val="202"/>
        </w:trPr>
        <w:tc>
          <w:tcPr>
            <w:tcW w:w="2080" w:type="dxa"/>
            <w:vAlign w:val="bottom"/>
          </w:tcPr>
          <w:p>
            <w:pPr>
              <w:spacing w:after="0"/>
              <w:rPr>
                <w:sz w:val="17"/>
                <w:szCs w:val="17"/>
                <w:color w:val="auto"/>
              </w:rPr>
            </w:pPr>
          </w:p>
        </w:tc>
        <w:tc>
          <w:tcPr>
            <w:tcW w:w="3380" w:type="dxa"/>
            <w:vAlign w:val="bottom"/>
          </w:tcPr>
          <w:p>
            <w:pPr>
              <w:spacing w:after="0"/>
              <w:rPr>
                <w:sz w:val="17"/>
                <w:szCs w:val="17"/>
                <w:color w:val="auto"/>
              </w:rPr>
            </w:pPr>
          </w:p>
        </w:tc>
        <w:tc>
          <w:tcPr>
            <w:tcW w:w="4360" w:type="dxa"/>
            <w:vAlign w:val="bottom"/>
          </w:tcPr>
          <w:p>
            <w:pPr>
              <w:ind w:left="2200"/>
              <w:spacing w:after="0"/>
              <w:rPr>
                <w:sz w:val="20"/>
                <w:szCs w:val="20"/>
                <w:color w:val="auto"/>
              </w:rPr>
            </w:pPr>
            <w:r>
              <w:rPr>
                <w:rFonts w:ascii="Times New Roman" w:cs="Times New Roman" w:eastAsia="Times New Roman" w:hAnsi="Times New Roman"/>
                <w:sz w:val="11"/>
                <w:szCs w:val="11"/>
                <w:color w:val="auto"/>
              </w:rPr>
              <w:t>Emerging growth company</w:t>
            </w:r>
          </w:p>
        </w:tc>
        <w:tc>
          <w:tcPr>
            <w:tcW w:w="1000" w:type="dxa"/>
            <w:vAlign w:val="bottom"/>
          </w:tcPr>
          <w:p>
            <w:pPr>
              <w:ind w:left="900"/>
              <w:spacing w:after="0" w:line="111" w:lineRule="exact"/>
              <w:rPr>
                <w:sz w:val="20"/>
                <w:szCs w:val="20"/>
                <w:color w:val="auto"/>
              </w:rPr>
            </w:pPr>
            <w:r>
              <w:rPr>
                <w:rFonts w:ascii="MS PGothic" w:cs="MS PGothic" w:eastAsia="MS PGothic" w:hAnsi="MS PGothic"/>
                <w:sz w:val="11"/>
                <w:szCs w:val="11"/>
                <w:color w:val="auto"/>
                <w:w w:val="72"/>
              </w:rPr>
              <w:t>☐</w:t>
            </w:r>
          </w:p>
        </w:tc>
      </w:tr>
    </w:tbl>
    <w:p>
      <w:pPr>
        <w:spacing w:after="0" w:line="100" w:lineRule="exact"/>
        <w:rPr>
          <w:sz w:val="24"/>
          <w:szCs w:val="24"/>
          <w:color w:val="auto"/>
        </w:rPr>
      </w:pPr>
    </w:p>
    <w:p>
      <w:pPr>
        <w:ind w:right="80"/>
        <w:spacing w:after="0" w:line="157" w:lineRule="exact"/>
        <w:rPr>
          <w:sz w:val="20"/>
          <w:szCs w:val="20"/>
          <w:color w:val="auto"/>
        </w:rPr>
      </w:pPr>
      <w:r>
        <w:rPr>
          <w:rFonts w:ascii="Times New Roman" w:cs="Times New Roman" w:eastAsia="Times New Roman" w:hAnsi="Times New Roman"/>
          <w:sz w:val="11"/>
          <w:szCs w:val="11"/>
          <w:color w:val="auto"/>
        </w:rPr>
        <w:t xml:space="preserve">If an emerging growth company, indicate by check mark if the registrant has elected not to use the extended transition period for complying with any new or revised financial accounting standards provided pursuant to Section 13(a) of the Exchange Act. </w:t>
      </w:r>
      <w:r>
        <w:rPr>
          <w:rFonts w:ascii="MS PGothic" w:cs="MS PGothic" w:eastAsia="MS PGothic" w:hAnsi="MS PGothic"/>
          <w:sz w:val="11"/>
          <w:szCs w:val="11"/>
          <w:color w:val="auto"/>
        </w:rPr>
        <w:t>☐</w:t>
      </w:r>
    </w:p>
    <w:p>
      <w:pPr>
        <w:spacing w:after="0" w:line="26" w:lineRule="exact"/>
        <w:rPr>
          <w:sz w:val="24"/>
          <w:szCs w:val="24"/>
          <w:color w:val="auto"/>
        </w:rPr>
      </w:pPr>
    </w:p>
    <w:p>
      <w:pPr>
        <w:ind w:right="420"/>
        <w:spacing w:after="0" w:line="152" w:lineRule="exact"/>
        <w:rPr>
          <w:sz w:val="20"/>
          <w:szCs w:val="20"/>
          <w:color w:val="auto"/>
        </w:rPr>
      </w:pPr>
      <w:r>
        <w:rPr>
          <w:rFonts w:ascii="Times New Roman" w:cs="Times New Roman" w:eastAsia="Times New Roman" w:hAnsi="Times New Roman"/>
          <w:sz w:val="11"/>
          <w:szCs w:val="11"/>
          <w:color w:val="auto"/>
        </w:rPr>
        <w:t xml:space="preserve">Indicate by check mark whether the registrant has filed a report on and attestation to its management’s assessment of the effectiveness of its internal control over financial reporting under Section 404(b) of the Sarbanes-Oxley Act (15 U.S.C. 7262(b)) by the registered public accounting firm that prepared or issued its audit report. Yes </w:t>
      </w:r>
      <w:r>
        <w:rPr>
          <w:rFonts w:ascii="MS PGothic" w:cs="MS PGothic" w:eastAsia="MS PGothic" w:hAnsi="MS PGothic"/>
          <w:sz w:val="11"/>
          <w:szCs w:val="11"/>
          <w:color w:val="auto"/>
        </w:rPr>
        <w:t>☐</w:t>
      </w:r>
    </w:p>
    <w:p>
      <w:pPr>
        <w:spacing w:after="0" w:line="21" w:lineRule="exact"/>
        <w:rPr>
          <w:sz w:val="24"/>
          <w:szCs w:val="24"/>
          <w:color w:val="auto"/>
        </w:rPr>
      </w:pPr>
    </w:p>
    <w:p>
      <w:pPr>
        <w:spacing w:after="0" w:line="127" w:lineRule="exact"/>
        <w:rPr>
          <w:sz w:val="20"/>
          <w:szCs w:val="20"/>
          <w:color w:val="auto"/>
        </w:rPr>
      </w:pPr>
      <w:r>
        <w:rPr>
          <w:rFonts w:ascii="Times New Roman" w:cs="Times New Roman" w:eastAsia="Times New Roman" w:hAnsi="Times New Roman"/>
          <w:sz w:val="11"/>
          <w:szCs w:val="11"/>
          <w:color w:val="auto"/>
        </w:rPr>
        <w:t xml:space="preserve">If securities are registered pursuant to Section 12(b) of the Act, indicate by check mark whether the financial statements of the registrant included in the filing reflect the correction of an error to previously issued financial statements. </w:t>
      </w:r>
      <w:r>
        <w:rPr>
          <w:rFonts w:ascii="MS PGothic" w:cs="MS PGothic" w:eastAsia="MS PGothic" w:hAnsi="MS PGothic"/>
          <w:sz w:val="11"/>
          <w:szCs w:val="11"/>
          <w:color w:val="auto"/>
        </w:rPr>
        <w:t>☐</w:t>
      </w:r>
    </w:p>
    <w:p>
      <w:pPr>
        <w:spacing w:after="0" w:line="91" w:lineRule="exact"/>
        <w:rPr>
          <w:sz w:val="24"/>
          <w:szCs w:val="24"/>
          <w:color w:val="auto"/>
        </w:rPr>
      </w:pPr>
    </w:p>
    <w:p>
      <w:pPr>
        <w:ind w:right="140"/>
        <w:spacing w:after="0" w:line="157" w:lineRule="exact"/>
        <w:rPr>
          <w:sz w:val="20"/>
          <w:szCs w:val="20"/>
          <w:color w:val="auto"/>
        </w:rPr>
      </w:pPr>
      <w:r>
        <w:rPr>
          <w:rFonts w:ascii="Times New Roman" w:cs="Times New Roman" w:eastAsia="Times New Roman" w:hAnsi="Times New Roman"/>
          <w:sz w:val="11"/>
          <w:szCs w:val="11"/>
          <w:color w:val="auto"/>
        </w:rPr>
        <w:t xml:space="preserve">Indicate by check mark whether any of those error corrections are restatements that required a recovery analysis of incentive-based compensation received by any of the registrant’s executive officers during the relevant recovery period pursuant to §240.10D-1(b). </w:t>
      </w:r>
      <w:r>
        <w:rPr>
          <w:rFonts w:ascii="MS PGothic" w:cs="MS PGothic" w:eastAsia="MS PGothic" w:hAnsi="MS PGothic"/>
          <w:sz w:val="11"/>
          <w:szCs w:val="11"/>
          <w:color w:val="auto"/>
        </w:rPr>
        <w:t>☐</w:t>
      </w:r>
    </w:p>
    <w:p>
      <w:pPr>
        <w:spacing w:after="0" w:line="11" w:lineRule="exact"/>
        <w:rPr>
          <w:sz w:val="24"/>
          <w:szCs w:val="24"/>
          <w:color w:val="auto"/>
        </w:rPr>
      </w:pPr>
    </w:p>
    <w:p>
      <w:pPr>
        <w:spacing w:after="0" w:line="127" w:lineRule="exact"/>
        <w:tabs>
          <w:tab w:leader="none" w:pos="5220" w:val="left"/>
          <w:tab w:leader="none" w:pos="5680" w:val="left"/>
        </w:tabs>
        <w:rPr>
          <w:sz w:val="20"/>
          <w:szCs w:val="20"/>
          <w:color w:val="auto"/>
        </w:rPr>
      </w:pPr>
      <w:r>
        <w:rPr>
          <w:rFonts w:ascii="Times New Roman" w:cs="Times New Roman" w:eastAsia="Times New Roman" w:hAnsi="Times New Roman"/>
          <w:sz w:val="11"/>
          <w:szCs w:val="11"/>
          <w:color w:val="auto"/>
        </w:rPr>
        <w:t>Indicate by check mark whether the registrant is a shell company (as defined in Rule 12b-2 of the Exchange Act).</w:t>
        <w:tab/>
        <w:t xml:space="preserve">Yes </w:t>
      </w:r>
      <w:r>
        <w:rPr>
          <w:rFonts w:ascii="MS PGothic" w:cs="MS PGothic" w:eastAsia="MS PGothic" w:hAnsi="MS PGothic"/>
          <w:sz w:val="11"/>
          <w:szCs w:val="11"/>
          <w:color w:val="auto"/>
        </w:rPr>
        <w:t>☐</w:t>
      </w:r>
      <w:r>
        <w:rPr>
          <w:rFonts w:ascii="Times New Roman" w:cs="Times New Roman" w:eastAsia="Times New Roman" w:hAnsi="Times New Roman"/>
          <w:sz w:val="11"/>
          <w:szCs w:val="11"/>
          <w:color w:val="auto"/>
        </w:rPr>
        <w:tab/>
        <w:t xml:space="preserve">No </w:t>
      </w:r>
      <w:r>
        <w:rPr>
          <w:rFonts w:ascii="MS PGothic" w:cs="MS PGothic" w:eastAsia="MS PGothic" w:hAnsi="MS PGothic"/>
          <w:sz w:val="11"/>
          <w:szCs w:val="11"/>
          <w:color w:val="auto"/>
        </w:rPr>
        <w:t>☒</w:t>
      </w:r>
    </w:p>
    <w:p>
      <w:pPr>
        <w:spacing w:after="0" w:line="91" w:lineRule="exact"/>
        <w:rPr>
          <w:sz w:val="24"/>
          <w:szCs w:val="24"/>
          <w:color w:val="auto"/>
        </w:rPr>
      </w:pPr>
    </w:p>
    <w:p>
      <w:pPr>
        <w:ind w:right="60"/>
        <w:spacing w:after="0" w:line="300" w:lineRule="auto"/>
        <w:rPr>
          <w:sz w:val="20"/>
          <w:szCs w:val="20"/>
          <w:color w:val="auto"/>
        </w:rPr>
      </w:pPr>
      <w:r>
        <w:rPr>
          <w:rFonts w:ascii="Times New Roman" w:cs="Times New Roman" w:eastAsia="Times New Roman" w:hAnsi="Times New Roman"/>
          <w:sz w:val="11"/>
          <w:szCs w:val="11"/>
          <w:color w:val="auto"/>
        </w:rPr>
        <w:t>The aggregate market value on June 30, 2025 of the voting and non-voting common equity held by non-affiliates of the registrant was $98,480,184. For purposes of this calculation, the registrant has assumed that stockholders that are not officers or directors of the registrant are not affiliates of the registrant.</w:t>
      </w:r>
    </w:p>
    <w:p>
      <w:pPr>
        <w:spacing w:after="0" w:line="13" w:lineRule="exact"/>
        <w:rPr>
          <w:sz w:val="24"/>
          <w:szCs w:val="24"/>
          <w:color w:val="auto"/>
        </w:rPr>
      </w:pPr>
    </w:p>
    <w:p>
      <w:pPr>
        <w:spacing w:after="0"/>
        <w:rPr>
          <w:sz w:val="20"/>
          <w:szCs w:val="20"/>
          <w:color w:val="auto"/>
        </w:rPr>
      </w:pPr>
      <w:r>
        <w:rPr>
          <w:rFonts w:ascii="Times New Roman" w:cs="Times New Roman" w:eastAsia="Times New Roman" w:hAnsi="Times New Roman"/>
          <w:sz w:val="11"/>
          <w:szCs w:val="11"/>
          <w:color w:val="auto"/>
        </w:rPr>
        <w:t>The number of shares of registrant’s Common Stock, par value $0.01 per share, outstanding as of February 27, 2026: 9,484,473.</w:t>
      </w:r>
    </w:p>
    <w:p>
      <w:pPr>
        <w:spacing w:after="0" w:line="62" w:lineRule="exact"/>
        <w:rPr>
          <w:sz w:val="24"/>
          <w:szCs w:val="24"/>
          <w:color w:val="auto"/>
        </w:rPr>
      </w:pPr>
    </w:p>
    <w:p>
      <w:pPr>
        <w:ind w:left="4340"/>
        <w:spacing w:after="0"/>
        <w:rPr>
          <w:sz w:val="20"/>
          <w:szCs w:val="20"/>
          <w:color w:val="auto"/>
        </w:rPr>
      </w:pPr>
      <w:r>
        <w:rPr>
          <w:rFonts w:ascii="Times New Roman" w:cs="Times New Roman" w:eastAsia="Times New Roman" w:hAnsi="Times New Roman"/>
          <w:sz w:val="11"/>
          <w:szCs w:val="11"/>
          <w:b w:val="1"/>
          <w:bCs w:val="1"/>
          <w:color w:val="auto"/>
        </w:rPr>
        <w:t>DOCUMENTS INCORPORATED BY REFERENCE</w:t>
      </w:r>
    </w:p>
    <w:p>
      <w:pPr>
        <w:spacing w:after="0" w:line="66" w:lineRule="exact"/>
        <w:rPr>
          <w:sz w:val="24"/>
          <w:szCs w:val="24"/>
          <w:color w:val="auto"/>
        </w:rPr>
      </w:pPr>
    </w:p>
    <w:p>
      <w:pPr>
        <w:ind w:right="40"/>
        <w:spacing w:after="0" w:line="300" w:lineRule="auto"/>
        <w:rPr>
          <w:sz w:val="20"/>
          <w:szCs w:val="20"/>
          <w:color w:val="auto"/>
        </w:rPr>
      </w:pPr>
      <w:r>
        <w:rPr>
          <w:rFonts w:ascii="Times New Roman" w:cs="Times New Roman" w:eastAsia="Times New Roman" w:hAnsi="Times New Roman"/>
          <w:sz w:val="11"/>
          <w:szCs w:val="11"/>
          <w:color w:val="auto"/>
        </w:rPr>
        <w:t>Selected portions of the registrant’s definitive Proxy Statement for the 2026 Annual Meeting of Stockholders, which will be filed with the U.S. Securities and Exchange Commission within 120 days after the end of the fiscal year to which this report relates, are incorporated by reference into Part III hereof.</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-8890</wp:posOffset>
            </wp:positionH>
            <wp:positionV relativeFrom="paragraph">
              <wp:posOffset>639445</wp:posOffset>
            </wp:positionV>
            <wp:extent cx="7186930" cy="38735"/>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7186930" cy="38735"/>
                    </a:xfrm>
                    <a:prstGeom prst="rect">
                      <a:avLst/>
                    </a:prstGeom>
                    <a:noFill/>
                  </pic:spPr>
                </pic:pic>
              </a:graphicData>
            </a:graphic>
          </wp:anchor>
        </w:drawing>
        <w:drawing>
          <wp:anchor simplePos="0" relativeHeight="251657728" behindDoc="1" locked="0" layoutInCell="0" allowOverlap="1">
            <wp:simplePos x="0" y="0"/>
            <wp:positionH relativeFrom="column">
              <wp:posOffset>3175</wp:posOffset>
            </wp:positionH>
            <wp:positionV relativeFrom="paragraph">
              <wp:posOffset>26035</wp:posOffset>
            </wp:positionV>
            <wp:extent cx="7114540" cy="6985"/>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7114540" cy="6985"/>
                    </a:xfrm>
                    <a:prstGeom prst="rect">
                      <a:avLst/>
                    </a:prstGeom>
                    <a:noFill/>
                  </pic:spPr>
                </pic:pic>
              </a:graphicData>
            </a:graphic>
          </wp:anchor>
        </w:drawing>
        <w:drawing>
          <wp:anchor simplePos="0" relativeHeight="251657728" behindDoc="1" locked="0" layoutInCell="0" allowOverlap="1">
            <wp:simplePos x="0" y="0"/>
            <wp:positionH relativeFrom="column">
              <wp:posOffset>3175</wp:posOffset>
            </wp:positionH>
            <wp:positionV relativeFrom="paragraph">
              <wp:posOffset>-635</wp:posOffset>
            </wp:positionV>
            <wp:extent cx="7114540" cy="6985"/>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3">
                      <a:extLst>
                        <a:ext uri="{28A0092B-C50C-407E-A947-70E740481C1C}"/>
                      </a:extLst>
                    </a:blip>
                    <a:srcRect/>
                    <a:stretch>
                      <a:fillRect/>
                    </a:stretch>
                  </pic:blipFill>
                  <pic:spPr bwMode="auto">
                    <a:xfrm>
                      <a:off x="0" y="0"/>
                      <a:ext cx="7114540" cy="6985"/>
                    </a:xfrm>
                    <a:prstGeom prst="rect">
                      <a:avLst/>
                    </a:prstGeom>
                    <a:noFill/>
                  </pic:spPr>
                </pic:pic>
              </a:graphicData>
            </a:graphic>
          </wp:anchor>
        </w:drawing>
      </w:r>
    </w:p>
    <w:p>
      <w:pPr>
        <w:sectPr>
          <w:pgSz w:w="11900" w:h="16838" w:orient="portrait"/>
          <w:cols w:equalWidth="0" w:num="1">
            <w:col w:w="11280"/>
          </w:cols>
          <w:pgMar w:left="300" w:top="1017" w:right="319" w:bottom="1440" w:gutter="0" w:footer="0" w:header="0"/>
          <w:type w:val="continuous"/>
        </w:sectPr>
      </w:pPr>
    </w:p>
    <w:bookmarkStart w:id="1" w:name="page2"/>
    <w:bookmarkEnd w:id="1"/>
    <w:tbl>
      <w:tblPr>
        <w:tblLayout w:type="fixed"/>
        <w:tblInd w:w="0" w:type="dxa"/>
        <w:tblCellMar>
          <w:top w:w="0" w:type="dxa"/>
          <w:left w:w="0" w:type="dxa"/>
          <w:bottom w:w="0" w:type="dxa"/>
          <w:right w:w="0" w:type="dxa"/>
        </w:tblCellMar>
      </w:tblPr>
      <w:tr>
        <w:trPr>
          <w:trHeight w:val="186"/>
        </w:trPr>
        <w:tc>
          <w:tcPr>
            <w:tcW w:w="34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60" w:type="dxa"/>
            <w:vAlign w:val="bottom"/>
          </w:tcPr>
          <w:p>
            <w:pPr>
              <w:spacing w:after="0"/>
              <w:rPr>
                <w:sz w:val="16"/>
                <w:szCs w:val="16"/>
                <w:color w:val="auto"/>
              </w:rPr>
            </w:pPr>
          </w:p>
        </w:tc>
        <w:tc>
          <w:tcPr>
            <w:tcW w:w="6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520" w:type="dxa"/>
            <w:vAlign w:val="bottom"/>
          </w:tcPr>
          <w:p>
            <w:pPr>
              <w:spacing w:after="0"/>
              <w:rPr>
                <w:sz w:val="16"/>
                <w:szCs w:val="16"/>
                <w:color w:val="auto"/>
              </w:rPr>
            </w:pPr>
          </w:p>
        </w:tc>
        <w:tc>
          <w:tcPr>
            <w:tcW w:w="4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24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6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660" w:type="dxa"/>
            <w:vAlign w:val="bottom"/>
          </w:tcPr>
          <w:p>
            <w:pPr>
              <w:spacing w:after="0"/>
              <w:rPr>
                <w:sz w:val="16"/>
                <w:szCs w:val="16"/>
                <w:color w:val="auto"/>
              </w:rPr>
            </w:pPr>
          </w:p>
        </w:tc>
        <w:tc>
          <w:tcPr>
            <w:tcW w:w="40" w:type="dxa"/>
            <w:vAlign w:val="bottom"/>
          </w:tcPr>
          <w:p>
            <w:pPr>
              <w:spacing w:after="0"/>
              <w:rPr>
                <w:sz w:val="16"/>
                <w:szCs w:val="16"/>
                <w:color w:val="auto"/>
              </w:rPr>
            </w:pPr>
          </w:p>
        </w:tc>
        <w:tc>
          <w:tcPr>
            <w:tcW w:w="320" w:type="dxa"/>
            <w:vAlign w:val="bottom"/>
          </w:tcPr>
          <w:p>
            <w:pPr>
              <w:spacing w:after="0"/>
              <w:rPr>
                <w:sz w:val="16"/>
                <w:szCs w:val="16"/>
                <w:color w:val="auto"/>
              </w:rPr>
            </w:pPr>
          </w:p>
        </w:tc>
        <w:tc>
          <w:tcPr>
            <w:tcW w:w="700" w:type="dxa"/>
            <w:vAlign w:val="bottom"/>
          </w:tcPr>
          <w:p>
            <w:pPr>
              <w:spacing w:after="0"/>
              <w:rPr>
                <w:sz w:val="16"/>
                <w:szCs w:val="16"/>
                <w:color w:val="auto"/>
              </w:rPr>
            </w:pPr>
          </w:p>
        </w:tc>
        <w:tc>
          <w:tcPr>
            <w:tcW w:w="6020" w:type="dxa"/>
            <w:vAlign w:val="bottom"/>
            <w:gridSpan w:val="8"/>
          </w:tcPr>
          <w:p>
            <w:pPr>
              <w:jc w:val="center"/>
              <w:ind w:right="3420"/>
              <w:spacing w:after="0"/>
              <w:rPr>
                <w:sz w:val="20"/>
                <w:szCs w:val="20"/>
                <w:color w:val="auto"/>
              </w:rPr>
            </w:pPr>
            <w:r>
              <w:rPr>
                <w:rFonts w:ascii="Times New Roman" w:cs="Times New Roman" w:eastAsia="Times New Roman" w:hAnsi="Times New Roman"/>
                <w:sz w:val="14"/>
                <w:szCs w:val="14"/>
                <w:b w:val="1"/>
                <w:bCs w:val="1"/>
                <w:color w:val="auto"/>
              </w:rPr>
              <w:t>WESTWOOD HOLDINGS GROUP, INC.</w:t>
            </w:r>
          </w:p>
        </w:tc>
        <w:tc>
          <w:tcPr>
            <w:tcW w:w="900" w:type="dxa"/>
            <w:vAlign w:val="bottom"/>
          </w:tcPr>
          <w:p>
            <w:pPr>
              <w:spacing w:after="0"/>
              <w:rPr>
                <w:sz w:val="16"/>
                <w:szCs w:val="16"/>
                <w:color w:val="auto"/>
              </w:rPr>
            </w:pPr>
          </w:p>
        </w:tc>
      </w:tr>
      <w:tr>
        <w:trPr>
          <w:trHeight w:val="255"/>
        </w:trPr>
        <w:tc>
          <w:tcPr>
            <w:tcW w:w="340" w:type="dxa"/>
            <w:vAlign w:val="bottom"/>
          </w:tcPr>
          <w:p>
            <w:pPr>
              <w:spacing w:after="0"/>
              <w:rPr>
                <w:sz w:val="22"/>
                <w:szCs w:val="22"/>
                <w:color w:val="auto"/>
              </w:rPr>
            </w:pPr>
          </w:p>
        </w:tc>
        <w:tc>
          <w:tcPr>
            <w:tcW w:w="160" w:type="dxa"/>
            <w:vAlign w:val="bottom"/>
          </w:tcPr>
          <w:p>
            <w:pPr>
              <w:spacing w:after="0"/>
              <w:rPr>
                <w:sz w:val="22"/>
                <w:szCs w:val="22"/>
                <w:color w:val="auto"/>
              </w:rPr>
            </w:pPr>
          </w:p>
        </w:tc>
        <w:tc>
          <w:tcPr>
            <w:tcW w:w="60" w:type="dxa"/>
            <w:vAlign w:val="bottom"/>
          </w:tcPr>
          <w:p>
            <w:pPr>
              <w:spacing w:after="0"/>
              <w:rPr>
                <w:sz w:val="22"/>
                <w:szCs w:val="22"/>
                <w:color w:val="auto"/>
              </w:rPr>
            </w:pPr>
          </w:p>
        </w:tc>
        <w:tc>
          <w:tcPr>
            <w:tcW w:w="60" w:type="dxa"/>
            <w:vAlign w:val="bottom"/>
          </w:tcPr>
          <w:p>
            <w:pPr>
              <w:spacing w:after="0"/>
              <w:rPr>
                <w:sz w:val="22"/>
                <w:szCs w:val="22"/>
                <w:color w:val="auto"/>
              </w:rPr>
            </w:pPr>
          </w:p>
        </w:tc>
        <w:tc>
          <w:tcPr>
            <w:tcW w:w="20" w:type="dxa"/>
            <w:vAlign w:val="bottom"/>
          </w:tcPr>
          <w:p>
            <w:pPr>
              <w:spacing w:after="0"/>
              <w:rPr>
                <w:sz w:val="22"/>
                <w:szCs w:val="22"/>
                <w:color w:val="auto"/>
              </w:rPr>
            </w:pPr>
          </w:p>
        </w:tc>
        <w:tc>
          <w:tcPr>
            <w:tcW w:w="160" w:type="dxa"/>
            <w:vAlign w:val="bottom"/>
          </w:tcPr>
          <w:p>
            <w:pPr>
              <w:spacing w:after="0"/>
              <w:rPr>
                <w:sz w:val="22"/>
                <w:szCs w:val="22"/>
                <w:color w:val="auto"/>
              </w:rPr>
            </w:pPr>
          </w:p>
        </w:tc>
        <w:tc>
          <w:tcPr>
            <w:tcW w:w="520" w:type="dxa"/>
            <w:vAlign w:val="bottom"/>
          </w:tcPr>
          <w:p>
            <w:pPr>
              <w:spacing w:after="0"/>
              <w:rPr>
                <w:sz w:val="22"/>
                <w:szCs w:val="22"/>
                <w:color w:val="auto"/>
              </w:rPr>
            </w:pPr>
          </w:p>
        </w:tc>
        <w:tc>
          <w:tcPr>
            <w:tcW w:w="40" w:type="dxa"/>
            <w:vAlign w:val="bottom"/>
          </w:tcPr>
          <w:p>
            <w:pPr>
              <w:spacing w:after="0"/>
              <w:rPr>
                <w:sz w:val="22"/>
                <w:szCs w:val="22"/>
                <w:color w:val="auto"/>
              </w:rPr>
            </w:pPr>
          </w:p>
        </w:tc>
        <w:tc>
          <w:tcPr>
            <w:tcW w:w="80" w:type="dxa"/>
            <w:vAlign w:val="bottom"/>
          </w:tcPr>
          <w:p>
            <w:pPr>
              <w:spacing w:after="0"/>
              <w:rPr>
                <w:sz w:val="22"/>
                <w:szCs w:val="22"/>
                <w:color w:val="auto"/>
              </w:rPr>
            </w:pPr>
          </w:p>
        </w:tc>
        <w:tc>
          <w:tcPr>
            <w:tcW w:w="240" w:type="dxa"/>
            <w:vAlign w:val="bottom"/>
          </w:tcPr>
          <w:p>
            <w:pPr>
              <w:spacing w:after="0"/>
              <w:rPr>
                <w:sz w:val="22"/>
                <w:szCs w:val="22"/>
                <w:color w:val="auto"/>
              </w:rPr>
            </w:pPr>
          </w:p>
        </w:tc>
        <w:tc>
          <w:tcPr>
            <w:tcW w:w="80" w:type="dxa"/>
            <w:vAlign w:val="bottom"/>
          </w:tcPr>
          <w:p>
            <w:pPr>
              <w:spacing w:after="0"/>
              <w:rPr>
                <w:sz w:val="22"/>
                <w:szCs w:val="22"/>
                <w:color w:val="auto"/>
              </w:rPr>
            </w:pPr>
          </w:p>
        </w:tc>
        <w:tc>
          <w:tcPr>
            <w:tcW w:w="140" w:type="dxa"/>
            <w:vAlign w:val="bottom"/>
          </w:tcPr>
          <w:p>
            <w:pPr>
              <w:spacing w:after="0"/>
              <w:rPr>
                <w:sz w:val="22"/>
                <w:szCs w:val="22"/>
                <w:color w:val="auto"/>
              </w:rPr>
            </w:pPr>
          </w:p>
        </w:tc>
        <w:tc>
          <w:tcPr>
            <w:tcW w:w="140" w:type="dxa"/>
            <w:vAlign w:val="bottom"/>
          </w:tcPr>
          <w:p>
            <w:pPr>
              <w:spacing w:after="0"/>
              <w:rPr>
                <w:sz w:val="22"/>
                <w:szCs w:val="22"/>
                <w:color w:val="auto"/>
              </w:rPr>
            </w:pPr>
          </w:p>
        </w:tc>
        <w:tc>
          <w:tcPr>
            <w:tcW w:w="22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60" w:type="dxa"/>
            <w:vAlign w:val="bottom"/>
          </w:tcPr>
          <w:p>
            <w:pPr>
              <w:spacing w:after="0"/>
              <w:rPr>
                <w:sz w:val="22"/>
                <w:szCs w:val="22"/>
                <w:color w:val="auto"/>
              </w:rPr>
            </w:pPr>
          </w:p>
        </w:tc>
        <w:tc>
          <w:tcPr>
            <w:tcW w:w="180" w:type="dxa"/>
            <w:vAlign w:val="bottom"/>
          </w:tcPr>
          <w:p>
            <w:pPr>
              <w:spacing w:after="0"/>
              <w:rPr>
                <w:sz w:val="22"/>
                <w:szCs w:val="22"/>
                <w:color w:val="auto"/>
              </w:rPr>
            </w:pPr>
          </w:p>
        </w:tc>
        <w:tc>
          <w:tcPr>
            <w:tcW w:w="660" w:type="dxa"/>
            <w:vAlign w:val="bottom"/>
          </w:tcPr>
          <w:p>
            <w:pPr>
              <w:spacing w:after="0"/>
              <w:rPr>
                <w:sz w:val="22"/>
                <w:szCs w:val="22"/>
                <w:color w:val="auto"/>
              </w:rPr>
            </w:pPr>
          </w:p>
        </w:tc>
        <w:tc>
          <w:tcPr>
            <w:tcW w:w="40" w:type="dxa"/>
            <w:vAlign w:val="bottom"/>
          </w:tcPr>
          <w:p>
            <w:pPr>
              <w:spacing w:after="0"/>
              <w:rPr>
                <w:sz w:val="22"/>
                <w:szCs w:val="22"/>
                <w:color w:val="auto"/>
              </w:rPr>
            </w:pPr>
          </w:p>
        </w:tc>
        <w:tc>
          <w:tcPr>
            <w:tcW w:w="320" w:type="dxa"/>
            <w:vAlign w:val="bottom"/>
          </w:tcPr>
          <w:p>
            <w:pPr>
              <w:spacing w:after="0"/>
              <w:rPr>
                <w:sz w:val="22"/>
                <w:szCs w:val="22"/>
                <w:color w:val="auto"/>
              </w:rPr>
            </w:pPr>
          </w:p>
        </w:tc>
        <w:tc>
          <w:tcPr>
            <w:tcW w:w="700" w:type="dxa"/>
            <w:vAlign w:val="bottom"/>
          </w:tcPr>
          <w:p>
            <w:pPr>
              <w:spacing w:after="0"/>
              <w:rPr>
                <w:sz w:val="22"/>
                <w:szCs w:val="22"/>
                <w:color w:val="auto"/>
              </w:rPr>
            </w:pPr>
          </w:p>
        </w:tc>
        <w:tc>
          <w:tcPr>
            <w:tcW w:w="220" w:type="dxa"/>
            <w:vAlign w:val="bottom"/>
          </w:tcPr>
          <w:p>
            <w:pPr>
              <w:spacing w:after="0"/>
              <w:rPr>
                <w:sz w:val="22"/>
                <w:szCs w:val="22"/>
                <w:color w:val="auto"/>
              </w:rPr>
            </w:pPr>
          </w:p>
        </w:tc>
        <w:tc>
          <w:tcPr>
            <w:tcW w:w="480" w:type="dxa"/>
            <w:vAlign w:val="bottom"/>
          </w:tcPr>
          <w:p>
            <w:pPr>
              <w:spacing w:after="0"/>
              <w:rPr>
                <w:sz w:val="22"/>
                <w:szCs w:val="22"/>
                <w:color w:val="auto"/>
              </w:rPr>
            </w:pPr>
          </w:p>
        </w:tc>
        <w:tc>
          <w:tcPr>
            <w:tcW w:w="5320" w:type="dxa"/>
            <w:vAlign w:val="bottom"/>
            <w:gridSpan w:val="6"/>
          </w:tcPr>
          <w:p>
            <w:pPr>
              <w:jc w:val="center"/>
              <w:ind w:right="4100"/>
              <w:spacing w:after="0"/>
              <w:rPr>
                <w:sz w:val="20"/>
                <w:szCs w:val="20"/>
                <w:color w:val="auto"/>
              </w:rPr>
            </w:pPr>
            <w:r>
              <w:rPr>
                <w:rFonts w:ascii="Times New Roman" w:cs="Times New Roman" w:eastAsia="Times New Roman" w:hAnsi="Times New Roman"/>
                <w:sz w:val="14"/>
                <w:szCs w:val="14"/>
                <w:b w:val="1"/>
                <w:bCs w:val="1"/>
                <w:color w:val="auto"/>
                <w:w w:val="99"/>
              </w:rPr>
              <w:t>Index</w:t>
            </w:r>
          </w:p>
        </w:tc>
        <w:tc>
          <w:tcPr>
            <w:tcW w:w="900" w:type="dxa"/>
            <w:vAlign w:val="bottom"/>
          </w:tcPr>
          <w:p>
            <w:pPr>
              <w:spacing w:after="0"/>
              <w:rPr>
                <w:sz w:val="22"/>
                <w:szCs w:val="22"/>
                <w:color w:val="auto"/>
              </w:rPr>
            </w:pPr>
          </w:p>
        </w:tc>
      </w:tr>
      <w:tr>
        <w:trPr>
          <w:trHeight w:val="373"/>
        </w:trPr>
        <w:tc>
          <w:tcPr>
            <w:tcW w:w="34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52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66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70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480" w:type="dxa"/>
            <w:vAlign w:val="bottom"/>
          </w:tcPr>
          <w:p>
            <w:pPr>
              <w:spacing w:after="0"/>
              <w:rPr>
                <w:sz w:val="24"/>
                <w:szCs w:val="24"/>
                <w:color w:val="auto"/>
              </w:rPr>
            </w:pPr>
          </w:p>
        </w:tc>
        <w:tc>
          <w:tcPr>
            <w:tcW w:w="460" w:type="dxa"/>
            <w:vAlign w:val="bottom"/>
          </w:tcPr>
          <w:p>
            <w:pPr>
              <w:spacing w:after="0"/>
              <w:rPr>
                <w:sz w:val="24"/>
                <w:szCs w:val="24"/>
                <w:color w:val="auto"/>
              </w:rPr>
            </w:pPr>
          </w:p>
        </w:tc>
        <w:tc>
          <w:tcPr>
            <w:tcW w:w="70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820" w:type="dxa"/>
            <w:vAlign w:val="bottom"/>
          </w:tcPr>
          <w:p>
            <w:pPr>
              <w:spacing w:after="0"/>
              <w:rPr>
                <w:sz w:val="24"/>
                <w:szCs w:val="24"/>
                <w:color w:val="auto"/>
              </w:rPr>
            </w:pPr>
          </w:p>
        </w:tc>
        <w:tc>
          <w:tcPr>
            <w:tcW w:w="600" w:type="dxa"/>
            <w:vAlign w:val="bottom"/>
          </w:tcPr>
          <w:p>
            <w:pPr>
              <w:spacing w:after="0"/>
              <w:rPr>
                <w:sz w:val="24"/>
                <w:szCs w:val="24"/>
                <w:color w:val="auto"/>
              </w:rPr>
            </w:pPr>
          </w:p>
        </w:tc>
        <w:tc>
          <w:tcPr>
            <w:tcW w:w="2720" w:type="dxa"/>
            <w:vAlign w:val="bottom"/>
          </w:tcPr>
          <w:p>
            <w:pPr>
              <w:spacing w:after="0"/>
              <w:rPr>
                <w:sz w:val="24"/>
                <w:szCs w:val="24"/>
                <w:color w:val="auto"/>
              </w:rPr>
            </w:pPr>
          </w:p>
        </w:tc>
        <w:tc>
          <w:tcPr>
            <w:tcW w:w="900" w:type="dxa"/>
            <w:vAlign w:val="bottom"/>
            <w:tcBorders>
              <w:bottom w:val="single" w:sz="8" w:color="auto"/>
            </w:tcBorders>
          </w:tcPr>
          <w:p>
            <w:pPr>
              <w:jc w:val="right"/>
              <w:ind w:right="230"/>
              <w:spacing w:after="0"/>
              <w:rPr>
                <w:sz w:val="20"/>
                <w:szCs w:val="20"/>
                <w:color w:val="auto"/>
              </w:rPr>
            </w:pPr>
            <w:r>
              <w:rPr>
                <w:rFonts w:ascii="Times New Roman" w:cs="Times New Roman" w:eastAsia="Times New Roman" w:hAnsi="Times New Roman"/>
                <w:sz w:val="11"/>
                <w:szCs w:val="11"/>
                <w:b w:val="1"/>
                <w:bCs w:val="1"/>
                <w:color w:val="auto"/>
              </w:rPr>
              <w:t>PAGE</w:t>
            </w:r>
          </w:p>
        </w:tc>
      </w:tr>
      <w:tr>
        <w:trPr>
          <w:trHeight w:val="149"/>
        </w:trPr>
        <w:tc>
          <w:tcPr>
            <w:tcW w:w="640" w:type="dxa"/>
            <w:vAlign w:val="bottom"/>
            <w:gridSpan w:val="5"/>
          </w:tcPr>
          <w:p>
            <w:pPr>
              <w:spacing w:after="0" w:line="149" w:lineRule="exact"/>
              <w:rPr>
                <w:sz w:val="20"/>
                <w:szCs w:val="20"/>
                <w:color w:val="auto"/>
              </w:rPr>
            </w:pPr>
            <w:r>
              <w:rPr>
                <w:rFonts w:ascii="Times New Roman" w:cs="Times New Roman" w:eastAsia="Times New Roman" w:hAnsi="Times New Roman"/>
                <w:sz w:val="14"/>
                <w:szCs w:val="14"/>
                <w:b w:val="1"/>
                <w:bCs w:val="1"/>
                <w:color w:val="0000FF"/>
              </w:rPr>
              <w:t>PART I:</w:t>
            </w:r>
          </w:p>
        </w:tc>
        <w:tc>
          <w:tcPr>
            <w:tcW w:w="160" w:type="dxa"/>
            <w:vAlign w:val="bottom"/>
          </w:tcPr>
          <w:p>
            <w:pPr>
              <w:spacing w:after="0"/>
              <w:rPr>
                <w:sz w:val="12"/>
                <w:szCs w:val="12"/>
                <w:color w:val="auto"/>
              </w:rPr>
            </w:pPr>
          </w:p>
        </w:tc>
        <w:tc>
          <w:tcPr>
            <w:tcW w:w="52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24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66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320" w:type="dxa"/>
            <w:vAlign w:val="bottom"/>
          </w:tcPr>
          <w:p>
            <w:pPr>
              <w:spacing w:after="0"/>
              <w:rPr>
                <w:sz w:val="12"/>
                <w:szCs w:val="12"/>
                <w:color w:val="auto"/>
              </w:rPr>
            </w:pPr>
          </w:p>
        </w:tc>
        <w:tc>
          <w:tcPr>
            <w:tcW w:w="70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480" w:type="dxa"/>
            <w:vAlign w:val="bottom"/>
          </w:tcPr>
          <w:p>
            <w:pPr>
              <w:spacing w:after="0"/>
              <w:rPr>
                <w:sz w:val="12"/>
                <w:szCs w:val="12"/>
                <w:color w:val="auto"/>
              </w:rPr>
            </w:pPr>
          </w:p>
        </w:tc>
        <w:tc>
          <w:tcPr>
            <w:tcW w:w="460" w:type="dxa"/>
            <w:vAlign w:val="bottom"/>
          </w:tcPr>
          <w:p>
            <w:pPr>
              <w:spacing w:after="0"/>
              <w:rPr>
                <w:sz w:val="12"/>
                <w:szCs w:val="12"/>
                <w:color w:val="auto"/>
              </w:rPr>
            </w:pPr>
          </w:p>
        </w:tc>
        <w:tc>
          <w:tcPr>
            <w:tcW w:w="70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820" w:type="dxa"/>
            <w:vAlign w:val="bottom"/>
          </w:tcPr>
          <w:p>
            <w:pPr>
              <w:spacing w:after="0"/>
              <w:rPr>
                <w:sz w:val="12"/>
                <w:szCs w:val="12"/>
                <w:color w:val="auto"/>
              </w:rPr>
            </w:pPr>
          </w:p>
        </w:tc>
        <w:tc>
          <w:tcPr>
            <w:tcW w:w="600" w:type="dxa"/>
            <w:vAlign w:val="bottom"/>
          </w:tcPr>
          <w:p>
            <w:pPr>
              <w:spacing w:after="0"/>
              <w:rPr>
                <w:sz w:val="12"/>
                <w:szCs w:val="12"/>
                <w:color w:val="auto"/>
              </w:rPr>
            </w:pPr>
          </w:p>
        </w:tc>
        <w:tc>
          <w:tcPr>
            <w:tcW w:w="2720" w:type="dxa"/>
            <w:vAlign w:val="bottom"/>
          </w:tcPr>
          <w:p>
            <w:pPr>
              <w:spacing w:after="0"/>
              <w:rPr>
                <w:sz w:val="12"/>
                <w:szCs w:val="12"/>
                <w:color w:val="auto"/>
              </w:rPr>
            </w:pPr>
          </w:p>
        </w:tc>
        <w:tc>
          <w:tcPr>
            <w:tcW w:w="900" w:type="dxa"/>
            <w:vAlign w:val="bottom"/>
          </w:tcPr>
          <w:p>
            <w:pPr>
              <w:spacing w:after="0"/>
              <w:rPr>
                <w:sz w:val="12"/>
                <w:szCs w:val="12"/>
                <w:color w:val="auto"/>
              </w:rPr>
            </w:pPr>
          </w:p>
        </w:tc>
      </w:tr>
      <w:tr>
        <w:trPr>
          <w:trHeight w:val="20"/>
        </w:trPr>
        <w:tc>
          <w:tcPr>
            <w:tcW w:w="340" w:type="dxa"/>
            <w:vAlign w:val="bottom"/>
            <w:shd w:val="clear" w:color="auto" w:fill="0000FF"/>
          </w:tcPr>
          <w:p>
            <w:pPr>
              <w:spacing w:after="0" w:line="20" w:lineRule="exact"/>
              <w:rPr>
                <w:sz w:val="1"/>
                <w:szCs w:val="1"/>
                <w:color w:val="auto"/>
              </w:rPr>
            </w:pPr>
          </w:p>
        </w:tc>
        <w:tc>
          <w:tcPr>
            <w:tcW w:w="160" w:type="dxa"/>
            <w:vAlign w:val="bottom"/>
            <w:shd w:val="clear" w:color="auto" w:fill="0000FF"/>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5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66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70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480" w:type="dxa"/>
            <w:vAlign w:val="bottom"/>
          </w:tcPr>
          <w:p>
            <w:pPr>
              <w:spacing w:after="0" w:line="20" w:lineRule="exact"/>
              <w:rPr>
                <w:sz w:val="1"/>
                <w:szCs w:val="1"/>
                <w:color w:val="auto"/>
              </w:rPr>
            </w:pPr>
          </w:p>
        </w:tc>
        <w:tc>
          <w:tcPr>
            <w:tcW w:w="460" w:type="dxa"/>
            <w:vAlign w:val="bottom"/>
          </w:tcPr>
          <w:p>
            <w:pPr>
              <w:spacing w:after="0" w:line="20" w:lineRule="exact"/>
              <w:rPr>
                <w:sz w:val="1"/>
                <w:szCs w:val="1"/>
                <w:color w:val="auto"/>
              </w:rPr>
            </w:pPr>
          </w:p>
        </w:tc>
        <w:tc>
          <w:tcPr>
            <w:tcW w:w="70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820" w:type="dxa"/>
            <w:vAlign w:val="bottom"/>
          </w:tcPr>
          <w:p>
            <w:pPr>
              <w:spacing w:after="0" w:line="20" w:lineRule="exact"/>
              <w:rPr>
                <w:sz w:val="1"/>
                <w:szCs w:val="1"/>
                <w:color w:val="auto"/>
              </w:rPr>
            </w:pPr>
          </w:p>
        </w:tc>
        <w:tc>
          <w:tcPr>
            <w:tcW w:w="600" w:type="dxa"/>
            <w:vAlign w:val="bottom"/>
          </w:tcPr>
          <w:p>
            <w:pPr>
              <w:spacing w:after="0" w:line="20" w:lineRule="exact"/>
              <w:rPr>
                <w:sz w:val="1"/>
                <w:szCs w:val="1"/>
                <w:color w:val="auto"/>
              </w:rPr>
            </w:pPr>
          </w:p>
        </w:tc>
        <w:tc>
          <w:tcPr>
            <w:tcW w:w="2720" w:type="dxa"/>
            <w:vAlign w:val="bottom"/>
          </w:tcPr>
          <w:p>
            <w:pPr>
              <w:spacing w:after="0" w:line="20" w:lineRule="exact"/>
              <w:rPr>
                <w:sz w:val="1"/>
                <w:szCs w:val="1"/>
                <w:color w:val="auto"/>
              </w:rPr>
            </w:pPr>
          </w:p>
        </w:tc>
        <w:tc>
          <w:tcPr>
            <w:tcW w:w="900" w:type="dxa"/>
            <w:vAlign w:val="bottom"/>
          </w:tcPr>
          <w:p>
            <w:pPr>
              <w:spacing w:after="0" w:line="20" w:lineRule="exact"/>
              <w:rPr>
                <w:sz w:val="1"/>
                <w:szCs w:val="1"/>
                <w:color w:val="auto"/>
              </w:rPr>
            </w:pPr>
          </w:p>
        </w:tc>
      </w:tr>
      <w:tr>
        <w:trPr>
          <w:trHeight w:val="160"/>
        </w:trPr>
        <w:tc>
          <w:tcPr>
            <w:tcW w:w="340" w:type="dxa"/>
            <w:vAlign w:val="bottom"/>
          </w:tcPr>
          <w:p>
            <w:pPr>
              <w:spacing w:after="0"/>
              <w:rPr>
                <w:sz w:val="13"/>
                <w:szCs w:val="13"/>
                <w:color w:val="auto"/>
              </w:rPr>
            </w:pPr>
          </w:p>
        </w:tc>
        <w:tc>
          <w:tcPr>
            <w:tcW w:w="300" w:type="dxa"/>
            <w:vAlign w:val="bottom"/>
            <w:gridSpan w:val="4"/>
          </w:tcPr>
          <w:p>
            <w:pPr>
              <w:jc w:val="right"/>
              <w:spacing w:after="0"/>
              <w:rPr>
                <w:sz w:val="20"/>
                <w:szCs w:val="20"/>
                <w:color w:val="auto"/>
              </w:rPr>
            </w:pPr>
            <w:r>
              <w:rPr>
                <w:rFonts w:ascii="Times New Roman" w:cs="Times New Roman" w:eastAsia="Times New Roman" w:hAnsi="Times New Roman"/>
                <w:sz w:val="14"/>
                <w:szCs w:val="14"/>
                <w:b w:val="1"/>
                <w:bCs w:val="1"/>
                <w:color w:val="0000FF"/>
                <w:w w:val="99"/>
              </w:rPr>
              <w:t>Item</w:t>
            </w:r>
          </w:p>
        </w:tc>
        <w:tc>
          <w:tcPr>
            <w:tcW w:w="160" w:type="dxa"/>
            <w:vAlign w:val="bottom"/>
          </w:tcPr>
          <w:p>
            <w:pPr>
              <w:ind w:left="20"/>
              <w:spacing w:after="0"/>
              <w:rPr>
                <w:sz w:val="20"/>
                <w:szCs w:val="20"/>
                <w:color w:val="auto"/>
              </w:rPr>
            </w:pPr>
            <w:r>
              <w:rPr>
                <w:rFonts w:ascii="Times New Roman" w:cs="Times New Roman" w:eastAsia="Times New Roman" w:hAnsi="Times New Roman"/>
                <w:sz w:val="14"/>
                <w:szCs w:val="14"/>
                <w:b w:val="1"/>
                <w:bCs w:val="1"/>
                <w:color w:val="0000FF"/>
              </w:rPr>
              <w:t>1.</w:t>
            </w:r>
          </w:p>
        </w:tc>
        <w:tc>
          <w:tcPr>
            <w:tcW w:w="9540" w:type="dxa"/>
            <w:vAlign w:val="bottom"/>
            <w:gridSpan w:val="23"/>
          </w:tcPr>
          <w:p>
            <w:pPr>
              <w:spacing w:after="0"/>
              <w:rPr>
                <w:sz w:val="20"/>
                <w:szCs w:val="20"/>
                <w:color w:val="auto"/>
              </w:rPr>
            </w:pPr>
            <w:r>
              <w:rPr>
                <w:rFonts w:ascii="Times New Roman" w:cs="Times New Roman" w:eastAsia="Times New Roman" w:hAnsi="Times New Roman"/>
                <w:sz w:val="14"/>
                <w:szCs w:val="14"/>
                <w:b w:val="1"/>
                <w:bCs w:val="1"/>
                <w:color w:val="0000FF"/>
              </w:rPr>
              <w:t>Business</w:t>
            </w:r>
          </w:p>
        </w:tc>
        <w:tc>
          <w:tcPr>
            <w:tcW w:w="900" w:type="dxa"/>
            <w:vAlign w:val="bottom"/>
          </w:tcPr>
          <w:p>
            <w:pPr>
              <w:jc w:val="right"/>
              <w:spacing w:after="0"/>
              <w:rPr>
                <w:sz w:val="20"/>
                <w:szCs w:val="20"/>
                <w:color w:val="auto"/>
              </w:rPr>
            </w:pPr>
            <w:r>
              <w:rPr>
                <w:rFonts w:ascii="Times New Roman" w:cs="Times New Roman" w:eastAsia="Times New Roman" w:hAnsi="Times New Roman"/>
                <w:sz w:val="14"/>
                <w:szCs w:val="14"/>
                <w:b w:val="1"/>
                <w:bCs w:val="1"/>
                <w:color w:val="auto"/>
              </w:rPr>
              <w:t>1</w:t>
            </w:r>
          </w:p>
        </w:tc>
      </w:tr>
      <w:tr>
        <w:trPr>
          <w:trHeight w:val="20"/>
        </w:trPr>
        <w:tc>
          <w:tcPr>
            <w:tcW w:w="340" w:type="dxa"/>
            <w:vAlign w:val="bottom"/>
          </w:tcPr>
          <w:p>
            <w:pPr>
              <w:spacing w:after="0" w:line="20" w:lineRule="exact"/>
              <w:rPr>
                <w:sz w:val="1"/>
                <w:szCs w:val="1"/>
                <w:color w:val="auto"/>
              </w:rPr>
            </w:pPr>
          </w:p>
        </w:tc>
        <w:tc>
          <w:tcPr>
            <w:tcW w:w="220" w:type="dxa"/>
            <w:vAlign w:val="bottom"/>
            <w:gridSpan w:val="2"/>
            <w:shd w:val="clear" w:color="auto" w:fill="0000FF"/>
          </w:tcPr>
          <w:p>
            <w:pPr>
              <w:spacing w:after="0" w:line="20" w:lineRule="exact"/>
              <w:rPr>
                <w:sz w:val="1"/>
                <w:szCs w:val="1"/>
                <w:color w:val="auto"/>
              </w:rPr>
            </w:pPr>
          </w:p>
        </w:tc>
        <w:tc>
          <w:tcPr>
            <w:tcW w:w="60" w:type="dxa"/>
            <w:vAlign w:val="bottom"/>
            <w:shd w:val="clear" w:color="auto" w:fill="0000FF"/>
          </w:tcPr>
          <w:p>
            <w:pPr>
              <w:spacing w:after="0" w:line="20" w:lineRule="exact"/>
              <w:rPr>
                <w:sz w:val="1"/>
                <w:szCs w:val="1"/>
                <w:color w:val="auto"/>
              </w:rPr>
            </w:pPr>
          </w:p>
        </w:tc>
        <w:tc>
          <w:tcPr>
            <w:tcW w:w="20" w:type="dxa"/>
            <w:vAlign w:val="bottom"/>
            <w:shd w:val="clear" w:color="auto" w:fill="0000FF"/>
          </w:tcPr>
          <w:p>
            <w:pPr>
              <w:spacing w:after="0" w:line="20" w:lineRule="exact"/>
              <w:rPr>
                <w:sz w:val="1"/>
                <w:szCs w:val="1"/>
                <w:color w:val="auto"/>
              </w:rPr>
            </w:pPr>
          </w:p>
        </w:tc>
        <w:tc>
          <w:tcPr>
            <w:tcW w:w="680" w:type="dxa"/>
            <w:vAlign w:val="bottom"/>
            <w:gridSpan w:val="2"/>
            <w:shd w:val="clear" w:color="auto" w:fill="0000FF"/>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66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70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480" w:type="dxa"/>
            <w:vAlign w:val="bottom"/>
          </w:tcPr>
          <w:p>
            <w:pPr>
              <w:spacing w:after="0" w:line="20" w:lineRule="exact"/>
              <w:rPr>
                <w:sz w:val="1"/>
                <w:szCs w:val="1"/>
                <w:color w:val="auto"/>
              </w:rPr>
            </w:pPr>
          </w:p>
        </w:tc>
        <w:tc>
          <w:tcPr>
            <w:tcW w:w="460" w:type="dxa"/>
            <w:vAlign w:val="bottom"/>
          </w:tcPr>
          <w:p>
            <w:pPr>
              <w:spacing w:after="0" w:line="20" w:lineRule="exact"/>
              <w:rPr>
                <w:sz w:val="1"/>
                <w:szCs w:val="1"/>
                <w:color w:val="auto"/>
              </w:rPr>
            </w:pPr>
          </w:p>
        </w:tc>
        <w:tc>
          <w:tcPr>
            <w:tcW w:w="70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820" w:type="dxa"/>
            <w:vAlign w:val="bottom"/>
          </w:tcPr>
          <w:p>
            <w:pPr>
              <w:spacing w:after="0" w:line="20" w:lineRule="exact"/>
              <w:rPr>
                <w:sz w:val="1"/>
                <w:szCs w:val="1"/>
                <w:color w:val="auto"/>
              </w:rPr>
            </w:pPr>
          </w:p>
        </w:tc>
        <w:tc>
          <w:tcPr>
            <w:tcW w:w="600" w:type="dxa"/>
            <w:vAlign w:val="bottom"/>
          </w:tcPr>
          <w:p>
            <w:pPr>
              <w:spacing w:after="0" w:line="20" w:lineRule="exact"/>
              <w:rPr>
                <w:sz w:val="1"/>
                <w:szCs w:val="1"/>
                <w:color w:val="auto"/>
              </w:rPr>
            </w:pPr>
          </w:p>
        </w:tc>
        <w:tc>
          <w:tcPr>
            <w:tcW w:w="2720" w:type="dxa"/>
            <w:vAlign w:val="bottom"/>
          </w:tcPr>
          <w:p>
            <w:pPr>
              <w:spacing w:after="0" w:line="20" w:lineRule="exact"/>
              <w:rPr>
                <w:sz w:val="1"/>
                <w:szCs w:val="1"/>
                <w:color w:val="auto"/>
              </w:rPr>
            </w:pPr>
          </w:p>
        </w:tc>
        <w:tc>
          <w:tcPr>
            <w:tcW w:w="900" w:type="dxa"/>
            <w:vAlign w:val="bottom"/>
          </w:tcPr>
          <w:p>
            <w:pPr>
              <w:spacing w:after="0" w:line="20" w:lineRule="exact"/>
              <w:rPr>
                <w:sz w:val="1"/>
                <w:szCs w:val="1"/>
                <w:color w:val="auto"/>
              </w:rPr>
            </w:pPr>
          </w:p>
        </w:tc>
      </w:tr>
      <w:tr>
        <w:trPr>
          <w:trHeight w:val="160"/>
        </w:trPr>
        <w:tc>
          <w:tcPr>
            <w:tcW w:w="340" w:type="dxa"/>
            <w:vAlign w:val="bottom"/>
          </w:tcPr>
          <w:p>
            <w:pPr>
              <w:spacing w:after="0"/>
              <w:rPr>
                <w:sz w:val="13"/>
                <w:szCs w:val="13"/>
                <w:color w:val="auto"/>
              </w:rPr>
            </w:pPr>
          </w:p>
        </w:tc>
        <w:tc>
          <w:tcPr>
            <w:tcW w:w="300" w:type="dxa"/>
            <w:vAlign w:val="bottom"/>
            <w:tcBorders>
              <w:bottom w:val="single" w:sz="8" w:color="0000FF"/>
            </w:tcBorders>
            <w:gridSpan w:val="4"/>
          </w:tcPr>
          <w:p>
            <w:pPr>
              <w:jc w:val="right"/>
              <w:spacing w:after="0"/>
              <w:rPr>
                <w:sz w:val="20"/>
                <w:szCs w:val="20"/>
                <w:color w:val="auto"/>
              </w:rPr>
            </w:pPr>
            <w:r>
              <w:rPr>
                <w:rFonts w:ascii="Times New Roman" w:cs="Times New Roman" w:eastAsia="Times New Roman" w:hAnsi="Times New Roman"/>
                <w:sz w:val="14"/>
                <w:szCs w:val="14"/>
                <w:b w:val="1"/>
                <w:bCs w:val="1"/>
                <w:color w:val="0000FF"/>
                <w:w w:val="99"/>
              </w:rPr>
              <w:t>Item</w:t>
            </w:r>
          </w:p>
        </w:tc>
        <w:tc>
          <w:tcPr>
            <w:tcW w:w="1040" w:type="dxa"/>
            <w:vAlign w:val="bottom"/>
            <w:tcBorders>
              <w:bottom w:val="single" w:sz="8" w:color="0000FF"/>
            </w:tcBorders>
            <w:gridSpan w:val="5"/>
          </w:tcPr>
          <w:p>
            <w:pPr>
              <w:ind w:left="20"/>
              <w:spacing w:after="0"/>
              <w:rPr>
                <w:sz w:val="20"/>
                <w:szCs w:val="20"/>
                <w:color w:val="auto"/>
              </w:rPr>
            </w:pPr>
            <w:r>
              <w:rPr>
                <w:rFonts w:ascii="Times New Roman" w:cs="Times New Roman" w:eastAsia="Times New Roman" w:hAnsi="Times New Roman"/>
                <w:sz w:val="14"/>
                <w:szCs w:val="14"/>
                <w:b w:val="1"/>
                <w:bCs w:val="1"/>
                <w:color w:val="0000FF"/>
              </w:rPr>
              <w:t>1A. Risk Factors</w:t>
            </w:r>
          </w:p>
        </w:tc>
        <w:tc>
          <w:tcPr>
            <w:tcW w:w="8660" w:type="dxa"/>
            <w:vAlign w:val="bottom"/>
            <w:gridSpan w:val="19"/>
          </w:tcPr>
          <w:p>
            <w:pPr>
              <w:spacing w:after="0"/>
              <w:rPr>
                <w:sz w:val="13"/>
                <w:szCs w:val="13"/>
                <w:color w:val="auto"/>
              </w:rPr>
            </w:pPr>
          </w:p>
        </w:tc>
        <w:tc>
          <w:tcPr>
            <w:tcW w:w="900" w:type="dxa"/>
            <w:vAlign w:val="bottom"/>
          </w:tcPr>
          <w:p>
            <w:pPr>
              <w:jc w:val="right"/>
              <w:spacing w:after="0"/>
              <w:rPr>
                <w:sz w:val="20"/>
                <w:szCs w:val="20"/>
                <w:color w:val="auto"/>
              </w:rPr>
            </w:pPr>
            <w:r>
              <w:rPr>
                <w:rFonts w:ascii="Times New Roman" w:cs="Times New Roman" w:eastAsia="Times New Roman" w:hAnsi="Times New Roman"/>
                <w:sz w:val="14"/>
                <w:szCs w:val="14"/>
                <w:b w:val="1"/>
                <w:bCs w:val="1"/>
                <w:color w:val="auto"/>
              </w:rPr>
              <w:t>12</w:t>
            </w:r>
          </w:p>
        </w:tc>
      </w:tr>
      <w:tr>
        <w:trPr>
          <w:trHeight w:val="160"/>
        </w:trPr>
        <w:tc>
          <w:tcPr>
            <w:tcW w:w="340" w:type="dxa"/>
            <w:vAlign w:val="bottom"/>
          </w:tcPr>
          <w:p>
            <w:pPr>
              <w:spacing w:after="0"/>
              <w:rPr>
                <w:sz w:val="13"/>
                <w:szCs w:val="13"/>
                <w:color w:val="auto"/>
              </w:rPr>
            </w:pPr>
          </w:p>
        </w:tc>
        <w:tc>
          <w:tcPr>
            <w:tcW w:w="300" w:type="dxa"/>
            <w:vAlign w:val="bottom"/>
            <w:tcBorders>
              <w:bottom w:val="single" w:sz="8" w:color="0000FF"/>
            </w:tcBorders>
            <w:gridSpan w:val="4"/>
          </w:tcPr>
          <w:p>
            <w:pPr>
              <w:jc w:val="right"/>
              <w:spacing w:after="0"/>
              <w:rPr>
                <w:sz w:val="20"/>
                <w:szCs w:val="20"/>
                <w:color w:val="auto"/>
              </w:rPr>
            </w:pPr>
            <w:r>
              <w:rPr>
                <w:rFonts w:ascii="Times New Roman" w:cs="Times New Roman" w:eastAsia="Times New Roman" w:hAnsi="Times New Roman"/>
                <w:sz w:val="14"/>
                <w:szCs w:val="14"/>
                <w:b w:val="1"/>
                <w:bCs w:val="1"/>
                <w:color w:val="0000FF"/>
                <w:w w:val="99"/>
              </w:rPr>
              <w:t>Item</w:t>
            </w:r>
          </w:p>
        </w:tc>
        <w:tc>
          <w:tcPr>
            <w:tcW w:w="1960" w:type="dxa"/>
            <w:vAlign w:val="bottom"/>
            <w:tcBorders>
              <w:bottom w:val="single" w:sz="8" w:color="0000FF"/>
            </w:tcBorders>
            <w:gridSpan w:val="12"/>
          </w:tcPr>
          <w:p>
            <w:pPr>
              <w:ind w:left="20"/>
              <w:spacing w:after="0"/>
              <w:rPr>
                <w:sz w:val="20"/>
                <w:szCs w:val="20"/>
                <w:color w:val="auto"/>
              </w:rPr>
            </w:pPr>
            <w:r>
              <w:rPr>
                <w:rFonts w:ascii="Times New Roman" w:cs="Times New Roman" w:eastAsia="Times New Roman" w:hAnsi="Times New Roman"/>
                <w:sz w:val="14"/>
                <w:szCs w:val="14"/>
                <w:b w:val="1"/>
                <w:bCs w:val="1"/>
                <w:color w:val="0000FF"/>
              </w:rPr>
              <w:t>1B. Unresolved Staff Comments</w:t>
            </w:r>
          </w:p>
        </w:tc>
        <w:tc>
          <w:tcPr>
            <w:tcW w:w="7740" w:type="dxa"/>
            <w:vAlign w:val="bottom"/>
            <w:gridSpan w:val="12"/>
          </w:tcPr>
          <w:p>
            <w:pPr>
              <w:spacing w:after="0"/>
              <w:rPr>
                <w:sz w:val="13"/>
                <w:szCs w:val="13"/>
                <w:color w:val="auto"/>
              </w:rPr>
            </w:pPr>
          </w:p>
        </w:tc>
        <w:tc>
          <w:tcPr>
            <w:tcW w:w="900" w:type="dxa"/>
            <w:vAlign w:val="bottom"/>
          </w:tcPr>
          <w:p>
            <w:pPr>
              <w:jc w:val="right"/>
              <w:spacing w:after="0"/>
              <w:rPr>
                <w:sz w:val="20"/>
                <w:szCs w:val="20"/>
                <w:color w:val="auto"/>
              </w:rPr>
            </w:pPr>
            <w:r>
              <w:rPr>
                <w:rFonts w:ascii="Times New Roman" w:cs="Times New Roman" w:eastAsia="Times New Roman" w:hAnsi="Times New Roman"/>
                <w:sz w:val="14"/>
                <w:szCs w:val="14"/>
                <w:b w:val="1"/>
                <w:bCs w:val="1"/>
                <w:color w:val="auto"/>
              </w:rPr>
              <w:t>20</w:t>
            </w:r>
          </w:p>
        </w:tc>
      </w:tr>
      <w:tr>
        <w:trPr>
          <w:trHeight w:val="160"/>
        </w:trPr>
        <w:tc>
          <w:tcPr>
            <w:tcW w:w="340" w:type="dxa"/>
            <w:vAlign w:val="bottom"/>
          </w:tcPr>
          <w:p>
            <w:pPr>
              <w:spacing w:after="0"/>
              <w:rPr>
                <w:sz w:val="13"/>
                <w:szCs w:val="13"/>
                <w:color w:val="auto"/>
              </w:rPr>
            </w:pPr>
          </w:p>
        </w:tc>
        <w:tc>
          <w:tcPr>
            <w:tcW w:w="300" w:type="dxa"/>
            <w:vAlign w:val="bottom"/>
            <w:gridSpan w:val="4"/>
          </w:tcPr>
          <w:p>
            <w:pPr>
              <w:jc w:val="right"/>
              <w:spacing w:after="0"/>
              <w:rPr>
                <w:sz w:val="20"/>
                <w:szCs w:val="20"/>
                <w:color w:val="auto"/>
              </w:rPr>
            </w:pPr>
            <w:r>
              <w:rPr>
                <w:rFonts w:ascii="Times New Roman" w:cs="Times New Roman" w:eastAsia="Times New Roman" w:hAnsi="Times New Roman"/>
                <w:sz w:val="14"/>
                <w:szCs w:val="14"/>
                <w:b w:val="1"/>
                <w:bCs w:val="1"/>
                <w:color w:val="0000FF"/>
                <w:w w:val="99"/>
              </w:rPr>
              <w:t>Item</w:t>
            </w:r>
          </w:p>
        </w:tc>
        <w:tc>
          <w:tcPr>
            <w:tcW w:w="9700" w:type="dxa"/>
            <w:vAlign w:val="bottom"/>
            <w:gridSpan w:val="24"/>
          </w:tcPr>
          <w:p>
            <w:pPr>
              <w:ind w:left="20"/>
              <w:spacing w:after="0"/>
              <w:rPr>
                <w:sz w:val="20"/>
                <w:szCs w:val="20"/>
                <w:color w:val="auto"/>
              </w:rPr>
            </w:pPr>
            <w:r>
              <w:rPr>
                <w:rFonts w:ascii="Times New Roman" w:cs="Times New Roman" w:eastAsia="Times New Roman" w:hAnsi="Times New Roman"/>
                <w:sz w:val="14"/>
                <w:szCs w:val="14"/>
                <w:b w:val="1"/>
                <w:bCs w:val="1"/>
                <w:color w:val="0000FF"/>
              </w:rPr>
              <w:t>1C. Cybersecurity</w:t>
            </w:r>
          </w:p>
        </w:tc>
        <w:tc>
          <w:tcPr>
            <w:tcW w:w="900" w:type="dxa"/>
            <w:vAlign w:val="bottom"/>
          </w:tcPr>
          <w:p>
            <w:pPr>
              <w:jc w:val="right"/>
              <w:spacing w:after="0"/>
              <w:rPr>
                <w:sz w:val="20"/>
                <w:szCs w:val="20"/>
                <w:color w:val="auto"/>
              </w:rPr>
            </w:pPr>
            <w:r>
              <w:rPr>
                <w:rFonts w:ascii="Times New Roman" w:cs="Times New Roman" w:eastAsia="Times New Roman" w:hAnsi="Times New Roman"/>
                <w:sz w:val="14"/>
                <w:szCs w:val="14"/>
                <w:b w:val="1"/>
                <w:bCs w:val="1"/>
                <w:color w:val="auto"/>
              </w:rPr>
              <w:t>20</w:t>
            </w:r>
          </w:p>
        </w:tc>
      </w:tr>
      <w:tr>
        <w:trPr>
          <w:trHeight w:val="160"/>
        </w:trPr>
        <w:tc>
          <w:tcPr>
            <w:tcW w:w="340" w:type="dxa"/>
            <w:vAlign w:val="bottom"/>
          </w:tcPr>
          <w:p>
            <w:pPr>
              <w:spacing w:after="0"/>
              <w:rPr>
                <w:sz w:val="13"/>
                <w:szCs w:val="13"/>
                <w:color w:val="auto"/>
              </w:rPr>
            </w:pPr>
          </w:p>
        </w:tc>
        <w:tc>
          <w:tcPr>
            <w:tcW w:w="300" w:type="dxa"/>
            <w:vAlign w:val="bottom"/>
            <w:tcBorders>
              <w:top w:val="single" w:sz="8" w:color="0000FF"/>
              <w:bottom w:val="single" w:sz="8" w:color="0000FF"/>
            </w:tcBorders>
            <w:gridSpan w:val="4"/>
          </w:tcPr>
          <w:p>
            <w:pPr>
              <w:jc w:val="right"/>
              <w:spacing w:after="0"/>
              <w:rPr>
                <w:sz w:val="20"/>
                <w:szCs w:val="20"/>
                <w:color w:val="auto"/>
              </w:rPr>
            </w:pPr>
            <w:r>
              <w:rPr>
                <w:rFonts w:ascii="Times New Roman" w:cs="Times New Roman" w:eastAsia="Times New Roman" w:hAnsi="Times New Roman"/>
                <w:sz w:val="14"/>
                <w:szCs w:val="14"/>
                <w:b w:val="1"/>
                <w:bCs w:val="1"/>
                <w:color w:val="0000FF"/>
                <w:w w:val="99"/>
              </w:rPr>
              <w:t>Item</w:t>
            </w:r>
          </w:p>
        </w:tc>
        <w:tc>
          <w:tcPr>
            <w:tcW w:w="160" w:type="dxa"/>
            <w:vAlign w:val="bottom"/>
            <w:tcBorders>
              <w:top w:val="single" w:sz="8" w:color="0000FF"/>
              <w:bottom w:val="single" w:sz="8" w:color="0000FF"/>
            </w:tcBorders>
          </w:tcPr>
          <w:p>
            <w:pPr>
              <w:ind w:left="20"/>
              <w:spacing w:after="0"/>
              <w:rPr>
                <w:sz w:val="20"/>
                <w:szCs w:val="20"/>
                <w:color w:val="auto"/>
              </w:rPr>
            </w:pPr>
            <w:r>
              <w:rPr>
                <w:rFonts w:ascii="Times New Roman" w:cs="Times New Roman" w:eastAsia="Times New Roman" w:hAnsi="Times New Roman"/>
                <w:sz w:val="14"/>
                <w:szCs w:val="14"/>
                <w:b w:val="1"/>
                <w:bCs w:val="1"/>
                <w:color w:val="0000FF"/>
              </w:rPr>
              <w:t>2.</w:t>
            </w:r>
          </w:p>
        </w:tc>
        <w:tc>
          <w:tcPr>
            <w:tcW w:w="640" w:type="dxa"/>
            <w:vAlign w:val="bottom"/>
            <w:tcBorders>
              <w:top w:val="single" w:sz="8" w:color="0000FF"/>
              <w:bottom w:val="single" w:sz="8" w:color="0000FF"/>
            </w:tcBorders>
            <w:gridSpan w:val="3"/>
          </w:tcPr>
          <w:p>
            <w:pPr>
              <w:spacing w:after="0"/>
              <w:rPr>
                <w:sz w:val="20"/>
                <w:szCs w:val="20"/>
                <w:color w:val="auto"/>
              </w:rPr>
            </w:pPr>
            <w:r>
              <w:rPr>
                <w:rFonts w:ascii="Times New Roman" w:cs="Times New Roman" w:eastAsia="Times New Roman" w:hAnsi="Times New Roman"/>
                <w:sz w:val="14"/>
                <w:szCs w:val="14"/>
                <w:b w:val="1"/>
                <w:bCs w:val="1"/>
                <w:color w:val="0000FF"/>
                <w:w w:val="99"/>
              </w:rPr>
              <w:t>Properties</w:t>
            </w:r>
          </w:p>
        </w:tc>
        <w:tc>
          <w:tcPr>
            <w:tcW w:w="320" w:type="dxa"/>
            <w:vAlign w:val="bottom"/>
            <w:tcBorders>
              <w:top w:val="single" w:sz="8" w:color="0000FF"/>
            </w:tcBorders>
            <w:gridSpan w:val="2"/>
          </w:tcPr>
          <w:p>
            <w:pPr>
              <w:spacing w:after="0"/>
              <w:rPr>
                <w:sz w:val="13"/>
                <w:szCs w:val="13"/>
                <w:color w:val="auto"/>
              </w:rPr>
            </w:pPr>
          </w:p>
        </w:tc>
        <w:tc>
          <w:tcPr>
            <w:tcW w:w="8580" w:type="dxa"/>
            <w:vAlign w:val="bottom"/>
            <w:gridSpan w:val="18"/>
          </w:tcPr>
          <w:p>
            <w:pPr>
              <w:spacing w:after="0"/>
              <w:rPr>
                <w:sz w:val="13"/>
                <w:szCs w:val="13"/>
                <w:color w:val="auto"/>
              </w:rPr>
            </w:pPr>
          </w:p>
        </w:tc>
        <w:tc>
          <w:tcPr>
            <w:tcW w:w="900" w:type="dxa"/>
            <w:vAlign w:val="bottom"/>
          </w:tcPr>
          <w:p>
            <w:pPr>
              <w:jc w:val="right"/>
              <w:spacing w:after="0"/>
              <w:rPr>
                <w:sz w:val="20"/>
                <w:szCs w:val="20"/>
                <w:color w:val="auto"/>
              </w:rPr>
            </w:pPr>
            <w:r>
              <w:rPr>
                <w:rFonts w:ascii="Times New Roman" w:cs="Times New Roman" w:eastAsia="Times New Roman" w:hAnsi="Times New Roman"/>
                <w:sz w:val="14"/>
                <w:szCs w:val="14"/>
                <w:b w:val="1"/>
                <w:bCs w:val="1"/>
                <w:color w:val="auto"/>
              </w:rPr>
              <w:t>21</w:t>
            </w:r>
          </w:p>
        </w:tc>
      </w:tr>
      <w:tr>
        <w:trPr>
          <w:trHeight w:val="160"/>
        </w:trPr>
        <w:tc>
          <w:tcPr>
            <w:tcW w:w="340" w:type="dxa"/>
            <w:vAlign w:val="bottom"/>
          </w:tcPr>
          <w:p>
            <w:pPr>
              <w:spacing w:after="0"/>
              <w:rPr>
                <w:sz w:val="13"/>
                <w:szCs w:val="13"/>
                <w:color w:val="auto"/>
              </w:rPr>
            </w:pPr>
          </w:p>
        </w:tc>
        <w:tc>
          <w:tcPr>
            <w:tcW w:w="300" w:type="dxa"/>
            <w:vAlign w:val="bottom"/>
            <w:gridSpan w:val="4"/>
          </w:tcPr>
          <w:p>
            <w:pPr>
              <w:jc w:val="right"/>
              <w:spacing w:after="0"/>
              <w:rPr>
                <w:sz w:val="20"/>
                <w:szCs w:val="20"/>
                <w:color w:val="auto"/>
              </w:rPr>
            </w:pPr>
            <w:r>
              <w:rPr>
                <w:rFonts w:ascii="Times New Roman" w:cs="Times New Roman" w:eastAsia="Times New Roman" w:hAnsi="Times New Roman"/>
                <w:sz w:val="14"/>
                <w:szCs w:val="14"/>
                <w:b w:val="1"/>
                <w:bCs w:val="1"/>
                <w:color w:val="0000FF"/>
                <w:w w:val="99"/>
              </w:rPr>
              <w:t>Item</w:t>
            </w:r>
          </w:p>
        </w:tc>
        <w:tc>
          <w:tcPr>
            <w:tcW w:w="160" w:type="dxa"/>
            <w:vAlign w:val="bottom"/>
          </w:tcPr>
          <w:p>
            <w:pPr>
              <w:ind w:left="20"/>
              <w:spacing w:after="0"/>
              <w:rPr>
                <w:sz w:val="20"/>
                <w:szCs w:val="20"/>
                <w:color w:val="auto"/>
              </w:rPr>
            </w:pPr>
            <w:r>
              <w:rPr>
                <w:rFonts w:ascii="Times New Roman" w:cs="Times New Roman" w:eastAsia="Times New Roman" w:hAnsi="Times New Roman"/>
                <w:sz w:val="14"/>
                <w:szCs w:val="14"/>
                <w:b w:val="1"/>
                <w:bCs w:val="1"/>
                <w:color w:val="0000FF"/>
              </w:rPr>
              <w:t>3.</w:t>
            </w:r>
          </w:p>
        </w:tc>
        <w:tc>
          <w:tcPr>
            <w:tcW w:w="9540" w:type="dxa"/>
            <w:vAlign w:val="bottom"/>
            <w:gridSpan w:val="23"/>
          </w:tcPr>
          <w:p>
            <w:pPr>
              <w:spacing w:after="0"/>
              <w:rPr>
                <w:sz w:val="20"/>
                <w:szCs w:val="20"/>
                <w:color w:val="auto"/>
              </w:rPr>
            </w:pPr>
            <w:r>
              <w:rPr>
                <w:rFonts w:ascii="Times New Roman" w:cs="Times New Roman" w:eastAsia="Times New Roman" w:hAnsi="Times New Roman"/>
                <w:sz w:val="14"/>
                <w:szCs w:val="14"/>
                <w:b w:val="1"/>
                <w:bCs w:val="1"/>
                <w:color w:val="0000FF"/>
              </w:rPr>
              <w:t>Legal Proceedings</w:t>
            </w:r>
          </w:p>
        </w:tc>
        <w:tc>
          <w:tcPr>
            <w:tcW w:w="900" w:type="dxa"/>
            <w:vAlign w:val="bottom"/>
          </w:tcPr>
          <w:p>
            <w:pPr>
              <w:jc w:val="right"/>
              <w:spacing w:after="0"/>
              <w:rPr>
                <w:sz w:val="20"/>
                <w:szCs w:val="20"/>
                <w:color w:val="auto"/>
              </w:rPr>
            </w:pPr>
            <w:r>
              <w:rPr>
                <w:rFonts w:ascii="Times New Roman" w:cs="Times New Roman" w:eastAsia="Times New Roman" w:hAnsi="Times New Roman"/>
                <w:sz w:val="14"/>
                <w:szCs w:val="14"/>
                <w:b w:val="1"/>
                <w:bCs w:val="1"/>
                <w:color w:val="auto"/>
              </w:rPr>
              <w:t>21</w:t>
            </w:r>
          </w:p>
        </w:tc>
      </w:tr>
      <w:tr>
        <w:trPr>
          <w:trHeight w:val="20"/>
        </w:trPr>
        <w:tc>
          <w:tcPr>
            <w:tcW w:w="340" w:type="dxa"/>
            <w:vAlign w:val="bottom"/>
          </w:tcPr>
          <w:p>
            <w:pPr>
              <w:spacing w:after="0" w:line="20" w:lineRule="exact"/>
              <w:rPr>
                <w:sz w:val="1"/>
                <w:szCs w:val="1"/>
                <w:color w:val="auto"/>
              </w:rPr>
            </w:pPr>
          </w:p>
        </w:tc>
        <w:tc>
          <w:tcPr>
            <w:tcW w:w="220" w:type="dxa"/>
            <w:vAlign w:val="bottom"/>
            <w:gridSpan w:val="2"/>
            <w:shd w:val="clear" w:color="auto" w:fill="0000FF"/>
          </w:tcPr>
          <w:p>
            <w:pPr>
              <w:spacing w:after="0" w:line="20" w:lineRule="exact"/>
              <w:rPr>
                <w:sz w:val="1"/>
                <w:szCs w:val="1"/>
                <w:color w:val="auto"/>
              </w:rPr>
            </w:pPr>
          </w:p>
        </w:tc>
        <w:tc>
          <w:tcPr>
            <w:tcW w:w="60" w:type="dxa"/>
            <w:vAlign w:val="bottom"/>
            <w:shd w:val="clear" w:color="auto" w:fill="0000FF"/>
          </w:tcPr>
          <w:p>
            <w:pPr>
              <w:spacing w:after="0" w:line="20" w:lineRule="exact"/>
              <w:rPr>
                <w:sz w:val="1"/>
                <w:szCs w:val="1"/>
                <w:color w:val="auto"/>
              </w:rPr>
            </w:pPr>
          </w:p>
        </w:tc>
        <w:tc>
          <w:tcPr>
            <w:tcW w:w="20" w:type="dxa"/>
            <w:vAlign w:val="bottom"/>
            <w:shd w:val="clear" w:color="auto" w:fill="0000FF"/>
          </w:tcPr>
          <w:p>
            <w:pPr>
              <w:spacing w:after="0" w:line="20" w:lineRule="exact"/>
              <w:rPr>
                <w:sz w:val="1"/>
                <w:szCs w:val="1"/>
                <w:color w:val="auto"/>
              </w:rPr>
            </w:pPr>
          </w:p>
        </w:tc>
        <w:tc>
          <w:tcPr>
            <w:tcW w:w="160" w:type="dxa"/>
            <w:vAlign w:val="bottom"/>
            <w:shd w:val="clear" w:color="auto" w:fill="0000FF"/>
          </w:tcPr>
          <w:p>
            <w:pPr>
              <w:spacing w:after="0" w:line="20" w:lineRule="exact"/>
              <w:rPr>
                <w:sz w:val="1"/>
                <w:szCs w:val="1"/>
                <w:color w:val="auto"/>
              </w:rPr>
            </w:pPr>
          </w:p>
        </w:tc>
        <w:tc>
          <w:tcPr>
            <w:tcW w:w="560" w:type="dxa"/>
            <w:vAlign w:val="bottom"/>
            <w:gridSpan w:val="2"/>
            <w:shd w:val="clear" w:color="auto" w:fill="0000FF"/>
          </w:tcPr>
          <w:p>
            <w:pPr>
              <w:spacing w:after="0" w:line="20" w:lineRule="exact"/>
              <w:rPr>
                <w:sz w:val="1"/>
                <w:szCs w:val="1"/>
                <w:color w:val="auto"/>
              </w:rPr>
            </w:pPr>
          </w:p>
        </w:tc>
        <w:tc>
          <w:tcPr>
            <w:tcW w:w="540" w:type="dxa"/>
            <w:vAlign w:val="bottom"/>
            <w:gridSpan w:val="4"/>
            <w:shd w:val="clear" w:color="auto" w:fill="0000FF"/>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840" w:type="dxa"/>
            <w:vAlign w:val="bottom"/>
            <w:gridSpan w:val="2"/>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70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480" w:type="dxa"/>
            <w:vAlign w:val="bottom"/>
          </w:tcPr>
          <w:p>
            <w:pPr>
              <w:spacing w:after="0" w:line="20" w:lineRule="exact"/>
              <w:rPr>
                <w:sz w:val="1"/>
                <w:szCs w:val="1"/>
                <w:color w:val="auto"/>
              </w:rPr>
            </w:pPr>
          </w:p>
        </w:tc>
        <w:tc>
          <w:tcPr>
            <w:tcW w:w="460" w:type="dxa"/>
            <w:vAlign w:val="bottom"/>
          </w:tcPr>
          <w:p>
            <w:pPr>
              <w:spacing w:after="0" w:line="20" w:lineRule="exact"/>
              <w:rPr>
                <w:sz w:val="1"/>
                <w:szCs w:val="1"/>
                <w:color w:val="auto"/>
              </w:rPr>
            </w:pPr>
          </w:p>
        </w:tc>
        <w:tc>
          <w:tcPr>
            <w:tcW w:w="70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820" w:type="dxa"/>
            <w:vAlign w:val="bottom"/>
          </w:tcPr>
          <w:p>
            <w:pPr>
              <w:spacing w:after="0" w:line="20" w:lineRule="exact"/>
              <w:rPr>
                <w:sz w:val="1"/>
                <w:szCs w:val="1"/>
                <w:color w:val="auto"/>
              </w:rPr>
            </w:pPr>
          </w:p>
        </w:tc>
        <w:tc>
          <w:tcPr>
            <w:tcW w:w="600" w:type="dxa"/>
            <w:vAlign w:val="bottom"/>
          </w:tcPr>
          <w:p>
            <w:pPr>
              <w:spacing w:after="0" w:line="20" w:lineRule="exact"/>
              <w:rPr>
                <w:sz w:val="1"/>
                <w:szCs w:val="1"/>
                <w:color w:val="auto"/>
              </w:rPr>
            </w:pPr>
          </w:p>
        </w:tc>
        <w:tc>
          <w:tcPr>
            <w:tcW w:w="2720" w:type="dxa"/>
            <w:vAlign w:val="bottom"/>
          </w:tcPr>
          <w:p>
            <w:pPr>
              <w:spacing w:after="0" w:line="20" w:lineRule="exact"/>
              <w:rPr>
                <w:sz w:val="1"/>
                <w:szCs w:val="1"/>
                <w:color w:val="auto"/>
              </w:rPr>
            </w:pPr>
          </w:p>
        </w:tc>
        <w:tc>
          <w:tcPr>
            <w:tcW w:w="900" w:type="dxa"/>
            <w:vAlign w:val="bottom"/>
          </w:tcPr>
          <w:p>
            <w:pPr>
              <w:spacing w:after="0" w:line="20" w:lineRule="exact"/>
              <w:rPr>
                <w:sz w:val="1"/>
                <w:szCs w:val="1"/>
                <w:color w:val="auto"/>
              </w:rPr>
            </w:pPr>
          </w:p>
        </w:tc>
      </w:tr>
      <w:tr>
        <w:trPr>
          <w:trHeight w:val="160"/>
        </w:trPr>
        <w:tc>
          <w:tcPr>
            <w:tcW w:w="340" w:type="dxa"/>
            <w:vAlign w:val="bottom"/>
          </w:tcPr>
          <w:p>
            <w:pPr>
              <w:spacing w:after="0"/>
              <w:rPr>
                <w:sz w:val="13"/>
                <w:szCs w:val="13"/>
                <w:color w:val="auto"/>
              </w:rPr>
            </w:pPr>
          </w:p>
        </w:tc>
        <w:tc>
          <w:tcPr>
            <w:tcW w:w="300" w:type="dxa"/>
            <w:vAlign w:val="bottom"/>
            <w:tcBorders>
              <w:bottom w:val="single" w:sz="8" w:color="0000FF"/>
            </w:tcBorders>
            <w:gridSpan w:val="4"/>
          </w:tcPr>
          <w:p>
            <w:pPr>
              <w:jc w:val="right"/>
              <w:spacing w:after="0"/>
              <w:rPr>
                <w:sz w:val="20"/>
                <w:szCs w:val="20"/>
                <w:color w:val="auto"/>
              </w:rPr>
            </w:pPr>
            <w:r>
              <w:rPr>
                <w:rFonts w:ascii="Times New Roman" w:cs="Times New Roman" w:eastAsia="Times New Roman" w:hAnsi="Times New Roman"/>
                <w:sz w:val="14"/>
                <w:szCs w:val="14"/>
                <w:b w:val="1"/>
                <w:bCs w:val="1"/>
                <w:color w:val="0000FF"/>
                <w:w w:val="99"/>
              </w:rPr>
              <w:t>Item</w:t>
            </w:r>
          </w:p>
        </w:tc>
        <w:tc>
          <w:tcPr>
            <w:tcW w:w="160" w:type="dxa"/>
            <w:vAlign w:val="bottom"/>
            <w:tcBorders>
              <w:bottom w:val="single" w:sz="8" w:color="0000FF"/>
            </w:tcBorders>
          </w:tcPr>
          <w:p>
            <w:pPr>
              <w:ind w:left="20"/>
              <w:spacing w:after="0"/>
              <w:rPr>
                <w:sz w:val="20"/>
                <w:szCs w:val="20"/>
                <w:color w:val="auto"/>
              </w:rPr>
            </w:pPr>
            <w:r>
              <w:rPr>
                <w:rFonts w:ascii="Times New Roman" w:cs="Times New Roman" w:eastAsia="Times New Roman" w:hAnsi="Times New Roman"/>
                <w:sz w:val="14"/>
                <w:szCs w:val="14"/>
                <w:b w:val="1"/>
                <w:bCs w:val="1"/>
                <w:color w:val="0000FF"/>
              </w:rPr>
              <w:t>4.</w:t>
            </w:r>
          </w:p>
        </w:tc>
        <w:tc>
          <w:tcPr>
            <w:tcW w:w="1460" w:type="dxa"/>
            <w:vAlign w:val="bottom"/>
            <w:tcBorders>
              <w:bottom w:val="single" w:sz="8" w:color="0000FF"/>
            </w:tcBorders>
            <w:gridSpan w:val="8"/>
          </w:tcPr>
          <w:p>
            <w:pPr>
              <w:spacing w:after="0"/>
              <w:rPr>
                <w:sz w:val="20"/>
                <w:szCs w:val="20"/>
                <w:color w:val="auto"/>
              </w:rPr>
            </w:pPr>
            <w:r>
              <w:rPr>
                <w:rFonts w:ascii="Times New Roman" w:cs="Times New Roman" w:eastAsia="Times New Roman" w:hAnsi="Times New Roman"/>
                <w:sz w:val="14"/>
                <w:szCs w:val="14"/>
                <w:b w:val="1"/>
                <w:bCs w:val="1"/>
                <w:color w:val="0000FF"/>
              </w:rPr>
              <w:t>Mine Safety Disclosures</w:t>
            </w:r>
          </w:p>
        </w:tc>
        <w:tc>
          <w:tcPr>
            <w:tcW w:w="8080" w:type="dxa"/>
            <w:vAlign w:val="bottom"/>
            <w:gridSpan w:val="15"/>
          </w:tcPr>
          <w:p>
            <w:pPr>
              <w:spacing w:after="0"/>
              <w:rPr>
                <w:sz w:val="13"/>
                <w:szCs w:val="13"/>
                <w:color w:val="auto"/>
              </w:rPr>
            </w:pPr>
          </w:p>
        </w:tc>
        <w:tc>
          <w:tcPr>
            <w:tcW w:w="900" w:type="dxa"/>
            <w:vAlign w:val="bottom"/>
          </w:tcPr>
          <w:p>
            <w:pPr>
              <w:jc w:val="right"/>
              <w:spacing w:after="0"/>
              <w:rPr>
                <w:sz w:val="20"/>
                <w:szCs w:val="20"/>
                <w:color w:val="auto"/>
              </w:rPr>
            </w:pPr>
            <w:r>
              <w:rPr>
                <w:rFonts w:ascii="Times New Roman" w:cs="Times New Roman" w:eastAsia="Times New Roman" w:hAnsi="Times New Roman"/>
                <w:sz w:val="14"/>
                <w:szCs w:val="14"/>
                <w:b w:val="1"/>
                <w:bCs w:val="1"/>
                <w:color w:val="auto"/>
              </w:rPr>
              <w:t>21</w:t>
            </w:r>
          </w:p>
        </w:tc>
      </w:tr>
      <w:tr>
        <w:trPr>
          <w:trHeight w:val="245"/>
        </w:trPr>
        <w:tc>
          <w:tcPr>
            <w:tcW w:w="640" w:type="dxa"/>
            <w:vAlign w:val="bottom"/>
            <w:gridSpan w:val="5"/>
          </w:tcPr>
          <w:p>
            <w:pPr>
              <w:spacing w:after="0"/>
              <w:rPr>
                <w:sz w:val="20"/>
                <w:szCs w:val="20"/>
                <w:color w:val="auto"/>
              </w:rPr>
            </w:pPr>
            <w:r>
              <w:rPr>
                <w:rFonts w:ascii="Times New Roman" w:cs="Times New Roman" w:eastAsia="Times New Roman" w:hAnsi="Times New Roman"/>
                <w:sz w:val="14"/>
                <w:szCs w:val="14"/>
                <w:b w:val="1"/>
                <w:bCs w:val="1"/>
                <w:color w:val="0000FF"/>
              </w:rPr>
              <w:t>PART II:</w:t>
            </w:r>
          </w:p>
        </w:tc>
        <w:tc>
          <w:tcPr>
            <w:tcW w:w="160" w:type="dxa"/>
            <w:vAlign w:val="bottom"/>
          </w:tcPr>
          <w:p>
            <w:pPr>
              <w:spacing w:after="0"/>
              <w:rPr>
                <w:sz w:val="21"/>
                <w:szCs w:val="21"/>
                <w:color w:val="auto"/>
              </w:rPr>
            </w:pPr>
          </w:p>
        </w:tc>
        <w:tc>
          <w:tcPr>
            <w:tcW w:w="520" w:type="dxa"/>
            <w:vAlign w:val="bottom"/>
          </w:tcPr>
          <w:p>
            <w:pPr>
              <w:spacing w:after="0"/>
              <w:rPr>
                <w:sz w:val="21"/>
                <w:szCs w:val="21"/>
                <w:color w:val="auto"/>
              </w:rPr>
            </w:pPr>
          </w:p>
        </w:tc>
        <w:tc>
          <w:tcPr>
            <w:tcW w:w="40" w:type="dxa"/>
            <w:vAlign w:val="bottom"/>
          </w:tcPr>
          <w:p>
            <w:pPr>
              <w:spacing w:after="0"/>
              <w:rPr>
                <w:sz w:val="21"/>
                <w:szCs w:val="21"/>
                <w:color w:val="auto"/>
              </w:rPr>
            </w:pPr>
          </w:p>
        </w:tc>
        <w:tc>
          <w:tcPr>
            <w:tcW w:w="80" w:type="dxa"/>
            <w:vAlign w:val="bottom"/>
          </w:tcPr>
          <w:p>
            <w:pPr>
              <w:spacing w:after="0"/>
              <w:rPr>
                <w:sz w:val="21"/>
                <w:szCs w:val="21"/>
                <w:color w:val="auto"/>
              </w:rPr>
            </w:pPr>
          </w:p>
        </w:tc>
        <w:tc>
          <w:tcPr>
            <w:tcW w:w="240" w:type="dxa"/>
            <w:vAlign w:val="bottom"/>
          </w:tcPr>
          <w:p>
            <w:pPr>
              <w:spacing w:after="0"/>
              <w:rPr>
                <w:sz w:val="21"/>
                <w:szCs w:val="21"/>
                <w:color w:val="auto"/>
              </w:rPr>
            </w:pPr>
          </w:p>
        </w:tc>
        <w:tc>
          <w:tcPr>
            <w:tcW w:w="8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6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660" w:type="dxa"/>
            <w:vAlign w:val="bottom"/>
          </w:tcPr>
          <w:p>
            <w:pPr>
              <w:spacing w:after="0"/>
              <w:rPr>
                <w:sz w:val="21"/>
                <w:szCs w:val="21"/>
                <w:color w:val="auto"/>
              </w:rPr>
            </w:pPr>
          </w:p>
        </w:tc>
        <w:tc>
          <w:tcPr>
            <w:tcW w:w="40" w:type="dxa"/>
            <w:vAlign w:val="bottom"/>
          </w:tcPr>
          <w:p>
            <w:pPr>
              <w:spacing w:after="0"/>
              <w:rPr>
                <w:sz w:val="21"/>
                <w:szCs w:val="21"/>
                <w:color w:val="auto"/>
              </w:rPr>
            </w:pPr>
          </w:p>
        </w:tc>
        <w:tc>
          <w:tcPr>
            <w:tcW w:w="320" w:type="dxa"/>
            <w:vAlign w:val="bottom"/>
          </w:tcPr>
          <w:p>
            <w:pPr>
              <w:spacing w:after="0"/>
              <w:rPr>
                <w:sz w:val="21"/>
                <w:szCs w:val="21"/>
                <w:color w:val="auto"/>
              </w:rPr>
            </w:pPr>
          </w:p>
        </w:tc>
        <w:tc>
          <w:tcPr>
            <w:tcW w:w="70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480" w:type="dxa"/>
            <w:vAlign w:val="bottom"/>
          </w:tcPr>
          <w:p>
            <w:pPr>
              <w:spacing w:after="0"/>
              <w:rPr>
                <w:sz w:val="21"/>
                <w:szCs w:val="21"/>
                <w:color w:val="auto"/>
              </w:rPr>
            </w:pPr>
          </w:p>
        </w:tc>
        <w:tc>
          <w:tcPr>
            <w:tcW w:w="460" w:type="dxa"/>
            <w:vAlign w:val="bottom"/>
          </w:tcPr>
          <w:p>
            <w:pPr>
              <w:spacing w:after="0"/>
              <w:rPr>
                <w:sz w:val="21"/>
                <w:szCs w:val="21"/>
                <w:color w:val="auto"/>
              </w:rPr>
            </w:pPr>
          </w:p>
        </w:tc>
        <w:tc>
          <w:tcPr>
            <w:tcW w:w="70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820" w:type="dxa"/>
            <w:vAlign w:val="bottom"/>
          </w:tcPr>
          <w:p>
            <w:pPr>
              <w:spacing w:after="0"/>
              <w:rPr>
                <w:sz w:val="21"/>
                <w:szCs w:val="21"/>
                <w:color w:val="auto"/>
              </w:rPr>
            </w:pPr>
          </w:p>
        </w:tc>
        <w:tc>
          <w:tcPr>
            <w:tcW w:w="600" w:type="dxa"/>
            <w:vAlign w:val="bottom"/>
          </w:tcPr>
          <w:p>
            <w:pPr>
              <w:spacing w:after="0"/>
              <w:rPr>
                <w:sz w:val="21"/>
                <w:szCs w:val="21"/>
                <w:color w:val="auto"/>
              </w:rPr>
            </w:pPr>
          </w:p>
        </w:tc>
        <w:tc>
          <w:tcPr>
            <w:tcW w:w="2720" w:type="dxa"/>
            <w:vAlign w:val="bottom"/>
          </w:tcPr>
          <w:p>
            <w:pPr>
              <w:spacing w:after="0"/>
              <w:rPr>
                <w:sz w:val="21"/>
                <w:szCs w:val="21"/>
                <w:color w:val="auto"/>
              </w:rPr>
            </w:pPr>
          </w:p>
        </w:tc>
        <w:tc>
          <w:tcPr>
            <w:tcW w:w="900" w:type="dxa"/>
            <w:vAlign w:val="bottom"/>
          </w:tcPr>
          <w:p>
            <w:pPr>
              <w:spacing w:after="0"/>
              <w:rPr>
                <w:sz w:val="21"/>
                <w:szCs w:val="21"/>
                <w:color w:val="auto"/>
              </w:rPr>
            </w:pPr>
          </w:p>
        </w:tc>
      </w:tr>
      <w:tr>
        <w:trPr>
          <w:trHeight w:val="20"/>
        </w:trPr>
        <w:tc>
          <w:tcPr>
            <w:tcW w:w="340" w:type="dxa"/>
            <w:vAlign w:val="bottom"/>
            <w:shd w:val="clear" w:color="auto" w:fill="0000FF"/>
          </w:tcPr>
          <w:p>
            <w:pPr>
              <w:spacing w:after="0" w:line="20" w:lineRule="exact"/>
              <w:rPr>
                <w:sz w:val="1"/>
                <w:szCs w:val="1"/>
                <w:color w:val="auto"/>
              </w:rPr>
            </w:pPr>
          </w:p>
        </w:tc>
        <w:tc>
          <w:tcPr>
            <w:tcW w:w="220" w:type="dxa"/>
            <w:vAlign w:val="bottom"/>
            <w:gridSpan w:val="2"/>
            <w:shd w:val="clear" w:color="auto" w:fill="0000FF"/>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560" w:type="dxa"/>
            <w:vAlign w:val="bottom"/>
            <w:gridSpan w:val="2"/>
          </w:tcPr>
          <w:p>
            <w:pPr>
              <w:spacing w:after="0" w:line="20" w:lineRule="exact"/>
              <w:rPr>
                <w:sz w:val="1"/>
                <w:szCs w:val="1"/>
                <w:color w:val="auto"/>
              </w:rPr>
            </w:pPr>
          </w:p>
        </w:tc>
        <w:tc>
          <w:tcPr>
            <w:tcW w:w="680" w:type="dxa"/>
            <w:vAlign w:val="bottom"/>
            <w:gridSpan w:val="5"/>
          </w:tcPr>
          <w:p>
            <w:pPr>
              <w:spacing w:after="0" w:line="20" w:lineRule="exact"/>
              <w:rPr>
                <w:sz w:val="1"/>
                <w:szCs w:val="1"/>
                <w:color w:val="auto"/>
              </w:rPr>
            </w:pPr>
          </w:p>
        </w:tc>
        <w:tc>
          <w:tcPr>
            <w:tcW w:w="320" w:type="dxa"/>
            <w:vAlign w:val="bottom"/>
            <w:gridSpan w:val="2"/>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840" w:type="dxa"/>
            <w:vAlign w:val="bottom"/>
            <w:gridSpan w:val="2"/>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70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480" w:type="dxa"/>
            <w:vAlign w:val="bottom"/>
          </w:tcPr>
          <w:p>
            <w:pPr>
              <w:spacing w:after="0" w:line="20" w:lineRule="exact"/>
              <w:rPr>
                <w:sz w:val="1"/>
                <w:szCs w:val="1"/>
                <w:color w:val="auto"/>
              </w:rPr>
            </w:pPr>
          </w:p>
        </w:tc>
        <w:tc>
          <w:tcPr>
            <w:tcW w:w="460" w:type="dxa"/>
            <w:vAlign w:val="bottom"/>
          </w:tcPr>
          <w:p>
            <w:pPr>
              <w:spacing w:after="0" w:line="20" w:lineRule="exact"/>
              <w:rPr>
                <w:sz w:val="1"/>
                <w:szCs w:val="1"/>
                <w:color w:val="auto"/>
              </w:rPr>
            </w:pPr>
          </w:p>
        </w:tc>
        <w:tc>
          <w:tcPr>
            <w:tcW w:w="70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820" w:type="dxa"/>
            <w:vAlign w:val="bottom"/>
          </w:tcPr>
          <w:p>
            <w:pPr>
              <w:spacing w:after="0" w:line="20" w:lineRule="exact"/>
              <w:rPr>
                <w:sz w:val="1"/>
                <w:szCs w:val="1"/>
                <w:color w:val="auto"/>
              </w:rPr>
            </w:pPr>
          </w:p>
        </w:tc>
        <w:tc>
          <w:tcPr>
            <w:tcW w:w="600" w:type="dxa"/>
            <w:vAlign w:val="bottom"/>
          </w:tcPr>
          <w:p>
            <w:pPr>
              <w:spacing w:after="0" w:line="20" w:lineRule="exact"/>
              <w:rPr>
                <w:sz w:val="1"/>
                <w:szCs w:val="1"/>
                <w:color w:val="auto"/>
              </w:rPr>
            </w:pPr>
          </w:p>
        </w:tc>
        <w:tc>
          <w:tcPr>
            <w:tcW w:w="2720" w:type="dxa"/>
            <w:vAlign w:val="bottom"/>
          </w:tcPr>
          <w:p>
            <w:pPr>
              <w:spacing w:after="0" w:line="20" w:lineRule="exact"/>
              <w:rPr>
                <w:sz w:val="1"/>
                <w:szCs w:val="1"/>
                <w:color w:val="auto"/>
              </w:rPr>
            </w:pPr>
          </w:p>
        </w:tc>
        <w:tc>
          <w:tcPr>
            <w:tcW w:w="900" w:type="dxa"/>
            <w:vAlign w:val="bottom"/>
          </w:tcPr>
          <w:p>
            <w:pPr>
              <w:spacing w:after="0" w:line="20" w:lineRule="exact"/>
              <w:rPr>
                <w:sz w:val="1"/>
                <w:szCs w:val="1"/>
                <w:color w:val="auto"/>
              </w:rPr>
            </w:pPr>
          </w:p>
        </w:tc>
      </w:tr>
      <w:tr>
        <w:trPr>
          <w:trHeight w:val="160"/>
        </w:trPr>
        <w:tc>
          <w:tcPr>
            <w:tcW w:w="340" w:type="dxa"/>
            <w:vAlign w:val="bottom"/>
          </w:tcPr>
          <w:p>
            <w:pPr>
              <w:spacing w:after="0"/>
              <w:rPr>
                <w:sz w:val="13"/>
                <w:szCs w:val="13"/>
                <w:color w:val="auto"/>
              </w:rPr>
            </w:pPr>
          </w:p>
        </w:tc>
        <w:tc>
          <w:tcPr>
            <w:tcW w:w="300" w:type="dxa"/>
            <w:vAlign w:val="bottom"/>
            <w:gridSpan w:val="4"/>
          </w:tcPr>
          <w:p>
            <w:pPr>
              <w:jc w:val="right"/>
              <w:spacing w:after="0"/>
              <w:rPr>
                <w:sz w:val="20"/>
                <w:szCs w:val="20"/>
                <w:color w:val="auto"/>
              </w:rPr>
            </w:pPr>
            <w:r>
              <w:rPr>
                <w:rFonts w:ascii="Times New Roman" w:cs="Times New Roman" w:eastAsia="Times New Roman" w:hAnsi="Times New Roman"/>
                <w:sz w:val="14"/>
                <w:szCs w:val="14"/>
                <w:b w:val="1"/>
                <w:bCs w:val="1"/>
                <w:color w:val="0000FF"/>
                <w:w w:val="99"/>
              </w:rPr>
              <w:t>Item</w:t>
            </w:r>
          </w:p>
        </w:tc>
        <w:tc>
          <w:tcPr>
            <w:tcW w:w="160" w:type="dxa"/>
            <w:vAlign w:val="bottom"/>
          </w:tcPr>
          <w:p>
            <w:pPr>
              <w:ind w:left="20"/>
              <w:spacing w:after="0"/>
              <w:rPr>
                <w:sz w:val="20"/>
                <w:szCs w:val="20"/>
                <w:color w:val="auto"/>
              </w:rPr>
            </w:pPr>
            <w:r>
              <w:rPr>
                <w:rFonts w:ascii="Times New Roman" w:cs="Times New Roman" w:eastAsia="Times New Roman" w:hAnsi="Times New Roman"/>
                <w:sz w:val="14"/>
                <w:szCs w:val="14"/>
                <w:b w:val="1"/>
                <w:bCs w:val="1"/>
                <w:color w:val="0000FF"/>
              </w:rPr>
              <w:t>5.</w:t>
            </w:r>
          </w:p>
        </w:tc>
        <w:tc>
          <w:tcPr>
            <w:tcW w:w="9540" w:type="dxa"/>
            <w:vAlign w:val="bottom"/>
            <w:gridSpan w:val="23"/>
          </w:tcPr>
          <w:p>
            <w:pPr>
              <w:spacing w:after="0"/>
              <w:rPr>
                <w:sz w:val="20"/>
                <w:szCs w:val="20"/>
                <w:color w:val="auto"/>
              </w:rPr>
            </w:pPr>
            <w:r>
              <w:rPr>
                <w:rFonts w:ascii="Times New Roman" w:cs="Times New Roman" w:eastAsia="Times New Roman" w:hAnsi="Times New Roman"/>
                <w:sz w:val="14"/>
                <w:szCs w:val="14"/>
                <w:b w:val="1"/>
                <w:bCs w:val="1"/>
                <w:color w:val="0000FF"/>
              </w:rPr>
              <w:t>Market for Registrant’s Common Equity, Related Stockholder Matters and Issuer Purchases of Equity Securities</w:t>
            </w:r>
          </w:p>
        </w:tc>
        <w:tc>
          <w:tcPr>
            <w:tcW w:w="900" w:type="dxa"/>
            <w:vAlign w:val="bottom"/>
          </w:tcPr>
          <w:p>
            <w:pPr>
              <w:jc w:val="right"/>
              <w:spacing w:after="0"/>
              <w:rPr>
                <w:sz w:val="20"/>
                <w:szCs w:val="20"/>
                <w:color w:val="auto"/>
              </w:rPr>
            </w:pPr>
            <w:r>
              <w:rPr>
                <w:rFonts w:ascii="Times New Roman" w:cs="Times New Roman" w:eastAsia="Times New Roman" w:hAnsi="Times New Roman"/>
                <w:sz w:val="14"/>
                <w:szCs w:val="14"/>
                <w:b w:val="1"/>
                <w:bCs w:val="1"/>
                <w:color w:val="auto"/>
              </w:rPr>
              <w:t>22</w:t>
            </w:r>
          </w:p>
        </w:tc>
      </w:tr>
      <w:tr>
        <w:trPr>
          <w:trHeight w:val="160"/>
        </w:trPr>
        <w:tc>
          <w:tcPr>
            <w:tcW w:w="340" w:type="dxa"/>
            <w:vAlign w:val="bottom"/>
          </w:tcPr>
          <w:p>
            <w:pPr>
              <w:spacing w:after="0"/>
              <w:rPr>
                <w:sz w:val="13"/>
                <w:szCs w:val="13"/>
                <w:color w:val="auto"/>
              </w:rPr>
            </w:pPr>
          </w:p>
        </w:tc>
        <w:tc>
          <w:tcPr>
            <w:tcW w:w="300" w:type="dxa"/>
            <w:vAlign w:val="bottom"/>
            <w:tcBorders>
              <w:top w:val="single" w:sz="8" w:color="0000FF"/>
            </w:tcBorders>
            <w:gridSpan w:val="4"/>
          </w:tcPr>
          <w:p>
            <w:pPr>
              <w:jc w:val="right"/>
              <w:spacing w:after="0"/>
              <w:rPr>
                <w:sz w:val="20"/>
                <w:szCs w:val="20"/>
                <w:color w:val="auto"/>
              </w:rPr>
            </w:pPr>
            <w:r>
              <w:rPr>
                <w:rFonts w:ascii="Times New Roman" w:cs="Times New Roman" w:eastAsia="Times New Roman" w:hAnsi="Times New Roman"/>
                <w:sz w:val="14"/>
                <w:szCs w:val="14"/>
                <w:b w:val="1"/>
                <w:bCs w:val="1"/>
                <w:color w:val="0000FF"/>
                <w:w w:val="99"/>
              </w:rPr>
              <w:t>Item</w:t>
            </w:r>
          </w:p>
        </w:tc>
        <w:tc>
          <w:tcPr>
            <w:tcW w:w="160" w:type="dxa"/>
            <w:vAlign w:val="bottom"/>
            <w:tcBorders>
              <w:top w:val="single" w:sz="8" w:color="0000FF"/>
            </w:tcBorders>
          </w:tcPr>
          <w:p>
            <w:pPr>
              <w:ind w:left="20"/>
              <w:spacing w:after="0"/>
              <w:rPr>
                <w:sz w:val="20"/>
                <w:szCs w:val="20"/>
                <w:color w:val="auto"/>
              </w:rPr>
            </w:pPr>
            <w:r>
              <w:rPr>
                <w:rFonts w:ascii="Times New Roman" w:cs="Times New Roman" w:eastAsia="Times New Roman" w:hAnsi="Times New Roman"/>
                <w:sz w:val="14"/>
                <w:szCs w:val="14"/>
                <w:b w:val="1"/>
                <w:bCs w:val="1"/>
                <w:color w:val="0000FF"/>
              </w:rPr>
              <w:t>6.</w:t>
            </w:r>
          </w:p>
        </w:tc>
        <w:tc>
          <w:tcPr>
            <w:tcW w:w="6820" w:type="dxa"/>
            <w:vAlign w:val="bottom"/>
            <w:tcBorders>
              <w:top w:val="single" w:sz="8" w:color="0000FF"/>
            </w:tcBorders>
            <w:gridSpan w:val="22"/>
          </w:tcPr>
          <w:p>
            <w:pPr>
              <w:spacing w:after="0"/>
              <w:rPr>
                <w:sz w:val="20"/>
                <w:szCs w:val="20"/>
                <w:color w:val="auto"/>
              </w:rPr>
            </w:pPr>
            <w:r>
              <w:rPr>
                <w:rFonts w:ascii="Times New Roman" w:cs="Times New Roman" w:eastAsia="Times New Roman" w:hAnsi="Times New Roman"/>
                <w:sz w:val="14"/>
                <w:szCs w:val="14"/>
                <w:b w:val="1"/>
                <w:bCs w:val="1"/>
                <w:color w:val="0000FF"/>
              </w:rPr>
              <w:t>Reserved</w:t>
            </w:r>
          </w:p>
        </w:tc>
        <w:tc>
          <w:tcPr>
            <w:tcW w:w="2720" w:type="dxa"/>
            <w:vAlign w:val="bottom"/>
          </w:tcPr>
          <w:p>
            <w:pPr>
              <w:spacing w:after="0"/>
              <w:rPr>
                <w:sz w:val="13"/>
                <w:szCs w:val="13"/>
                <w:color w:val="auto"/>
              </w:rPr>
            </w:pPr>
          </w:p>
        </w:tc>
        <w:tc>
          <w:tcPr>
            <w:tcW w:w="900" w:type="dxa"/>
            <w:vAlign w:val="bottom"/>
          </w:tcPr>
          <w:p>
            <w:pPr>
              <w:jc w:val="right"/>
              <w:spacing w:after="0"/>
              <w:rPr>
                <w:sz w:val="20"/>
                <w:szCs w:val="20"/>
                <w:color w:val="auto"/>
              </w:rPr>
            </w:pPr>
            <w:r>
              <w:rPr>
                <w:rFonts w:ascii="Times New Roman" w:cs="Times New Roman" w:eastAsia="Times New Roman" w:hAnsi="Times New Roman"/>
                <w:sz w:val="14"/>
                <w:szCs w:val="14"/>
                <w:b w:val="1"/>
                <w:bCs w:val="1"/>
                <w:color w:val="auto"/>
              </w:rPr>
              <w:t>23</w:t>
            </w:r>
          </w:p>
        </w:tc>
      </w:tr>
      <w:tr>
        <w:trPr>
          <w:trHeight w:val="20"/>
        </w:trPr>
        <w:tc>
          <w:tcPr>
            <w:tcW w:w="340" w:type="dxa"/>
            <w:vAlign w:val="bottom"/>
          </w:tcPr>
          <w:p>
            <w:pPr>
              <w:spacing w:after="0" w:line="20" w:lineRule="exact"/>
              <w:rPr>
                <w:sz w:val="1"/>
                <w:szCs w:val="1"/>
                <w:color w:val="auto"/>
              </w:rPr>
            </w:pPr>
          </w:p>
        </w:tc>
        <w:tc>
          <w:tcPr>
            <w:tcW w:w="280" w:type="dxa"/>
            <w:vAlign w:val="bottom"/>
            <w:gridSpan w:val="3"/>
            <w:shd w:val="clear" w:color="auto" w:fill="0000FF"/>
          </w:tcPr>
          <w:p>
            <w:pPr>
              <w:spacing w:after="0" w:line="20" w:lineRule="exact"/>
              <w:rPr>
                <w:sz w:val="1"/>
                <w:szCs w:val="1"/>
                <w:color w:val="auto"/>
              </w:rPr>
            </w:pPr>
          </w:p>
        </w:tc>
        <w:tc>
          <w:tcPr>
            <w:tcW w:w="20" w:type="dxa"/>
            <w:vAlign w:val="bottom"/>
            <w:shd w:val="clear" w:color="auto" w:fill="0000FF"/>
          </w:tcPr>
          <w:p>
            <w:pPr>
              <w:spacing w:after="0" w:line="20" w:lineRule="exact"/>
              <w:rPr>
                <w:sz w:val="1"/>
                <w:szCs w:val="1"/>
                <w:color w:val="auto"/>
              </w:rPr>
            </w:pPr>
          </w:p>
        </w:tc>
        <w:tc>
          <w:tcPr>
            <w:tcW w:w="160" w:type="dxa"/>
            <w:vAlign w:val="bottom"/>
            <w:shd w:val="clear" w:color="auto" w:fill="0000FF"/>
          </w:tcPr>
          <w:p>
            <w:pPr>
              <w:spacing w:after="0" w:line="20" w:lineRule="exact"/>
              <w:rPr>
                <w:sz w:val="1"/>
                <w:szCs w:val="1"/>
                <w:color w:val="auto"/>
              </w:rPr>
            </w:pPr>
          </w:p>
        </w:tc>
        <w:tc>
          <w:tcPr>
            <w:tcW w:w="560" w:type="dxa"/>
            <w:vAlign w:val="bottom"/>
            <w:gridSpan w:val="2"/>
            <w:shd w:val="clear" w:color="auto" w:fill="0000FF"/>
          </w:tcPr>
          <w:p>
            <w:pPr>
              <w:spacing w:after="0" w:line="20" w:lineRule="exact"/>
              <w:rPr>
                <w:sz w:val="1"/>
                <w:szCs w:val="1"/>
                <w:color w:val="auto"/>
              </w:rPr>
            </w:pPr>
          </w:p>
        </w:tc>
        <w:tc>
          <w:tcPr>
            <w:tcW w:w="680" w:type="dxa"/>
            <w:vAlign w:val="bottom"/>
            <w:gridSpan w:val="5"/>
          </w:tcPr>
          <w:p>
            <w:pPr>
              <w:spacing w:after="0" w:line="20" w:lineRule="exact"/>
              <w:rPr>
                <w:sz w:val="1"/>
                <w:szCs w:val="1"/>
                <w:color w:val="auto"/>
              </w:rPr>
            </w:pPr>
          </w:p>
        </w:tc>
        <w:tc>
          <w:tcPr>
            <w:tcW w:w="320" w:type="dxa"/>
            <w:vAlign w:val="bottom"/>
            <w:gridSpan w:val="2"/>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840" w:type="dxa"/>
            <w:vAlign w:val="bottom"/>
            <w:gridSpan w:val="2"/>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70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480" w:type="dxa"/>
            <w:vAlign w:val="bottom"/>
          </w:tcPr>
          <w:p>
            <w:pPr>
              <w:spacing w:after="0" w:line="20" w:lineRule="exact"/>
              <w:rPr>
                <w:sz w:val="1"/>
                <w:szCs w:val="1"/>
                <w:color w:val="auto"/>
              </w:rPr>
            </w:pPr>
          </w:p>
        </w:tc>
        <w:tc>
          <w:tcPr>
            <w:tcW w:w="460" w:type="dxa"/>
            <w:vAlign w:val="bottom"/>
          </w:tcPr>
          <w:p>
            <w:pPr>
              <w:spacing w:after="0" w:line="20" w:lineRule="exact"/>
              <w:rPr>
                <w:sz w:val="1"/>
                <w:szCs w:val="1"/>
                <w:color w:val="auto"/>
              </w:rPr>
            </w:pPr>
          </w:p>
        </w:tc>
        <w:tc>
          <w:tcPr>
            <w:tcW w:w="70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820" w:type="dxa"/>
            <w:vAlign w:val="bottom"/>
          </w:tcPr>
          <w:p>
            <w:pPr>
              <w:spacing w:after="0" w:line="20" w:lineRule="exact"/>
              <w:rPr>
                <w:sz w:val="1"/>
                <w:szCs w:val="1"/>
                <w:color w:val="auto"/>
              </w:rPr>
            </w:pPr>
          </w:p>
        </w:tc>
        <w:tc>
          <w:tcPr>
            <w:tcW w:w="3320" w:type="dxa"/>
            <w:vAlign w:val="bottom"/>
            <w:gridSpan w:val="2"/>
          </w:tcPr>
          <w:p>
            <w:pPr>
              <w:spacing w:after="0" w:line="20" w:lineRule="exact"/>
              <w:rPr>
                <w:sz w:val="1"/>
                <w:szCs w:val="1"/>
                <w:color w:val="auto"/>
              </w:rPr>
            </w:pPr>
          </w:p>
        </w:tc>
        <w:tc>
          <w:tcPr>
            <w:tcW w:w="900" w:type="dxa"/>
            <w:vAlign w:val="bottom"/>
          </w:tcPr>
          <w:p>
            <w:pPr>
              <w:spacing w:after="0" w:line="20" w:lineRule="exact"/>
              <w:rPr>
                <w:sz w:val="1"/>
                <w:szCs w:val="1"/>
                <w:color w:val="auto"/>
              </w:rPr>
            </w:pPr>
          </w:p>
        </w:tc>
      </w:tr>
      <w:tr>
        <w:trPr>
          <w:trHeight w:val="160"/>
        </w:trPr>
        <w:tc>
          <w:tcPr>
            <w:tcW w:w="340" w:type="dxa"/>
            <w:vAlign w:val="bottom"/>
          </w:tcPr>
          <w:p>
            <w:pPr>
              <w:spacing w:after="0"/>
              <w:rPr>
                <w:sz w:val="13"/>
                <w:szCs w:val="13"/>
                <w:color w:val="auto"/>
              </w:rPr>
            </w:pPr>
          </w:p>
        </w:tc>
        <w:tc>
          <w:tcPr>
            <w:tcW w:w="300" w:type="dxa"/>
            <w:vAlign w:val="bottom"/>
            <w:tcBorders>
              <w:bottom w:val="single" w:sz="8" w:color="0000FF"/>
            </w:tcBorders>
            <w:gridSpan w:val="4"/>
          </w:tcPr>
          <w:p>
            <w:pPr>
              <w:jc w:val="right"/>
              <w:spacing w:after="0"/>
              <w:rPr>
                <w:sz w:val="20"/>
                <w:szCs w:val="20"/>
                <w:color w:val="auto"/>
              </w:rPr>
            </w:pPr>
            <w:r>
              <w:rPr>
                <w:rFonts w:ascii="Times New Roman" w:cs="Times New Roman" w:eastAsia="Times New Roman" w:hAnsi="Times New Roman"/>
                <w:sz w:val="14"/>
                <w:szCs w:val="14"/>
                <w:b w:val="1"/>
                <w:bCs w:val="1"/>
                <w:color w:val="0000FF"/>
                <w:w w:val="99"/>
              </w:rPr>
              <w:t>Item</w:t>
            </w:r>
          </w:p>
        </w:tc>
        <w:tc>
          <w:tcPr>
            <w:tcW w:w="160" w:type="dxa"/>
            <w:vAlign w:val="bottom"/>
            <w:tcBorders>
              <w:bottom w:val="single" w:sz="8" w:color="0000FF"/>
            </w:tcBorders>
          </w:tcPr>
          <w:p>
            <w:pPr>
              <w:ind w:left="20"/>
              <w:spacing w:after="0"/>
              <w:rPr>
                <w:sz w:val="20"/>
                <w:szCs w:val="20"/>
                <w:color w:val="auto"/>
              </w:rPr>
            </w:pPr>
            <w:r>
              <w:rPr>
                <w:rFonts w:ascii="Times New Roman" w:cs="Times New Roman" w:eastAsia="Times New Roman" w:hAnsi="Times New Roman"/>
                <w:sz w:val="14"/>
                <w:szCs w:val="14"/>
                <w:b w:val="1"/>
                <w:bCs w:val="1"/>
                <w:color w:val="0000FF"/>
              </w:rPr>
              <w:t>7.</w:t>
            </w:r>
          </w:p>
        </w:tc>
        <w:tc>
          <w:tcPr>
            <w:tcW w:w="5380" w:type="dxa"/>
            <w:vAlign w:val="bottom"/>
            <w:tcBorders>
              <w:bottom w:val="single" w:sz="8" w:color="0000FF"/>
            </w:tcBorders>
            <w:gridSpan w:val="19"/>
          </w:tcPr>
          <w:p>
            <w:pPr>
              <w:spacing w:after="0"/>
              <w:rPr>
                <w:sz w:val="20"/>
                <w:szCs w:val="20"/>
                <w:color w:val="auto"/>
              </w:rPr>
            </w:pPr>
            <w:r>
              <w:rPr>
                <w:rFonts w:ascii="Times New Roman" w:cs="Times New Roman" w:eastAsia="Times New Roman" w:hAnsi="Times New Roman"/>
                <w:sz w:val="14"/>
                <w:szCs w:val="14"/>
                <w:b w:val="1"/>
                <w:bCs w:val="1"/>
                <w:color w:val="0000FF"/>
              </w:rPr>
              <w:t>Management’s Discussion and Analysis of Financial Condition and Results of Operations</w:t>
            </w:r>
          </w:p>
        </w:tc>
        <w:tc>
          <w:tcPr>
            <w:tcW w:w="4160" w:type="dxa"/>
            <w:vAlign w:val="bottom"/>
            <w:gridSpan w:val="4"/>
          </w:tcPr>
          <w:p>
            <w:pPr>
              <w:spacing w:after="0"/>
              <w:rPr>
                <w:sz w:val="13"/>
                <w:szCs w:val="13"/>
                <w:color w:val="auto"/>
              </w:rPr>
            </w:pPr>
          </w:p>
        </w:tc>
        <w:tc>
          <w:tcPr>
            <w:tcW w:w="900" w:type="dxa"/>
            <w:vAlign w:val="bottom"/>
          </w:tcPr>
          <w:p>
            <w:pPr>
              <w:jc w:val="right"/>
              <w:spacing w:after="0"/>
              <w:rPr>
                <w:sz w:val="20"/>
                <w:szCs w:val="20"/>
                <w:color w:val="auto"/>
              </w:rPr>
            </w:pPr>
            <w:r>
              <w:rPr>
                <w:rFonts w:ascii="Times New Roman" w:cs="Times New Roman" w:eastAsia="Times New Roman" w:hAnsi="Times New Roman"/>
                <w:sz w:val="14"/>
                <w:szCs w:val="14"/>
                <w:b w:val="1"/>
                <w:bCs w:val="1"/>
                <w:color w:val="auto"/>
              </w:rPr>
              <w:t>24</w:t>
            </w:r>
          </w:p>
        </w:tc>
      </w:tr>
      <w:tr>
        <w:trPr>
          <w:trHeight w:val="160"/>
        </w:trPr>
        <w:tc>
          <w:tcPr>
            <w:tcW w:w="340" w:type="dxa"/>
            <w:vAlign w:val="bottom"/>
          </w:tcPr>
          <w:p>
            <w:pPr>
              <w:spacing w:after="0"/>
              <w:rPr>
                <w:sz w:val="13"/>
                <w:szCs w:val="13"/>
                <w:color w:val="auto"/>
              </w:rPr>
            </w:pPr>
          </w:p>
        </w:tc>
        <w:tc>
          <w:tcPr>
            <w:tcW w:w="300" w:type="dxa"/>
            <w:vAlign w:val="bottom"/>
            <w:gridSpan w:val="4"/>
          </w:tcPr>
          <w:p>
            <w:pPr>
              <w:jc w:val="right"/>
              <w:spacing w:after="0"/>
              <w:rPr>
                <w:sz w:val="20"/>
                <w:szCs w:val="20"/>
                <w:color w:val="auto"/>
              </w:rPr>
            </w:pPr>
            <w:r>
              <w:rPr>
                <w:rFonts w:ascii="Times New Roman" w:cs="Times New Roman" w:eastAsia="Times New Roman" w:hAnsi="Times New Roman"/>
                <w:sz w:val="14"/>
                <w:szCs w:val="14"/>
                <w:b w:val="1"/>
                <w:bCs w:val="1"/>
                <w:color w:val="0000FF"/>
                <w:w w:val="99"/>
              </w:rPr>
              <w:t>Item</w:t>
            </w:r>
          </w:p>
        </w:tc>
        <w:tc>
          <w:tcPr>
            <w:tcW w:w="9700" w:type="dxa"/>
            <w:vAlign w:val="bottom"/>
            <w:gridSpan w:val="24"/>
          </w:tcPr>
          <w:p>
            <w:pPr>
              <w:ind w:left="20"/>
              <w:spacing w:after="0"/>
              <w:rPr>
                <w:sz w:val="20"/>
                <w:szCs w:val="20"/>
                <w:color w:val="auto"/>
              </w:rPr>
            </w:pPr>
            <w:r>
              <w:rPr>
                <w:rFonts w:ascii="Times New Roman" w:cs="Times New Roman" w:eastAsia="Times New Roman" w:hAnsi="Times New Roman"/>
                <w:sz w:val="14"/>
                <w:szCs w:val="14"/>
                <w:b w:val="1"/>
                <w:bCs w:val="1"/>
                <w:color w:val="0000FF"/>
              </w:rPr>
              <w:t>7A. Quantitative and Qualitative Disclosures about Market Risk</w:t>
            </w:r>
          </w:p>
        </w:tc>
        <w:tc>
          <w:tcPr>
            <w:tcW w:w="900" w:type="dxa"/>
            <w:vAlign w:val="bottom"/>
          </w:tcPr>
          <w:p>
            <w:pPr>
              <w:jc w:val="right"/>
              <w:spacing w:after="0"/>
              <w:rPr>
                <w:sz w:val="20"/>
                <w:szCs w:val="20"/>
                <w:color w:val="auto"/>
              </w:rPr>
            </w:pPr>
            <w:r>
              <w:rPr>
                <w:rFonts w:ascii="Times New Roman" w:cs="Times New Roman" w:eastAsia="Times New Roman" w:hAnsi="Times New Roman"/>
                <w:sz w:val="14"/>
                <w:szCs w:val="14"/>
                <w:b w:val="1"/>
                <w:bCs w:val="1"/>
                <w:color w:val="auto"/>
              </w:rPr>
              <w:t>34</w:t>
            </w:r>
          </w:p>
        </w:tc>
      </w:tr>
      <w:tr>
        <w:trPr>
          <w:trHeight w:val="160"/>
        </w:trPr>
        <w:tc>
          <w:tcPr>
            <w:tcW w:w="340" w:type="dxa"/>
            <w:vAlign w:val="bottom"/>
          </w:tcPr>
          <w:p>
            <w:pPr>
              <w:spacing w:after="0"/>
              <w:rPr>
                <w:sz w:val="13"/>
                <w:szCs w:val="13"/>
                <w:color w:val="auto"/>
              </w:rPr>
            </w:pPr>
          </w:p>
        </w:tc>
        <w:tc>
          <w:tcPr>
            <w:tcW w:w="300" w:type="dxa"/>
            <w:vAlign w:val="bottom"/>
            <w:tcBorders>
              <w:top w:val="single" w:sz="8" w:color="0000FF"/>
            </w:tcBorders>
            <w:gridSpan w:val="4"/>
          </w:tcPr>
          <w:p>
            <w:pPr>
              <w:jc w:val="right"/>
              <w:spacing w:after="0"/>
              <w:rPr>
                <w:sz w:val="20"/>
                <w:szCs w:val="20"/>
                <w:color w:val="auto"/>
              </w:rPr>
            </w:pPr>
            <w:r>
              <w:rPr>
                <w:rFonts w:ascii="Times New Roman" w:cs="Times New Roman" w:eastAsia="Times New Roman" w:hAnsi="Times New Roman"/>
                <w:sz w:val="14"/>
                <w:szCs w:val="14"/>
                <w:b w:val="1"/>
                <w:bCs w:val="1"/>
                <w:color w:val="0000FF"/>
                <w:w w:val="99"/>
              </w:rPr>
              <w:t>Item</w:t>
            </w:r>
          </w:p>
        </w:tc>
        <w:tc>
          <w:tcPr>
            <w:tcW w:w="160" w:type="dxa"/>
            <w:vAlign w:val="bottom"/>
            <w:tcBorders>
              <w:top w:val="single" w:sz="8" w:color="0000FF"/>
            </w:tcBorders>
          </w:tcPr>
          <w:p>
            <w:pPr>
              <w:ind w:left="20"/>
              <w:spacing w:after="0"/>
              <w:rPr>
                <w:sz w:val="20"/>
                <w:szCs w:val="20"/>
                <w:color w:val="auto"/>
              </w:rPr>
            </w:pPr>
            <w:r>
              <w:rPr>
                <w:rFonts w:ascii="Times New Roman" w:cs="Times New Roman" w:eastAsia="Times New Roman" w:hAnsi="Times New Roman"/>
                <w:sz w:val="14"/>
                <w:szCs w:val="14"/>
                <w:b w:val="1"/>
                <w:bCs w:val="1"/>
                <w:color w:val="0000FF"/>
              </w:rPr>
              <w:t>8.</w:t>
            </w:r>
          </w:p>
        </w:tc>
        <w:tc>
          <w:tcPr>
            <w:tcW w:w="3740" w:type="dxa"/>
            <w:vAlign w:val="bottom"/>
            <w:tcBorders>
              <w:top w:val="single" w:sz="8" w:color="0000FF"/>
            </w:tcBorders>
            <w:gridSpan w:val="16"/>
          </w:tcPr>
          <w:p>
            <w:pPr>
              <w:spacing w:after="0"/>
              <w:rPr>
                <w:sz w:val="20"/>
                <w:szCs w:val="20"/>
                <w:color w:val="auto"/>
              </w:rPr>
            </w:pPr>
            <w:r>
              <w:rPr>
                <w:rFonts w:ascii="Times New Roman" w:cs="Times New Roman" w:eastAsia="Times New Roman" w:hAnsi="Times New Roman"/>
                <w:sz w:val="14"/>
                <w:szCs w:val="14"/>
                <w:b w:val="1"/>
                <w:bCs w:val="1"/>
                <w:color w:val="0000FF"/>
              </w:rPr>
              <w:t>Financial Statements and Supplementary Data</w:t>
            </w:r>
          </w:p>
        </w:tc>
        <w:tc>
          <w:tcPr>
            <w:tcW w:w="5800" w:type="dxa"/>
            <w:vAlign w:val="bottom"/>
            <w:gridSpan w:val="7"/>
          </w:tcPr>
          <w:p>
            <w:pPr>
              <w:spacing w:after="0"/>
              <w:rPr>
                <w:sz w:val="13"/>
                <w:szCs w:val="13"/>
                <w:color w:val="auto"/>
              </w:rPr>
            </w:pPr>
          </w:p>
        </w:tc>
        <w:tc>
          <w:tcPr>
            <w:tcW w:w="900" w:type="dxa"/>
            <w:vAlign w:val="bottom"/>
          </w:tcPr>
          <w:p>
            <w:pPr>
              <w:jc w:val="right"/>
              <w:spacing w:after="0"/>
              <w:rPr>
                <w:sz w:val="20"/>
                <w:szCs w:val="20"/>
                <w:color w:val="auto"/>
              </w:rPr>
            </w:pPr>
            <w:r>
              <w:rPr>
                <w:rFonts w:ascii="Times New Roman" w:cs="Times New Roman" w:eastAsia="Times New Roman" w:hAnsi="Times New Roman"/>
                <w:sz w:val="14"/>
                <w:szCs w:val="14"/>
                <w:b w:val="1"/>
                <w:bCs w:val="1"/>
                <w:color w:val="auto"/>
              </w:rPr>
              <w:t>35</w:t>
            </w:r>
          </w:p>
        </w:tc>
      </w:tr>
      <w:tr>
        <w:trPr>
          <w:trHeight w:val="20"/>
        </w:trPr>
        <w:tc>
          <w:tcPr>
            <w:tcW w:w="340" w:type="dxa"/>
            <w:vAlign w:val="bottom"/>
          </w:tcPr>
          <w:p>
            <w:pPr>
              <w:spacing w:after="0" w:line="20" w:lineRule="exact"/>
              <w:rPr>
                <w:sz w:val="1"/>
                <w:szCs w:val="1"/>
                <w:color w:val="auto"/>
              </w:rPr>
            </w:pPr>
          </w:p>
        </w:tc>
        <w:tc>
          <w:tcPr>
            <w:tcW w:w="280" w:type="dxa"/>
            <w:vAlign w:val="bottom"/>
            <w:gridSpan w:val="3"/>
            <w:shd w:val="clear" w:color="auto" w:fill="0000FF"/>
          </w:tcPr>
          <w:p>
            <w:pPr>
              <w:spacing w:after="0" w:line="20" w:lineRule="exact"/>
              <w:rPr>
                <w:sz w:val="1"/>
                <w:szCs w:val="1"/>
                <w:color w:val="auto"/>
              </w:rPr>
            </w:pPr>
          </w:p>
        </w:tc>
        <w:tc>
          <w:tcPr>
            <w:tcW w:w="20" w:type="dxa"/>
            <w:vAlign w:val="bottom"/>
            <w:shd w:val="clear" w:color="auto" w:fill="0000FF"/>
          </w:tcPr>
          <w:p>
            <w:pPr>
              <w:spacing w:after="0" w:line="20" w:lineRule="exact"/>
              <w:rPr>
                <w:sz w:val="1"/>
                <w:szCs w:val="1"/>
                <w:color w:val="auto"/>
              </w:rPr>
            </w:pPr>
          </w:p>
        </w:tc>
        <w:tc>
          <w:tcPr>
            <w:tcW w:w="160" w:type="dxa"/>
            <w:vAlign w:val="bottom"/>
            <w:shd w:val="clear" w:color="auto" w:fill="0000FF"/>
          </w:tcPr>
          <w:p>
            <w:pPr>
              <w:spacing w:after="0" w:line="20" w:lineRule="exact"/>
              <w:rPr>
                <w:sz w:val="1"/>
                <w:szCs w:val="1"/>
                <w:color w:val="auto"/>
              </w:rPr>
            </w:pPr>
          </w:p>
        </w:tc>
        <w:tc>
          <w:tcPr>
            <w:tcW w:w="1240" w:type="dxa"/>
            <w:vAlign w:val="bottom"/>
            <w:gridSpan w:val="7"/>
            <w:shd w:val="clear" w:color="auto" w:fill="0000FF"/>
          </w:tcPr>
          <w:p>
            <w:pPr>
              <w:spacing w:after="0" w:line="20" w:lineRule="exact"/>
              <w:rPr>
                <w:sz w:val="1"/>
                <w:szCs w:val="1"/>
                <w:color w:val="auto"/>
              </w:rPr>
            </w:pPr>
          </w:p>
        </w:tc>
        <w:tc>
          <w:tcPr>
            <w:tcW w:w="320" w:type="dxa"/>
            <w:vAlign w:val="bottom"/>
            <w:gridSpan w:val="2"/>
            <w:shd w:val="clear" w:color="auto" w:fill="0000FF"/>
          </w:tcPr>
          <w:p>
            <w:pPr>
              <w:spacing w:after="0" w:line="20" w:lineRule="exact"/>
              <w:rPr>
                <w:sz w:val="1"/>
                <w:szCs w:val="1"/>
                <w:color w:val="auto"/>
              </w:rPr>
            </w:pPr>
          </w:p>
        </w:tc>
        <w:tc>
          <w:tcPr>
            <w:tcW w:w="60" w:type="dxa"/>
            <w:vAlign w:val="bottom"/>
            <w:shd w:val="clear" w:color="auto" w:fill="0000FF"/>
          </w:tcPr>
          <w:p>
            <w:pPr>
              <w:spacing w:after="0" w:line="20" w:lineRule="exact"/>
              <w:rPr>
                <w:sz w:val="1"/>
                <w:szCs w:val="1"/>
                <w:color w:val="auto"/>
              </w:rPr>
            </w:pPr>
          </w:p>
        </w:tc>
        <w:tc>
          <w:tcPr>
            <w:tcW w:w="840" w:type="dxa"/>
            <w:vAlign w:val="bottom"/>
            <w:gridSpan w:val="2"/>
            <w:shd w:val="clear" w:color="auto" w:fill="0000FF"/>
          </w:tcPr>
          <w:p>
            <w:pPr>
              <w:spacing w:after="0" w:line="20" w:lineRule="exact"/>
              <w:rPr>
                <w:sz w:val="1"/>
                <w:szCs w:val="1"/>
                <w:color w:val="auto"/>
              </w:rPr>
            </w:pPr>
          </w:p>
        </w:tc>
        <w:tc>
          <w:tcPr>
            <w:tcW w:w="40" w:type="dxa"/>
            <w:vAlign w:val="bottom"/>
            <w:shd w:val="clear" w:color="auto" w:fill="0000FF"/>
          </w:tcPr>
          <w:p>
            <w:pPr>
              <w:spacing w:after="0" w:line="20" w:lineRule="exact"/>
              <w:rPr>
                <w:sz w:val="1"/>
                <w:szCs w:val="1"/>
                <w:color w:val="auto"/>
              </w:rPr>
            </w:pPr>
          </w:p>
        </w:tc>
        <w:tc>
          <w:tcPr>
            <w:tcW w:w="320" w:type="dxa"/>
            <w:vAlign w:val="bottom"/>
            <w:shd w:val="clear" w:color="auto" w:fill="0000FF"/>
          </w:tcPr>
          <w:p>
            <w:pPr>
              <w:spacing w:after="0" w:line="20" w:lineRule="exact"/>
              <w:rPr>
                <w:sz w:val="1"/>
                <w:szCs w:val="1"/>
                <w:color w:val="auto"/>
              </w:rPr>
            </w:pPr>
          </w:p>
        </w:tc>
        <w:tc>
          <w:tcPr>
            <w:tcW w:w="700" w:type="dxa"/>
            <w:vAlign w:val="bottom"/>
          </w:tcPr>
          <w:p>
            <w:pPr>
              <w:spacing w:after="0" w:line="20" w:lineRule="exact"/>
              <w:rPr>
                <w:sz w:val="1"/>
                <w:szCs w:val="1"/>
                <w:color w:val="auto"/>
              </w:rPr>
            </w:pPr>
          </w:p>
        </w:tc>
        <w:tc>
          <w:tcPr>
            <w:tcW w:w="700" w:type="dxa"/>
            <w:vAlign w:val="bottom"/>
            <w:gridSpan w:val="2"/>
          </w:tcPr>
          <w:p>
            <w:pPr>
              <w:spacing w:after="0" w:line="20" w:lineRule="exact"/>
              <w:rPr>
                <w:sz w:val="1"/>
                <w:szCs w:val="1"/>
                <w:color w:val="auto"/>
              </w:rPr>
            </w:pPr>
          </w:p>
        </w:tc>
        <w:tc>
          <w:tcPr>
            <w:tcW w:w="460" w:type="dxa"/>
            <w:vAlign w:val="bottom"/>
          </w:tcPr>
          <w:p>
            <w:pPr>
              <w:spacing w:after="0" w:line="20" w:lineRule="exact"/>
              <w:rPr>
                <w:sz w:val="1"/>
                <w:szCs w:val="1"/>
                <w:color w:val="auto"/>
              </w:rPr>
            </w:pPr>
          </w:p>
        </w:tc>
        <w:tc>
          <w:tcPr>
            <w:tcW w:w="720" w:type="dxa"/>
            <w:vAlign w:val="bottom"/>
            <w:gridSpan w:val="2"/>
          </w:tcPr>
          <w:p>
            <w:pPr>
              <w:spacing w:after="0" w:line="20" w:lineRule="exact"/>
              <w:rPr>
                <w:sz w:val="1"/>
                <w:szCs w:val="1"/>
                <w:color w:val="auto"/>
              </w:rPr>
            </w:pPr>
          </w:p>
        </w:tc>
        <w:tc>
          <w:tcPr>
            <w:tcW w:w="820" w:type="dxa"/>
            <w:vAlign w:val="bottom"/>
          </w:tcPr>
          <w:p>
            <w:pPr>
              <w:spacing w:after="0" w:line="20" w:lineRule="exact"/>
              <w:rPr>
                <w:sz w:val="1"/>
                <w:szCs w:val="1"/>
                <w:color w:val="auto"/>
              </w:rPr>
            </w:pPr>
          </w:p>
        </w:tc>
        <w:tc>
          <w:tcPr>
            <w:tcW w:w="3320" w:type="dxa"/>
            <w:vAlign w:val="bottom"/>
            <w:gridSpan w:val="2"/>
          </w:tcPr>
          <w:p>
            <w:pPr>
              <w:spacing w:after="0" w:line="20" w:lineRule="exact"/>
              <w:rPr>
                <w:sz w:val="1"/>
                <w:szCs w:val="1"/>
                <w:color w:val="auto"/>
              </w:rPr>
            </w:pPr>
          </w:p>
        </w:tc>
        <w:tc>
          <w:tcPr>
            <w:tcW w:w="900" w:type="dxa"/>
            <w:vAlign w:val="bottom"/>
          </w:tcPr>
          <w:p>
            <w:pPr>
              <w:spacing w:after="0" w:line="20" w:lineRule="exact"/>
              <w:rPr>
                <w:sz w:val="1"/>
                <w:szCs w:val="1"/>
                <w:color w:val="auto"/>
              </w:rPr>
            </w:pPr>
          </w:p>
        </w:tc>
      </w:tr>
      <w:tr>
        <w:trPr>
          <w:trHeight w:val="160"/>
        </w:trPr>
        <w:tc>
          <w:tcPr>
            <w:tcW w:w="340" w:type="dxa"/>
            <w:vAlign w:val="bottom"/>
          </w:tcPr>
          <w:p>
            <w:pPr>
              <w:spacing w:after="0"/>
              <w:rPr>
                <w:sz w:val="13"/>
                <w:szCs w:val="13"/>
                <w:color w:val="auto"/>
              </w:rPr>
            </w:pPr>
          </w:p>
        </w:tc>
        <w:tc>
          <w:tcPr>
            <w:tcW w:w="300" w:type="dxa"/>
            <w:vAlign w:val="bottom"/>
            <w:tcBorders>
              <w:bottom w:val="single" w:sz="8" w:color="0000FF"/>
            </w:tcBorders>
            <w:gridSpan w:val="4"/>
          </w:tcPr>
          <w:p>
            <w:pPr>
              <w:jc w:val="right"/>
              <w:spacing w:after="0"/>
              <w:rPr>
                <w:sz w:val="20"/>
                <w:szCs w:val="20"/>
                <w:color w:val="auto"/>
              </w:rPr>
            </w:pPr>
            <w:r>
              <w:rPr>
                <w:rFonts w:ascii="Times New Roman" w:cs="Times New Roman" w:eastAsia="Times New Roman" w:hAnsi="Times New Roman"/>
                <w:sz w:val="14"/>
                <w:szCs w:val="14"/>
                <w:b w:val="1"/>
                <w:bCs w:val="1"/>
                <w:color w:val="0000FF"/>
                <w:w w:val="99"/>
              </w:rPr>
              <w:t>Item</w:t>
            </w:r>
          </w:p>
        </w:tc>
        <w:tc>
          <w:tcPr>
            <w:tcW w:w="160" w:type="dxa"/>
            <w:vAlign w:val="bottom"/>
            <w:tcBorders>
              <w:bottom w:val="single" w:sz="8" w:color="0000FF"/>
            </w:tcBorders>
          </w:tcPr>
          <w:p>
            <w:pPr>
              <w:ind w:left="20"/>
              <w:spacing w:after="0"/>
              <w:rPr>
                <w:sz w:val="20"/>
                <w:szCs w:val="20"/>
                <w:color w:val="auto"/>
              </w:rPr>
            </w:pPr>
            <w:r>
              <w:rPr>
                <w:rFonts w:ascii="Times New Roman" w:cs="Times New Roman" w:eastAsia="Times New Roman" w:hAnsi="Times New Roman"/>
                <w:sz w:val="14"/>
                <w:szCs w:val="14"/>
                <w:b w:val="1"/>
                <w:bCs w:val="1"/>
                <w:color w:val="0000FF"/>
              </w:rPr>
              <w:t>9.</w:t>
            </w:r>
          </w:p>
        </w:tc>
        <w:tc>
          <w:tcPr>
            <w:tcW w:w="5400" w:type="dxa"/>
            <w:vAlign w:val="bottom"/>
            <w:tcBorders>
              <w:bottom w:val="single" w:sz="8" w:color="0000FF"/>
            </w:tcBorders>
            <w:gridSpan w:val="20"/>
          </w:tcPr>
          <w:p>
            <w:pPr>
              <w:spacing w:after="0"/>
              <w:rPr>
                <w:sz w:val="20"/>
                <w:szCs w:val="20"/>
                <w:color w:val="auto"/>
              </w:rPr>
            </w:pPr>
            <w:r>
              <w:rPr>
                <w:rFonts w:ascii="Times New Roman" w:cs="Times New Roman" w:eastAsia="Times New Roman" w:hAnsi="Times New Roman"/>
                <w:sz w:val="14"/>
                <w:szCs w:val="14"/>
                <w:b w:val="1"/>
                <w:bCs w:val="1"/>
                <w:color w:val="0000FF"/>
              </w:rPr>
              <w:t>Changes in and Disagreements with Accountants on Accounting and Financial Disclosure</w:t>
            </w:r>
          </w:p>
        </w:tc>
        <w:tc>
          <w:tcPr>
            <w:tcW w:w="4140" w:type="dxa"/>
            <w:vAlign w:val="bottom"/>
            <w:gridSpan w:val="3"/>
          </w:tcPr>
          <w:p>
            <w:pPr>
              <w:spacing w:after="0"/>
              <w:rPr>
                <w:sz w:val="13"/>
                <w:szCs w:val="13"/>
                <w:color w:val="auto"/>
              </w:rPr>
            </w:pPr>
          </w:p>
        </w:tc>
        <w:tc>
          <w:tcPr>
            <w:tcW w:w="900" w:type="dxa"/>
            <w:vAlign w:val="bottom"/>
          </w:tcPr>
          <w:p>
            <w:pPr>
              <w:jc w:val="right"/>
              <w:spacing w:after="0"/>
              <w:rPr>
                <w:sz w:val="20"/>
                <w:szCs w:val="20"/>
                <w:color w:val="auto"/>
              </w:rPr>
            </w:pPr>
            <w:r>
              <w:rPr>
                <w:rFonts w:ascii="Times New Roman" w:cs="Times New Roman" w:eastAsia="Times New Roman" w:hAnsi="Times New Roman"/>
                <w:sz w:val="14"/>
                <w:szCs w:val="14"/>
                <w:b w:val="1"/>
                <w:bCs w:val="1"/>
                <w:color w:val="auto"/>
              </w:rPr>
              <w:t>35</w:t>
            </w:r>
          </w:p>
        </w:tc>
      </w:tr>
      <w:tr>
        <w:trPr>
          <w:trHeight w:val="160"/>
        </w:trPr>
        <w:tc>
          <w:tcPr>
            <w:tcW w:w="340" w:type="dxa"/>
            <w:vAlign w:val="bottom"/>
          </w:tcPr>
          <w:p>
            <w:pPr>
              <w:spacing w:after="0"/>
              <w:rPr>
                <w:sz w:val="13"/>
                <w:szCs w:val="13"/>
                <w:color w:val="auto"/>
              </w:rPr>
            </w:pPr>
          </w:p>
        </w:tc>
        <w:tc>
          <w:tcPr>
            <w:tcW w:w="300" w:type="dxa"/>
            <w:vAlign w:val="bottom"/>
            <w:tcBorders>
              <w:bottom w:val="single" w:sz="8" w:color="0000FF"/>
            </w:tcBorders>
            <w:gridSpan w:val="4"/>
          </w:tcPr>
          <w:p>
            <w:pPr>
              <w:jc w:val="right"/>
              <w:spacing w:after="0"/>
              <w:rPr>
                <w:sz w:val="20"/>
                <w:szCs w:val="20"/>
                <w:color w:val="auto"/>
              </w:rPr>
            </w:pPr>
            <w:r>
              <w:rPr>
                <w:rFonts w:ascii="Times New Roman" w:cs="Times New Roman" w:eastAsia="Times New Roman" w:hAnsi="Times New Roman"/>
                <w:sz w:val="14"/>
                <w:szCs w:val="14"/>
                <w:b w:val="1"/>
                <w:bCs w:val="1"/>
                <w:color w:val="0000FF"/>
                <w:w w:val="99"/>
              </w:rPr>
              <w:t>Item</w:t>
            </w:r>
          </w:p>
        </w:tc>
        <w:tc>
          <w:tcPr>
            <w:tcW w:w="1780" w:type="dxa"/>
            <w:vAlign w:val="bottom"/>
            <w:tcBorders>
              <w:bottom w:val="single" w:sz="8" w:color="0000FF"/>
            </w:tcBorders>
            <w:gridSpan w:val="11"/>
          </w:tcPr>
          <w:p>
            <w:pPr>
              <w:ind w:left="20"/>
              <w:spacing w:after="0"/>
              <w:rPr>
                <w:sz w:val="20"/>
                <w:szCs w:val="20"/>
                <w:color w:val="auto"/>
              </w:rPr>
            </w:pPr>
            <w:r>
              <w:rPr>
                <w:rFonts w:ascii="Times New Roman" w:cs="Times New Roman" w:eastAsia="Times New Roman" w:hAnsi="Times New Roman"/>
                <w:sz w:val="14"/>
                <w:szCs w:val="14"/>
                <w:b w:val="1"/>
                <w:bCs w:val="1"/>
                <w:color w:val="0000FF"/>
              </w:rPr>
              <w:t>9A. Controls and Procedures</w:t>
            </w:r>
          </w:p>
        </w:tc>
        <w:tc>
          <w:tcPr>
            <w:tcW w:w="7920" w:type="dxa"/>
            <w:vAlign w:val="bottom"/>
            <w:gridSpan w:val="13"/>
          </w:tcPr>
          <w:p>
            <w:pPr>
              <w:spacing w:after="0"/>
              <w:rPr>
                <w:sz w:val="13"/>
                <w:szCs w:val="13"/>
                <w:color w:val="auto"/>
              </w:rPr>
            </w:pPr>
          </w:p>
        </w:tc>
        <w:tc>
          <w:tcPr>
            <w:tcW w:w="900" w:type="dxa"/>
            <w:vAlign w:val="bottom"/>
          </w:tcPr>
          <w:p>
            <w:pPr>
              <w:jc w:val="right"/>
              <w:spacing w:after="0"/>
              <w:rPr>
                <w:sz w:val="20"/>
                <w:szCs w:val="20"/>
                <w:color w:val="auto"/>
              </w:rPr>
            </w:pPr>
            <w:r>
              <w:rPr>
                <w:rFonts w:ascii="Times New Roman" w:cs="Times New Roman" w:eastAsia="Times New Roman" w:hAnsi="Times New Roman"/>
                <w:sz w:val="14"/>
                <w:szCs w:val="14"/>
                <w:b w:val="1"/>
                <w:bCs w:val="1"/>
                <w:color w:val="auto"/>
              </w:rPr>
              <w:t>35</w:t>
            </w:r>
          </w:p>
        </w:tc>
      </w:tr>
      <w:tr>
        <w:trPr>
          <w:trHeight w:val="160"/>
        </w:trPr>
        <w:tc>
          <w:tcPr>
            <w:tcW w:w="340" w:type="dxa"/>
            <w:vAlign w:val="bottom"/>
          </w:tcPr>
          <w:p>
            <w:pPr>
              <w:spacing w:after="0"/>
              <w:rPr>
                <w:sz w:val="13"/>
                <w:szCs w:val="13"/>
                <w:color w:val="auto"/>
              </w:rPr>
            </w:pPr>
          </w:p>
        </w:tc>
        <w:tc>
          <w:tcPr>
            <w:tcW w:w="300" w:type="dxa"/>
            <w:vAlign w:val="bottom"/>
            <w:tcBorders>
              <w:bottom w:val="single" w:sz="8" w:color="0000FF"/>
            </w:tcBorders>
            <w:gridSpan w:val="4"/>
          </w:tcPr>
          <w:p>
            <w:pPr>
              <w:jc w:val="right"/>
              <w:spacing w:after="0"/>
              <w:rPr>
                <w:sz w:val="20"/>
                <w:szCs w:val="20"/>
                <w:color w:val="auto"/>
              </w:rPr>
            </w:pPr>
            <w:r>
              <w:rPr>
                <w:rFonts w:ascii="Times New Roman" w:cs="Times New Roman" w:eastAsia="Times New Roman" w:hAnsi="Times New Roman"/>
                <w:sz w:val="14"/>
                <w:szCs w:val="14"/>
                <w:b w:val="1"/>
                <w:bCs w:val="1"/>
                <w:color w:val="0000FF"/>
                <w:w w:val="99"/>
              </w:rPr>
              <w:t>Item</w:t>
            </w:r>
          </w:p>
        </w:tc>
        <w:tc>
          <w:tcPr>
            <w:tcW w:w="1400" w:type="dxa"/>
            <w:vAlign w:val="bottom"/>
            <w:tcBorders>
              <w:bottom w:val="single" w:sz="8" w:color="0000FF"/>
            </w:tcBorders>
            <w:gridSpan w:val="8"/>
          </w:tcPr>
          <w:p>
            <w:pPr>
              <w:ind w:left="20"/>
              <w:spacing w:after="0"/>
              <w:rPr>
                <w:sz w:val="20"/>
                <w:szCs w:val="20"/>
                <w:color w:val="auto"/>
              </w:rPr>
            </w:pPr>
            <w:r>
              <w:rPr>
                <w:rFonts w:ascii="Times New Roman" w:cs="Times New Roman" w:eastAsia="Times New Roman" w:hAnsi="Times New Roman"/>
                <w:sz w:val="14"/>
                <w:szCs w:val="14"/>
                <w:b w:val="1"/>
                <w:bCs w:val="1"/>
                <w:color w:val="0000FF"/>
              </w:rPr>
              <w:t>9B. Other Information</w:t>
            </w:r>
          </w:p>
        </w:tc>
        <w:tc>
          <w:tcPr>
            <w:tcW w:w="8300" w:type="dxa"/>
            <w:vAlign w:val="bottom"/>
            <w:gridSpan w:val="16"/>
          </w:tcPr>
          <w:p>
            <w:pPr>
              <w:spacing w:after="0"/>
              <w:rPr>
                <w:sz w:val="13"/>
                <w:szCs w:val="13"/>
                <w:color w:val="auto"/>
              </w:rPr>
            </w:pPr>
          </w:p>
        </w:tc>
        <w:tc>
          <w:tcPr>
            <w:tcW w:w="900" w:type="dxa"/>
            <w:vAlign w:val="bottom"/>
          </w:tcPr>
          <w:p>
            <w:pPr>
              <w:jc w:val="right"/>
              <w:spacing w:after="0"/>
              <w:rPr>
                <w:sz w:val="20"/>
                <w:szCs w:val="20"/>
                <w:color w:val="auto"/>
              </w:rPr>
            </w:pPr>
            <w:r>
              <w:rPr>
                <w:rFonts w:ascii="Times New Roman" w:cs="Times New Roman" w:eastAsia="Times New Roman" w:hAnsi="Times New Roman"/>
                <w:sz w:val="14"/>
                <w:szCs w:val="14"/>
                <w:b w:val="1"/>
                <w:bCs w:val="1"/>
                <w:color w:val="auto"/>
              </w:rPr>
              <w:t>37</w:t>
            </w:r>
          </w:p>
        </w:tc>
      </w:tr>
      <w:tr>
        <w:trPr>
          <w:trHeight w:val="160"/>
        </w:trPr>
        <w:tc>
          <w:tcPr>
            <w:tcW w:w="340" w:type="dxa"/>
            <w:vAlign w:val="bottom"/>
          </w:tcPr>
          <w:p>
            <w:pPr>
              <w:spacing w:after="0"/>
              <w:rPr>
                <w:sz w:val="13"/>
                <w:szCs w:val="13"/>
                <w:color w:val="auto"/>
              </w:rPr>
            </w:pPr>
          </w:p>
        </w:tc>
        <w:tc>
          <w:tcPr>
            <w:tcW w:w="300" w:type="dxa"/>
            <w:vAlign w:val="bottom"/>
            <w:gridSpan w:val="4"/>
          </w:tcPr>
          <w:p>
            <w:pPr>
              <w:jc w:val="right"/>
              <w:spacing w:after="0"/>
              <w:rPr>
                <w:sz w:val="20"/>
                <w:szCs w:val="20"/>
                <w:color w:val="auto"/>
              </w:rPr>
            </w:pPr>
            <w:r>
              <w:rPr>
                <w:rFonts w:ascii="Times New Roman" w:cs="Times New Roman" w:eastAsia="Times New Roman" w:hAnsi="Times New Roman"/>
                <w:sz w:val="14"/>
                <w:szCs w:val="14"/>
                <w:b w:val="1"/>
                <w:bCs w:val="1"/>
                <w:color w:val="0000FF"/>
                <w:w w:val="99"/>
              </w:rPr>
              <w:t>Item</w:t>
            </w:r>
          </w:p>
        </w:tc>
        <w:tc>
          <w:tcPr>
            <w:tcW w:w="9700" w:type="dxa"/>
            <w:vAlign w:val="bottom"/>
            <w:gridSpan w:val="24"/>
          </w:tcPr>
          <w:p>
            <w:pPr>
              <w:ind w:left="20"/>
              <w:spacing w:after="0"/>
              <w:rPr>
                <w:sz w:val="20"/>
                <w:szCs w:val="20"/>
                <w:color w:val="auto"/>
              </w:rPr>
            </w:pPr>
            <w:r>
              <w:rPr>
                <w:rFonts w:ascii="Times New Roman" w:cs="Times New Roman" w:eastAsia="Times New Roman" w:hAnsi="Times New Roman"/>
                <w:sz w:val="14"/>
                <w:szCs w:val="14"/>
                <w:b w:val="1"/>
                <w:bCs w:val="1"/>
                <w:color w:val="0000FF"/>
              </w:rPr>
              <w:t>9C. Disclosure Regarding Foreign Jurisdictions that Prevent Inspections</w:t>
            </w:r>
          </w:p>
        </w:tc>
        <w:tc>
          <w:tcPr>
            <w:tcW w:w="900" w:type="dxa"/>
            <w:vAlign w:val="bottom"/>
          </w:tcPr>
          <w:p>
            <w:pPr>
              <w:jc w:val="right"/>
              <w:spacing w:after="0"/>
              <w:rPr>
                <w:sz w:val="20"/>
                <w:szCs w:val="20"/>
                <w:color w:val="auto"/>
              </w:rPr>
            </w:pPr>
            <w:r>
              <w:rPr>
                <w:rFonts w:ascii="Times New Roman" w:cs="Times New Roman" w:eastAsia="Times New Roman" w:hAnsi="Times New Roman"/>
                <w:sz w:val="14"/>
                <w:szCs w:val="14"/>
                <w:b w:val="1"/>
                <w:bCs w:val="1"/>
                <w:color w:val="auto"/>
              </w:rPr>
              <w:t>37</w:t>
            </w:r>
          </w:p>
        </w:tc>
      </w:tr>
      <w:tr>
        <w:trPr>
          <w:trHeight w:val="20"/>
        </w:trPr>
        <w:tc>
          <w:tcPr>
            <w:tcW w:w="340" w:type="dxa"/>
            <w:vAlign w:val="bottom"/>
          </w:tcPr>
          <w:p>
            <w:pPr>
              <w:spacing w:after="0" w:line="20" w:lineRule="exact"/>
              <w:rPr>
                <w:sz w:val="1"/>
                <w:szCs w:val="1"/>
                <w:color w:val="auto"/>
              </w:rPr>
            </w:pPr>
          </w:p>
        </w:tc>
        <w:tc>
          <w:tcPr>
            <w:tcW w:w="280" w:type="dxa"/>
            <w:vAlign w:val="bottom"/>
            <w:gridSpan w:val="3"/>
            <w:shd w:val="clear" w:color="auto" w:fill="0000FF"/>
          </w:tcPr>
          <w:p>
            <w:pPr>
              <w:spacing w:after="0" w:line="20" w:lineRule="exact"/>
              <w:rPr>
                <w:sz w:val="1"/>
                <w:szCs w:val="1"/>
                <w:color w:val="auto"/>
              </w:rPr>
            </w:pPr>
          </w:p>
        </w:tc>
        <w:tc>
          <w:tcPr>
            <w:tcW w:w="20" w:type="dxa"/>
            <w:vAlign w:val="bottom"/>
            <w:shd w:val="clear" w:color="auto" w:fill="0000FF"/>
          </w:tcPr>
          <w:p>
            <w:pPr>
              <w:spacing w:after="0" w:line="20" w:lineRule="exact"/>
              <w:rPr>
                <w:sz w:val="1"/>
                <w:szCs w:val="1"/>
                <w:color w:val="auto"/>
              </w:rPr>
            </w:pPr>
          </w:p>
        </w:tc>
        <w:tc>
          <w:tcPr>
            <w:tcW w:w="160" w:type="dxa"/>
            <w:vAlign w:val="bottom"/>
            <w:shd w:val="clear" w:color="auto" w:fill="0000FF"/>
          </w:tcPr>
          <w:p>
            <w:pPr>
              <w:spacing w:after="0" w:line="20" w:lineRule="exact"/>
              <w:rPr>
                <w:sz w:val="1"/>
                <w:szCs w:val="1"/>
                <w:color w:val="auto"/>
              </w:rPr>
            </w:pPr>
          </w:p>
        </w:tc>
        <w:tc>
          <w:tcPr>
            <w:tcW w:w="520" w:type="dxa"/>
            <w:vAlign w:val="bottom"/>
            <w:shd w:val="clear" w:color="auto" w:fill="0000FF"/>
          </w:tcPr>
          <w:p>
            <w:pPr>
              <w:spacing w:after="0" w:line="20" w:lineRule="exact"/>
              <w:rPr>
                <w:sz w:val="1"/>
                <w:szCs w:val="1"/>
                <w:color w:val="auto"/>
              </w:rPr>
            </w:pPr>
          </w:p>
        </w:tc>
        <w:tc>
          <w:tcPr>
            <w:tcW w:w="40" w:type="dxa"/>
            <w:vAlign w:val="bottom"/>
            <w:shd w:val="clear" w:color="auto" w:fill="0000FF"/>
          </w:tcPr>
          <w:p>
            <w:pPr>
              <w:spacing w:after="0" w:line="20" w:lineRule="exact"/>
              <w:rPr>
                <w:sz w:val="1"/>
                <w:szCs w:val="1"/>
                <w:color w:val="auto"/>
              </w:rPr>
            </w:pPr>
          </w:p>
        </w:tc>
        <w:tc>
          <w:tcPr>
            <w:tcW w:w="80" w:type="dxa"/>
            <w:vAlign w:val="bottom"/>
            <w:shd w:val="clear" w:color="auto" w:fill="0000FF"/>
          </w:tcPr>
          <w:p>
            <w:pPr>
              <w:spacing w:after="0" w:line="20" w:lineRule="exact"/>
              <w:rPr>
                <w:sz w:val="1"/>
                <w:szCs w:val="1"/>
                <w:color w:val="auto"/>
              </w:rPr>
            </w:pPr>
          </w:p>
        </w:tc>
        <w:tc>
          <w:tcPr>
            <w:tcW w:w="240" w:type="dxa"/>
            <w:vAlign w:val="bottom"/>
            <w:shd w:val="clear" w:color="auto" w:fill="0000FF"/>
          </w:tcPr>
          <w:p>
            <w:pPr>
              <w:spacing w:after="0" w:line="20" w:lineRule="exact"/>
              <w:rPr>
                <w:sz w:val="1"/>
                <w:szCs w:val="1"/>
                <w:color w:val="auto"/>
              </w:rPr>
            </w:pPr>
          </w:p>
        </w:tc>
        <w:tc>
          <w:tcPr>
            <w:tcW w:w="80" w:type="dxa"/>
            <w:vAlign w:val="bottom"/>
            <w:shd w:val="clear" w:color="auto" w:fill="0000FF"/>
          </w:tcPr>
          <w:p>
            <w:pPr>
              <w:spacing w:after="0" w:line="20" w:lineRule="exact"/>
              <w:rPr>
                <w:sz w:val="1"/>
                <w:szCs w:val="1"/>
                <w:color w:val="auto"/>
              </w:rPr>
            </w:pPr>
          </w:p>
        </w:tc>
        <w:tc>
          <w:tcPr>
            <w:tcW w:w="140" w:type="dxa"/>
            <w:vAlign w:val="bottom"/>
            <w:shd w:val="clear" w:color="auto" w:fill="0000FF"/>
          </w:tcPr>
          <w:p>
            <w:pPr>
              <w:spacing w:after="0" w:line="20" w:lineRule="exact"/>
              <w:rPr>
                <w:sz w:val="1"/>
                <w:szCs w:val="1"/>
                <w:color w:val="auto"/>
              </w:rPr>
            </w:pPr>
          </w:p>
        </w:tc>
        <w:tc>
          <w:tcPr>
            <w:tcW w:w="140" w:type="dxa"/>
            <w:vAlign w:val="bottom"/>
            <w:shd w:val="clear" w:color="auto" w:fill="0000FF"/>
          </w:tcPr>
          <w:p>
            <w:pPr>
              <w:spacing w:after="0" w:line="20" w:lineRule="exact"/>
              <w:rPr>
                <w:sz w:val="1"/>
                <w:szCs w:val="1"/>
                <w:color w:val="auto"/>
              </w:rPr>
            </w:pPr>
          </w:p>
        </w:tc>
        <w:tc>
          <w:tcPr>
            <w:tcW w:w="220" w:type="dxa"/>
            <w:vAlign w:val="bottom"/>
            <w:shd w:val="clear" w:color="auto" w:fill="0000FF"/>
          </w:tcPr>
          <w:p>
            <w:pPr>
              <w:spacing w:after="0" w:line="20" w:lineRule="exact"/>
              <w:rPr>
                <w:sz w:val="1"/>
                <w:szCs w:val="1"/>
                <w:color w:val="auto"/>
              </w:rPr>
            </w:pPr>
          </w:p>
        </w:tc>
        <w:tc>
          <w:tcPr>
            <w:tcW w:w="100" w:type="dxa"/>
            <w:vAlign w:val="bottom"/>
            <w:shd w:val="clear" w:color="auto" w:fill="0000FF"/>
          </w:tcPr>
          <w:p>
            <w:pPr>
              <w:spacing w:after="0" w:line="20" w:lineRule="exact"/>
              <w:rPr>
                <w:sz w:val="1"/>
                <w:szCs w:val="1"/>
                <w:color w:val="auto"/>
              </w:rPr>
            </w:pPr>
          </w:p>
        </w:tc>
        <w:tc>
          <w:tcPr>
            <w:tcW w:w="60" w:type="dxa"/>
            <w:vAlign w:val="bottom"/>
            <w:shd w:val="clear" w:color="auto" w:fill="0000FF"/>
          </w:tcPr>
          <w:p>
            <w:pPr>
              <w:spacing w:after="0" w:line="20" w:lineRule="exact"/>
              <w:rPr>
                <w:sz w:val="1"/>
                <w:szCs w:val="1"/>
                <w:color w:val="auto"/>
              </w:rPr>
            </w:pPr>
          </w:p>
        </w:tc>
        <w:tc>
          <w:tcPr>
            <w:tcW w:w="180" w:type="dxa"/>
            <w:vAlign w:val="bottom"/>
            <w:shd w:val="clear" w:color="auto" w:fill="0000FF"/>
          </w:tcPr>
          <w:p>
            <w:pPr>
              <w:spacing w:after="0" w:line="20" w:lineRule="exact"/>
              <w:rPr>
                <w:sz w:val="1"/>
                <w:szCs w:val="1"/>
                <w:color w:val="auto"/>
              </w:rPr>
            </w:pPr>
          </w:p>
        </w:tc>
        <w:tc>
          <w:tcPr>
            <w:tcW w:w="660" w:type="dxa"/>
            <w:vAlign w:val="bottom"/>
            <w:shd w:val="clear" w:color="auto" w:fill="0000FF"/>
          </w:tcPr>
          <w:p>
            <w:pPr>
              <w:spacing w:after="0" w:line="20" w:lineRule="exact"/>
              <w:rPr>
                <w:sz w:val="1"/>
                <w:szCs w:val="1"/>
                <w:color w:val="auto"/>
              </w:rPr>
            </w:pPr>
          </w:p>
        </w:tc>
        <w:tc>
          <w:tcPr>
            <w:tcW w:w="40" w:type="dxa"/>
            <w:vAlign w:val="bottom"/>
            <w:shd w:val="clear" w:color="auto" w:fill="0000FF"/>
          </w:tcPr>
          <w:p>
            <w:pPr>
              <w:spacing w:after="0" w:line="20" w:lineRule="exact"/>
              <w:rPr>
                <w:sz w:val="1"/>
                <w:szCs w:val="1"/>
                <w:color w:val="auto"/>
              </w:rPr>
            </w:pPr>
          </w:p>
        </w:tc>
        <w:tc>
          <w:tcPr>
            <w:tcW w:w="320" w:type="dxa"/>
            <w:vAlign w:val="bottom"/>
            <w:shd w:val="clear" w:color="auto" w:fill="0000FF"/>
          </w:tcPr>
          <w:p>
            <w:pPr>
              <w:spacing w:after="0" w:line="20" w:lineRule="exact"/>
              <w:rPr>
                <w:sz w:val="1"/>
                <w:szCs w:val="1"/>
                <w:color w:val="auto"/>
              </w:rPr>
            </w:pPr>
          </w:p>
        </w:tc>
        <w:tc>
          <w:tcPr>
            <w:tcW w:w="700" w:type="dxa"/>
            <w:vAlign w:val="bottom"/>
            <w:shd w:val="clear" w:color="auto" w:fill="0000FF"/>
          </w:tcPr>
          <w:p>
            <w:pPr>
              <w:spacing w:after="0" w:line="20" w:lineRule="exact"/>
              <w:rPr>
                <w:sz w:val="1"/>
                <w:szCs w:val="1"/>
                <w:color w:val="auto"/>
              </w:rPr>
            </w:pPr>
          </w:p>
        </w:tc>
        <w:tc>
          <w:tcPr>
            <w:tcW w:w="220" w:type="dxa"/>
            <w:vAlign w:val="bottom"/>
            <w:shd w:val="clear" w:color="auto" w:fill="0000FF"/>
          </w:tcPr>
          <w:p>
            <w:pPr>
              <w:spacing w:after="0" w:line="20" w:lineRule="exact"/>
              <w:rPr>
                <w:sz w:val="1"/>
                <w:szCs w:val="1"/>
                <w:color w:val="auto"/>
              </w:rPr>
            </w:pPr>
          </w:p>
        </w:tc>
        <w:tc>
          <w:tcPr>
            <w:tcW w:w="480" w:type="dxa"/>
            <w:vAlign w:val="bottom"/>
            <w:shd w:val="clear" w:color="auto" w:fill="0000FF"/>
          </w:tcPr>
          <w:p>
            <w:pPr>
              <w:spacing w:after="0" w:line="20" w:lineRule="exact"/>
              <w:rPr>
                <w:sz w:val="1"/>
                <w:szCs w:val="1"/>
                <w:color w:val="auto"/>
              </w:rPr>
            </w:pPr>
          </w:p>
        </w:tc>
        <w:tc>
          <w:tcPr>
            <w:tcW w:w="460" w:type="dxa"/>
            <w:vAlign w:val="bottom"/>
          </w:tcPr>
          <w:p>
            <w:pPr>
              <w:spacing w:after="0" w:line="20" w:lineRule="exact"/>
              <w:rPr>
                <w:sz w:val="1"/>
                <w:szCs w:val="1"/>
                <w:color w:val="auto"/>
              </w:rPr>
            </w:pPr>
          </w:p>
        </w:tc>
        <w:tc>
          <w:tcPr>
            <w:tcW w:w="70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820" w:type="dxa"/>
            <w:vAlign w:val="bottom"/>
          </w:tcPr>
          <w:p>
            <w:pPr>
              <w:spacing w:after="0" w:line="20" w:lineRule="exact"/>
              <w:rPr>
                <w:sz w:val="1"/>
                <w:szCs w:val="1"/>
                <w:color w:val="auto"/>
              </w:rPr>
            </w:pPr>
          </w:p>
        </w:tc>
        <w:tc>
          <w:tcPr>
            <w:tcW w:w="600" w:type="dxa"/>
            <w:vAlign w:val="bottom"/>
          </w:tcPr>
          <w:p>
            <w:pPr>
              <w:spacing w:after="0" w:line="20" w:lineRule="exact"/>
              <w:rPr>
                <w:sz w:val="1"/>
                <w:szCs w:val="1"/>
                <w:color w:val="auto"/>
              </w:rPr>
            </w:pPr>
          </w:p>
        </w:tc>
        <w:tc>
          <w:tcPr>
            <w:tcW w:w="2720" w:type="dxa"/>
            <w:vAlign w:val="bottom"/>
          </w:tcPr>
          <w:p>
            <w:pPr>
              <w:spacing w:after="0" w:line="20" w:lineRule="exact"/>
              <w:rPr>
                <w:sz w:val="1"/>
                <w:szCs w:val="1"/>
                <w:color w:val="auto"/>
              </w:rPr>
            </w:pPr>
          </w:p>
        </w:tc>
        <w:tc>
          <w:tcPr>
            <w:tcW w:w="900" w:type="dxa"/>
            <w:vAlign w:val="bottom"/>
          </w:tcPr>
          <w:p>
            <w:pPr>
              <w:spacing w:after="0" w:line="20" w:lineRule="exact"/>
              <w:rPr>
                <w:sz w:val="1"/>
                <w:szCs w:val="1"/>
                <w:color w:val="auto"/>
              </w:rPr>
            </w:pPr>
          </w:p>
        </w:tc>
      </w:tr>
      <w:tr>
        <w:trPr>
          <w:trHeight w:val="245"/>
        </w:trPr>
        <w:tc>
          <w:tcPr>
            <w:tcW w:w="620" w:type="dxa"/>
            <w:vAlign w:val="bottom"/>
            <w:tcBorders>
              <w:bottom w:val="single" w:sz="8" w:color="0000FF"/>
            </w:tcBorders>
            <w:gridSpan w:val="4"/>
          </w:tcPr>
          <w:p>
            <w:pPr>
              <w:spacing w:after="0"/>
              <w:rPr>
                <w:sz w:val="20"/>
                <w:szCs w:val="20"/>
                <w:color w:val="auto"/>
              </w:rPr>
            </w:pPr>
            <w:r>
              <w:rPr>
                <w:rFonts w:ascii="Times New Roman" w:cs="Times New Roman" w:eastAsia="Times New Roman" w:hAnsi="Times New Roman"/>
                <w:sz w:val="14"/>
                <w:szCs w:val="14"/>
                <w:b w:val="1"/>
                <w:bCs w:val="1"/>
                <w:color w:val="0000FF"/>
                <w:w w:val="95"/>
              </w:rPr>
              <w:t>PART III:</w:t>
            </w:r>
          </w:p>
        </w:tc>
        <w:tc>
          <w:tcPr>
            <w:tcW w:w="2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520" w:type="dxa"/>
            <w:vAlign w:val="bottom"/>
          </w:tcPr>
          <w:p>
            <w:pPr>
              <w:spacing w:after="0"/>
              <w:rPr>
                <w:sz w:val="21"/>
                <w:szCs w:val="21"/>
                <w:color w:val="auto"/>
              </w:rPr>
            </w:pPr>
          </w:p>
        </w:tc>
        <w:tc>
          <w:tcPr>
            <w:tcW w:w="40" w:type="dxa"/>
            <w:vAlign w:val="bottom"/>
          </w:tcPr>
          <w:p>
            <w:pPr>
              <w:spacing w:after="0"/>
              <w:rPr>
                <w:sz w:val="21"/>
                <w:szCs w:val="21"/>
                <w:color w:val="auto"/>
              </w:rPr>
            </w:pPr>
          </w:p>
        </w:tc>
        <w:tc>
          <w:tcPr>
            <w:tcW w:w="80" w:type="dxa"/>
            <w:vAlign w:val="bottom"/>
          </w:tcPr>
          <w:p>
            <w:pPr>
              <w:spacing w:after="0"/>
              <w:rPr>
                <w:sz w:val="21"/>
                <w:szCs w:val="21"/>
                <w:color w:val="auto"/>
              </w:rPr>
            </w:pPr>
          </w:p>
        </w:tc>
        <w:tc>
          <w:tcPr>
            <w:tcW w:w="240" w:type="dxa"/>
            <w:vAlign w:val="bottom"/>
          </w:tcPr>
          <w:p>
            <w:pPr>
              <w:spacing w:after="0"/>
              <w:rPr>
                <w:sz w:val="21"/>
                <w:szCs w:val="21"/>
                <w:color w:val="auto"/>
              </w:rPr>
            </w:pPr>
          </w:p>
        </w:tc>
        <w:tc>
          <w:tcPr>
            <w:tcW w:w="8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6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660" w:type="dxa"/>
            <w:vAlign w:val="bottom"/>
          </w:tcPr>
          <w:p>
            <w:pPr>
              <w:spacing w:after="0"/>
              <w:rPr>
                <w:sz w:val="21"/>
                <w:szCs w:val="21"/>
                <w:color w:val="auto"/>
              </w:rPr>
            </w:pPr>
          </w:p>
        </w:tc>
        <w:tc>
          <w:tcPr>
            <w:tcW w:w="40" w:type="dxa"/>
            <w:vAlign w:val="bottom"/>
          </w:tcPr>
          <w:p>
            <w:pPr>
              <w:spacing w:after="0"/>
              <w:rPr>
                <w:sz w:val="21"/>
                <w:szCs w:val="21"/>
                <w:color w:val="auto"/>
              </w:rPr>
            </w:pPr>
          </w:p>
        </w:tc>
        <w:tc>
          <w:tcPr>
            <w:tcW w:w="320" w:type="dxa"/>
            <w:vAlign w:val="bottom"/>
          </w:tcPr>
          <w:p>
            <w:pPr>
              <w:spacing w:after="0"/>
              <w:rPr>
                <w:sz w:val="21"/>
                <w:szCs w:val="21"/>
                <w:color w:val="auto"/>
              </w:rPr>
            </w:pPr>
          </w:p>
        </w:tc>
        <w:tc>
          <w:tcPr>
            <w:tcW w:w="70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480" w:type="dxa"/>
            <w:vAlign w:val="bottom"/>
          </w:tcPr>
          <w:p>
            <w:pPr>
              <w:spacing w:after="0"/>
              <w:rPr>
                <w:sz w:val="21"/>
                <w:szCs w:val="21"/>
                <w:color w:val="auto"/>
              </w:rPr>
            </w:pPr>
          </w:p>
        </w:tc>
        <w:tc>
          <w:tcPr>
            <w:tcW w:w="460" w:type="dxa"/>
            <w:vAlign w:val="bottom"/>
          </w:tcPr>
          <w:p>
            <w:pPr>
              <w:spacing w:after="0"/>
              <w:rPr>
                <w:sz w:val="21"/>
                <w:szCs w:val="21"/>
                <w:color w:val="auto"/>
              </w:rPr>
            </w:pPr>
          </w:p>
        </w:tc>
        <w:tc>
          <w:tcPr>
            <w:tcW w:w="70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820" w:type="dxa"/>
            <w:vAlign w:val="bottom"/>
          </w:tcPr>
          <w:p>
            <w:pPr>
              <w:spacing w:after="0"/>
              <w:rPr>
                <w:sz w:val="21"/>
                <w:szCs w:val="21"/>
                <w:color w:val="auto"/>
              </w:rPr>
            </w:pPr>
          </w:p>
        </w:tc>
        <w:tc>
          <w:tcPr>
            <w:tcW w:w="600" w:type="dxa"/>
            <w:vAlign w:val="bottom"/>
          </w:tcPr>
          <w:p>
            <w:pPr>
              <w:spacing w:after="0"/>
              <w:rPr>
                <w:sz w:val="21"/>
                <w:szCs w:val="21"/>
                <w:color w:val="auto"/>
              </w:rPr>
            </w:pPr>
          </w:p>
        </w:tc>
        <w:tc>
          <w:tcPr>
            <w:tcW w:w="2720" w:type="dxa"/>
            <w:vAlign w:val="bottom"/>
          </w:tcPr>
          <w:p>
            <w:pPr>
              <w:spacing w:after="0"/>
              <w:rPr>
                <w:sz w:val="21"/>
                <w:szCs w:val="21"/>
                <w:color w:val="auto"/>
              </w:rPr>
            </w:pPr>
          </w:p>
        </w:tc>
        <w:tc>
          <w:tcPr>
            <w:tcW w:w="900" w:type="dxa"/>
            <w:vAlign w:val="bottom"/>
          </w:tcPr>
          <w:p>
            <w:pPr>
              <w:spacing w:after="0"/>
              <w:rPr>
                <w:sz w:val="21"/>
                <w:szCs w:val="21"/>
                <w:color w:val="auto"/>
              </w:rPr>
            </w:pPr>
          </w:p>
        </w:tc>
      </w:tr>
      <w:tr>
        <w:trPr>
          <w:trHeight w:val="160"/>
        </w:trPr>
        <w:tc>
          <w:tcPr>
            <w:tcW w:w="340" w:type="dxa"/>
            <w:vAlign w:val="bottom"/>
          </w:tcPr>
          <w:p>
            <w:pPr>
              <w:spacing w:after="0"/>
              <w:rPr>
                <w:sz w:val="13"/>
                <w:szCs w:val="13"/>
                <w:color w:val="auto"/>
              </w:rPr>
            </w:pPr>
          </w:p>
        </w:tc>
        <w:tc>
          <w:tcPr>
            <w:tcW w:w="300" w:type="dxa"/>
            <w:vAlign w:val="bottom"/>
            <w:tcBorders>
              <w:bottom w:val="single" w:sz="8" w:color="0000FF"/>
            </w:tcBorders>
            <w:gridSpan w:val="4"/>
          </w:tcPr>
          <w:p>
            <w:pPr>
              <w:jc w:val="right"/>
              <w:spacing w:after="0"/>
              <w:rPr>
                <w:sz w:val="20"/>
                <w:szCs w:val="20"/>
                <w:color w:val="auto"/>
              </w:rPr>
            </w:pPr>
            <w:r>
              <w:rPr>
                <w:rFonts w:ascii="Times New Roman" w:cs="Times New Roman" w:eastAsia="Times New Roman" w:hAnsi="Times New Roman"/>
                <w:sz w:val="14"/>
                <w:szCs w:val="14"/>
                <w:b w:val="1"/>
                <w:bCs w:val="1"/>
                <w:color w:val="0000FF"/>
                <w:w w:val="99"/>
              </w:rPr>
              <w:t>Item</w:t>
            </w:r>
          </w:p>
        </w:tc>
        <w:tc>
          <w:tcPr>
            <w:tcW w:w="3680" w:type="dxa"/>
            <w:vAlign w:val="bottom"/>
            <w:tcBorders>
              <w:bottom w:val="single" w:sz="8" w:color="0000FF"/>
            </w:tcBorders>
            <w:gridSpan w:val="16"/>
          </w:tcPr>
          <w:p>
            <w:pPr>
              <w:ind w:left="20"/>
              <w:spacing w:after="0"/>
              <w:rPr>
                <w:sz w:val="20"/>
                <w:szCs w:val="20"/>
                <w:color w:val="auto"/>
              </w:rPr>
            </w:pPr>
            <w:r>
              <w:rPr>
                <w:rFonts w:ascii="Times New Roman" w:cs="Times New Roman" w:eastAsia="Times New Roman" w:hAnsi="Times New Roman"/>
                <w:sz w:val="14"/>
                <w:szCs w:val="14"/>
                <w:b w:val="1"/>
                <w:bCs w:val="1"/>
                <w:color w:val="0000FF"/>
              </w:rPr>
              <w:t>10. Directors, Executive Officers and Corporate Governance</w:t>
            </w:r>
          </w:p>
        </w:tc>
        <w:tc>
          <w:tcPr>
            <w:tcW w:w="6020" w:type="dxa"/>
            <w:vAlign w:val="bottom"/>
            <w:gridSpan w:val="8"/>
          </w:tcPr>
          <w:p>
            <w:pPr>
              <w:spacing w:after="0"/>
              <w:rPr>
                <w:sz w:val="13"/>
                <w:szCs w:val="13"/>
                <w:color w:val="auto"/>
              </w:rPr>
            </w:pPr>
          </w:p>
        </w:tc>
        <w:tc>
          <w:tcPr>
            <w:tcW w:w="900" w:type="dxa"/>
            <w:vAlign w:val="bottom"/>
          </w:tcPr>
          <w:p>
            <w:pPr>
              <w:jc w:val="right"/>
              <w:spacing w:after="0"/>
              <w:rPr>
                <w:sz w:val="20"/>
                <w:szCs w:val="20"/>
                <w:color w:val="auto"/>
              </w:rPr>
            </w:pPr>
            <w:r>
              <w:rPr>
                <w:rFonts w:ascii="Times New Roman" w:cs="Times New Roman" w:eastAsia="Times New Roman" w:hAnsi="Times New Roman"/>
                <w:sz w:val="14"/>
                <w:szCs w:val="14"/>
                <w:b w:val="1"/>
                <w:bCs w:val="1"/>
                <w:color w:val="auto"/>
              </w:rPr>
              <w:t>37</w:t>
            </w:r>
          </w:p>
        </w:tc>
      </w:tr>
      <w:tr>
        <w:trPr>
          <w:trHeight w:val="160"/>
        </w:trPr>
        <w:tc>
          <w:tcPr>
            <w:tcW w:w="340" w:type="dxa"/>
            <w:vAlign w:val="bottom"/>
          </w:tcPr>
          <w:p>
            <w:pPr>
              <w:spacing w:after="0"/>
              <w:rPr>
                <w:sz w:val="13"/>
                <w:szCs w:val="13"/>
                <w:color w:val="auto"/>
              </w:rPr>
            </w:pPr>
          </w:p>
        </w:tc>
        <w:tc>
          <w:tcPr>
            <w:tcW w:w="300" w:type="dxa"/>
            <w:vAlign w:val="bottom"/>
            <w:gridSpan w:val="4"/>
          </w:tcPr>
          <w:p>
            <w:pPr>
              <w:jc w:val="right"/>
              <w:spacing w:after="0"/>
              <w:rPr>
                <w:sz w:val="20"/>
                <w:szCs w:val="20"/>
                <w:color w:val="auto"/>
              </w:rPr>
            </w:pPr>
            <w:r>
              <w:rPr>
                <w:rFonts w:ascii="Times New Roman" w:cs="Times New Roman" w:eastAsia="Times New Roman" w:hAnsi="Times New Roman"/>
                <w:sz w:val="14"/>
                <w:szCs w:val="14"/>
                <w:b w:val="1"/>
                <w:bCs w:val="1"/>
                <w:color w:val="0000FF"/>
                <w:w w:val="99"/>
              </w:rPr>
              <w:t>Item</w:t>
            </w:r>
          </w:p>
        </w:tc>
        <w:tc>
          <w:tcPr>
            <w:tcW w:w="9700" w:type="dxa"/>
            <w:vAlign w:val="bottom"/>
            <w:gridSpan w:val="24"/>
          </w:tcPr>
          <w:p>
            <w:pPr>
              <w:ind w:left="20"/>
              <w:spacing w:after="0"/>
              <w:rPr>
                <w:sz w:val="20"/>
                <w:szCs w:val="20"/>
                <w:color w:val="auto"/>
              </w:rPr>
            </w:pPr>
            <w:r>
              <w:rPr>
                <w:rFonts w:ascii="Times New Roman" w:cs="Times New Roman" w:eastAsia="Times New Roman" w:hAnsi="Times New Roman"/>
                <w:sz w:val="14"/>
                <w:szCs w:val="14"/>
                <w:b w:val="1"/>
                <w:bCs w:val="1"/>
                <w:color w:val="0000FF"/>
              </w:rPr>
              <w:t>11. Executive Compensation</w:t>
            </w:r>
          </w:p>
        </w:tc>
        <w:tc>
          <w:tcPr>
            <w:tcW w:w="900" w:type="dxa"/>
            <w:vAlign w:val="bottom"/>
          </w:tcPr>
          <w:p>
            <w:pPr>
              <w:jc w:val="right"/>
              <w:spacing w:after="0"/>
              <w:rPr>
                <w:sz w:val="20"/>
                <w:szCs w:val="20"/>
                <w:color w:val="auto"/>
              </w:rPr>
            </w:pPr>
            <w:r>
              <w:rPr>
                <w:rFonts w:ascii="Times New Roman" w:cs="Times New Roman" w:eastAsia="Times New Roman" w:hAnsi="Times New Roman"/>
                <w:sz w:val="14"/>
                <w:szCs w:val="14"/>
                <w:b w:val="1"/>
                <w:bCs w:val="1"/>
                <w:color w:val="auto"/>
              </w:rPr>
              <w:t>37</w:t>
            </w:r>
          </w:p>
        </w:tc>
      </w:tr>
      <w:tr>
        <w:trPr>
          <w:trHeight w:val="20"/>
        </w:trPr>
        <w:tc>
          <w:tcPr>
            <w:tcW w:w="340" w:type="dxa"/>
            <w:vAlign w:val="bottom"/>
          </w:tcPr>
          <w:p>
            <w:pPr>
              <w:spacing w:after="0" w:line="20" w:lineRule="exact"/>
              <w:rPr>
                <w:sz w:val="1"/>
                <w:szCs w:val="1"/>
                <w:color w:val="auto"/>
              </w:rPr>
            </w:pPr>
          </w:p>
        </w:tc>
        <w:tc>
          <w:tcPr>
            <w:tcW w:w="300" w:type="dxa"/>
            <w:vAlign w:val="bottom"/>
            <w:gridSpan w:val="4"/>
            <w:shd w:val="clear" w:color="auto" w:fill="0000FF"/>
          </w:tcPr>
          <w:p>
            <w:pPr>
              <w:spacing w:after="0" w:line="20" w:lineRule="exact"/>
              <w:rPr>
                <w:sz w:val="1"/>
                <w:szCs w:val="1"/>
                <w:color w:val="auto"/>
              </w:rPr>
            </w:pPr>
          </w:p>
        </w:tc>
        <w:tc>
          <w:tcPr>
            <w:tcW w:w="1720" w:type="dxa"/>
            <w:vAlign w:val="bottom"/>
            <w:gridSpan w:val="10"/>
            <w:shd w:val="clear" w:color="auto" w:fill="0000FF"/>
          </w:tcPr>
          <w:p>
            <w:pPr>
              <w:spacing w:after="0" w:line="20" w:lineRule="exact"/>
              <w:rPr>
                <w:sz w:val="1"/>
                <w:szCs w:val="1"/>
                <w:color w:val="auto"/>
              </w:rPr>
            </w:pPr>
          </w:p>
        </w:tc>
        <w:tc>
          <w:tcPr>
            <w:tcW w:w="900" w:type="dxa"/>
            <w:vAlign w:val="bottom"/>
            <w:gridSpan w:val="3"/>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180" w:type="dxa"/>
            <w:vAlign w:val="bottom"/>
            <w:gridSpan w:val="5"/>
          </w:tcPr>
          <w:p>
            <w:pPr>
              <w:spacing w:after="0" w:line="20" w:lineRule="exact"/>
              <w:rPr>
                <w:sz w:val="1"/>
                <w:szCs w:val="1"/>
                <w:color w:val="auto"/>
              </w:rPr>
            </w:pPr>
          </w:p>
        </w:tc>
        <w:tc>
          <w:tcPr>
            <w:tcW w:w="1540" w:type="dxa"/>
            <w:vAlign w:val="bottom"/>
            <w:gridSpan w:val="3"/>
          </w:tcPr>
          <w:p>
            <w:pPr>
              <w:spacing w:after="0" w:line="20" w:lineRule="exact"/>
              <w:rPr>
                <w:sz w:val="1"/>
                <w:szCs w:val="1"/>
                <w:color w:val="auto"/>
              </w:rPr>
            </w:pPr>
          </w:p>
        </w:tc>
        <w:tc>
          <w:tcPr>
            <w:tcW w:w="3320" w:type="dxa"/>
            <w:vAlign w:val="bottom"/>
            <w:gridSpan w:val="2"/>
          </w:tcPr>
          <w:p>
            <w:pPr>
              <w:spacing w:after="0" w:line="20" w:lineRule="exact"/>
              <w:rPr>
                <w:sz w:val="1"/>
                <w:szCs w:val="1"/>
                <w:color w:val="auto"/>
              </w:rPr>
            </w:pPr>
          </w:p>
        </w:tc>
        <w:tc>
          <w:tcPr>
            <w:tcW w:w="900" w:type="dxa"/>
            <w:vAlign w:val="bottom"/>
          </w:tcPr>
          <w:p>
            <w:pPr>
              <w:spacing w:after="0" w:line="20" w:lineRule="exact"/>
              <w:rPr>
                <w:sz w:val="1"/>
                <w:szCs w:val="1"/>
                <w:color w:val="auto"/>
              </w:rPr>
            </w:pPr>
          </w:p>
        </w:tc>
      </w:tr>
      <w:tr>
        <w:trPr>
          <w:trHeight w:val="160"/>
        </w:trPr>
        <w:tc>
          <w:tcPr>
            <w:tcW w:w="340" w:type="dxa"/>
            <w:vAlign w:val="bottom"/>
          </w:tcPr>
          <w:p>
            <w:pPr>
              <w:spacing w:after="0"/>
              <w:rPr>
                <w:sz w:val="13"/>
                <w:szCs w:val="13"/>
                <w:color w:val="auto"/>
              </w:rPr>
            </w:pPr>
          </w:p>
        </w:tc>
        <w:tc>
          <w:tcPr>
            <w:tcW w:w="300" w:type="dxa"/>
            <w:vAlign w:val="bottom"/>
            <w:tcBorders>
              <w:bottom w:val="single" w:sz="8" w:color="0000FF"/>
            </w:tcBorders>
            <w:gridSpan w:val="4"/>
          </w:tcPr>
          <w:p>
            <w:pPr>
              <w:jc w:val="right"/>
              <w:spacing w:after="0"/>
              <w:rPr>
                <w:sz w:val="20"/>
                <w:szCs w:val="20"/>
                <w:color w:val="auto"/>
              </w:rPr>
            </w:pPr>
            <w:r>
              <w:rPr>
                <w:rFonts w:ascii="Times New Roman" w:cs="Times New Roman" w:eastAsia="Times New Roman" w:hAnsi="Times New Roman"/>
                <w:sz w:val="14"/>
                <w:szCs w:val="14"/>
                <w:b w:val="1"/>
                <w:bCs w:val="1"/>
                <w:color w:val="0000FF"/>
                <w:w w:val="99"/>
              </w:rPr>
              <w:t>Item</w:t>
            </w:r>
          </w:p>
        </w:tc>
        <w:tc>
          <w:tcPr>
            <w:tcW w:w="6380" w:type="dxa"/>
            <w:vAlign w:val="bottom"/>
            <w:tcBorders>
              <w:bottom w:val="single" w:sz="8" w:color="0000FF"/>
            </w:tcBorders>
            <w:gridSpan w:val="22"/>
          </w:tcPr>
          <w:p>
            <w:pPr>
              <w:ind w:left="20"/>
              <w:spacing w:after="0"/>
              <w:rPr>
                <w:sz w:val="20"/>
                <w:szCs w:val="20"/>
                <w:color w:val="auto"/>
              </w:rPr>
            </w:pPr>
            <w:r>
              <w:rPr>
                <w:rFonts w:ascii="Times New Roman" w:cs="Times New Roman" w:eastAsia="Times New Roman" w:hAnsi="Times New Roman"/>
                <w:sz w:val="14"/>
                <w:szCs w:val="14"/>
                <w:b w:val="1"/>
                <w:bCs w:val="1"/>
                <w:color w:val="0000FF"/>
              </w:rPr>
              <w:t>12. Security Ownership of Certain Beneficial Owners and Management and Related Stockholder Matters</w:t>
            </w:r>
          </w:p>
        </w:tc>
        <w:tc>
          <w:tcPr>
            <w:tcW w:w="3320" w:type="dxa"/>
            <w:vAlign w:val="bottom"/>
            <w:gridSpan w:val="2"/>
          </w:tcPr>
          <w:p>
            <w:pPr>
              <w:spacing w:after="0"/>
              <w:rPr>
                <w:sz w:val="13"/>
                <w:szCs w:val="13"/>
                <w:color w:val="auto"/>
              </w:rPr>
            </w:pPr>
          </w:p>
        </w:tc>
        <w:tc>
          <w:tcPr>
            <w:tcW w:w="900" w:type="dxa"/>
            <w:vAlign w:val="bottom"/>
          </w:tcPr>
          <w:p>
            <w:pPr>
              <w:jc w:val="right"/>
              <w:spacing w:after="0"/>
              <w:rPr>
                <w:sz w:val="20"/>
                <w:szCs w:val="20"/>
                <w:color w:val="auto"/>
              </w:rPr>
            </w:pPr>
            <w:r>
              <w:rPr>
                <w:rFonts w:ascii="Times New Roman" w:cs="Times New Roman" w:eastAsia="Times New Roman" w:hAnsi="Times New Roman"/>
                <w:sz w:val="14"/>
                <w:szCs w:val="14"/>
                <w:b w:val="1"/>
                <w:bCs w:val="1"/>
                <w:color w:val="auto"/>
              </w:rPr>
              <w:t>37</w:t>
            </w:r>
          </w:p>
        </w:tc>
      </w:tr>
      <w:tr>
        <w:trPr>
          <w:trHeight w:val="160"/>
        </w:trPr>
        <w:tc>
          <w:tcPr>
            <w:tcW w:w="340" w:type="dxa"/>
            <w:vAlign w:val="bottom"/>
          </w:tcPr>
          <w:p>
            <w:pPr>
              <w:spacing w:after="0"/>
              <w:rPr>
                <w:sz w:val="13"/>
                <w:szCs w:val="13"/>
                <w:color w:val="auto"/>
              </w:rPr>
            </w:pPr>
          </w:p>
        </w:tc>
        <w:tc>
          <w:tcPr>
            <w:tcW w:w="300" w:type="dxa"/>
            <w:vAlign w:val="bottom"/>
            <w:gridSpan w:val="4"/>
          </w:tcPr>
          <w:p>
            <w:pPr>
              <w:jc w:val="right"/>
              <w:spacing w:after="0"/>
              <w:rPr>
                <w:sz w:val="20"/>
                <w:szCs w:val="20"/>
                <w:color w:val="auto"/>
              </w:rPr>
            </w:pPr>
            <w:r>
              <w:rPr>
                <w:rFonts w:ascii="Times New Roman" w:cs="Times New Roman" w:eastAsia="Times New Roman" w:hAnsi="Times New Roman"/>
                <w:sz w:val="14"/>
                <w:szCs w:val="14"/>
                <w:b w:val="1"/>
                <w:bCs w:val="1"/>
                <w:color w:val="0000FF"/>
                <w:w w:val="99"/>
              </w:rPr>
              <w:t>Item</w:t>
            </w:r>
          </w:p>
        </w:tc>
        <w:tc>
          <w:tcPr>
            <w:tcW w:w="9700" w:type="dxa"/>
            <w:vAlign w:val="bottom"/>
            <w:gridSpan w:val="24"/>
          </w:tcPr>
          <w:p>
            <w:pPr>
              <w:ind w:left="20"/>
              <w:spacing w:after="0"/>
              <w:rPr>
                <w:sz w:val="20"/>
                <w:szCs w:val="20"/>
                <w:color w:val="auto"/>
              </w:rPr>
            </w:pPr>
            <w:r>
              <w:rPr>
                <w:rFonts w:ascii="Times New Roman" w:cs="Times New Roman" w:eastAsia="Times New Roman" w:hAnsi="Times New Roman"/>
                <w:sz w:val="14"/>
                <w:szCs w:val="14"/>
                <w:b w:val="1"/>
                <w:bCs w:val="1"/>
                <w:color w:val="0000FF"/>
              </w:rPr>
              <w:t>13. Certain Relationships and Related Transactions, and Director Independence</w:t>
            </w:r>
          </w:p>
        </w:tc>
        <w:tc>
          <w:tcPr>
            <w:tcW w:w="900" w:type="dxa"/>
            <w:vAlign w:val="bottom"/>
          </w:tcPr>
          <w:p>
            <w:pPr>
              <w:jc w:val="right"/>
              <w:spacing w:after="0"/>
              <w:rPr>
                <w:sz w:val="20"/>
                <w:szCs w:val="20"/>
                <w:color w:val="auto"/>
              </w:rPr>
            </w:pPr>
            <w:r>
              <w:rPr>
                <w:rFonts w:ascii="Times New Roman" w:cs="Times New Roman" w:eastAsia="Times New Roman" w:hAnsi="Times New Roman"/>
                <w:sz w:val="14"/>
                <w:szCs w:val="14"/>
                <w:b w:val="1"/>
                <w:bCs w:val="1"/>
                <w:color w:val="auto"/>
              </w:rPr>
              <w:t>37</w:t>
            </w:r>
          </w:p>
        </w:tc>
      </w:tr>
      <w:tr>
        <w:trPr>
          <w:trHeight w:val="160"/>
        </w:trPr>
        <w:tc>
          <w:tcPr>
            <w:tcW w:w="340" w:type="dxa"/>
            <w:vAlign w:val="bottom"/>
          </w:tcPr>
          <w:p>
            <w:pPr>
              <w:spacing w:after="0"/>
              <w:rPr>
                <w:sz w:val="13"/>
                <w:szCs w:val="13"/>
                <w:color w:val="auto"/>
              </w:rPr>
            </w:pPr>
          </w:p>
        </w:tc>
        <w:tc>
          <w:tcPr>
            <w:tcW w:w="300" w:type="dxa"/>
            <w:vAlign w:val="bottom"/>
            <w:tcBorders>
              <w:top w:val="single" w:sz="8" w:color="0000FF"/>
              <w:bottom w:val="single" w:sz="8" w:color="0000FF"/>
            </w:tcBorders>
            <w:gridSpan w:val="4"/>
          </w:tcPr>
          <w:p>
            <w:pPr>
              <w:jc w:val="right"/>
              <w:spacing w:after="0"/>
              <w:rPr>
                <w:sz w:val="20"/>
                <w:szCs w:val="20"/>
                <w:color w:val="auto"/>
              </w:rPr>
            </w:pPr>
            <w:r>
              <w:rPr>
                <w:rFonts w:ascii="Times New Roman" w:cs="Times New Roman" w:eastAsia="Times New Roman" w:hAnsi="Times New Roman"/>
                <w:sz w:val="14"/>
                <w:szCs w:val="14"/>
                <w:b w:val="1"/>
                <w:bCs w:val="1"/>
                <w:color w:val="0000FF"/>
                <w:w w:val="99"/>
              </w:rPr>
              <w:t>Item</w:t>
            </w:r>
          </w:p>
        </w:tc>
        <w:tc>
          <w:tcPr>
            <w:tcW w:w="2620" w:type="dxa"/>
            <w:vAlign w:val="bottom"/>
            <w:tcBorders>
              <w:top w:val="single" w:sz="8" w:color="0000FF"/>
              <w:bottom w:val="single" w:sz="8" w:color="0000FF"/>
            </w:tcBorders>
            <w:gridSpan w:val="13"/>
          </w:tcPr>
          <w:p>
            <w:pPr>
              <w:ind w:left="20"/>
              <w:spacing w:after="0"/>
              <w:rPr>
                <w:sz w:val="20"/>
                <w:szCs w:val="20"/>
                <w:color w:val="auto"/>
              </w:rPr>
            </w:pPr>
            <w:r>
              <w:rPr>
                <w:rFonts w:ascii="Times New Roman" w:cs="Times New Roman" w:eastAsia="Times New Roman" w:hAnsi="Times New Roman"/>
                <w:sz w:val="14"/>
                <w:szCs w:val="14"/>
                <w:b w:val="1"/>
                <w:bCs w:val="1"/>
                <w:color w:val="0000FF"/>
              </w:rPr>
              <w:t>14. Principal Accounting Fees and Services</w:t>
            </w:r>
          </w:p>
        </w:tc>
        <w:tc>
          <w:tcPr>
            <w:tcW w:w="2220" w:type="dxa"/>
            <w:vAlign w:val="bottom"/>
            <w:tcBorders>
              <w:top w:val="single" w:sz="8" w:color="0000FF"/>
            </w:tcBorders>
            <w:gridSpan w:val="6"/>
          </w:tcPr>
          <w:p>
            <w:pPr>
              <w:spacing w:after="0"/>
              <w:rPr>
                <w:sz w:val="13"/>
                <w:szCs w:val="13"/>
                <w:color w:val="auto"/>
              </w:rPr>
            </w:pPr>
          </w:p>
        </w:tc>
        <w:tc>
          <w:tcPr>
            <w:tcW w:w="4860" w:type="dxa"/>
            <w:vAlign w:val="bottom"/>
            <w:gridSpan w:val="5"/>
          </w:tcPr>
          <w:p>
            <w:pPr>
              <w:spacing w:after="0"/>
              <w:rPr>
                <w:sz w:val="13"/>
                <w:szCs w:val="13"/>
                <w:color w:val="auto"/>
              </w:rPr>
            </w:pPr>
          </w:p>
        </w:tc>
        <w:tc>
          <w:tcPr>
            <w:tcW w:w="900" w:type="dxa"/>
            <w:vAlign w:val="bottom"/>
          </w:tcPr>
          <w:p>
            <w:pPr>
              <w:jc w:val="right"/>
              <w:spacing w:after="0"/>
              <w:rPr>
                <w:sz w:val="20"/>
                <w:szCs w:val="20"/>
                <w:color w:val="auto"/>
              </w:rPr>
            </w:pPr>
            <w:r>
              <w:rPr>
                <w:rFonts w:ascii="Times New Roman" w:cs="Times New Roman" w:eastAsia="Times New Roman" w:hAnsi="Times New Roman"/>
                <w:sz w:val="14"/>
                <w:szCs w:val="14"/>
                <w:b w:val="1"/>
                <w:bCs w:val="1"/>
                <w:color w:val="auto"/>
              </w:rPr>
              <w:t>37</w:t>
            </w:r>
          </w:p>
        </w:tc>
      </w:tr>
      <w:tr>
        <w:trPr>
          <w:trHeight w:val="160"/>
        </w:trPr>
        <w:tc>
          <w:tcPr>
            <w:tcW w:w="640" w:type="dxa"/>
            <w:vAlign w:val="bottom"/>
            <w:tcBorders>
              <w:bottom w:val="single" w:sz="8" w:color="0000FF"/>
            </w:tcBorders>
            <w:gridSpan w:val="5"/>
          </w:tcPr>
          <w:p>
            <w:pPr>
              <w:jc w:val="right"/>
              <w:spacing w:after="0"/>
              <w:rPr>
                <w:sz w:val="20"/>
                <w:szCs w:val="20"/>
                <w:color w:val="auto"/>
              </w:rPr>
            </w:pPr>
            <w:r>
              <w:rPr>
                <w:rFonts w:ascii="Times New Roman" w:cs="Times New Roman" w:eastAsia="Times New Roman" w:hAnsi="Times New Roman"/>
                <w:sz w:val="14"/>
                <w:szCs w:val="14"/>
                <w:b w:val="1"/>
                <w:bCs w:val="1"/>
                <w:color w:val="0000FF"/>
              </w:rPr>
              <w:t>PART IV:</w:t>
            </w:r>
          </w:p>
        </w:tc>
        <w:tc>
          <w:tcPr>
            <w:tcW w:w="160" w:type="dxa"/>
            <w:vAlign w:val="bottom"/>
          </w:tcPr>
          <w:p>
            <w:pPr>
              <w:spacing w:after="0"/>
              <w:rPr>
                <w:sz w:val="13"/>
                <w:szCs w:val="13"/>
                <w:color w:val="auto"/>
              </w:rPr>
            </w:pPr>
          </w:p>
        </w:tc>
        <w:tc>
          <w:tcPr>
            <w:tcW w:w="520" w:type="dxa"/>
            <w:vAlign w:val="bottom"/>
          </w:tcPr>
          <w:p>
            <w:pPr>
              <w:spacing w:after="0"/>
              <w:rPr>
                <w:sz w:val="13"/>
                <w:szCs w:val="13"/>
                <w:color w:val="auto"/>
              </w:rPr>
            </w:pPr>
          </w:p>
        </w:tc>
        <w:tc>
          <w:tcPr>
            <w:tcW w:w="4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24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2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60" w:type="dxa"/>
            <w:vAlign w:val="bottom"/>
          </w:tcPr>
          <w:p>
            <w:pPr>
              <w:spacing w:after="0"/>
              <w:rPr>
                <w:sz w:val="13"/>
                <w:szCs w:val="13"/>
                <w:color w:val="auto"/>
              </w:rPr>
            </w:pPr>
          </w:p>
        </w:tc>
        <w:tc>
          <w:tcPr>
            <w:tcW w:w="180" w:type="dxa"/>
            <w:vAlign w:val="bottom"/>
          </w:tcPr>
          <w:p>
            <w:pPr>
              <w:spacing w:after="0"/>
              <w:rPr>
                <w:sz w:val="13"/>
                <w:szCs w:val="13"/>
                <w:color w:val="auto"/>
              </w:rPr>
            </w:pPr>
          </w:p>
        </w:tc>
        <w:tc>
          <w:tcPr>
            <w:tcW w:w="660" w:type="dxa"/>
            <w:vAlign w:val="bottom"/>
          </w:tcPr>
          <w:p>
            <w:pPr>
              <w:spacing w:after="0"/>
              <w:rPr>
                <w:sz w:val="13"/>
                <w:szCs w:val="13"/>
                <w:color w:val="auto"/>
              </w:rPr>
            </w:pPr>
          </w:p>
        </w:tc>
        <w:tc>
          <w:tcPr>
            <w:tcW w:w="40" w:type="dxa"/>
            <w:vAlign w:val="bottom"/>
          </w:tcPr>
          <w:p>
            <w:pPr>
              <w:spacing w:after="0"/>
              <w:rPr>
                <w:sz w:val="13"/>
                <w:szCs w:val="13"/>
                <w:color w:val="auto"/>
              </w:rPr>
            </w:pPr>
          </w:p>
        </w:tc>
        <w:tc>
          <w:tcPr>
            <w:tcW w:w="320" w:type="dxa"/>
            <w:vAlign w:val="bottom"/>
          </w:tcPr>
          <w:p>
            <w:pPr>
              <w:spacing w:after="0"/>
              <w:rPr>
                <w:sz w:val="13"/>
                <w:szCs w:val="13"/>
                <w:color w:val="auto"/>
              </w:rPr>
            </w:pPr>
          </w:p>
        </w:tc>
        <w:tc>
          <w:tcPr>
            <w:tcW w:w="700" w:type="dxa"/>
            <w:vAlign w:val="bottom"/>
          </w:tcPr>
          <w:p>
            <w:pPr>
              <w:spacing w:after="0"/>
              <w:rPr>
                <w:sz w:val="13"/>
                <w:szCs w:val="13"/>
                <w:color w:val="auto"/>
              </w:rPr>
            </w:pPr>
          </w:p>
        </w:tc>
        <w:tc>
          <w:tcPr>
            <w:tcW w:w="220" w:type="dxa"/>
            <w:vAlign w:val="bottom"/>
          </w:tcPr>
          <w:p>
            <w:pPr>
              <w:spacing w:after="0"/>
              <w:rPr>
                <w:sz w:val="13"/>
                <w:szCs w:val="13"/>
                <w:color w:val="auto"/>
              </w:rPr>
            </w:pPr>
          </w:p>
        </w:tc>
        <w:tc>
          <w:tcPr>
            <w:tcW w:w="480" w:type="dxa"/>
            <w:vAlign w:val="bottom"/>
          </w:tcPr>
          <w:p>
            <w:pPr>
              <w:spacing w:after="0"/>
              <w:rPr>
                <w:sz w:val="13"/>
                <w:szCs w:val="13"/>
                <w:color w:val="auto"/>
              </w:rPr>
            </w:pPr>
          </w:p>
        </w:tc>
        <w:tc>
          <w:tcPr>
            <w:tcW w:w="460" w:type="dxa"/>
            <w:vAlign w:val="bottom"/>
          </w:tcPr>
          <w:p>
            <w:pPr>
              <w:spacing w:after="0"/>
              <w:rPr>
                <w:sz w:val="13"/>
                <w:szCs w:val="13"/>
                <w:color w:val="auto"/>
              </w:rPr>
            </w:pPr>
          </w:p>
        </w:tc>
        <w:tc>
          <w:tcPr>
            <w:tcW w:w="70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820" w:type="dxa"/>
            <w:vAlign w:val="bottom"/>
          </w:tcPr>
          <w:p>
            <w:pPr>
              <w:spacing w:after="0"/>
              <w:rPr>
                <w:sz w:val="13"/>
                <w:szCs w:val="13"/>
                <w:color w:val="auto"/>
              </w:rPr>
            </w:pPr>
          </w:p>
        </w:tc>
        <w:tc>
          <w:tcPr>
            <w:tcW w:w="600" w:type="dxa"/>
            <w:vAlign w:val="bottom"/>
          </w:tcPr>
          <w:p>
            <w:pPr>
              <w:spacing w:after="0"/>
              <w:rPr>
                <w:sz w:val="13"/>
                <w:szCs w:val="13"/>
                <w:color w:val="auto"/>
              </w:rPr>
            </w:pPr>
          </w:p>
        </w:tc>
        <w:tc>
          <w:tcPr>
            <w:tcW w:w="2720" w:type="dxa"/>
            <w:vAlign w:val="bottom"/>
          </w:tcPr>
          <w:p>
            <w:pPr>
              <w:spacing w:after="0"/>
              <w:rPr>
                <w:sz w:val="13"/>
                <w:szCs w:val="13"/>
                <w:color w:val="auto"/>
              </w:rPr>
            </w:pPr>
          </w:p>
        </w:tc>
        <w:tc>
          <w:tcPr>
            <w:tcW w:w="900" w:type="dxa"/>
            <w:vAlign w:val="bottom"/>
          </w:tcPr>
          <w:p>
            <w:pPr>
              <w:spacing w:after="0"/>
              <w:rPr>
                <w:sz w:val="13"/>
                <w:szCs w:val="13"/>
                <w:color w:val="auto"/>
              </w:rPr>
            </w:pPr>
          </w:p>
        </w:tc>
      </w:tr>
      <w:tr>
        <w:trPr>
          <w:trHeight w:val="160"/>
        </w:trPr>
        <w:tc>
          <w:tcPr>
            <w:tcW w:w="340" w:type="dxa"/>
            <w:vAlign w:val="bottom"/>
          </w:tcPr>
          <w:p>
            <w:pPr>
              <w:spacing w:after="0"/>
              <w:rPr>
                <w:sz w:val="13"/>
                <w:szCs w:val="13"/>
                <w:color w:val="auto"/>
              </w:rPr>
            </w:pPr>
          </w:p>
        </w:tc>
        <w:tc>
          <w:tcPr>
            <w:tcW w:w="300" w:type="dxa"/>
            <w:vAlign w:val="bottom"/>
            <w:tcBorders>
              <w:bottom w:val="single" w:sz="8" w:color="0000FF"/>
            </w:tcBorders>
            <w:gridSpan w:val="4"/>
          </w:tcPr>
          <w:p>
            <w:pPr>
              <w:jc w:val="right"/>
              <w:spacing w:after="0"/>
              <w:rPr>
                <w:sz w:val="20"/>
                <w:szCs w:val="20"/>
                <w:color w:val="auto"/>
              </w:rPr>
            </w:pPr>
            <w:r>
              <w:rPr>
                <w:rFonts w:ascii="Times New Roman" w:cs="Times New Roman" w:eastAsia="Times New Roman" w:hAnsi="Times New Roman"/>
                <w:sz w:val="14"/>
                <w:szCs w:val="14"/>
                <w:b w:val="1"/>
                <w:bCs w:val="1"/>
                <w:color w:val="0000FF"/>
                <w:w w:val="99"/>
              </w:rPr>
              <w:t>Item</w:t>
            </w:r>
          </w:p>
        </w:tc>
        <w:tc>
          <w:tcPr>
            <w:tcW w:w="2660" w:type="dxa"/>
            <w:vAlign w:val="bottom"/>
            <w:tcBorders>
              <w:bottom w:val="single" w:sz="8" w:color="0000FF"/>
            </w:tcBorders>
            <w:gridSpan w:val="14"/>
          </w:tcPr>
          <w:p>
            <w:pPr>
              <w:ind w:left="20"/>
              <w:spacing w:after="0"/>
              <w:rPr>
                <w:sz w:val="20"/>
                <w:szCs w:val="20"/>
                <w:color w:val="auto"/>
              </w:rPr>
            </w:pPr>
            <w:r>
              <w:rPr>
                <w:rFonts w:ascii="Times New Roman" w:cs="Times New Roman" w:eastAsia="Times New Roman" w:hAnsi="Times New Roman"/>
                <w:sz w:val="14"/>
                <w:szCs w:val="14"/>
                <w:b w:val="1"/>
                <w:bCs w:val="1"/>
                <w:color w:val="0000FF"/>
              </w:rPr>
              <w:t>15. Exhibits, Financial Statement Schedules</w:t>
            </w:r>
          </w:p>
        </w:tc>
        <w:tc>
          <w:tcPr>
            <w:tcW w:w="7040" w:type="dxa"/>
            <w:vAlign w:val="bottom"/>
            <w:gridSpan w:val="10"/>
          </w:tcPr>
          <w:p>
            <w:pPr>
              <w:spacing w:after="0"/>
              <w:rPr>
                <w:sz w:val="13"/>
                <w:szCs w:val="13"/>
                <w:color w:val="auto"/>
              </w:rPr>
            </w:pPr>
          </w:p>
        </w:tc>
        <w:tc>
          <w:tcPr>
            <w:tcW w:w="900" w:type="dxa"/>
            <w:vAlign w:val="bottom"/>
          </w:tcPr>
          <w:p>
            <w:pPr>
              <w:jc w:val="right"/>
              <w:spacing w:after="0"/>
              <w:rPr>
                <w:sz w:val="20"/>
                <w:szCs w:val="20"/>
                <w:color w:val="auto"/>
              </w:rPr>
            </w:pPr>
            <w:r>
              <w:rPr>
                <w:rFonts w:ascii="Times New Roman" w:cs="Times New Roman" w:eastAsia="Times New Roman" w:hAnsi="Times New Roman"/>
                <w:sz w:val="14"/>
                <w:szCs w:val="14"/>
                <w:b w:val="1"/>
                <w:bCs w:val="1"/>
                <w:color w:val="auto"/>
              </w:rPr>
              <w:t>39</w:t>
            </w:r>
          </w:p>
        </w:tc>
      </w:tr>
    </w:tbl>
    <w:p>
      <w:pPr>
        <w:spacing w:after="0" w:line="200" w:lineRule="exact"/>
        <w:rPr>
          <w:sz w:val="20"/>
          <w:szCs w:val="20"/>
          <w:color w:val="auto"/>
        </w:rPr>
      </w:pPr>
    </w:p>
    <w:p>
      <w:pPr>
        <w:spacing w:after="0" w:line="200" w:lineRule="exact"/>
        <w:rPr>
          <w:sz w:val="20"/>
          <w:szCs w:val="20"/>
          <w:color w:val="auto"/>
        </w:rPr>
      </w:pPr>
    </w:p>
    <w:p>
      <w:pPr>
        <w:spacing w:after="0" w:line="30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4"/>
          <w:szCs w:val="14"/>
          <w:color w:val="auto"/>
        </w:rPr>
        <w:t>i</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-21590</wp:posOffset>
            </wp:positionH>
            <wp:positionV relativeFrom="paragraph">
              <wp:posOffset>55880</wp:posOffset>
            </wp:positionV>
            <wp:extent cx="7186930" cy="38735"/>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4">
                      <a:extLst>
                        <a:ext uri="{28A0092B-C50C-407E-A947-70E740481C1C}"/>
                      </a:extLst>
                    </a:blip>
                    <a:srcRect/>
                    <a:stretch>
                      <a:fillRect/>
                    </a:stretch>
                  </pic:blipFill>
                  <pic:spPr bwMode="auto">
                    <a:xfrm>
                      <a:off x="0" y="0"/>
                      <a:ext cx="7186930" cy="38735"/>
                    </a:xfrm>
                    <a:prstGeom prst="rect">
                      <a:avLst/>
                    </a:prstGeom>
                    <a:noFill/>
                  </pic:spPr>
                </pic:pic>
              </a:graphicData>
            </a:graphic>
          </wp:anchor>
        </w:drawing>
      </w:r>
    </w:p>
    <w:p>
      <w:pPr>
        <w:sectPr>
          <w:pgSz w:w="11900" w:h="16838" w:orient="portrait"/>
          <w:cols w:equalWidth="0" w:num="1">
            <w:col w:w="11240"/>
          </w:cols>
          <w:pgMar w:left="320" w:top="728" w:right="339" w:bottom="1440" w:gutter="0" w:footer="0" w:header="0"/>
        </w:sectPr>
      </w:pPr>
    </w:p>
    <w:bookmarkStart w:id="2" w:name="page3"/>
    <w:bookmarkEnd w:id="2"/>
    <w:p>
      <w:pPr>
        <w:jc w:val="center"/>
        <w:ind w:right="-19"/>
        <w:spacing w:after="0"/>
        <w:rPr>
          <w:sz w:val="20"/>
          <w:szCs w:val="20"/>
          <w:color w:val="auto"/>
        </w:rPr>
      </w:pPr>
      <w:r>
        <w:rPr>
          <w:rFonts w:ascii="Times New Roman" w:cs="Times New Roman" w:eastAsia="Times New Roman" w:hAnsi="Times New Roman"/>
          <w:sz w:val="14"/>
          <w:szCs w:val="14"/>
          <w:b w:val="1"/>
          <w:bCs w:val="1"/>
          <w:color w:val="auto"/>
        </w:rPr>
        <w:t>PART I</w:t>
      </w:r>
    </w:p>
    <w:p>
      <w:pPr>
        <w:spacing w:after="0" w:line="94" w:lineRule="exact"/>
        <w:rPr>
          <w:sz w:val="20"/>
          <w:szCs w:val="20"/>
          <w:color w:val="auto"/>
        </w:rPr>
      </w:pPr>
    </w:p>
    <w:p>
      <w:pPr>
        <w:spacing w:after="0"/>
        <w:tabs>
          <w:tab w:leader="none" w:pos="560" w:val="left"/>
        </w:tabs>
        <w:rPr>
          <w:sz w:val="20"/>
          <w:szCs w:val="20"/>
          <w:color w:val="auto"/>
        </w:rPr>
      </w:pPr>
      <w:r>
        <w:rPr>
          <w:rFonts w:ascii="Times New Roman" w:cs="Times New Roman" w:eastAsia="Times New Roman" w:hAnsi="Times New Roman"/>
          <w:sz w:val="14"/>
          <w:szCs w:val="14"/>
          <w:b w:val="1"/>
          <w:bCs w:val="1"/>
          <w:color w:val="auto"/>
        </w:rPr>
        <w:t>Item 1.</w:t>
      </w:r>
      <w:r>
        <w:rPr>
          <w:sz w:val="20"/>
          <w:szCs w:val="20"/>
          <w:color w:val="auto"/>
        </w:rPr>
        <w:tab/>
      </w:r>
      <w:r>
        <w:rPr>
          <w:rFonts w:ascii="Times New Roman" w:cs="Times New Roman" w:eastAsia="Times New Roman" w:hAnsi="Times New Roman"/>
          <w:sz w:val="13"/>
          <w:szCs w:val="13"/>
          <w:b w:val="1"/>
          <w:bCs w:val="1"/>
          <w:color w:val="auto"/>
        </w:rPr>
        <w:t>Business.</w:t>
      </w:r>
    </w:p>
    <w:p>
      <w:pPr>
        <w:spacing w:after="0" w:line="94" w:lineRule="exact"/>
        <w:rPr>
          <w:sz w:val="20"/>
          <w:szCs w:val="20"/>
          <w:color w:val="auto"/>
        </w:rPr>
      </w:pPr>
    </w:p>
    <w:p>
      <w:pPr>
        <w:ind w:right="20" w:firstLine="382"/>
        <w:spacing w:after="0" w:line="265" w:lineRule="auto"/>
        <w:rPr>
          <w:sz w:val="20"/>
          <w:szCs w:val="20"/>
          <w:color w:val="auto"/>
        </w:rPr>
      </w:pPr>
      <w:r>
        <w:rPr>
          <w:rFonts w:ascii="Times New Roman" w:cs="Times New Roman" w:eastAsia="Times New Roman" w:hAnsi="Times New Roman"/>
          <w:sz w:val="14"/>
          <w:szCs w:val="14"/>
          <w:i w:val="1"/>
          <w:iCs w:val="1"/>
          <w:color w:val="auto"/>
        </w:rPr>
        <w:t>Unless the context otherwise requires, the term “we,” “us,” “our,” “Westwood,” or “Westwood Holdings Group” when used in this Form 10-K (“Report”) and in the Annual Report to the Stockholders refers to Westwood Holdings Group, Inc., a Delaware corporation, and its consolidated subsidiaries taken as a whole. This Report contains some forward-looking statements within the meaning of the federal securities laws. Actual results and the timing of some events could differ materially from those projected in or contemplated by the forward-looking statements due to a number of factors including, without limitation, those set forth under “Item 7. Management’s Discussion and Analysis of Financial Condition and Results of Operations” and “Item 1A. Risk Factors.”</w:t>
      </w:r>
    </w:p>
    <w:p>
      <w:pPr>
        <w:spacing w:after="0" w:line="53"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b w:val="1"/>
          <w:bCs w:val="1"/>
          <w:i w:val="1"/>
          <w:iCs w:val="1"/>
          <w:color w:val="auto"/>
        </w:rPr>
        <w:t>General</w:t>
      </w:r>
    </w:p>
    <w:p>
      <w:pPr>
        <w:spacing w:after="0" w:line="96" w:lineRule="exact"/>
        <w:rPr>
          <w:sz w:val="20"/>
          <w:szCs w:val="20"/>
          <w:color w:val="auto"/>
        </w:rPr>
      </w:pPr>
    </w:p>
    <w:p>
      <w:pPr>
        <w:ind w:right="60" w:firstLine="382"/>
        <w:spacing w:after="0" w:line="259" w:lineRule="auto"/>
        <w:rPr>
          <w:sz w:val="20"/>
          <w:szCs w:val="20"/>
          <w:color w:val="auto"/>
        </w:rPr>
      </w:pPr>
      <w:r>
        <w:rPr>
          <w:rFonts w:ascii="Times New Roman" w:cs="Times New Roman" w:eastAsia="Times New Roman" w:hAnsi="Times New Roman"/>
          <w:sz w:val="14"/>
          <w:szCs w:val="14"/>
          <w:color w:val="auto"/>
        </w:rPr>
        <w:t>We manage investment assets and provide services for our clients through our subsidiaries, Westwood Management Corp., Westwood Advisors, L.L.C., Salient Advisors, L.P. ("Salient Advisors") and Broadmark Asset Management LLC ("Broadmark"), (each of which is a registered investment adviser ("RIA") registered with the Securities and Exchange Commission ("SEC"), and Salient Capital, L.P., ("SCLP") an SEC-registered broker-dealer and Financial Industry Regulatory Authority ("FINRA") member, collectively referred to hereinafter together as "Westwood Management") and Westwood Trust. Westwood Holdings Group, founded in 1983, through Westwood Management, provides investment advisory services to institutional investors, a family of mutual funds called the Westwood Funds®, other mutual funds, individual investors and clients of Westwood Trust. Westwood Trust, founded as a state-chartered trust company in 1974, provides trust, custodial and investment management services through the use of commingled funds and individual securities to institutions and high net worth individuals.</w:t>
      </w:r>
    </w:p>
    <w:p>
      <w:pPr>
        <w:spacing w:after="0" w:line="61" w:lineRule="exact"/>
        <w:rPr>
          <w:sz w:val="20"/>
          <w:szCs w:val="20"/>
          <w:color w:val="auto"/>
        </w:rPr>
      </w:pPr>
    </w:p>
    <w:p>
      <w:pPr>
        <w:ind w:firstLine="382"/>
        <w:spacing w:after="0" w:line="264" w:lineRule="auto"/>
        <w:rPr>
          <w:sz w:val="20"/>
          <w:szCs w:val="20"/>
          <w:color w:val="auto"/>
        </w:rPr>
      </w:pPr>
      <w:r>
        <w:rPr>
          <w:rFonts w:ascii="Times New Roman" w:cs="Times New Roman" w:eastAsia="Times New Roman" w:hAnsi="Times New Roman"/>
          <w:sz w:val="14"/>
          <w:szCs w:val="14"/>
          <w:color w:val="auto"/>
        </w:rPr>
        <w:t>Broadmark is a San Francisco-based RIA managing and/or sub-advising mutual funds, retail and institutional separately-managed accounts. SCLP serves as a sub-placement agent for private placements. Salient Advisors is an SEC-registered investment adviser, a Commodity Futures Trading Commission ("CFTC") registered Commodity Pool Operator ("CPO") and a National Futures Association ("NFA") member. Salient Advisors is an advisor to the Westwood Salient Tactical Plus Fund, which is sub-advised by Broadmark. In January 2023 we acquired an additional 32% interest in Broadmark, increasing our ownership of Broadmark to approximately 80%, which represents a controlling interest for financial statement consolidation purposes (the "Broadmark Acquisition").</w:t>
      </w:r>
    </w:p>
    <w:p>
      <w:pPr>
        <w:spacing w:after="0" w:line="56" w:lineRule="exact"/>
        <w:rPr>
          <w:sz w:val="20"/>
          <w:szCs w:val="20"/>
          <w:color w:val="auto"/>
        </w:rPr>
      </w:pPr>
    </w:p>
    <w:p>
      <w:pPr>
        <w:ind w:firstLine="382"/>
        <w:spacing w:after="0" w:line="287" w:lineRule="auto"/>
        <w:rPr>
          <w:sz w:val="20"/>
          <w:szCs w:val="20"/>
          <w:color w:val="auto"/>
        </w:rPr>
      </w:pPr>
      <w:r>
        <w:rPr>
          <w:rFonts w:ascii="Times New Roman" w:cs="Times New Roman" w:eastAsia="Times New Roman" w:hAnsi="Times New Roman"/>
          <w:sz w:val="14"/>
          <w:szCs w:val="14"/>
          <w:color w:val="auto"/>
        </w:rPr>
        <w:t>Our revenues are generally derived from fees based on a percentage of assets under management ("AUM") and assets under advisement ("AUA"). Westwood Management and Westwood Trust collectively had AUM of approximately $16.5 billion and AUA of approximately $0.9 billion at December 31, 2025.</w:t>
      </w:r>
    </w:p>
    <w:p>
      <w:pPr>
        <w:spacing w:after="0" w:line="39" w:lineRule="exact"/>
        <w:rPr>
          <w:sz w:val="20"/>
          <w:szCs w:val="20"/>
          <w:color w:val="auto"/>
        </w:rPr>
      </w:pPr>
    </w:p>
    <w:p>
      <w:pPr>
        <w:ind w:right="40" w:firstLine="382"/>
        <w:spacing w:after="0" w:line="287" w:lineRule="auto"/>
        <w:rPr>
          <w:sz w:val="20"/>
          <w:szCs w:val="20"/>
          <w:color w:val="auto"/>
        </w:rPr>
      </w:pPr>
      <w:r>
        <w:rPr>
          <w:rFonts w:ascii="Times New Roman" w:cs="Times New Roman" w:eastAsia="Times New Roman" w:hAnsi="Times New Roman"/>
          <w:sz w:val="14"/>
          <w:szCs w:val="14"/>
          <w:color w:val="auto"/>
        </w:rPr>
        <w:t>We were incorporated under the laws of the State of Delaware on December 12, 2001. Our common stock is listed on the New York Stock Exchange under the ticker symbol "WHG." We are a holding company whose principal assets consist of the capital stock and ownership interests of our operating subsidiaries, primarily Westwood Management and Westwood Trust.</w:t>
      </w:r>
    </w:p>
    <w:p>
      <w:pPr>
        <w:spacing w:after="0" w:line="39" w:lineRule="exact"/>
        <w:rPr>
          <w:sz w:val="20"/>
          <w:szCs w:val="20"/>
          <w:color w:val="auto"/>
        </w:rPr>
      </w:pPr>
    </w:p>
    <w:p>
      <w:pPr>
        <w:ind w:right="40" w:firstLine="382"/>
        <w:spacing w:after="0" w:line="264" w:lineRule="auto"/>
        <w:rPr>
          <w:sz w:val="20"/>
          <w:szCs w:val="20"/>
          <w:color w:val="auto"/>
        </w:rPr>
      </w:pPr>
      <w:r>
        <w:rPr>
          <w:rFonts w:ascii="Times New Roman" w:cs="Times New Roman" w:eastAsia="Times New Roman" w:hAnsi="Times New Roman"/>
          <w:sz w:val="14"/>
          <w:szCs w:val="14"/>
          <w:color w:val="auto"/>
        </w:rPr>
        <w:t>The success of our business is dependent on client, institutional investment consultant and intermediary relationships. In addition to offering attractive investment opportunities and investment performance, we believe that client service is of paramount importance in the asset management business. Accordingly, a major business focus for us is to build strong relationships with clients to enhance our ability to anticipate their needs and satisfy their investment objectives. Our team approach is designed to deliver efficient, responsive service to our clients, while innovating investment strategies and product alternatives.</w:t>
      </w:r>
    </w:p>
    <w:p>
      <w:pPr>
        <w:spacing w:after="0" w:line="56" w:lineRule="exact"/>
        <w:rPr>
          <w:sz w:val="20"/>
          <w:szCs w:val="20"/>
          <w:color w:val="auto"/>
        </w:rPr>
      </w:pPr>
    </w:p>
    <w:p>
      <w:pPr>
        <w:ind w:firstLine="382"/>
        <w:spacing w:after="0" w:line="264" w:lineRule="auto"/>
        <w:rPr>
          <w:sz w:val="20"/>
          <w:szCs w:val="20"/>
          <w:color w:val="auto"/>
        </w:rPr>
      </w:pPr>
      <w:r>
        <w:rPr>
          <w:rFonts w:ascii="Times New Roman" w:cs="Times New Roman" w:eastAsia="Times New Roman" w:hAnsi="Times New Roman"/>
          <w:sz w:val="14"/>
          <w:szCs w:val="14"/>
          <w:color w:val="auto"/>
        </w:rPr>
        <w:t>Our operating structure can support a larger business and we believe we are able to accommodate growth by acquisition, product innovation and internal growth within our client base. We have developed investment strategies that we expect to be attractive in our target institutional, wealth management and intermediary markets. Developing new investment strategies and building the organization to support these strategies can result in incurring expenses before significant offsetting revenues are realized. We continue to evaluate new strategies and resources in terms of meeting actual and potential investor needs.</w:t>
      </w:r>
    </w:p>
    <w:p>
      <w:pPr>
        <w:spacing w:after="0" w:line="54"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i w:val="1"/>
          <w:iCs w:val="1"/>
          <w:color w:val="auto"/>
        </w:rPr>
        <w:t>Strategic Investments</w:t>
      </w:r>
    </w:p>
    <w:p>
      <w:pPr>
        <w:spacing w:after="0" w:line="96" w:lineRule="exact"/>
        <w:rPr>
          <w:sz w:val="20"/>
          <w:szCs w:val="20"/>
          <w:color w:val="auto"/>
        </w:rPr>
      </w:pPr>
    </w:p>
    <w:p>
      <w:pPr>
        <w:ind w:right="460" w:firstLine="382"/>
        <w:spacing w:after="0" w:line="287" w:lineRule="auto"/>
        <w:rPr>
          <w:sz w:val="20"/>
          <w:szCs w:val="20"/>
          <w:color w:val="auto"/>
        </w:rPr>
      </w:pPr>
      <w:r>
        <w:rPr>
          <w:rFonts w:ascii="Times New Roman" w:cs="Times New Roman" w:eastAsia="Times New Roman" w:hAnsi="Times New Roman"/>
          <w:sz w:val="14"/>
          <w:szCs w:val="14"/>
          <w:color w:val="auto"/>
        </w:rPr>
        <w:t>Over the past several years we have made a number of strategic investments, including investments in Vista Bancshares, Inc. ("Vista"), Westwood Hospitality Fund I, LLC ("Westwood Hospitality"), the TXSE Group Inc. ("TXSE") and WEBs Investments Inc. ("WEBs").</w:t>
      </w:r>
    </w:p>
    <w:p>
      <w:pPr>
        <w:spacing w:after="0" w:line="39" w:lineRule="exact"/>
        <w:rPr>
          <w:sz w:val="20"/>
          <w:szCs w:val="20"/>
          <w:color w:val="auto"/>
        </w:rPr>
      </w:pPr>
    </w:p>
    <w:p>
      <w:pPr>
        <w:ind w:right="120" w:firstLine="382"/>
        <w:spacing w:after="0" w:line="287" w:lineRule="auto"/>
        <w:rPr>
          <w:sz w:val="20"/>
          <w:szCs w:val="20"/>
          <w:color w:val="auto"/>
        </w:rPr>
      </w:pPr>
      <w:r>
        <w:rPr>
          <w:rFonts w:ascii="Times New Roman" w:cs="Times New Roman" w:eastAsia="Times New Roman" w:hAnsi="Times New Roman"/>
          <w:sz w:val="14"/>
          <w:szCs w:val="14"/>
          <w:color w:val="auto"/>
        </w:rPr>
        <w:t>Vista offers traditional banking services and provides clients of Westwood Trust efficient access to lines of credit secured by their investment portfolios. Our partnership enables Vista to refer its clients needing more complex financial planning and investment services to Westwood Trust.</w:t>
      </w:r>
    </w:p>
    <w:p>
      <w:pPr>
        <w:spacing w:after="0" w:line="39" w:lineRule="exact"/>
        <w:rPr>
          <w:sz w:val="20"/>
          <w:szCs w:val="20"/>
          <w:color w:val="auto"/>
        </w:rPr>
      </w:pPr>
    </w:p>
    <w:p>
      <w:pPr>
        <w:ind w:left="380"/>
        <w:spacing w:after="0"/>
        <w:rPr>
          <w:sz w:val="20"/>
          <w:szCs w:val="20"/>
          <w:color w:val="auto"/>
        </w:rPr>
      </w:pPr>
      <w:r>
        <w:rPr>
          <w:rFonts w:ascii="Times New Roman" w:cs="Times New Roman" w:eastAsia="Times New Roman" w:hAnsi="Times New Roman"/>
          <w:sz w:val="14"/>
          <w:szCs w:val="14"/>
          <w:color w:val="auto"/>
        </w:rPr>
        <w:t>Westwood Hospitality is a private investment fund seeded via our investment that we offer to clients of Westwood Trust.</w:t>
      </w:r>
    </w:p>
    <w:p>
      <w:pPr>
        <w:spacing w:after="0" w:line="200" w:lineRule="exact"/>
        <w:rPr>
          <w:sz w:val="20"/>
          <w:szCs w:val="20"/>
          <w:color w:val="auto"/>
        </w:rPr>
      </w:pPr>
    </w:p>
    <w:p>
      <w:pPr>
        <w:spacing w:after="0" w:line="244"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4"/>
          <w:szCs w:val="14"/>
          <w:color w:val="auto"/>
        </w:rPr>
        <w:t>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-8890</wp:posOffset>
            </wp:positionH>
            <wp:positionV relativeFrom="paragraph">
              <wp:posOffset>55880</wp:posOffset>
            </wp:positionV>
            <wp:extent cx="7186930" cy="38735"/>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5">
                      <a:extLst>
                        <a:ext uri="{28A0092B-C50C-407E-A947-70E740481C1C}"/>
                      </a:extLst>
                    </a:blip>
                    <a:srcRect/>
                    <a:stretch>
                      <a:fillRect/>
                    </a:stretch>
                  </pic:blipFill>
                  <pic:spPr bwMode="auto">
                    <a:xfrm>
                      <a:off x="0" y="0"/>
                      <a:ext cx="7186930" cy="38735"/>
                    </a:xfrm>
                    <a:prstGeom prst="rect">
                      <a:avLst/>
                    </a:prstGeom>
                    <a:noFill/>
                  </pic:spPr>
                </pic:pic>
              </a:graphicData>
            </a:graphic>
          </wp:anchor>
        </w:drawing>
      </w:r>
    </w:p>
    <w:p>
      <w:pPr>
        <w:sectPr>
          <w:pgSz w:w="11900" w:h="16838" w:orient="portrait"/>
          <w:cols w:equalWidth="0" w:num="1">
            <w:col w:w="11260"/>
          </w:cols>
          <w:pgMar w:left="300" w:top="728" w:right="339" w:bottom="1440" w:gutter="0" w:footer="0" w:header="0"/>
        </w:sectPr>
      </w:pPr>
    </w:p>
    <w:bookmarkStart w:id="3" w:name="page4"/>
    <w:bookmarkEnd w:id="3"/>
    <w:p>
      <w:pPr>
        <w:ind w:left="380"/>
        <w:spacing w:after="0"/>
        <w:rPr>
          <w:sz w:val="20"/>
          <w:szCs w:val="20"/>
          <w:color w:val="auto"/>
        </w:rPr>
      </w:pPr>
      <w:r>
        <w:rPr>
          <w:rFonts w:ascii="Times New Roman" w:cs="Times New Roman" w:eastAsia="Times New Roman" w:hAnsi="Times New Roman"/>
          <w:sz w:val="14"/>
          <w:szCs w:val="14"/>
          <w:color w:val="auto"/>
        </w:rPr>
        <w:t>TXSE is a private company that is the parent company of the Texas Stock Exchange, a national securities exchange built and headquartered in Dallas, Texas.</w:t>
      </w:r>
    </w:p>
    <w:p>
      <w:pPr>
        <w:spacing w:after="0" w:line="94" w:lineRule="exact"/>
        <w:rPr>
          <w:sz w:val="20"/>
          <w:szCs w:val="20"/>
          <w:color w:val="auto"/>
        </w:rPr>
      </w:pPr>
    </w:p>
    <w:p>
      <w:pPr>
        <w:ind w:left="380"/>
        <w:spacing w:after="0"/>
        <w:rPr>
          <w:sz w:val="20"/>
          <w:szCs w:val="20"/>
          <w:color w:val="auto"/>
        </w:rPr>
      </w:pPr>
      <w:r>
        <w:rPr>
          <w:rFonts w:ascii="Times New Roman" w:cs="Times New Roman" w:eastAsia="Times New Roman" w:hAnsi="Times New Roman"/>
          <w:sz w:val="14"/>
          <w:szCs w:val="14"/>
          <w:color w:val="auto"/>
        </w:rPr>
        <w:t>For a discussion of our investment in WEBs, see "Growth Strategy" below.</w:t>
      </w:r>
    </w:p>
    <w:p>
      <w:pPr>
        <w:spacing w:after="0" w:line="92"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b w:val="1"/>
          <w:bCs w:val="1"/>
          <w:i w:val="1"/>
          <w:iCs w:val="1"/>
          <w:color w:val="auto"/>
        </w:rPr>
        <w:t>Available Information</w:t>
      </w:r>
    </w:p>
    <w:p>
      <w:pPr>
        <w:spacing w:after="0" w:line="96" w:lineRule="exact"/>
        <w:rPr>
          <w:sz w:val="20"/>
          <w:szCs w:val="20"/>
          <w:color w:val="auto"/>
        </w:rPr>
      </w:pPr>
    </w:p>
    <w:p>
      <w:pPr>
        <w:ind w:firstLine="382"/>
        <w:spacing w:after="0" w:line="259" w:lineRule="auto"/>
        <w:rPr>
          <w:sz w:val="20"/>
          <w:szCs w:val="20"/>
          <w:color w:val="auto"/>
        </w:rPr>
      </w:pPr>
      <w:r>
        <w:rPr>
          <w:rFonts w:ascii="Times New Roman" w:cs="Times New Roman" w:eastAsia="Times New Roman" w:hAnsi="Times New Roman"/>
          <w:sz w:val="14"/>
          <w:szCs w:val="14"/>
          <w:color w:val="auto"/>
        </w:rPr>
        <w:t>We maintain a website at westwoodgroup.com. Information contained on, or connected to, our website is not incorporated by reference into this Report and should not be considered part of this Report or any other filing that we make with the SEC. All of our filings with the SEC, including our annual report on Form 10-K, quarterly reports on Form 10-Q, current reports on Form 8-K and any amendments to those reports filed or furnished pursuant to Sections 13(a) or 15(d) of the Securities Exchange Act of 1934, as amended (the "Exchange Act"), are available free of charge on our website. Our Code of Business Conduct, Corporate Governance Guidelines and Audit Committee, Compensation and Human Capital, and Governance/Nominating Committee Charters are available without charge on our website. Stockholders may also obtain print copies of these documents free of charge by submitting a written request to Murray Forbes III, our Chief Financial Officer and Treasurer, at the address set forth on the front of this Report. The public can also obtain access to any public document we file with the SEC at www.sec.gov.</w:t>
      </w:r>
    </w:p>
    <w:p>
      <w:pPr>
        <w:spacing w:after="0" w:line="59"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b w:val="1"/>
          <w:bCs w:val="1"/>
          <w:i w:val="1"/>
          <w:iCs w:val="1"/>
          <w:color w:val="auto"/>
        </w:rPr>
        <w:t>Advisory</w:t>
      </w:r>
    </w:p>
    <w:p>
      <w:pPr>
        <w:spacing w:after="0" w:line="94"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i w:val="1"/>
          <w:iCs w:val="1"/>
          <w:color w:val="auto"/>
        </w:rPr>
        <w:t>General</w:t>
      </w:r>
    </w:p>
    <w:p>
      <w:pPr>
        <w:spacing w:after="0" w:line="96" w:lineRule="exact"/>
        <w:rPr>
          <w:sz w:val="20"/>
          <w:szCs w:val="20"/>
          <w:color w:val="auto"/>
        </w:rPr>
      </w:pPr>
    </w:p>
    <w:p>
      <w:pPr>
        <w:ind w:right="500" w:firstLine="382"/>
        <w:spacing w:after="0" w:line="287" w:lineRule="auto"/>
        <w:rPr>
          <w:sz w:val="20"/>
          <w:szCs w:val="20"/>
          <w:color w:val="auto"/>
        </w:rPr>
      </w:pPr>
      <w:r>
        <w:rPr>
          <w:rFonts w:ascii="Times New Roman" w:cs="Times New Roman" w:eastAsia="Times New Roman" w:hAnsi="Times New Roman"/>
          <w:sz w:val="14"/>
          <w:szCs w:val="14"/>
          <w:color w:val="auto"/>
        </w:rPr>
        <w:t>Our advisory business encompasses six distinct investment capabilities — United States ("U.S.") Value Equity, Multi-Asset, Energy and Real Assets, Tactical Absolute Return, Income Alternatives and Managed Investment Solutions ("MIS").</w:t>
      </w:r>
    </w:p>
    <w:p>
      <w:pPr>
        <w:spacing w:after="0" w:line="39" w:lineRule="exact"/>
        <w:rPr>
          <w:sz w:val="20"/>
          <w:szCs w:val="20"/>
          <w:color w:val="auto"/>
        </w:rPr>
      </w:pPr>
    </w:p>
    <w:p>
      <w:pPr>
        <w:ind w:right="220" w:firstLine="382"/>
        <w:spacing w:after="0" w:line="268" w:lineRule="auto"/>
        <w:rPr>
          <w:sz w:val="20"/>
          <w:szCs w:val="20"/>
          <w:color w:val="auto"/>
        </w:rPr>
      </w:pPr>
      <w:r>
        <w:rPr>
          <w:rFonts w:ascii="Times New Roman" w:cs="Times New Roman" w:eastAsia="Times New Roman" w:hAnsi="Times New Roman"/>
          <w:sz w:val="14"/>
          <w:szCs w:val="14"/>
          <w:color w:val="auto"/>
        </w:rPr>
        <w:t>Westwood Management provides investment advisory services to large institutions, including corporate retirement plans, public retirement plans, endowments and foundations. Institutional separate account minimums vary by investment strategy and generally range from $10 million to $25 million. Westwood Management also provides advisory services to financial advisors, individuals, the Westwood Funds</w:t>
      </w:r>
      <w:r>
        <w:rPr>
          <w:rFonts w:ascii="Times New Roman" w:cs="Times New Roman" w:eastAsia="Times New Roman" w:hAnsi="Times New Roman"/>
          <w:sz w:val="18"/>
          <w:szCs w:val="18"/>
          <w:color w:val="auto"/>
          <w:vertAlign w:val="superscript"/>
        </w:rPr>
        <w:t>®</w:t>
      </w:r>
      <w:r>
        <w:rPr>
          <w:rFonts w:ascii="Times New Roman" w:cs="Times New Roman" w:eastAsia="Times New Roman" w:hAnsi="Times New Roman"/>
          <w:sz w:val="14"/>
          <w:szCs w:val="14"/>
          <w:color w:val="auto"/>
        </w:rPr>
        <w:t xml:space="preserve"> mutual funds, Westwood ETFs, and private capital funds, as well as sub-advisory services to other mutual funds and pooled investment vehicles.</w:t>
      </w:r>
    </w:p>
    <w:p>
      <w:pPr>
        <w:spacing w:after="0" w:line="1"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i w:val="1"/>
          <w:iCs w:val="1"/>
          <w:color w:val="auto"/>
        </w:rPr>
        <w:t>Investment Strategies</w:t>
      </w:r>
    </w:p>
    <w:p>
      <w:pPr>
        <w:spacing w:after="0" w:line="96" w:lineRule="exact"/>
        <w:rPr>
          <w:sz w:val="20"/>
          <w:szCs w:val="20"/>
          <w:color w:val="auto"/>
        </w:rPr>
      </w:pPr>
    </w:p>
    <w:p>
      <w:pPr>
        <w:ind w:right="100" w:firstLine="382"/>
        <w:spacing w:after="0" w:line="287" w:lineRule="auto"/>
        <w:rPr>
          <w:sz w:val="20"/>
          <w:szCs w:val="20"/>
          <w:color w:val="auto"/>
        </w:rPr>
      </w:pPr>
      <w:r>
        <w:rPr>
          <w:rFonts w:ascii="Times New Roman" w:cs="Times New Roman" w:eastAsia="Times New Roman" w:hAnsi="Times New Roman"/>
          <w:sz w:val="14"/>
          <w:szCs w:val="14"/>
          <w:color w:val="auto"/>
        </w:rPr>
        <w:t>We offer high-conviction equity, outcome-oriented solutions and liquid alternatives to address a wide range of investment objectives, including five strategies each having AUM exceeding $1 billion: LargeCap Value, Income Opportunity, SmallCap Value, MLP &amp; Energy Infrastructure and SMidCap Value.</w:t>
      </w:r>
    </w:p>
    <w:p>
      <w:pPr>
        <w:spacing w:after="0" w:line="39"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u w:val="single" w:color="auto"/>
          <w:color w:val="auto"/>
        </w:rPr>
        <w:t>U.S. Value Equity</w:t>
      </w:r>
    </w:p>
    <w:p>
      <w:pPr>
        <w:spacing w:after="0" w:line="94" w:lineRule="exact"/>
        <w:rPr>
          <w:sz w:val="20"/>
          <w:szCs w:val="20"/>
          <w:color w:val="auto"/>
        </w:rPr>
      </w:pPr>
    </w:p>
    <w:p>
      <w:pPr>
        <w:ind w:right="20" w:firstLine="382"/>
        <w:spacing w:after="0" w:line="261" w:lineRule="auto"/>
        <w:rPr>
          <w:sz w:val="20"/>
          <w:szCs w:val="20"/>
          <w:color w:val="auto"/>
        </w:rPr>
      </w:pPr>
      <w:r>
        <w:rPr>
          <w:rFonts w:ascii="Times New Roman" w:cs="Times New Roman" w:eastAsia="Times New Roman" w:hAnsi="Times New Roman"/>
          <w:sz w:val="14"/>
          <w:szCs w:val="14"/>
          <w:color w:val="auto"/>
        </w:rPr>
        <w:t>The U.S. Value Equity team employs a value-oriented approach to identify undervalued, high-quality businesses capable of generating superior risk-adjusted returns, using a fundamental, bottom-up, investment process. Our team seeks well-run businesses with conservative balance sheets and strong free cash flow that can expand enterprise value by funding growth initiatives or by returning capital to shareholders. Identifying undervalued companies with strong fundamentals, where the outlook for future earnings growth is underestimated by the market, offers us the potential for asymmetric returns. This investment approach is intended to preserve capital during unfavorable periods and provide superior real returns over the long term. We have established a track record of producing competitive risk adjusted and real returns for our clients. The principal investment strategies currently managed by the U.S. Value Equity team are as follows:</w:t>
      </w:r>
    </w:p>
    <w:p>
      <w:pPr>
        <w:spacing w:after="0" w:line="56" w:lineRule="exact"/>
        <w:rPr>
          <w:sz w:val="20"/>
          <w:szCs w:val="20"/>
          <w:color w:val="auto"/>
        </w:rPr>
      </w:pPr>
    </w:p>
    <w:p>
      <w:pPr>
        <w:ind w:left="380"/>
        <w:spacing w:after="0"/>
        <w:rPr>
          <w:sz w:val="20"/>
          <w:szCs w:val="20"/>
          <w:color w:val="auto"/>
        </w:rPr>
      </w:pPr>
      <w:r>
        <w:rPr>
          <w:rFonts w:ascii="Times New Roman" w:cs="Times New Roman" w:eastAsia="Times New Roman" w:hAnsi="Times New Roman"/>
          <w:sz w:val="14"/>
          <w:szCs w:val="14"/>
          <w:i w:val="1"/>
          <w:iCs w:val="1"/>
          <w:color w:val="auto"/>
        </w:rPr>
        <w:t xml:space="preserve">AllCap Value: </w:t>
      </w:r>
      <w:r>
        <w:rPr>
          <w:rFonts w:ascii="Times New Roman" w:cs="Times New Roman" w:eastAsia="Times New Roman" w:hAnsi="Times New Roman"/>
          <w:sz w:val="14"/>
          <w:szCs w:val="14"/>
          <w:color w:val="auto"/>
        </w:rPr>
        <w:t>Investments in equity securities of approximately 40 to 60 companies benchmarked to the Russell 3000 Value Index.</w:t>
      </w:r>
    </w:p>
    <w:p>
      <w:pPr>
        <w:spacing w:after="0" w:line="94" w:lineRule="exact"/>
        <w:rPr>
          <w:sz w:val="20"/>
          <w:szCs w:val="20"/>
          <w:color w:val="auto"/>
        </w:rPr>
      </w:pPr>
    </w:p>
    <w:p>
      <w:pPr>
        <w:ind w:left="380"/>
        <w:spacing w:after="0"/>
        <w:rPr>
          <w:sz w:val="20"/>
          <w:szCs w:val="20"/>
          <w:color w:val="auto"/>
        </w:rPr>
      </w:pPr>
      <w:r>
        <w:rPr>
          <w:rFonts w:ascii="Times New Roman" w:cs="Times New Roman" w:eastAsia="Times New Roman" w:hAnsi="Times New Roman"/>
          <w:sz w:val="14"/>
          <w:szCs w:val="14"/>
          <w:i w:val="1"/>
          <w:iCs w:val="1"/>
          <w:color w:val="auto"/>
        </w:rPr>
        <w:t xml:space="preserve">LargeCap Value: </w:t>
      </w:r>
      <w:r>
        <w:rPr>
          <w:rFonts w:ascii="Times New Roman" w:cs="Times New Roman" w:eastAsia="Times New Roman" w:hAnsi="Times New Roman"/>
          <w:sz w:val="14"/>
          <w:szCs w:val="14"/>
          <w:color w:val="auto"/>
        </w:rPr>
        <w:t>Investments in equity securities of approximately 40 to 60 companies benchmarked to the Russell 1000 Value Index.</w:t>
      </w:r>
    </w:p>
    <w:p>
      <w:pPr>
        <w:spacing w:after="0" w:line="94" w:lineRule="exact"/>
        <w:rPr>
          <w:sz w:val="20"/>
          <w:szCs w:val="20"/>
          <w:color w:val="auto"/>
        </w:rPr>
      </w:pPr>
    </w:p>
    <w:p>
      <w:pPr>
        <w:ind w:left="380"/>
        <w:spacing w:after="0"/>
        <w:rPr>
          <w:sz w:val="20"/>
          <w:szCs w:val="20"/>
          <w:color w:val="auto"/>
        </w:rPr>
      </w:pPr>
      <w:r>
        <w:rPr>
          <w:rFonts w:ascii="Times New Roman" w:cs="Times New Roman" w:eastAsia="Times New Roman" w:hAnsi="Times New Roman"/>
          <w:sz w:val="14"/>
          <w:szCs w:val="14"/>
          <w:i w:val="1"/>
          <w:iCs w:val="1"/>
          <w:color w:val="auto"/>
        </w:rPr>
        <w:t xml:space="preserve">MidCap Value: </w:t>
      </w:r>
      <w:r>
        <w:rPr>
          <w:rFonts w:ascii="Times New Roman" w:cs="Times New Roman" w:eastAsia="Times New Roman" w:hAnsi="Times New Roman"/>
          <w:sz w:val="14"/>
          <w:szCs w:val="14"/>
          <w:color w:val="auto"/>
        </w:rPr>
        <w:t>Investments in equity securities of approximately 50 to 80 companies benchmarked to the Russell 1000 Value Index.</w:t>
      </w:r>
    </w:p>
    <w:p>
      <w:pPr>
        <w:spacing w:after="0" w:line="94" w:lineRule="exact"/>
        <w:rPr>
          <w:sz w:val="20"/>
          <w:szCs w:val="20"/>
          <w:color w:val="auto"/>
        </w:rPr>
      </w:pPr>
    </w:p>
    <w:p>
      <w:pPr>
        <w:ind w:left="380"/>
        <w:spacing w:after="0"/>
        <w:rPr>
          <w:sz w:val="20"/>
          <w:szCs w:val="20"/>
          <w:color w:val="auto"/>
        </w:rPr>
      </w:pPr>
      <w:r>
        <w:rPr>
          <w:rFonts w:ascii="Times New Roman" w:cs="Times New Roman" w:eastAsia="Times New Roman" w:hAnsi="Times New Roman"/>
          <w:sz w:val="14"/>
          <w:szCs w:val="14"/>
          <w:i w:val="1"/>
          <w:iCs w:val="1"/>
          <w:color w:val="auto"/>
        </w:rPr>
        <w:t xml:space="preserve">SmallCap Value: </w:t>
      </w:r>
      <w:r>
        <w:rPr>
          <w:rFonts w:ascii="Times New Roman" w:cs="Times New Roman" w:eastAsia="Times New Roman" w:hAnsi="Times New Roman"/>
          <w:sz w:val="14"/>
          <w:szCs w:val="14"/>
          <w:color w:val="auto"/>
        </w:rPr>
        <w:t>Investments in equity securities of approximately 50 to 70 companies benchmarked to the Russell 2000 Value Index.</w:t>
      </w:r>
    </w:p>
    <w:p>
      <w:pPr>
        <w:spacing w:after="0" w:line="94" w:lineRule="exact"/>
        <w:rPr>
          <w:sz w:val="20"/>
          <w:szCs w:val="20"/>
          <w:color w:val="auto"/>
        </w:rPr>
      </w:pPr>
    </w:p>
    <w:p>
      <w:pPr>
        <w:ind w:left="380"/>
        <w:spacing w:after="0"/>
        <w:rPr>
          <w:sz w:val="20"/>
          <w:szCs w:val="20"/>
          <w:color w:val="auto"/>
        </w:rPr>
      </w:pPr>
      <w:r>
        <w:rPr>
          <w:rFonts w:ascii="Times New Roman" w:cs="Times New Roman" w:eastAsia="Times New Roman" w:hAnsi="Times New Roman"/>
          <w:sz w:val="14"/>
          <w:szCs w:val="14"/>
          <w:i w:val="1"/>
          <w:iCs w:val="1"/>
          <w:color w:val="auto"/>
        </w:rPr>
        <w:t xml:space="preserve">SMidCap Value: </w:t>
      </w:r>
      <w:r>
        <w:rPr>
          <w:rFonts w:ascii="Times New Roman" w:cs="Times New Roman" w:eastAsia="Times New Roman" w:hAnsi="Times New Roman"/>
          <w:sz w:val="14"/>
          <w:szCs w:val="14"/>
          <w:color w:val="auto"/>
        </w:rPr>
        <w:t>Investments in equity securities of approximately 50 to 70 companies benchmarked to the Russell 2500 Value Index.</w:t>
      </w:r>
    </w:p>
    <w:p>
      <w:pPr>
        <w:spacing w:after="0" w:line="96"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u w:val="single" w:color="auto"/>
          <w:color w:val="auto"/>
        </w:rPr>
        <w:t>Multi-Asset</w:t>
      </w:r>
    </w:p>
    <w:p>
      <w:pPr>
        <w:spacing w:after="0" w:line="94" w:lineRule="exact"/>
        <w:rPr>
          <w:sz w:val="20"/>
          <w:szCs w:val="20"/>
          <w:color w:val="auto"/>
        </w:rPr>
      </w:pPr>
    </w:p>
    <w:p>
      <w:pPr>
        <w:ind w:right="140" w:firstLine="382"/>
        <w:spacing w:after="0" w:line="287" w:lineRule="auto"/>
        <w:rPr>
          <w:sz w:val="20"/>
          <w:szCs w:val="20"/>
          <w:color w:val="auto"/>
        </w:rPr>
      </w:pPr>
      <w:r>
        <w:rPr>
          <w:rFonts w:ascii="Times New Roman" w:cs="Times New Roman" w:eastAsia="Times New Roman" w:hAnsi="Times New Roman"/>
          <w:sz w:val="14"/>
          <w:szCs w:val="14"/>
          <w:color w:val="auto"/>
        </w:rPr>
        <w:t>The Multi-Asset team employs an investment process that applies top-down views across asset classes along with bottom-up security selection, utilizing quantitative and fundamental tools to evaluate macro, micro and technical conditions</w:t>
      </w:r>
    </w:p>
    <w:p>
      <w:pPr>
        <w:spacing w:after="0" w:line="38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4"/>
          <w:szCs w:val="14"/>
          <w:color w:val="auto"/>
        </w:rPr>
        <w:t>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-8890</wp:posOffset>
            </wp:positionH>
            <wp:positionV relativeFrom="paragraph">
              <wp:posOffset>55880</wp:posOffset>
            </wp:positionV>
            <wp:extent cx="7186930" cy="38735"/>
            <wp:wrapNone/>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16">
                      <a:extLst>
                        <a:ext uri="{28A0092B-C50C-407E-A947-70E740481C1C}"/>
                      </a:extLst>
                    </a:blip>
                    <a:srcRect/>
                    <a:stretch>
                      <a:fillRect/>
                    </a:stretch>
                  </pic:blipFill>
                  <pic:spPr bwMode="auto">
                    <a:xfrm>
                      <a:off x="0" y="0"/>
                      <a:ext cx="7186930" cy="38735"/>
                    </a:xfrm>
                    <a:prstGeom prst="rect">
                      <a:avLst/>
                    </a:prstGeom>
                    <a:noFill/>
                  </pic:spPr>
                </pic:pic>
              </a:graphicData>
            </a:graphic>
          </wp:anchor>
        </w:drawing>
      </w:r>
    </w:p>
    <w:p>
      <w:pPr>
        <w:sectPr>
          <w:pgSz w:w="11900" w:h="16838" w:orient="portrait"/>
          <w:cols w:equalWidth="0" w:num="1">
            <w:col w:w="11280"/>
          </w:cols>
          <w:pgMar w:left="300" w:top="814" w:right="319" w:bottom="1440" w:gutter="0" w:footer="0" w:header="0"/>
        </w:sectPr>
      </w:pPr>
    </w:p>
    <w:bookmarkStart w:id="4" w:name="page5"/>
    <w:bookmarkEnd w:id="4"/>
    <w:p>
      <w:pPr>
        <w:spacing w:after="0"/>
        <w:rPr>
          <w:sz w:val="20"/>
          <w:szCs w:val="20"/>
          <w:color w:val="auto"/>
        </w:rPr>
      </w:pPr>
      <w:r>
        <w:rPr>
          <w:rFonts w:ascii="Times New Roman" w:cs="Times New Roman" w:eastAsia="Times New Roman" w:hAnsi="Times New Roman"/>
          <w:sz w:val="14"/>
          <w:szCs w:val="14"/>
          <w:color w:val="auto"/>
        </w:rPr>
        <w:t>across a range of asset classes. Our outcome-oriented solutions utilize strategic and tactical allocations as well as a disciplined focus on managing downside risks.</w:t>
      </w:r>
    </w:p>
    <w:p>
      <w:pPr>
        <w:spacing w:after="0" w:line="94" w:lineRule="exact"/>
        <w:rPr>
          <w:sz w:val="20"/>
          <w:szCs w:val="20"/>
          <w:color w:val="auto"/>
        </w:rPr>
      </w:pPr>
    </w:p>
    <w:p>
      <w:pPr>
        <w:ind w:right="80" w:firstLine="382"/>
        <w:spacing w:after="0" w:line="287" w:lineRule="auto"/>
        <w:rPr>
          <w:sz w:val="20"/>
          <w:szCs w:val="20"/>
          <w:color w:val="auto"/>
        </w:rPr>
      </w:pPr>
      <w:r>
        <w:rPr>
          <w:rFonts w:ascii="Times New Roman" w:cs="Times New Roman" w:eastAsia="Times New Roman" w:hAnsi="Times New Roman"/>
          <w:sz w:val="14"/>
          <w:szCs w:val="14"/>
          <w:color w:val="auto"/>
        </w:rPr>
        <w:t>The team draws on the proprietary fundamental research of Westwood’s experienced investment team members to identify securities with attractive risk-adjusted return profiles across a broad spectrum of income-producing securities. The principal investment strategies managed by the Multi-Asset team are as follows:</w:t>
      </w:r>
    </w:p>
    <w:p>
      <w:pPr>
        <w:spacing w:after="0" w:line="37" w:lineRule="exact"/>
        <w:rPr>
          <w:sz w:val="20"/>
          <w:szCs w:val="20"/>
          <w:color w:val="auto"/>
        </w:rPr>
      </w:pPr>
    </w:p>
    <w:p>
      <w:pPr>
        <w:ind w:firstLine="382"/>
        <w:spacing w:after="0" w:line="290" w:lineRule="auto"/>
        <w:rPr>
          <w:sz w:val="20"/>
          <w:szCs w:val="20"/>
          <w:color w:val="auto"/>
        </w:rPr>
      </w:pPr>
      <w:r>
        <w:rPr>
          <w:rFonts w:ascii="Times New Roman" w:cs="Times New Roman" w:eastAsia="Times New Roman" w:hAnsi="Times New Roman"/>
          <w:sz w:val="14"/>
          <w:szCs w:val="14"/>
          <w:i w:val="1"/>
          <w:iCs w:val="1"/>
          <w:color w:val="auto"/>
        </w:rPr>
        <w:t xml:space="preserve">Income Opportunity: </w:t>
      </w:r>
      <w:r>
        <w:rPr>
          <w:rFonts w:ascii="Times New Roman" w:cs="Times New Roman" w:eastAsia="Times New Roman" w:hAnsi="Times New Roman"/>
          <w:sz w:val="14"/>
          <w:szCs w:val="14"/>
          <w:color w:val="auto"/>
        </w:rPr>
        <w:t>Tactical asset allocation strategy that invests across multiple fixed income sectors, convertibles and equity securities with an income generation bias. Typically invests in a</w:t>
      </w:r>
      <w:r>
        <w:rPr>
          <w:rFonts w:ascii="Times New Roman" w:cs="Times New Roman" w:eastAsia="Times New Roman" w:hAnsi="Times New Roman"/>
          <w:sz w:val="14"/>
          <w:szCs w:val="14"/>
          <w:i w:val="1"/>
          <w:iCs w:val="1"/>
          <w:color w:val="auto"/>
        </w:rPr>
        <w:t xml:space="preserve"> </w:t>
      </w:r>
      <w:r>
        <w:rPr>
          <w:rFonts w:ascii="Times New Roman" w:cs="Times New Roman" w:eastAsia="Times New Roman" w:hAnsi="Times New Roman"/>
          <w:sz w:val="14"/>
          <w:szCs w:val="14"/>
          <w:color w:val="auto"/>
        </w:rPr>
        <w:t>range of asset types with an overall moderate risk profile.</w:t>
      </w:r>
    </w:p>
    <w:p>
      <w:pPr>
        <w:spacing w:after="0" w:line="35" w:lineRule="exact"/>
        <w:rPr>
          <w:sz w:val="20"/>
          <w:szCs w:val="20"/>
          <w:color w:val="auto"/>
        </w:rPr>
      </w:pPr>
    </w:p>
    <w:p>
      <w:pPr>
        <w:ind w:right="280" w:firstLine="382"/>
        <w:spacing w:after="0" w:line="290" w:lineRule="auto"/>
        <w:rPr>
          <w:sz w:val="20"/>
          <w:szCs w:val="20"/>
          <w:color w:val="auto"/>
        </w:rPr>
      </w:pPr>
      <w:r>
        <w:rPr>
          <w:rFonts w:ascii="Times New Roman" w:cs="Times New Roman" w:eastAsia="Times New Roman" w:hAnsi="Times New Roman"/>
          <w:sz w:val="14"/>
          <w:szCs w:val="14"/>
          <w:i w:val="1"/>
          <w:iCs w:val="1"/>
          <w:color w:val="auto"/>
        </w:rPr>
        <w:t xml:space="preserve">Multi-Asset Income: </w:t>
      </w:r>
      <w:r>
        <w:rPr>
          <w:rFonts w:ascii="Times New Roman" w:cs="Times New Roman" w:eastAsia="Times New Roman" w:hAnsi="Times New Roman"/>
          <w:sz w:val="14"/>
          <w:szCs w:val="14"/>
          <w:color w:val="auto"/>
        </w:rPr>
        <w:t>Tactical asset allocation strategy that invests across multiple fixed income sectors, convertibles and income-producing equity securities. Typically invests in a range of</w:t>
      </w:r>
      <w:r>
        <w:rPr>
          <w:rFonts w:ascii="Times New Roman" w:cs="Times New Roman" w:eastAsia="Times New Roman" w:hAnsi="Times New Roman"/>
          <w:sz w:val="14"/>
          <w:szCs w:val="14"/>
          <w:i w:val="1"/>
          <w:iCs w:val="1"/>
          <w:color w:val="auto"/>
        </w:rPr>
        <w:t xml:space="preserve"> </w:t>
      </w:r>
      <w:r>
        <w:rPr>
          <w:rFonts w:ascii="Times New Roman" w:cs="Times New Roman" w:eastAsia="Times New Roman" w:hAnsi="Times New Roman"/>
          <w:sz w:val="14"/>
          <w:szCs w:val="14"/>
          <w:color w:val="auto"/>
        </w:rPr>
        <w:t>asset types with an overall conservative risk profile.</w:t>
      </w:r>
    </w:p>
    <w:p>
      <w:pPr>
        <w:spacing w:after="0" w:line="37"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u w:val="single" w:color="auto"/>
          <w:color w:val="auto"/>
        </w:rPr>
        <w:t>Energy and Real Assets</w:t>
      </w:r>
    </w:p>
    <w:p>
      <w:pPr>
        <w:spacing w:after="0" w:line="94" w:lineRule="exact"/>
        <w:rPr>
          <w:sz w:val="20"/>
          <w:szCs w:val="20"/>
          <w:color w:val="auto"/>
        </w:rPr>
      </w:pPr>
    </w:p>
    <w:p>
      <w:pPr>
        <w:ind w:right="160" w:firstLine="382"/>
        <w:spacing w:after="0" w:line="258" w:lineRule="auto"/>
        <w:rPr>
          <w:sz w:val="20"/>
          <w:szCs w:val="20"/>
          <w:color w:val="auto"/>
        </w:rPr>
      </w:pPr>
      <w:r>
        <w:rPr>
          <w:rFonts w:ascii="Times New Roman" w:cs="Times New Roman" w:eastAsia="Times New Roman" w:hAnsi="Times New Roman"/>
          <w:sz w:val="14"/>
          <w:szCs w:val="14"/>
          <w:color w:val="auto"/>
        </w:rPr>
        <w:t>Our Energy and Real Assets team employs an investment approach designed to provide access to a broad universe of energy companies with an emphasis on energy infrastructure. Energy infrastructure companies include Master Limited Partnerships ("MLPs") and midstream corporations as well as other companies involved with infrastructure connected to the production, transportation or distribution of energy. The team has the potential to take advantage of a range of energy opportunities. Our portfolio managers consider primary risk factors for midstream energy infrastructure companies to be economic conditions, equity markets, high yield spreads, volume throughput, energy demand, commodity prices and interest rates. The team monitors and discusses changes in these risk factors on a daily basis. In addition to fundamental analyses, the team utilizes quantitative models to measure valuations, momentum and other risk attributes. The investment team monitors key risk factors for each company and the overall market and positions portfolios accordingly to align with their portfolio management philosophy. The principal investment strategy currently managed by the Energy and Real Assets team is:</w:t>
      </w:r>
    </w:p>
    <w:p>
      <w:pPr>
        <w:spacing w:after="0" w:line="60" w:lineRule="exact"/>
        <w:rPr>
          <w:sz w:val="20"/>
          <w:szCs w:val="20"/>
          <w:color w:val="auto"/>
        </w:rPr>
      </w:pPr>
    </w:p>
    <w:p>
      <w:pPr>
        <w:ind w:right="80" w:firstLine="382"/>
        <w:spacing w:after="0" w:line="290" w:lineRule="auto"/>
        <w:rPr>
          <w:sz w:val="20"/>
          <w:szCs w:val="20"/>
          <w:color w:val="auto"/>
        </w:rPr>
      </w:pPr>
      <w:r>
        <w:rPr>
          <w:rFonts w:ascii="Times New Roman" w:cs="Times New Roman" w:eastAsia="Times New Roman" w:hAnsi="Times New Roman"/>
          <w:sz w:val="14"/>
          <w:szCs w:val="14"/>
          <w:i w:val="1"/>
          <w:iCs w:val="1"/>
          <w:color w:val="auto"/>
        </w:rPr>
        <w:t xml:space="preserve">MLP &amp; Energy Infrastructure: </w:t>
      </w:r>
      <w:r>
        <w:rPr>
          <w:rFonts w:ascii="Times New Roman" w:cs="Times New Roman" w:eastAsia="Times New Roman" w:hAnsi="Times New Roman"/>
          <w:sz w:val="14"/>
          <w:szCs w:val="14"/>
          <w:color w:val="auto"/>
        </w:rPr>
        <w:t>Provides access to a universe of energy infrastructure, MLPs and MLP-related companies with the potential to diversify a traditional stock/bond portfolio along</w:t>
      </w:r>
      <w:r>
        <w:rPr>
          <w:rFonts w:ascii="Times New Roman" w:cs="Times New Roman" w:eastAsia="Times New Roman" w:hAnsi="Times New Roman"/>
          <w:sz w:val="14"/>
          <w:szCs w:val="14"/>
          <w:i w:val="1"/>
          <w:iCs w:val="1"/>
          <w:color w:val="auto"/>
        </w:rPr>
        <w:t xml:space="preserve"> </w:t>
      </w:r>
      <w:r>
        <w:rPr>
          <w:rFonts w:ascii="Times New Roman" w:cs="Times New Roman" w:eastAsia="Times New Roman" w:hAnsi="Times New Roman"/>
          <w:sz w:val="14"/>
          <w:szCs w:val="14"/>
          <w:color w:val="auto"/>
        </w:rPr>
        <w:t>with income and inflation protection.</w:t>
      </w:r>
    </w:p>
    <w:p>
      <w:pPr>
        <w:spacing w:after="0" w:line="37"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u w:val="single" w:color="auto"/>
          <w:color w:val="auto"/>
        </w:rPr>
        <w:t>Tactical Absolute Return</w:t>
      </w:r>
    </w:p>
    <w:p>
      <w:pPr>
        <w:spacing w:after="0" w:line="94" w:lineRule="exact"/>
        <w:rPr>
          <w:sz w:val="20"/>
          <w:szCs w:val="20"/>
          <w:color w:val="auto"/>
        </w:rPr>
      </w:pPr>
    </w:p>
    <w:p>
      <w:pPr>
        <w:ind w:firstLine="382"/>
        <w:spacing w:after="0" w:line="264" w:lineRule="auto"/>
        <w:rPr>
          <w:sz w:val="20"/>
          <w:szCs w:val="20"/>
          <w:color w:val="auto"/>
        </w:rPr>
      </w:pPr>
      <w:r>
        <w:rPr>
          <w:rFonts w:ascii="Times New Roman" w:cs="Times New Roman" w:eastAsia="Times New Roman" w:hAnsi="Times New Roman"/>
          <w:sz w:val="14"/>
          <w:szCs w:val="14"/>
          <w:color w:val="auto"/>
        </w:rPr>
        <w:t>Our Tactical Absolute Return strategies are sub-advised by Broadmark. These strategies seek to deliver positive absolute returns through market cycles. We believe that tactical portfolio allocation can actively manage market exposure by adapting to economic conditions and internal market momentum. These strategies appeal to clients unwilling to be fully invested in equities during periods of intense speculation and monetary tightening within an overvalued market. We also look for market environments in which we believe investors should be fully invested or should even overweight higher beta sectors and indices. Our goal is to be in concert with the overall economic/business cycle.</w:t>
      </w:r>
    </w:p>
    <w:p>
      <w:pPr>
        <w:spacing w:after="0" w:line="56" w:lineRule="exact"/>
        <w:rPr>
          <w:sz w:val="20"/>
          <w:szCs w:val="20"/>
          <w:color w:val="auto"/>
        </w:rPr>
      </w:pPr>
    </w:p>
    <w:p>
      <w:pPr>
        <w:ind w:right="20" w:firstLine="382"/>
        <w:spacing w:after="0" w:line="261" w:lineRule="auto"/>
        <w:rPr>
          <w:sz w:val="20"/>
          <w:szCs w:val="20"/>
          <w:color w:val="auto"/>
        </w:rPr>
      </w:pPr>
      <w:r>
        <w:rPr>
          <w:rFonts w:ascii="Times New Roman" w:cs="Times New Roman" w:eastAsia="Times New Roman" w:hAnsi="Times New Roman"/>
          <w:sz w:val="14"/>
          <w:szCs w:val="14"/>
          <w:color w:val="auto"/>
        </w:rPr>
        <w:t>Broadmark’s investment process is grounded in four pillars. The first three pillars – valuation, monetary policy and investor sentiment — are qualitative in nature. The fourth pillar is a quantitative assessment of market volume and breadth-based momentum. Using a combination of these qualitative and quantitative metrics, Broadmark seeks to manage risk and enhance alpha by tactically phasing into and out of major equity cycles. Broadmark invests primarily in a diversified portfolio of ETFs and instruments providing exposure to indices, sectors and industries based on its four-pillar process. The investment team may tactically deploy leveraged investment techniques as well as short positions that allow a net exposure ranging from net long to net short depending on the strategy.</w:t>
      </w:r>
    </w:p>
    <w:p>
      <w:pPr>
        <w:spacing w:after="0" w:line="56" w:lineRule="exact"/>
        <w:rPr>
          <w:sz w:val="20"/>
          <w:szCs w:val="20"/>
          <w:color w:val="auto"/>
        </w:rPr>
      </w:pPr>
    </w:p>
    <w:p>
      <w:pPr>
        <w:ind w:right="100" w:firstLine="382"/>
        <w:spacing w:after="0" w:line="238" w:lineRule="auto"/>
        <w:rPr>
          <w:sz w:val="20"/>
          <w:szCs w:val="20"/>
          <w:color w:val="auto"/>
        </w:rPr>
      </w:pPr>
      <w:r>
        <w:rPr>
          <w:rFonts w:ascii="Times New Roman" w:cs="Times New Roman" w:eastAsia="Times New Roman" w:hAnsi="Times New Roman"/>
          <w:sz w:val="14"/>
          <w:szCs w:val="14"/>
          <w:i w:val="1"/>
          <w:iCs w:val="1"/>
          <w:color w:val="auto"/>
        </w:rPr>
        <w:t xml:space="preserve">Tactical Growth: </w:t>
      </w:r>
      <w:r>
        <w:rPr>
          <w:rFonts w:ascii="Times New Roman" w:cs="Times New Roman" w:eastAsia="Times New Roman" w:hAnsi="Times New Roman"/>
          <w:sz w:val="14"/>
          <w:szCs w:val="14"/>
          <w:color w:val="auto"/>
        </w:rPr>
        <w:t>Strategy that actively manages equity market exposure via the use of ETFs and other index-based instruments. Seeks to produce above-average, risk-adjusted returns in all</w:t>
      </w:r>
      <w:r>
        <w:rPr>
          <w:rFonts w:ascii="Times New Roman" w:cs="Times New Roman" w:eastAsia="Times New Roman" w:hAnsi="Times New Roman"/>
          <w:sz w:val="14"/>
          <w:szCs w:val="14"/>
          <w:i w:val="1"/>
          <w:iCs w:val="1"/>
          <w:color w:val="auto"/>
        </w:rPr>
        <w:t xml:space="preserve"> </w:t>
      </w:r>
      <w:r>
        <w:rPr>
          <w:rFonts w:ascii="Times New Roman" w:cs="Times New Roman" w:eastAsia="Times New Roman" w:hAnsi="Times New Roman"/>
          <w:sz w:val="14"/>
          <w:szCs w:val="14"/>
          <w:color w:val="auto"/>
        </w:rPr>
        <w:t>market environments, while exhibiting less downside volatility than the S&amp;P 500</w:t>
      </w:r>
      <w:r>
        <w:rPr>
          <w:rFonts w:ascii="Times New Roman" w:cs="Times New Roman" w:eastAsia="Times New Roman" w:hAnsi="Times New Roman"/>
          <w:sz w:val="18"/>
          <w:szCs w:val="18"/>
          <w:color w:val="auto"/>
          <w:vertAlign w:val="superscript"/>
        </w:rPr>
        <w:t>®</w:t>
      </w:r>
      <w:r>
        <w:rPr>
          <w:rFonts w:ascii="Times New Roman" w:cs="Times New Roman" w:eastAsia="Times New Roman" w:hAnsi="Times New Roman"/>
          <w:sz w:val="14"/>
          <w:szCs w:val="14"/>
          <w:color w:val="auto"/>
        </w:rPr>
        <w:t xml:space="preserve"> Index. Designed to help investors sidestep market downturns while attempting to participate in market upsides via continuous active management of portfolio market exposure.</w:t>
      </w:r>
    </w:p>
    <w:p>
      <w:pPr>
        <w:spacing w:after="0" w:line="70" w:lineRule="exact"/>
        <w:rPr>
          <w:sz w:val="20"/>
          <w:szCs w:val="20"/>
          <w:color w:val="auto"/>
        </w:rPr>
      </w:pPr>
    </w:p>
    <w:p>
      <w:pPr>
        <w:ind w:firstLine="382"/>
        <w:spacing w:after="0" w:line="238" w:lineRule="auto"/>
        <w:rPr>
          <w:sz w:val="20"/>
          <w:szCs w:val="20"/>
          <w:color w:val="auto"/>
        </w:rPr>
      </w:pPr>
      <w:r>
        <w:rPr>
          <w:rFonts w:ascii="Times New Roman" w:cs="Times New Roman" w:eastAsia="Times New Roman" w:hAnsi="Times New Roman"/>
          <w:sz w:val="14"/>
          <w:szCs w:val="14"/>
          <w:i w:val="1"/>
          <w:iCs w:val="1"/>
          <w:color w:val="auto"/>
        </w:rPr>
        <w:t xml:space="preserve">Tactical Plus: </w:t>
      </w:r>
      <w:r>
        <w:rPr>
          <w:rFonts w:ascii="Times New Roman" w:cs="Times New Roman" w:eastAsia="Times New Roman" w:hAnsi="Times New Roman"/>
          <w:sz w:val="14"/>
          <w:szCs w:val="14"/>
          <w:color w:val="auto"/>
        </w:rPr>
        <w:t>Strategy that actively manages equity market exposure primarily by investing in equity-based futures, ETFs and options. Seeks to produce above-average, risk-adjusted returns in</w:t>
      </w:r>
      <w:r>
        <w:rPr>
          <w:rFonts w:ascii="Times New Roman" w:cs="Times New Roman" w:eastAsia="Times New Roman" w:hAnsi="Times New Roman"/>
          <w:sz w:val="14"/>
          <w:szCs w:val="14"/>
          <w:i w:val="1"/>
          <w:iCs w:val="1"/>
          <w:color w:val="auto"/>
        </w:rPr>
        <w:t xml:space="preserve"> </w:t>
      </w:r>
      <w:r>
        <w:rPr>
          <w:rFonts w:ascii="Times New Roman" w:cs="Times New Roman" w:eastAsia="Times New Roman" w:hAnsi="Times New Roman"/>
          <w:sz w:val="14"/>
          <w:szCs w:val="14"/>
          <w:color w:val="auto"/>
        </w:rPr>
        <w:t>any market environment while exhibiting less downside volatility than the S&amp;P 500</w:t>
      </w:r>
      <w:r>
        <w:rPr>
          <w:rFonts w:ascii="Times New Roman" w:cs="Times New Roman" w:eastAsia="Times New Roman" w:hAnsi="Times New Roman"/>
          <w:sz w:val="18"/>
          <w:szCs w:val="18"/>
          <w:color w:val="auto"/>
          <w:vertAlign w:val="superscript"/>
        </w:rPr>
        <w:t>®</w:t>
      </w:r>
      <w:r>
        <w:rPr>
          <w:rFonts w:ascii="Times New Roman" w:cs="Times New Roman" w:eastAsia="Times New Roman" w:hAnsi="Times New Roman"/>
          <w:sz w:val="14"/>
          <w:szCs w:val="14"/>
          <w:color w:val="auto"/>
        </w:rPr>
        <w:t xml:space="preserve"> Index by investing mainly in a diversified portfolio of instruments with exposure to U.S. and non-U.S. equity securities. Designed to help investors sidestep market downturns while attempting to participate in market upsides via continuous active management of portfolio market exposure.</w:t>
      </w:r>
    </w:p>
    <w:p>
      <w:pPr>
        <w:spacing w:after="0" w:line="72"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u w:val="single" w:color="auto"/>
          <w:color w:val="auto"/>
        </w:rPr>
        <w:t>Income Alternatives</w:t>
      </w:r>
    </w:p>
    <w:p>
      <w:pPr>
        <w:spacing w:after="0" w:line="94" w:lineRule="exact"/>
        <w:rPr>
          <w:sz w:val="20"/>
          <w:szCs w:val="20"/>
          <w:color w:val="auto"/>
        </w:rPr>
      </w:pPr>
    </w:p>
    <w:p>
      <w:pPr>
        <w:ind w:right="40" w:firstLine="382"/>
        <w:spacing w:after="0" w:line="270" w:lineRule="auto"/>
        <w:rPr>
          <w:sz w:val="20"/>
          <w:szCs w:val="20"/>
          <w:color w:val="auto"/>
        </w:rPr>
      </w:pPr>
      <w:r>
        <w:rPr>
          <w:rFonts w:ascii="Times New Roman" w:cs="Times New Roman" w:eastAsia="Times New Roman" w:hAnsi="Times New Roman"/>
          <w:sz w:val="14"/>
          <w:szCs w:val="14"/>
          <w:color w:val="auto"/>
        </w:rPr>
        <w:t>Our Multi-Asset team manages our Alternative Income strategy, and our Real Estate team manages our Real Estate Income strategy. We believe alternative approaches to income investing can provide diversified sources of risk and return and can potentially reduce volatility. Absolute return-oriented and yield-focused strategies for investing in securities not typically found in traditional fixed income portfolios can help investors produce returns from non-traditional sources with low correlation and enhanced portfolio diversification.</w:t>
      </w:r>
    </w:p>
    <w:p>
      <w:pPr>
        <w:spacing w:after="0" w:line="200" w:lineRule="exact"/>
        <w:rPr>
          <w:sz w:val="20"/>
          <w:szCs w:val="20"/>
          <w:color w:val="auto"/>
        </w:rPr>
      </w:pPr>
    </w:p>
    <w:p>
      <w:pPr>
        <w:spacing w:after="0" w:line="201"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4"/>
          <w:szCs w:val="14"/>
          <w:color w:val="auto"/>
        </w:rPr>
        <w:t>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-8890</wp:posOffset>
            </wp:positionH>
            <wp:positionV relativeFrom="paragraph">
              <wp:posOffset>55880</wp:posOffset>
            </wp:positionV>
            <wp:extent cx="7186930" cy="38735"/>
            <wp:wrapNone/>
            <wp:docPr id="10"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pic:cNvPicPr>
                      <a:picLocks noChangeAspect="1" noChangeArrowheads="1"/>
                    </pic:cNvPicPr>
                  </pic:nvPicPr>
                  <pic:blipFill>
                    <a:blip r:embed="rId17">
                      <a:extLst>
                        <a:ext uri="{28A0092B-C50C-407E-A947-70E740481C1C}"/>
                      </a:extLst>
                    </a:blip>
                    <a:srcRect/>
                    <a:stretch>
                      <a:fillRect/>
                    </a:stretch>
                  </pic:blipFill>
                  <pic:spPr bwMode="auto">
                    <a:xfrm>
                      <a:off x="0" y="0"/>
                      <a:ext cx="7186930" cy="38735"/>
                    </a:xfrm>
                    <a:prstGeom prst="rect">
                      <a:avLst/>
                    </a:prstGeom>
                    <a:noFill/>
                  </pic:spPr>
                </pic:pic>
              </a:graphicData>
            </a:graphic>
          </wp:anchor>
        </w:drawing>
      </w:r>
    </w:p>
    <w:p>
      <w:pPr>
        <w:sectPr>
          <w:pgSz w:w="11900" w:h="16838" w:orient="portrait"/>
          <w:cols w:equalWidth="0" w:num="1">
            <w:col w:w="11260"/>
          </w:cols>
          <w:pgMar w:left="300" w:top="814" w:right="339" w:bottom="1440" w:gutter="0" w:footer="0" w:header="0"/>
        </w:sectPr>
      </w:pPr>
    </w:p>
    <w:bookmarkStart w:id="5" w:name="page6"/>
    <w:bookmarkEnd w:id="5"/>
    <w:p>
      <w:pPr>
        <w:ind w:right="220" w:firstLine="382"/>
        <w:spacing w:after="0" w:line="271" w:lineRule="auto"/>
        <w:rPr>
          <w:sz w:val="20"/>
          <w:szCs w:val="20"/>
          <w:color w:val="auto"/>
        </w:rPr>
      </w:pPr>
      <w:r>
        <w:rPr>
          <w:rFonts w:ascii="Times New Roman" w:cs="Times New Roman" w:eastAsia="Times New Roman" w:hAnsi="Times New Roman"/>
          <w:sz w:val="14"/>
          <w:szCs w:val="14"/>
          <w:i w:val="1"/>
          <w:iCs w:val="1"/>
          <w:color w:val="auto"/>
        </w:rPr>
        <w:t xml:space="preserve">Alternative Income: </w:t>
      </w:r>
      <w:r>
        <w:rPr>
          <w:rFonts w:ascii="Times New Roman" w:cs="Times New Roman" w:eastAsia="Times New Roman" w:hAnsi="Times New Roman"/>
          <w:sz w:val="14"/>
          <w:szCs w:val="14"/>
          <w:color w:val="auto"/>
        </w:rPr>
        <w:t>We believe that a market-neutral approach utilizing convertible arbitrage and opportunistic fixed income can serve as a complement to bond allocations. Our framework</w:t>
      </w:r>
      <w:r>
        <w:rPr>
          <w:rFonts w:ascii="Times New Roman" w:cs="Times New Roman" w:eastAsia="Times New Roman" w:hAnsi="Times New Roman"/>
          <w:sz w:val="14"/>
          <w:szCs w:val="14"/>
          <w:i w:val="1"/>
          <w:iCs w:val="1"/>
          <w:color w:val="auto"/>
        </w:rPr>
        <w:t xml:space="preserve"> </w:t>
      </w:r>
      <w:r>
        <w:rPr>
          <w:rFonts w:ascii="Times New Roman" w:cs="Times New Roman" w:eastAsia="Times New Roman" w:hAnsi="Times New Roman"/>
          <w:sz w:val="14"/>
          <w:szCs w:val="14"/>
          <w:color w:val="auto"/>
        </w:rPr>
        <w:t>consists of three primary sources of return that aim to neutralize systematic risk. We employ a multi-strategy process seeking to generate positive absolute returns through a short duration yield portfolio of global fixed income securities, convertible arbitrage and macro-hedging, with a focus on convertible arbitrage for reduced correlation and market exposure.</w:t>
      </w:r>
    </w:p>
    <w:p>
      <w:pPr>
        <w:spacing w:after="0" w:line="49" w:lineRule="exact"/>
        <w:rPr>
          <w:sz w:val="20"/>
          <w:szCs w:val="20"/>
          <w:color w:val="auto"/>
        </w:rPr>
      </w:pPr>
    </w:p>
    <w:p>
      <w:pPr>
        <w:jc w:val="both"/>
        <w:ind w:right="80" w:firstLine="382"/>
        <w:spacing w:after="0" w:line="271" w:lineRule="auto"/>
        <w:rPr>
          <w:sz w:val="20"/>
          <w:szCs w:val="20"/>
          <w:color w:val="auto"/>
        </w:rPr>
      </w:pPr>
      <w:r>
        <w:rPr>
          <w:rFonts w:ascii="Times New Roman" w:cs="Times New Roman" w:eastAsia="Times New Roman" w:hAnsi="Times New Roman"/>
          <w:sz w:val="14"/>
          <w:szCs w:val="14"/>
          <w:i w:val="1"/>
          <w:iCs w:val="1"/>
          <w:color w:val="auto"/>
        </w:rPr>
        <w:t xml:space="preserve">Real Estate Income: </w:t>
      </w:r>
      <w:r>
        <w:rPr>
          <w:rFonts w:ascii="Times New Roman" w:cs="Times New Roman" w:eastAsia="Times New Roman" w:hAnsi="Times New Roman"/>
          <w:sz w:val="14"/>
          <w:szCs w:val="14"/>
          <w:color w:val="auto"/>
        </w:rPr>
        <w:t>A sector-based approach that seeks to produce a substantial income profile and attractive risk-adjusted total returns by investing across the capital stack of publicly-traded</w:t>
      </w:r>
      <w:r>
        <w:rPr>
          <w:rFonts w:ascii="Times New Roman" w:cs="Times New Roman" w:eastAsia="Times New Roman" w:hAnsi="Times New Roman"/>
          <w:sz w:val="14"/>
          <w:szCs w:val="14"/>
          <w:i w:val="1"/>
          <w:iCs w:val="1"/>
          <w:color w:val="auto"/>
        </w:rPr>
        <w:t xml:space="preserve"> </w:t>
      </w:r>
      <w:r>
        <w:rPr>
          <w:rFonts w:ascii="Times New Roman" w:cs="Times New Roman" w:eastAsia="Times New Roman" w:hAnsi="Times New Roman"/>
          <w:sz w:val="14"/>
          <w:szCs w:val="14"/>
          <w:color w:val="auto"/>
        </w:rPr>
        <w:t>real estate investment trusts ("REITs") and other real estate-related companies. Our differentiated strategy has historically emphasized a significant exposure to preferred securities issued by REITs, however our portfolio construction routinely includes high dividend paying REIT common stocks as well as debt securities issued by REITs.</w:t>
      </w:r>
    </w:p>
    <w:p>
      <w:pPr>
        <w:spacing w:after="0" w:line="49" w:lineRule="exact"/>
        <w:rPr>
          <w:sz w:val="20"/>
          <w:szCs w:val="20"/>
          <w:color w:val="auto"/>
        </w:rPr>
      </w:pPr>
    </w:p>
    <w:p>
      <w:pPr>
        <w:jc w:val="both"/>
        <w:ind w:right="400" w:firstLine="382"/>
        <w:spacing w:after="0" w:line="271" w:lineRule="auto"/>
        <w:rPr>
          <w:sz w:val="20"/>
          <w:szCs w:val="20"/>
          <w:color w:val="auto"/>
        </w:rPr>
      </w:pPr>
      <w:r>
        <w:rPr>
          <w:rFonts w:ascii="Times New Roman" w:cs="Times New Roman" w:eastAsia="Times New Roman" w:hAnsi="Times New Roman"/>
          <w:sz w:val="14"/>
          <w:szCs w:val="14"/>
          <w:i w:val="1"/>
          <w:iCs w:val="1"/>
          <w:color w:val="auto"/>
        </w:rPr>
        <w:t xml:space="preserve">Managed Investment Solutions: </w:t>
      </w:r>
      <w:r>
        <w:rPr>
          <w:rFonts w:ascii="Times New Roman" w:cs="Times New Roman" w:eastAsia="Times New Roman" w:hAnsi="Times New Roman"/>
          <w:sz w:val="14"/>
          <w:szCs w:val="14"/>
          <w:color w:val="auto"/>
        </w:rPr>
        <w:t>Our MIS team joined us in late 2023 and focuses on tailoring investment solutions to a diverse array of individual institutional risk/reward tolerances and</w:t>
      </w:r>
      <w:r>
        <w:rPr>
          <w:rFonts w:ascii="Times New Roman" w:cs="Times New Roman" w:eastAsia="Times New Roman" w:hAnsi="Times New Roman"/>
          <w:sz w:val="14"/>
          <w:szCs w:val="14"/>
          <w:i w:val="1"/>
          <w:iCs w:val="1"/>
          <w:color w:val="auto"/>
        </w:rPr>
        <w:t xml:space="preserve"> </w:t>
      </w:r>
      <w:r>
        <w:rPr>
          <w:rFonts w:ascii="Times New Roman" w:cs="Times New Roman" w:eastAsia="Times New Roman" w:hAnsi="Times New Roman"/>
          <w:sz w:val="14"/>
          <w:szCs w:val="14"/>
          <w:color w:val="auto"/>
        </w:rPr>
        <w:t>investment approaches. We believe that creating customized investment portfolios for clients, using a consultative approach to identify their unique needs, goals and investment objectives, can potentially lead to better outcomes over the long term. The MIS approach combines the following attributes:</w:t>
      </w:r>
    </w:p>
    <w:p>
      <w:pPr>
        <w:spacing w:after="0" w:line="51" w:lineRule="exact"/>
        <w:rPr>
          <w:sz w:val="20"/>
          <w:szCs w:val="20"/>
          <w:color w:val="auto"/>
        </w:rPr>
      </w:pPr>
    </w:p>
    <w:p>
      <w:pPr>
        <w:ind w:left="520" w:hanging="260"/>
        <w:spacing w:after="0"/>
        <w:tabs>
          <w:tab w:leader="none" w:pos="520" w:val="left"/>
        </w:tabs>
        <w:numPr>
          <w:ilvl w:val="0"/>
          <w:numId w:val="1"/>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Active Design – Design, construct and implement index methodologies in consultation with clients</w:t>
      </w:r>
    </w:p>
    <w:p>
      <w:pPr>
        <w:spacing w:after="0" w:line="93" w:lineRule="exact"/>
        <w:rPr>
          <w:rFonts w:ascii="Times New Roman" w:cs="Times New Roman" w:eastAsia="Times New Roman" w:hAnsi="Times New Roman"/>
          <w:sz w:val="14"/>
          <w:szCs w:val="14"/>
          <w:color w:val="auto"/>
        </w:rPr>
      </w:pPr>
    </w:p>
    <w:p>
      <w:pPr>
        <w:ind w:left="520" w:hanging="260"/>
        <w:spacing w:after="0"/>
        <w:tabs>
          <w:tab w:leader="none" w:pos="520" w:val="left"/>
        </w:tabs>
        <w:numPr>
          <w:ilvl w:val="0"/>
          <w:numId w:val="1"/>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Rules-Based – Systematic approach to achieving client objectives, targeting intended exposures</w:t>
      </w:r>
    </w:p>
    <w:p>
      <w:pPr>
        <w:spacing w:after="0" w:line="93" w:lineRule="exact"/>
        <w:rPr>
          <w:rFonts w:ascii="Times New Roman" w:cs="Times New Roman" w:eastAsia="Times New Roman" w:hAnsi="Times New Roman"/>
          <w:sz w:val="14"/>
          <w:szCs w:val="14"/>
          <w:color w:val="auto"/>
        </w:rPr>
      </w:pPr>
    </w:p>
    <w:p>
      <w:pPr>
        <w:ind w:left="520" w:hanging="260"/>
        <w:spacing w:after="0"/>
        <w:tabs>
          <w:tab w:leader="none" w:pos="520" w:val="left"/>
        </w:tabs>
        <w:numPr>
          <w:ilvl w:val="0"/>
          <w:numId w:val="1"/>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Transparent – End-to-end transparency across methodology, construction and implementation</w:t>
      </w:r>
    </w:p>
    <w:p>
      <w:pPr>
        <w:spacing w:after="0" w:line="93" w:lineRule="exact"/>
        <w:rPr>
          <w:rFonts w:ascii="Times New Roman" w:cs="Times New Roman" w:eastAsia="Times New Roman" w:hAnsi="Times New Roman"/>
          <w:sz w:val="14"/>
          <w:szCs w:val="14"/>
          <w:color w:val="auto"/>
        </w:rPr>
      </w:pPr>
    </w:p>
    <w:p>
      <w:pPr>
        <w:ind w:left="520" w:hanging="260"/>
        <w:spacing w:after="0"/>
        <w:tabs>
          <w:tab w:leader="none" w:pos="520" w:val="left"/>
        </w:tabs>
        <w:numPr>
          <w:ilvl w:val="0"/>
          <w:numId w:val="1"/>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Outcome-Oriented – Create custom portfolio solutions based on specific client goals, beliefs and objectives</w:t>
      </w:r>
    </w:p>
    <w:p>
      <w:pPr>
        <w:spacing w:after="0" w:line="93" w:lineRule="exact"/>
        <w:rPr>
          <w:rFonts w:ascii="Times New Roman" w:cs="Times New Roman" w:eastAsia="Times New Roman" w:hAnsi="Times New Roman"/>
          <w:sz w:val="14"/>
          <w:szCs w:val="14"/>
          <w:color w:val="auto"/>
        </w:rPr>
      </w:pPr>
    </w:p>
    <w:p>
      <w:pPr>
        <w:ind w:left="520" w:hanging="260"/>
        <w:spacing w:after="0"/>
        <w:tabs>
          <w:tab w:leader="none" w:pos="520" w:val="left"/>
        </w:tabs>
        <w:numPr>
          <w:ilvl w:val="0"/>
          <w:numId w:val="1"/>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Adaptive – Implementation and construction that evolves with changing client beliefs and objectives</w:t>
      </w:r>
    </w:p>
    <w:p>
      <w:pPr>
        <w:spacing w:after="0" w:line="93" w:lineRule="exact"/>
        <w:rPr>
          <w:rFonts w:ascii="Times New Roman" w:cs="Times New Roman" w:eastAsia="Times New Roman" w:hAnsi="Times New Roman"/>
          <w:sz w:val="14"/>
          <w:szCs w:val="14"/>
          <w:color w:val="auto"/>
        </w:rPr>
      </w:pPr>
    </w:p>
    <w:p>
      <w:pPr>
        <w:ind w:left="520" w:hanging="260"/>
        <w:spacing w:after="0"/>
        <w:tabs>
          <w:tab w:leader="none" w:pos="520" w:val="left"/>
        </w:tabs>
        <w:numPr>
          <w:ilvl w:val="0"/>
          <w:numId w:val="1"/>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Independent – Freedom to choose tools and data sources that are best-suited to help clients achieve their outcomes</w:t>
      </w:r>
    </w:p>
    <w:p>
      <w:pPr>
        <w:spacing w:after="0" w:line="94" w:lineRule="exact"/>
        <w:rPr>
          <w:sz w:val="20"/>
          <w:szCs w:val="20"/>
          <w:color w:val="auto"/>
        </w:rPr>
      </w:pPr>
    </w:p>
    <w:p>
      <w:pPr>
        <w:ind w:right="560" w:firstLine="382"/>
        <w:spacing w:after="0" w:line="287" w:lineRule="auto"/>
        <w:rPr>
          <w:sz w:val="20"/>
          <w:szCs w:val="20"/>
          <w:color w:val="auto"/>
        </w:rPr>
      </w:pPr>
      <w:r>
        <w:rPr>
          <w:rFonts w:ascii="Times New Roman" w:cs="Times New Roman" w:eastAsia="Times New Roman" w:hAnsi="Times New Roman"/>
          <w:sz w:val="14"/>
          <w:szCs w:val="14"/>
          <w:color w:val="auto"/>
        </w:rPr>
        <w:t>Prospective clients for MIS include public plans, sovereign wealth funds, corporate pension plans, defined contribution plans, endowments, foundations, consultant groups and wealth investors.</w:t>
      </w:r>
    </w:p>
    <w:p>
      <w:pPr>
        <w:spacing w:after="0" w:line="37" w:lineRule="exact"/>
        <w:rPr>
          <w:sz w:val="20"/>
          <w:szCs w:val="20"/>
          <w:color w:val="auto"/>
        </w:rPr>
      </w:pPr>
    </w:p>
    <w:p>
      <w:pPr>
        <w:ind w:firstLine="382"/>
        <w:spacing w:after="0" w:line="265" w:lineRule="auto"/>
        <w:rPr>
          <w:sz w:val="20"/>
          <w:szCs w:val="20"/>
          <w:color w:val="auto"/>
        </w:rPr>
      </w:pPr>
      <w:r>
        <w:rPr>
          <w:rFonts w:ascii="Times New Roman" w:cs="Times New Roman" w:eastAsia="Times New Roman" w:hAnsi="Times New Roman"/>
          <w:sz w:val="14"/>
          <w:szCs w:val="14"/>
          <w:i w:val="1"/>
          <w:iCs w:val="1"/>
          <w:color w:val="auto"/>
        </w:rPr>
        <w:t xml:space="preserve">Exchange-Traded Funds: </w:t>
      </w:r>
      <w:r>
        <w:rPr>
          <w:rFonts w:ascii="Times New Roman" w:cs="Times New Roman" w:eastAsia="Times New Roman" w:hAnsi="Times New Roman"/>
          <w:sz w:val="14"/>
          <w:szCs w:val="14"/>
          <w:color w:val="auto"/>
        </w:rPr>
        <w:t>We launched two ETFs in 2025 - Westwood Enhanced Income Opportunity ETF (YLDW) and Westwood LBRTY Global Equity ETF (BFRE). YLDW seeks to</w:t>
      </w:r>
      <w:r>
        <w:rPr>
          <w:rFonts w:ascii="Times New Roman" w:cs="Times New Roman" w:eastAsia="Times New Roman" w:hAnsi="Times New Roman"/>
          <w:sz w:val="14"/>
          <w:szCs w:val="14"/>
          <w:i w:val="1"/>
          <w:iCs w:val="1"/>
          <w:color w:val="auto"/>
        </w:rPr>
        <w:t xml:space="preserve"> </w:t>
      </w:r>
      <w:r>
        <w:rPr>
          <w:rFonts w:ascii="Times New Roman" w:cs="Times New Roman" w:eastAsia="Times New Roman" w:hAnsi="Times New Roman"/>
          <w:sz w:val="14"/>
          <w:szCs w:val="14"/>
          <w:color w:val="auto"/>
        </w:rPr>
        <w:t>provide current income and capital appreciation from a variety of asset classes including equities, investment grade corporate bonds, high yield bonds, convertible bonds, preferred securities and other income-oriented assets with enhanced yield from option premiums. BFRE seeks to track the TOBAM LBRTY® All World Equity Index. The approach is grounded in academic research highlighting the economic advantages of democratic nations.</w:t>
      </w:r>
    </w:p>
    <w:p>
      <w:pPr>
        <w:spacing w:after="0" w:line="55" w:lineRule="exact"/>
        <w:rPr>
          <w:sz w:val="20"/>
          <w:szCs w:val="20"/>
          <w:color w:val="auto"/>
        </w:rPr>
      </w:pPr>
    </w:p>
    <w:p>
      <w:pPr>
        <w:ind w:right="20" w:firstLine="382"/>
        <w:spacing w:after="0" w:line="258" w:lineRule="auto"/>
        <w:rPr>
          <w:sz w:val="20"/>
          <w:szCs w:val="20"/>
          <w:color w:val="auto"/>
        </w:rPr>
      </w:pPr>
      <w:r>
        <w:rPr>
          <w:rFonts w:ascii="Times New Roman" w:cs="Times New Roman" w:eastAsia="Times New Roman" w:hAnsi="Times New Roman"/>
          <w:sz w:val="14"/>
          <w:szCs w:val="14"/>
          <w:color w:val="auto"/>
        </w:rPr>
        <w:t>Our ability to grow AUM is primarily dependent on our competitive investment performance and success in building strong relationships with clients, investment consulting firms, financial intermediaries and RIAs. We continually seek to expand AUM by organically growing our current investment strategies and by adding new products as we did via our Salient Acquisition in 2022 (the "Salient Acquisition"), the acquisition of a controlling interest in Broadmark in 2023, the addition of our MIS team in 2023, and the launch of ETFs in 2024 and 2025. We will continue to focus on organic product initiatives to grow our investment strategies while considering new investment strategies via acquisitions or from third parties, as discussed under "Growth Strategy" below. Our growth strategy provides clients with more investment opportunities and diversifies our AUM and revenue sources, thereby reducing risk in any one area of investment and increasing our ability to attract new clients. Our ten largest clients accounted for approximately 20% of our fee revenues for the year ended December 31, 2025. The loss of some or all of these large clients could have a material adverse effect on our business and our results of operations.</w:t>
      </w:r>
    </w:p>
    <w:p>
      <w:pPr>
        <w:spacing w:after="0" w:line="60"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i w:val="1"/>
          <w:iCs w:val="1"/>
          <w:color w:val="auto"/>
        </w:rPr>
        <w:t>Advisory and Sub-advisory Agreements</w:t>
      </w:r>
    </w:p>
    <w:p>
      <w:pPr>
        <w:spacing w:after="0" w:line="96" w:lineRule="exact"/>
        <w:rPr>
          <w:sz w:val="20"/>
          <w:szCs w:val="20"/>
          <w:color w:val="auto"/>
        </w:rPr>
      </w:pPr>
    </w:p>
    <w:p>
      <w:pPr>
        <w:ind w:right="80" w:firstLine="382"/>
        <w:spacing w:after="0" w:line="258" w:lineRule="auto"/>
        <w:rPr>
          <w:sz w:val="20"/>
          <w:szCs w:val="20"/>
          <w:color w:val="auto"/>
        </w:rPr>
      </w:pPr>
      <w:r>
        <w:rPr>
          <w:rFonts w:ascii="Times New Roman" w:cs="Times New Roman" w:eastAsia="Times New Roman" w:hAnsi="Times New Roman"/>
          <w:sz w:val="14"/>
          <w:szCs w:val="14"/>
          <w:color w:val="auto"/>
        </w:rPr>
        <w:t>Westwood Management manages client accounts under investment advisory and sub-advisory agreements. Typical of the asset management industry, these agreements are usually terminable upon short notice by either party and provide for revenues based on the market value of client AUM. Advisory fees are paid quarterly in advance based on AUM on the last day of the preceding quarter, quarterly in arrears based on AUM on the last day of the quarter just ended or based on a daily or monthly average of AUM for the stated period. Some clients have contractual performance-based fee arrangements, which generate additional revenues if we outperform a specified index over a specific period of time. Revenue for performance-based fees is recorded at the end of the measurement period. Revenue from advance payments is deferred and recognized over the period that services are performed. Pursuant to these agreements, Westwood provides overall investment management services, including directing investments in conformity with client-established investment objectives and restrictions. Unless otherwise directed in writing by clients, Westwood has the authority to vote all proxies with respect to securities in client portfolios.</w:t>
      </w:r>
    </w:p>
    <w:p>
      <w:pPr>
        <w:spacing w:after="0" w:line="62" w:lineRule="exact"/>
        <w:rPr>
          <w:sz w:val="20"/>
          <w:szCs w:val="20"/>
          <w:color w:val="auto"/>
        </w:rPr>
      </w:pPr>
    </w:p>
    <w:p>
      <w:pPr>
        <w:ind w:right="300" w:firstLine="382"/>
        <w:spacing w:after="0" w:line="287" w:lineRule="auto"/>
        <w:rPr>
          <w:sz w:val="20"/>
          <w:szCs w:val="20"/>
          <w:color w:val="auto"/>
        </w:rPr>
      </w:pPr>
      <w:r>
        <w:rPr>
          <w:rFonts w:ascii="Times New Roman" w:cs="Times New Roman" w:eastAsia="Times New Roman" w:hAnsi="Times New Roman"/>
          <w:sz w:val="14"/>
          <w:szCs w:val="14"/>
          <w:color w:val="auto"/>
        </w:rPr>
        <w:t>Westwood Management is party to sub-advisory agreements with other investment advisers under which it performs similar services under advisory agreements. Our sub-advisory fees are generally computed based upon the average daily AUM and are payable on a monthly basis.</w:t>
      </w:r>
    </w:p>
    <w:p>
      <w:pPr>
        <w:spacing w:after="0" w:line="38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4"/>
          <w:szCs w:val="14"/>
          <w:color w:val="auto"/>
        </w:rPr>
        <w:t>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-8890</wp:posOffset>
            </wp:positionH>
            <wp:positionV relativeFrom="paragraph">
              <wp:posOffset>55880</wp:posOffset>
            </wp:positionV>
            <wp:extent cx="7186930" cy="38735"/>
            <wp:wrapNone/>
            <wp:docPr id="11"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pic:cNvPicPr>
                      <a:picLocks noChangeAspect="1" noChangeArrowheads="1"/>
                    </pic:cNvPicPr>
                  </pic:nvPicPr>
                  <pic:blipFill>
                    <a:blip r:embed="rId18">
                      <a:extLst>
                        <a:ext uri="{28A0092B-C50C-407E-A947-70E740481C1C}"/>
                      </a:extLst>
                    </a:blip>
                    <a:srcRect/>
                    <a:stretch>
                      <a:fillRect/>
                    </a:stretch>
                  </pic:blipFill>
                  <pic:spPr bwMode="auto">
                    <a:xfrm>
                      <a:off x="0" y="0"/>
                      <a:ext cx="7186930" cy="38735"/>
                    </a:xfrm>
                    <a:prstGeom prst="rect">
                      <a:avLst/>
                    </a:prstGeom>
                    <a:noFill/>
                  </pic:spPr>
                </pic:pic>
              </a:graphicData>
            </a:graphic>
          </wp:anchor>
        </w:drawing>
      </w:r>
    </w:p>
    <w:p>
      <w:pPr>
        <w:sectPr>
          <w:pgSz w:w="11900" w:h="16838" w:orient="portrait"/>
          <w:cols w:equalWidth="0" w:num="1">
            <w:col w:w="11280"/>
          </w:cols>
          <w:pgMar w:left="300" w:top="812" w:right="319" w:bottom="1440" w:gutter="0" w:footer="0" w:header="0"/>
        </w:sectPr>
      </w:pPr>
    </w:p>
    <w:bookmarkStart w:id="6" w:name="page7"/>
    <w:bookmarkEnd w:id="6"/>
    <w:p>
      <w:pPr>
        <w:ind w:left="380"/>
        <w:spacing w:after="0"/>
        <w:rPr>
          <w:sz w:val="20"/>
          <w:szCs w:val="20"/>
          <w:color w:val="auto"/>
        </w:rPr>
      </w:pPr>
      <w:r>
        <w:rPr>
          <w:rFonts w:ascii="Times New Roman" w:cs="Times New Roman" w:eastAsia="Times New Roman" w:hAnsi="Times New Roman"/>
          <w:sz w:val="14"/>
          <w:szCs w:val="14"/>
          <w:color w:val="auto"/>
        </w:rPr>
        <w:t>Westwood Management provides investment advisory services to the Westwood Funds® family of mutual funds:</w:t>
      </w:r>
    </w:p>
    <w:p>
      <w:pPr>
        <w:sectPr>
          <w:pgSz w:w="11900" w:h="16838" w:orient="portrait"/>
          <w:cols w:equalWidth="0" w:num="1">
            <w:col w:w="11200"/>
          </w:cols>
          <w:pgMar w:left="300" w:top="814" w:right="399" w:bottom="1440" w:gutter="0" w:footer="0" w:header="0"/>
        </w:sectPr>
      </w:pPr>
    </w:p>
    <w:p>
      <w:pPr>
        <w:spacing w:after="0" w:line="41" w:lineRule="exact"/>
        <w:rPr>
          <w:sz w:val="20"/>
          <w:szCs w:val="20"/>
          <w:color w:val="auto"/>
        </w:rPr>
      </w:pPr>
    </w:p>
    <w:p>
      <w:pPr>
        <w:ind w:left="120"/>
        <w:spacing w:after="0"/>
        <w:tabs>
          <w:tab w:leader="none" w:pos="320" w:val="left"/>
        </w:tabs>
        <w:rPr>
          <w:sz w:val="20"/>
          <w:szCs w:val="20"/>
          <w:color w:val="auto"/>
        </w:rPr>
      </w:pPr>
      <w:r>
        <w:rPr>
          <w:rFonts w:ascii="Times New Roman" w:cs="Times New Roman" w:eastAsia="Times New Roman" w:hAnsi="Times New Roman"/>
          <w:sz w:val="14"/>
          <w:szCs w:val="14"/>
          <w:color w:val="auto"/>
        </w:rPr>
        <w:t>●</w:t>
        <w:tab/>
        <w:t>Westwood Alternative Income (WMNIX)</w:t>
      </w:r>
    </w:p>
    <w:p>
      <w:pPr>
        <w:spacing w:after="0" w:line="23" w:lineRule="exact"/>
        <w:rPr>
          <w:sz w:val="20"/>
          <w:szCs w:val="20"/>
          <w:color w:val="auto"/>
        </w:rPr>
      </w:pPr>
    </w:p>
    <w:p>
      <w:pPr>
        <w:ind w:left="120"/>
        <w:spacing w:after="0"/>
        <w:tabs>
          <w:tab w:leader="none" w:pos="320" w:val="left"/>
        </w:tabs>
        <w:rPr>
          <w:sz w:val="20"/>
          <w:szCs w:val="20"/>
          <w:color w:val="auto"/>
        </w:rPr>
      </w:pPr>
      <w:r>
        <w:rPr>
          <w:rFonts w:ascii="Times New Roman" w:cs="Times New Roman" w:eastAsia="Times New Roman" w:hAnsi="Times New Roman"/>
          <w:sz w:val="14"/>
          <w:szCs w:val="14"/>
          <w:color w:val="auto"/>
        </w:rPr>
        <w:t>●</w:t>
        <w:tab/>
        <w:t>Westwood Broadmark Tactical Plus (SBTIX)</w:t>
      </w:r>
    </w:p>
    <w:p>
      <w:pPr>
        <w:spacing w:after="0" w:line="19" w:lineRule="exact"/>
        <w:rPr>
          <w:sz w:val="20"/>
          <w:szCs w:val="20"/>
          <w:color w:val="auto"/>
        </w:rPr>
      </w:pPr>
    </w:p>
    <w:p>
      <w:pPr>
        <w:ind w:left="120"/>
        <w:spacing w:after="0"/>
        <w:tabs>
          <w:tab w:leader="none" w:pos="320" w:val="left"/>
        </w:tabs>
        <w:rPr>
          <w:sz w:val="20"/>
          <w:szCs w:val="20"/>
          <w:color w:val="auto"/>
        </w:rPr>
      </w:pPr>
      <w:r>
        <w:rPr>
          <w:rFonts w:ascii="Times New Roman" w:cs="Times New Roman" w:eastAsia="Times New Roman" w:hAnsi="Times New Roman"/>
          <w:sz w:val="14"/>
          <w:szCs w:val="14"/>
          <w:color w:val="auto"/>
        </w:rPr>
        <w:t>●</w:t>
        <w:tab/>
        <w:t>Westwood Broadmark Tactical Growth (FTGWX)</w:t>
      </w:r>
    </w:p>
    <w:p>
      <w:pPr>
        <w:spacing w:after="0" w:line="19" w:lineRule="exact"/>
        <w:rPr>
          <w:sz w:val="20"/>
          <w:szCs w:val="20"/>
          <w:color w:val="auto"/>
        </w:rPr>
      </w:pPr>
    </w:p>
    <w:p>
      <w:pPr>
        <w:ind w:left="120"/>
        <w:spacing w:after="0"/>
        <w:tabs>
          <w:tab w:leader="none" w:pos="320" w:val="left"/>
        </w:tabs>
        <w:rPr>
          <w:sz w:val="20"/>
          <w:szCs w:val="20"/>
          <w:color w:val="auto"/>
        </w:rPr>
      </w:pPr>
      <w:r>
        <w:rPr>
          <w:rFonts w:ascii="Times New Roman" w:cs="Times New Roman" w:eastAsia="Times New Roman" w:hAnsi="Times New Roman"/>
          <w:sz w:val="14"/>
          <w:szCs w:val="14"/>
          <w:color w:val="auto"/>
        </w:rPr>
        <w:t>●</w:t>
        <w:tab/>
        <w:t>Westwood Multi-Asset Income (WHGHX)</w:t>
      </w:r>
    </w:p>
    <w:p>
      <w:pPr>
        <w:spacing w:after="0" w:line="19" w:lineRule="exact"/>
        <w:rPr>
          <w:sz w:val="20"/>
          <w:szCs w:val="20"/>
          <w:color w:val="auto"/>
        </w:rPr>
      </w:pPr>
    </w:p>
    <w:p>
      <w:pPr>
        <w:ind w:left="120"/>
        <w:spacing w:after="0"/>
        <w:tabs>
          <w:tab w:leader="none" w:pos="320" w:val="left"/>
        </w:tabs>
        <w:rPr>
          <w:sz w:val="20"/>
          <w:szCs w:val="20"/>
          <w:color w:val="auto"/>
        </w:rPr>
      </w:pPr>
      <w:r>
        <w:rPr>
          <w:rFonts w:ascii="Times New Roman" w:cs="Times New Roman" w:eastAsia="Times New Roman" w:hAnsi="Times New Roman"/>
          <w:sz w:val="14"/>
          <w:szCs w:val="14"/>
          <w:color w:val="auto"/>
        </w:rPr>
        <w:t>●</w:t>
        <w:tab/>
        <w:t>Westwood Income Opportunity (WHGIX)</w:t>
      </w:r>
    </w:p>
    <w:p>
      <w:pPr>
        <w:spacing w:after="0" w:line="19" w:lineRule="exact"/>
        <w:rPr>
          <w:sz w:val="20"/>
          <w:szCs w:val="20"/>
          <w:color w:val="auto"/>
        </w:rPr>
      </w:pPr>
    </w:p>
    <w:p>
      <w:pPr>
        <w:ind w:left="120"/>
        <w:spacing w:after="0"/>
        <w:tabs>
          <w:tab w:leader="none" w:pos="320" w:val="left"/>
        </w:tabs>
        <w:rPr>
          <w:sz w:val="20"/>
          <w:szCs w:val="20"/>
          <w:color w:val="auto"/>
        </w:rPr>
      </w:pPr>
      <w:r>
        <w:rPr>
          <w:rFonts w:ascii="Times New Roman" w:cs="Times New Roman" w:eastAsia="Times New Roman" w:hAnsi="Times New Roman"/>
          <w:sz w:val="14"/>
          <w:szCs w:val="14"/>
          <w:color w:val="auto"/>
        </w:rPr>
        <w:t>●</w:t>
        <w:tab/>
        <w:t>Westwood Quality AllCap (WQAIX)*</w:t>
      </w:r>
    </w:p>
    <w:p>
      <w:pPr>
        <w:spacing w:after="0" w:line="20" w:lineRule="exact"/>
        <w:rPr>
          <w:sz w:val="20"/>
          <w:szCs w:val="20"/>
          <w:color w:val="auto"/>
        </w:rPr>
      </w:pPr>
      <w:r>
        <w:rPr>
          <w:sz w:val="20"/>
          <w:szCs w:val="20"/>
          <w:color w:val="auto"/>
        </w:rPr>
        <w:br w:type="column"/>
      </w:r>
    </w:p>
    <w:p>
      <w:pPr>
        <w:spacing w:after="0" w:line="21" w:lineRule="exact"/>
        <w:rPr>
          <w:sz w:val="20"/>
          <w:szCs w:val="20"/>
          <w:color w:val="auto"/>
        </w:rPr>
      </w:pPr>
    </w:p>
    <w:p>
      <w:pPr>
        <w:spacing w:after="0"/>
        <w:tabs>
          <w:tab w:leader="none" w:pos="320" w:val="left"/>
        </w:tabs>
        <w:rPr>
          <w:sz w:val="20"/>
          <w:szCs w:val="20"/>
          <w:color w:val="auto"/>
        </w:rPr>
      </w:pPr>
      <w:r>
        <w:rPr>
          <w:rFonts w:ascii="Times New Roman" w:cs="Times New Roman" w:eastAsia="Times New Roman" w:hAnsi="Times New Roman"/>
          <w:sz w:val="14"/>
          <w:szCs w:val="14"/>
          <w:color w:val="auto"/>
        </w:rPr>
        <w:t>●</w:t>
      </w:r>
      <w:r>
        <w:rPr>
          <w:sz w:val="20"/>
          <w:szCs w:val="20"/>
          <w:color w:val="auto"/>
        </w:rPr>
        <w:tab/>
      </w:r>
      <w:r>
        <w:rPr>
          <w:rFonts w:ascii="Times New Roman" w:cs="Times New Roman" w:eastAsia="Times New Roman" w:hAnsi="Times New Roman"/>
          <w:sz w:val="14"/>
          <w:szCs w:val="14"/>
          <w:color w:val="auto"/>
        </w:rPr>
        <w:t>Westwood Quality MidCap (WWMCX)*</w:t>
      </w:r>
    </w:p>
    <w:p>
      <w:pPr>
        <w:spacing w:after="0" w:line="23" w:lineRule="exact"/>
        <w:rPr>
          <w:sz w:val="20"/>
          <w:szCs w:val="20"/>
          <w:color w:val="auto"/>
        </w:rPr>
      </w:pPr>
    </w:p>
    <w:p>
      <w:pPr>
        <w:spacing w:after="0"/>
        <w:tabs>
          <w:tab w:leader="none" w:pos="320" w:val="left"/>
        </w:tabs>
        <w:rPr>
          <w:sz w:val="20"/>
          <w:szCs w:val="20"/>
          <w:color w:val="auto"/>
        </w:rPr>
      </w:pPr>
      <w:r>
        <w:rPr>
          <w:rFonts w:ascii="Times New Roman" w:cs="Times New Roman" w:eastAsia="Times New Roman" w:hAnsi="Times New Roman"/>
          <w:sz w:val="14"/>
          <w:szCs w:val="14"/>
          <w:color w:val="auto"/>
        </w:rPr>
        <w:t>●</w:t>
      </w:r>
      <w:r>
        <w:rPr>
          <w:sz w:val="20"/>
          <w:szCs w:val="20"/>
          <w:color w:val="auto"/>
        </w:rPr>
        <w:tab/>
      </w:r>
      <w:r>
        <w:rPr>
          <w:rFonts w:ascii="Times New Roman" w:cs="Times New Roman" w:eastAsia="Times New Roman" w:hAnsi="Times New Roman"/>
          <w:sz w:val="14"/>
          <w:szCs w:val="14"/>
          <w:color w:val="auto"/>
        </w:rPr>
        <w:t>Westwood Quality SmallCap (WHGSX)</w:t>
      </w:r>
    </w:p>
    <w:p>
      <w:pPr>
        <w:spacing w:after="0" w:line="19" w:lineRule="exact"/>
        <w:rPr>
          <w:sz w:val="20"/>
          <w:szCs w:val="20"/>
          <w:color w:val="auto"/>
        </w:rPr>
      </w:pPr>
    </w:p>
    <w:p>
      <w:pPr>
        <w:spacing w:after="0"/>
        <w:tabs>
          <w:tab w:leader="none" w:pos="320" w:val="left"/>
        </w:tabs>
        <w:rPr>
          <w:sz w:val="20"/>
          <w:szCs w:val="20"/>
          <w:color w:val="auto"/>
        </w:rPr>
      </w:pPr>
      <w:r>
        <w:rPr>
          <w:rFonts w:ascii="Times New Roman" w:cs="Times New Roman" w:eastAsia="Times New Roman" w:hAnsi="Times New Roman"/>
          <w:sz w:val="14"/>
          <w:szCs w:val="14"/>
          <w:color w:val="auto"/>
        </w:rPr>
        <w:t>●</w:t>
      </w:r>
      <w:r>
        <w:rPr>
          <w:sz w:val="20"/>
          <w:szCs w:val="20"/>
          <w:color w:val="auto"/>
        </w:rPr>
        <w:tab/>
      </w:r>
      <w:r>
        <w:rPr>
          <w:rFonts w:ascii="Times New Roman" w:cs="Times New Roman" w:eastAsia="Times New Roman" w:hAnsi="Times New Roman"/>
          <w:sz w:val="14"/>
          <w:szCs w:val="14"/>
          <w:color w:val="auto"/>
        </w:rPr>
        <w:t>Westwood Quality SMidCap (WHGMX)</w:t>
      </w:r>
    </w:p>
    <w:p>
      <w:pPr>
        <w:spacing w:after="0" w:line="19" w:lineRule="exact"/>
        <w:rPr>
          <w:sz w:val="20"/>
          <w:szCs w:val="20"/>
          <w:color w:val="auto"/>
        </w:rPr>
      </w:pPr>
    </w:p>
    <w:p>
      <w:pPr>
        <w:spacing w:after="0"/>
        <w:tabs>
          <w:tab w:leader="none" w:pos="320" w:val="left"/>
        </w:tabs>
        <w:rPr>
          <w:sz w:val="20"/>
          <w:szCs w:val="20"/>
          <w:color w:val="auto"/>
        </w:rPr>
      </w:pPr>
      <w:r>
        <w:rPr>
          <w:rFonts w:ascii="Times New Roman" w:cs="Times New Roman" w:eastAsia="Times New Roman" w:hAnsi="Times New Roman"/>
          <w:sz w:val="14"/>
          <w:szCs w:val="14"/>
          <w:color w:val="auto"/>
        </w:rPr>
        <w:t>●</w:t>
      </w:r>
      <w:r>
        <w:rPr>
          <w:sz w:val="20"/>
          <w:szCs w:val="20"/>
          <w:color w:val="auto"/>
        </w:rPr>
        <w:tab/>
      </w:r>
      <w:r>
        <w:rPr>
          <w:rFonts w:ascii="Times New Roman" w:cs="Times New Roman" w:eastAsia="Times New Roman" w:hAnsi="Times New Roman"/>
          <w:sz w:val="14"/>
          <w:szCs w:val="14"/>
          <w:color w:val="auto"/>
        </w:rPr>
        <w:t>Westwood Quality Value (WHGLX)</w:t>
      </w:r>
    </w:p>
    <w:p>
      <w:pPr>
        <w:spacing w:after="0" w:line="19" w:lineRule="exact"/>
        <w:rPr>
          <w:sz w:val="20"/>
          <w:szCs w:val="20"/>
          <w:color w:val="auto"/>
        </w:rPr>
      </w:pPr>
    </w:p>
    <w:p>
      <w:pPr>
        <w:spacing w:after="0"/>
        <w:tabs>
          <w:tab w:leader="none" w:pos="320" w:val="left"/>
        </w:tabs>
        <w:rPr>
          <w:sz w:val="20"/>
          <w:szCs w:val="20"/>
          <w:color w:val="auto"/>
        </w:rPr>
      </w:pPr>
      <w:r>
        <w:rPr>
          <w:rFonts w:ascii="Times New Roman" w:cs="Times New Roman" w:eastAsia="Times New Roman" w:hAnsi="Times New Roman"/>
          <w:sz w:val="14"/>
          <w:szCs w:val="14"/>
          <w:color w:val="auto"/>
        </w:rPr>
        <w:t>●</w:t>
      </w:r>
      <w:r>
        <w:rPr>
          <w:sz w:val="20"/>
          <w:szCs w:val="20"/>
          <w:color w:val="auto"/>
        </w:rPr>
        <w:tab/>
      </w:r>
      <w:r>
        <w:rPr>
          <w:rFonts w:ascii="Times New Roman" w:cs="Times New Roman" w:eastAsia="Times New Roman" w:hAnsi="Times New Roman"/>
          <w:sz w:val="14"/>
          <w:szCs w:val="14"/>
          <w:color w:val="auto"/>
        </w:rPr>
        <w:t>Westwood MLP &amp; Energy Infrastructure (SMLPX)</w:t>
      </w:r>
    </w:p>
    <w:p>
      <w:pPr>
        <w:spacing w:after="0" w:line="19" w:lineRule="exact"/>
        <w:rPr>
          <w:sz w:val="20"/>
          <w:szCs w:val="20"/>
          <w:color w:val="auto"/>
        </w:rPr>
      </w:pPr>
    </w:p>
    <w:p>
      <w:pPr>
        <w:spacing w:after="0"/>
        <w:tabs>
          <w:tab w:leader="none" w:pos="320" w:val="left"/>
        </w:tabs>
        <w:rPr>
          <w:sz w:val="20"/>
          <w:szCs w:val="20"/>
          <w:color w:val="auto"/>
        </w:rPr>
      </w:pPr>
      <w:r>
        <w:rPr>
          <w:rFonts w:ascii="Times New Roman" w:cs="Times New Roman" w:eastAsia="Times New Roman" w:hAnsi="Times New Roman"/>
          <w:sz w:val="14"/>
          <w:szCs w:val="14"/>
          <w:color w:val="auto"/>
        </w:rPr>
        <w:t>●</w:t>
      </w:r>
      <w:r>
        <w:rPr>
          <w:sz w:val="20"/>
          <w:szCs w:val="20"/>
          <w:color w:val="auto"/>
        </w:rPr>
        <w:tab/>
      </w:r>
      <w:r>
        <w:rPr>
          <w:rFonts w:ascii="Times New Roman" w:cs="Times New Roman" w:eastAsia="Times New Roman" w:hAnsi="Times New Roman"/>
          <w:sz w:val="14"/>
          <w:szCs w:val="14"/>
          <w:color w:val="auto"/>
        </w:rPr>
        <w:t>Westwood Real Estate Income (KIFYX)</w:t>
      </w:r>
    </w:p>
    <w:p>
      <w:pPr>
        <w:spacing w:after="0" w:line="164" w:lineRule="exact"/>
        <w:rPr>
          <w:sz w:val="20"/>
          <w:szCs w:val="20"/>
          <w:color w:val="auto"/>
        </w:rPr>
      </w:pPr>
    </w:p>
    <w:p>
      <w:pPr>
        <w:sectPr>
          <w:pgSz w:w="11900" w:h="16838" w:orient="portrait"/>
          <w:cols w:equalWidth="0" w:num="2">
            <w:col w:w="4760" w:space="720"/>
            <w:col w:w="5720"/>
          </w:cols>
          <w:pgMar w:left="300" w:top="814" w:right="399" w:bottom="1440" w:gutter="0" w:footer="0" w:header="0"/>
          <w:type w:val="continuous"/>
        </w:sectPr>
      </w:pPr>
    </w:p>
    <w:p>
      <w:pPr>
        <w:ind w:left="380"/>
        <w:spacing w:after="0"/>
        <w:rPr>
          <w:sz w:val="20"/>
          <w:szCs w:val="20"/>
          <w:color w:val="auto"/>
        </w:rPr>
      </w:pPr>
      <w:r>
        <w:rPr>
          <w:rFonts w:ascii="Times New Roman" w:cs="Times New Roman" w:eastAsia="Times New Roman" w:hAnsi="Times New Roman"/>
          <w:sz w:val="14"/>
          <w:szCs w:val="14"/>
          <w:color w:val="auto"/>
        </w:rPr>
        <w:t>Westwood Management provides investment advisory services to the Westwood ETFs:</w:t>
      </w:r>
    </w:p>
    <w:p>
      <w:pPr>
        <w:sectPr>
          <w:pgSz w:w="11900" w:h="16838" w:orient="portrait"/>
          <w:cols w:equalWidth="0" w:num="1">
            <w:col w:w="11200"/>
          </w:cols>
          <w:pgMar w:left="300" w:top="814" w:right="399" w:bottom="1440" w:gutter="0" w:footer="0" w:header="0"/>
          <w:type w:val="continuous"/>
        </w:sectPr>
      </w:pPr>
    </w:p>
    <w:p>
      <w:pPr>
        <w:spacing w:after="0" w:line="125" w:lineRule="exact"/>
        <w:rPr>
          <w:sz w:val="20"/>
          <w:szCs w:val="20"/>
          <w:color w:val="auto"/>
        </w:rPr>
      </w:pPr>
    </w:p>
    <w:p>
      <w:pPr>
        <w:ind w:left="120"/>
        <w:spacing w:after="0"/>
        <w:tabs>
          <w:tab w:leader="none" w:pos="320" w:val="left"/>
        </w:tabs>
        <w:rPr>
          <w:sz w:val="20"/>
          <w:szCs w:val="20"/>
          <w:color w:val="auto"/>
        </w:rPr>
      </w:pPr>
      <w:r>
        <w:rPr>
          <w:rFonts w:ascii="Times New Roman" w:cs="Times New Roman" w:eastAsia="Times New Roman" w:hAnsi="Times New Roman"/>
          <w:sz w:val="14"/>
          <w:szCs w:val="14"/>
          <w:color w:val="auto"/>
        </w:rPr>
        <w:t>●</w:t>
        <w:tab/>
        <w:t>Westwood Enhanced Income Opportunity ETF (YLDW)</w:t>
      </w:r>
    </w:p>
    <w:p>
      <w:pPr>
        <w:spacing w:after="0" w:line="23" w:lineRule="exact"/>
        <w:rPr>
          <w:sz w:val="20"/>
          <w:szCs w:val="20"/>
          <w:color w:val="auto"/>
        </w:rPr>
      </w:pPr>
    </w:p>
    <w:p>
      <w:pPr>
        <w:ind w:left="120"/>
        <w:spacing w:after="0"/>
        <w:tabs>
          <w:tab w:leader="none" w:pos="320" w:val="left"/>
        </w:tabs>
        <w:rPr>
          <w:sz w:val="20"/>
          <w:szCs w:val="20"/>
          <w:color w:val="auto"/>
        </w:rPr>
      </w:pPr>
      <w:r>
        <w:rPr>
          <w:rFonts w:ascii="Times New Roman" w:cs="Times New Roman" w:eastAsia="Times New Roman" w:hAnsi="Times New Roman"/>
          <w:sz w:val="14"/>
          <w:szCs w:val="14"/>
          <w:color w:val="auto"/>
        </w:rPr>
        <w:t>●</w:t>
        <w:tab/>
        <w:t>Westwood Salient Enhanced Midstream Income ETF (MDST)</w:t>
      </w:r>
    </w:p>
    <w:p>
      <w:pPr>
        <w:spacing w:after="0" w:line="20" w:lineRule="exact"/>
        <w:rPr>
          <w:sz w:val="20"/>
          <w:szCs w:val="20"/>
          <w:color w:val="auto"/>
        </w:rPr>
      </w:pPr>
      <w:r>
        <w:rPr>
          <w:sz w:val="20"/>
          <w:szCs w:val="20"/>
          <w:color w:val="auto"/>
        </w:rPr>
        <w:br w:type="column"/>
      </w:r>
    </w:p>
    <w:p>
      <w:pPr>
        <w:spacing w:after="0" w:line="105" w:lineRule="exact"/>
        <w:rPr>
          <w:sz w:val="20"/>
          <w:szCs w:val="20"/>
          <w:color w:val="auto"/>
        </w:rPr>
      </w:pPr>
    </w:p>
    <w:p>
      <w:pPr>
        <w:spacing w:after="0"/>
        <w:tabs>
          <w:tab w:leader="none" w:pos="320" w:val="left"/>
        </w:tabs>
        <w:rPr>
          <w:sz w:val="20"/>
          <w:szCs w:val="20"/>
          <w:color w:val="auto"/>
        </w:rPr>
      </w:pPr>
      <w:r>
        <w:rPr>
          <w:rFonts w:ascii="Times New Roman" w:cs="Times New Roman" w:eastAsia="Times New Roman" w:hAnsi="Times New Roman"/>
          <w:sz w:val="14"/>
          <w:szCs w:val="14"/>
          <w:color w:val="auto"/>
        </w:rPr>
        <w:t>●</w:t>
      </w:r>
      <w:r>
        <w:rPr>
          <w:sz w:val="20"/>
          <w:szCs w:val="20"/>
          <w:color w:val="auto"/>
        </w:rPr>
        <w:tab/>
      </w:r>
      <w:r>
        <w:rPr>
          <w:rFonts w:ascii="Times New Roman" w:cs="Times New Roman" w:eastAsia="Times New Roman" w:hAnsi="Times New Roman"/>
          <w:sz w:val="14"/>
          <w:szCs w:val="14"/>
          <w:color w:val="auto"/>
        </w:rPr>
        <w:t>Westwood LBRTY Global Equity ETF (BFRE)*</w:t>
      </w:r>
    </w:p>
    <w:p>
      <w:pPr>
        <w:spacing w:after="0" w:line="23" w:lineRule="exact"/>
        <w:rPr>
          <w:sz w:val="20"/>
          <w:szCs w:val="20"/>
          <w:color w:val="auto"/>
        </w:rPr>
      </w:pPr>
    </w:p>
    <w:p>
      <w:pPr>
        <w:spacing w:after="0"/>
        <w:tabs>
          <w:tab w:leader="none" w:pos="320" w:val="left"/>
        </w:tabs>
        <w:rPr>
          <w:sz w:val="20"/>
          <w:szCs w:val="20"/>
          <w:color w:val="auto"/>
        </w:rPr>
      </w:pPr>
      <w:r>
        <w:rPr>
          <w:rFonts w:ascii="Times New Roman" w:cs="Times New Roman" w:eastAsia="Times New Roman" w:hAnsi="Times New Roman"/>
          <w:sz w:val="14"/>
          <w:szCs w:val="14"/>
          <w:color w:val="auto"/>
        </w:rPr>
        <w:t>●</w:t>
      </w:r>
      <w:r>
        <w:rPr>
          <w:sz w:val="20"/>
          <w:szCs w:val="20"/>
          <w:color w:val="auto"/>
        </w:rPr>
        <w:tab/>
      </w:r>
      <w:r>
        <w:rPr>
          <w:rFonts w:ascii="Times New Roman" w:cs="Times New Roman" w:eastAsia="Times New Roman" w:hAnsi="Times New Roman"/>
          <w:sz w:val="14"/>
          <w:szCs w:val="14"/>
          <w:color w:val="auto"/>
        </w:rPr>
        <w:t>Westwood Salient Enhanced Energy Income ETF (WEEI)</w:t>
      </w:r>
    </w:p>
    <w:p>
      <w:pPr>
        <w:spacing w:after="0" w:line="200" w:lineRule="exact"/>
        <w:rPr>
          <w:sz w:val="20"/>
          <w:szCs w:val="20"/>
          <w:color w:val="auto"/>
        </w:rPr>
      </w:pPr>
    </w:p>
    <w:p>
      <w:pPr>
        <w:sectPr>
          <w:pgSz w:w="11900" w:h="16838" w:orient="portrait"/>
          <w:cols w:equalWidth="0" w:num="2">
            <w:col w:w="4760" w:space="720"/>
            <w:col w:w="5720"/>
          </w:cols>
          <w:pgMar w:left="300" w:top="814" w:right="399" w:bottom="1440" w:gutter="0" w:footer="0" w:header="0"/>
          <w:type w:val="continuous"/>
        </w:sectPr>
      </w:pPr>
    </w:p>
    <w:p>
      <w:pPr>
        <w:spacing w:after="0" w:line="39" w:lineRule="exact"/>
        <w:rPr>
          <w:sz w:val="20"/>
          <w:szCs w:val="20"/>
          <w:color w:val="auto"/>
        </w:rPr>
      </w:pPr>
    </w:p>
    <w:p>
      <w:pPr>
        <w:ind w:left="380"/>
        <w:spacing w:after="0"/>
        <w:rPr>
          <w:sz w:val="20"/>
          <w:szCs w:val="20"/>
          <w:color w:val="auto"/>
        </w:rPr>
      </w:pPr>
      <w:r>
        <w:rPr>
          <w:rFonts w:ascii="Times New Roman" w:cs="Times New Roman" w:eastAsia="Times New Roman" w:hAnsi="Times New Roman"/>
          <w:sz w:val="14"/>
          <w:szCs w:val="14"/>
          <w:color w:val="auto"/>
        </w:rPr>
        <w:t>As of December 31, 2025, AUM in the Westwood Funds® totaled $3.9 billion and AUM in the Westwood ETFs totaled $0.2 billion.</w:t>
      </w:r>
    </w:p>
    <w:p>
      <w:pPr>
        <w:spacing w:after="0" w:line="94" w:lineRule="exact"/>
        <w:rPr>
          <w:sz w:val="20"/>
          <w:szCs w:val="20"/>
          <w:color w:val="auto"/>
        </w:rPr>
      </w:pPr>
    </w:p>
    <w:p>
      <w:pPr>
        <w:ind w:firstLine="387"/>
        <w:spacing w:after="0" w:line="270" w:lineRule="auto"/>
        <w:tabs>
          <w:tab w:leader="none" w:pos="488" w:val="left"/>
        </w:tabs>
        <w:numPr>
          <w:ilvl w:val="0"/>
          <w:numId w:val="2"/>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Following our assessment of the commercial viability of Westwood Quality AllCap (WQAIX), Westwood Quality MidCap (WWMCX), and Westwood LBRTY Global Equity ETF (BFRE), we determined that closing and liquidating these funds was in the best interests of the funds and their shareholders. WQAIX and WWMCX were liquidated on February 24, 2026, and BFRE will be liquidated on March 6, 2026.</w:t>
      </w:r>
    </w:p>
    <w:p>
      <w:pPr>
        <w:spacing w:after="0" w:line="49"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b w:val="1"/>
          <w:bCs w:val="1"/>
          <w:i w:val="1"/>
          <w:iCs w:val="1"/>
          <w:color w:val="auto"/>
        </w:rPr>
        <w:t>Trust</w:t>
      </w:r>
    </w:p>
    <w:p>
      <w:pPr>
        <w:spacing w:after="0" w:line="94"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i w:val="1"/>
          <w:iCs w:val="1"/>
          <w:color w:val="auto"/>
        </w:rPr>
        <w:t>General</w:t>
      </w:r>
    </w:p>
    <w:p>
      <w:pPr>
        <w:spacing w:after="0" w:line="96" w:lineRule="exact"/>
        <w:rPr>
          <w:sz w:val="20"/>
          <w:szCs w:val="20"/>
          <w:color w:val="auto"/>
        </w:rPr>
      </w:pPr>
    </w:p>
    <w:p>
      <w:pPr>
        <w:ind w:right="100" w:firstLine="382"/>
        <w:spacing w:after="0" w:line="270" w:lineRule="auto"/>
        <w:rPr>
          <w:sz w:val="20"/>
          <w:szCs w:val="20"/>
          <w:color w:val="auto"/>
        </w:rPr>
      </w:pPr>
      <w:r>
        <w:rPr>
          <w:rFonts w:ascii="Times New Roman" w:cs="Times New Roman" w:eastAsia="Times New Roman" w:hAnsi="Times New Roman"/>
          <w:sz w:val="14"/>
          <w:szCs w:val="14"/>
          <w:color w:val="auto"/>
        </w:rPr>
        <w:t>Westwood Trust provides fiduciary and investment services to high net worth individuals and families, non-profit endowments and foundations, public and private retirement plans and individual retirement accounts. Westwood Trust is chartered and regulated by the Texas Department of Banking. Fees charged by Westwood Trust are separately negotiated with each client and are typically based on AUM. Clients generally have at least $1 million in investable assets.</w:t>
      </w:r>
    </w:p>
    <w:p>
      <w:pPr>
        <w:spacing w:after="0" w:line="49"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i w:val="1"/>
          <w:iCs w:val="1"/>
          <w:color w:val="auto"/>
        </w:rPr>
        <w:t>Fiduciary Services</w:t>
      </w:r>
    </w:p>
    <w:p>
      <w:pPr>
        <w:spacing w:after="0" w:line="96" w:lineRule="exact"/>
        <w:rPr>
          <w:sz w:val="20"/>
          <w:szCs w:val="20"/>
          <w:color w:val="auto"/>
        </w:rPr>
      </w:pPr>
    </w:p>
    <w:p>
      <w:pPr>
        <w:ind w:left="380"/>
        <w:spacing w:after="0"/>
        <w:rPr>
          <w:sz w:val="20"/>
          <w:szCs w:val="20"/>
          <w:color w:val="auto"/>
        </w:rPr>
      </w:pPr>
      <w:r>
        <w:rPr>
          <w:rFonts w:ascii="Times New Roman" w:cs="Times New Roman" w:eastAsia="Times New Roman" w:hAnsi="Times New Roman"/>
          <w:sz w:val="14"/>
          <w:szCs w:val="14"/>
          <w:color w:val="auto"/>
        </w:rPr>
        <w:t>Westwood Trust’s fiduciary services include but are not limited to - financial planning, wealth transfer planning, customizable trust services, trust administration and estate settlement.</w:t>
      </w:r>
    </w:p>
    <w:p>
      <w:pPr>
        <w:spacing w:after="0" w:line="23"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color w:val="auto"/>
        </w:rPr>
        <w:t>Westwood Trust also provides custodial services, tax reporting, accounting of trust income and principal, beneficiary and retiree distributions and safekeeping of assets.</w:t>
      </w:r>
    </w:p>
    <w:p>
      <w:pPr>
        <w:spacing w:after="0" w:line="77"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i w:val="1"/>
          <w:iCs w:val="1"/>
          <w:color w:val="auto"/>
        </w:rPr>
        <w:t>Investment Services</w:t>
      </w:r>
    </w:p>
    <w:p>
      <w:pPr>
        <w:spacing w:after="0" w:line="96" w:lineRule="exact"/>
        <w:rPr>
          <w:sz w:val="20"/>
          <w:szCs w:val="20"/>
          <w:color w:val="auto"/>
        </w:rPr>
      </w:pPr>
    </w:p>
    <w:p>
      <w:pPr>
        <w:ind w:right="80" w:firstLine="382"/>
        <w:spacing w:after="0" w:line="259" w:lineRule="auto"/>
        <w:rPr>
          <w:sz w:val="20"/>
          <w:szCs w:val="20"/>
          <w:color w:val="auto"/>
        </w:rPr>
      </w:pPr>
      <w:r>
        <w:rPr>
          <w:rFonts w:ascii="Times New Roman" w:cs="Times New Roman" w:eastAsia="Times New Roman" w:hAnsi="Times New Roman"/>
          <w:sz w:val="14"/>
          <w:szCs w:val="14"/>
          <w:color w:val="auto"/>
        </w:rPr>
        <w:t>Westwood Trust utilizes a consultative approach in developing a portfolio asset allocation for individual clients. Our approach involves examining clients' financial situations, including their current investment portfolio, and advising clients on ways to reduce risk, enhance investment returns and strengthen their financial position based on each client’s unique objectives and constraints. Westwood Trust seeks to define and improve the risk/return profiles of client investment portfolios by offering a comprehensive investment solution or by enhancing clients’ existing investment strategies. Westwood Trust manages separate portfolios of equity and fixed income securities for certain agency and trust clients. Equity portfolios are generally patterned after the institutional strategies offered by Westwood Management or developed by our internal investment teams. Fixed income portfolios consist of taxable and tax-exempt portfolios with a high credit quality and intermediate duration bias.</w:t>
      </w:r>
    </w:p>
    <w:p>
      <w:pPr>
        <w:spacing w:after="0" w:line="61" w:lineRule="exact"/>
        <w:rPr>
          <w:sz w:val="20"/>
          <w:szCs w:val="20"/>
          <w:color w:val="auto"/>
        </w:rPr>
      </w:pPr>
    </w:p>
    <w:p>
      <w:pPr>
        <w:ind w:right="120" w:firstLine="382"/>
        <w:spacing w:after="0" w:line="270" w:lineRule="auto"/>
        <w:rPr>
          <w:sz w:val="20"/>
          <w:szCs w:val="20"/>
          <w:color w:val="auto"/>
        </w:rPr>
      </w:pPr>
      <w:r>
        <w:rPr>
          <w:rFonts w:ascii="Times New Roman" w:cs="Times New Roman" w:eastAsia="Times New Roman" w:hAnsi="Times New Roman"/>
          <w:sz w:val="14"/>
          <w:szCs w:val="14"/>
          <w:color w:val="auto"/>
        </w:rPr>
        <w:t>Westwood Trust also sponsors a range of commingled funds in which client assets are commingled to achieve economies of scale. Westwood Trust’s commingled funds fall within two basic categories: personal trusts (common trust funds) and employee benefit trusts (collective investment funds). Westwood Trust sponsors commingled funds for several of the investment strategies managed by Westwood Management.</w:t>
      </w:r>
    </w:p>
    <w:p>
      <w:pPr>
        <w:spacing w:after="0" w:line="51" w:lineRule="exact"/>
        <w:rPr>
          <w:sz w:val="20"/>
          <w:szCs w:val="20"/>
          <w:color w:val="auto"/>
        </w:rPr>
      </w:pPr>
    </w:p>
    <w:p>
      <w:pPr>
        <w:ind w:right="160" w:firstLine="382"/>
        <w:spacing w:after="0" w:line="379" w:lineRule="auto"/>
        <w:rPr>
          <w:sz w:val="20"/>
          <w:szCs w:val="20"/>
          <w:color w:val="auto"/>
        </w:rPr>
      </w:pPr>
      <w:r>
        <w:rPr>
          <w:rFonts w:ascii="Times New Roman" w:cs="Times New Roman" w:eastAsia="Times New Roman" w:hAnsi="Times New Roman"/>
          <w:sz w:val="14"/>
          <w:szCs w:val="14"/>
          <w:color w:val="auto"/>
        </w:rPr>
        <w:t xml:space="preserve">Westwood Trust also develops asset allocation models for certain clients utilizing its commingled funds, mutual funds managed by Westwood Management and non-affiliated mutual funds. </w:t>
      </w:r>
      <w:r>
        <w:rPr>
          <w:rFonts w:ascii="Times New Roman" w:cs="Times New Roman" w:eastAsia="Times New Roman" w:hAnsi="Times New Roman"/>
          <w:sz w:val="14"/>
          <w:szCs w:val="14"/>
          <w:i w:val="1"/>
          <w:iCs w:val="1"/>
          <w:color w:val="auto"/>
        </w:rPr>
        <w:t>Enhanced Balanced® Portfolios</w:t>
      </w:r>
    </w:p>
    <w:p>
      <w:pPr>
        <w:spacing w:after="0" w:line="1" w:lineRule="exact"/>
        <w:rPr>
          <w:sz w:val="20"/>
          <w:szCs w:val="20"/>
          <w:color w:val="auto"/>
        </w:rPr>
      </w:pPr>
    </w:p>
    <w:p>
      <w:pPr>
        <w:ind w:right="300" w:firstLine="382"/>
        <w:spacing w:after="0" w:line="270" w:lineRule="auto"/>
        <w:rPr>
          <w:sz w:val="20"/>
          <w:szCs w:val="20"/>
          <w:color w:val="auto"/>
        </w:rPr>
      </w:pPr>
      <w:r>
        <w:rPr>
          <w:rFonts w:ascii="Times New Roman" w:cs="Times New Roman" w:eastAsia="Times New Roman" w:hAnsi="Times New Roman"/>
          <w:sz w:val="14"/>
          <w:szCs w:val="14"/>
          <w:color w:val="auto"/>
        </w:rPr>
        <w:t>Westwood Trust is a strong proponent of asset class diversification and offers its clients the ability to diversify among many different asset classes. Westwood Trust Enhanced Balanced® portfolios allocate assets among these asset classes into a customizable portfolio for clients seeking to maximize return for a given level of risk. Periodic adjustments are made to asset class weightings in Enhanced Balanced® portfolios based on historical returns, risk and correlation data, and our current capital markets outlook.</w:t>
      </w:r>
    </w:p>
    <w:p>
      <w:pPr>
        <w:spacing w:after="0" w:line="200" w:lineRule="exact"/>
        <w:rPr>
          <w:sz w:val="20"/>
          <w:szCs w:val="20"/>
          <w:color w:val="auto"/>
        </w:rPr>
      </w:pPr>
    </w:p>
    <w:p>
      <w:pPr>
        <w:spacing w:after="0" w:line="201" w:lineRule="exact"/>
        <w:rPr>
          <w:sz w:val="20"/>
          <w:szCs w:val="20"/>
          <w:color w:val="auto"/>
        </w:rPr>
      </w:pPr>
    </w:p>
    <w:p>
      <w:pPr>
        <w:jc w:val="center"/>
        <w:ind w:right="-79"/>
        <w:spacing w:after="0"/>
        <w:rPr>
          <w:sz w:val="20"/>
          <w:szCs w:val="20"/>
          <w:color w:val="auto"/>
        </w:rPr>
      </w:pPr>
      <w:r>
        <w:rPr>
          <w:rFonts w:ascii="Times New Roman" w:cs="Times New Roman" w:eastAsia="Times New Roman" w:hAnsi="Times New Roman"/>
          <w:sz w:val="14"/>
          <w:szCs w:val="14"/>
          <w:color w:val="auto"/>
        </w:rPr>
        <w:t>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-8890</wp:posOffset>
            </wp:positionH>
            <wp:positionV relativeFrom="paragraph">
              <wp:posOffset>55880</wp:posOffset>
            </wp:positionV>
            <wp:extent cx="7186930" cy="38735"/>
            <wp:wrapNone/>
            <wp:docPr id="12" name="Picture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
                    <pic:cNvPicPr>
                      <a:picLocks noChangeAspect="1" noChangeArrowheads="1"/>
                    </pic:cNvPicPr>
                  </pic:nvPicPr>
                  <pic:blipFill>
                    <a:blip r:embed="rId19">
                      <a:extLst>
                        <a:ext uri="{28A0092B-C50C-407E-A947-70E740481C1C}"/>
                      </a:extLst>
                    </a:blip>
                    <a:srcRect/>
                    <a:stretch>
                      <a:fillRect/>
                    </a:stretch>
                  </pic:blipFill>
                  <pic:spPr bwMode="auto">
                    <a:xfrm>
                      <a:off x="0" y="0"/>
                      <a:ext cx="7186930" cy="38735"/>
                    </a:xfrm>
                    <a:prstGeom prst="rect">
                      <a:avLst/>
                    </a:prstGeom>
                    <a:noFill/>
                  </pic:spPr>
                </pic:pic>
              </a:graphicData>
            </a:graphic>
          </wp:anchor>
        </w:drawing>
      </w:r>
    </w:p>
    <w:p>
      <w:pPr>
        <w:sectPr>
          <w:pgSz w:w="11900" w:h="16838" w:orient="portrait"/>
          <w:cols w:equalWidth="0" w:num="1">
            <w:col w:w="11200"/>
          </w:cols>
          <w:pgMar w:left="300" w:top="814" w:right="399" w:bottom="1440" w:gutter="0" w:footer="0" w:header="0"/>
          <w:type w:val="continuous"/>
        </w:sectPr>
      </w:pPr>
    </w:p>
    <w:bookmarkStart w:id="7" w:name="page8"/>
    <w:bookmarkEnd w:id="7"/>
    <w:p>
      <w:pPr>
        <w:spacing w:after="0"/>
        <w:rPr>
          <w:sz w:val="20"/>
          <w:szCs w:val="20"/>
          <w:color w:val="auto"/>
        </w:rPr>
      </w:pPr>
      <w:r>
        <w:rPr>
          <w:rFonts w:ascii="Times New Roman" w:cs="Times New Roman" w:eastAsia="Times New Roman" w:hAnsi="Times New Roman"/>
          <w:sz w:val="14"/>
          <w:szCs w:val="14"/>
          <w:i w:val="1"/>
          <w:iCs w:val="1"/>
          <w:color w:val="auto"/>
        </w:rPr>
        <w:t>Select Equity Strategy</w:t>
      </w:r>
    </w:p>
    <w:p>
      <w:pPr>
        <w:spacing w:after="0" w:line="96" w:lineRule="exact"/>
        <w:rPr>
          <w:sz w:val="20"/>
          <w:szCs w:val="20"/>
          <w:color w:val="auto"/>
        </w:rPr>
      </w:pPr>
    </w:p>
    <w:p>
      <w:pPr>
        <w:jc w:val="both"/>
        <w:ind w:right="200" w:firstLine="382"/>
        <w:spacing w:after="0" w:line="270" w:lineRule="auto"/>
        <w:rPr>
          <w:sz w:val="20"/>
          <w:szCs w:val="20"/>
          <w:color w:val="auto"/>
        </w:rPr>
      </w:pPr>
      <w:r>
        <w:rPr>
          <w:rFonts w:ascii="Times New Roman" w:cs="Times New Roman" w:eastAsia="Times New Roman" w:hAnsi="Times New Roman"/>
          <w:sz w:val="14"/>
          <w:szCs w:val="14"/>
          <w:color w:val="auto"/>
        </w:rPr>
        <w:t>The Westwood Select Equity strategy aims to provide low-frequency turnover and tax efficiency to high net worth individuals. The offering allows individuals to own a diversified portfolio representing our best ideas from across Westwood's investment teams. These portfolios include value and growth stocks, along with small-, mid- and large-capitalization stocks. Westwood Select Equity is also available without the tax efficiency overlay.</w:t>
      </w:r>
    </w:p>
    <w:p>
      <w:pPr>
        <w:spacing w:after="0" w:line="49"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i w:val="1"/>
          <w:iCs w:val="1"/>
          <w:color w:val="auto"/>
        </w:rPr>
        <w:t>Dividend Select Strategy</w:t>
      </w:r>
    </w:p>
    <w:p>
      <w:pPr>
        <w:spacing w:after="0" w:line="96" w:lineRule="exact"/>
        <w:rPr>
          <w:sz w:val="20"/>
          <w:szCs w:val="20"/>
          <w:color w:val="auto"/>
        </w:rPr>
      </w:pPr>
    </w:p>
    <w:p>
      <w:pPr>
        <w:ind w:left="380"/>
        <w:spacing w:after="0"/>
        <w:rPr>
          <w:sz w:val="20"/>
          <w:szCs w:val="20"/>
          <w:color w:val="auto"/>
        </w:rPr>
      </w:pPr>
      <w:r>
        <w:rPr>
          <w:rFonts w:ascii="Times New Roman" w:cs="Times New Roman" w:eastAsia="Times New Roman" w:hAnsi="Times New Roman"/>
          <w:sz w:val="14"/>
          <w:szCs w:val="14"/>
          <w:color w:val="auto"/>
        </w:rPr>
        <w:t>The Westwood Dividend Select strategy aims to provide dividend income to investors. The offering allows investors to own a diversified portfolio of dividend-producing equity securities.</w:t>
      </w:r>
    </w:p>
    <w:p>
      <w:pPr>
        <w:spacing w:after="0" w:line="23"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color w:val="auto"/>
        </w:rPr>
        <w:t>These portfolios primarily include value stocks, along with mid- and large-capitalization stocks.</w:t>
      </w:r>
    </w:p>
    <w:p>
      <w:pPr>
        <w:spacing w:after="0" w:line="77"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i w:val="1"/>
          <w:iCs w:val="1"/>
          <w:color w:val="auto"/>
        </w:rPr>
        <w:t>Thematic Innovation and Growth</w:t>
      </w:r>
    </w:p>
    <w:p>
      <w:pPr>
        <w:spacing w:after="0" w:line="96" w:lineRule="exact"/>
        <w:rPr>
          <w:sz w:val="20"/>
          <w:szCs w:val="20"/>
          <w:color w:val="auto"/>
        </w:rPr>
      </w:pPr>
    </w:p>
    <w:p>
      <w:pPr>
        <w:ind w:right="40" w:firstLine="382"/>
        <w:spacing w:after="0" w:line="287" w:lineRule="auto"/>
        <w:rPr>
          <w:sz w:val="20"/>
          <w:szCs w:val="20"/>
          <w:color w:val="auto"/>
        </w:rPr>
      </w:pPr>
      <w:r>
        <w:rPr>
          <w:rFonts w:ascii="Times New Roman" w:cs="Times New Roman" w:eastAsia="Times New Roman" w:hAnsi="Times New Roman"/>
          <w:sz w:val="14"/>
          <w:szCs w:val="14"/>
          <w:color w:val="auto"/>
        </w:rPr>
        <w:t>The Thematic Innovation and Growth strategy aims to provide long-term appreciation to investors. The offering allows investors to own a concentrated portfolio of securities to provide higher returns commensurate with higher volatility. These portfolios primarily include growth stocks in the mid- to large-capitalization range.</w:t>
      </w:r>
    </w:p>
    <w:p>
      <w:pPr>
        <w:spacing w:after="0" w:line="37"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b w:val="1"/>
          <w:bCs w:val="1"/>
          <w:i w:val="1"/>
          <w:iCs w:val="1"/>
          <w:color w:val="auto"/>
        </w:rPr>
        <w:t>Distribution Channels</w:t>
      </w:r>
    </w:p>
    <w:p>
      <w:pPr>
        <w:spacing w:after="0" w:line="96" w:lineRule="exact"/>
        <w:rPr>
          <w:sz w:val="20"/>
          <w:szCs w:val="20"/>
          <w:color w:val="auto"/>
        </w:rPr>
      </w:pPr>
    </w:p>
    <w:p>
      <w:pPr>
        <w:ind w:right="340" w:firstLine="382"/>
        <w:spacing w:after="0" w:line="270" w:lineRule="auto"/>
        <w:rPr>
          <w:sz w:val="20"/>
          <w:szCs w:val="20"/>
          <w:color w:val="auto"/>
        </w:rPr>
      </w:pPr>
      <w:r>
        <w:rPr>
          <w:rFonts w:ascii="Times New Roman" w:cs="Times New Roman" w:eastAsia="Times New Roman" w:hAnsi="Times New Roman"/>
          <w:sz w:val="14"/>
          <w:szCs w:val="14"/>
          <w:color w:val="auto"/>
        </w:rPr>
        <w:t>Westwood Management investment funds and advisory services are distributed through two primary market channels - Institutional and Intermediary. Our Distribution sales and support infrastructure supports dedicated marketing and client service in both channels. Westwood Trust provides wealth and investment management solutions primarily to individuals and utilizes both Westwood Management and external investment management services.</w:t>
      </w:r>
    </w:p>
    <w:p>
      <w:pPr>
        <w:spacing w:after="0" w:line="49"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i w:val="1"/>
          <w:iCs w:val="1"/>
          <w:color w:val="auto"/>
        </w:rPr>
        <w:t>Institutional</w:t>
      </w:r>
    </w:p>
    <w:p>
      <w:pPr>
        <w:spacing w:after="0" w:line="96" w:lineRule="exact"/>
        <w:rPr>
          <w:sz w:val="20"/>
          <w:szCs w:val="20"/>
          <w:color w:val="auto"/>
        </w:rPr>
      </w:pPr>
    </w:p>
    <w:p>
      <w:pPr>
        <w:ind w:right="80" w:firstLine="382"/>
        <w:spacing w:after="0" w:line="261" w:lineRule="auto"/>
        <w:rPr>
          <w:sz w:val="20"/>
          <w:szCs w:val="20"/>
          <w:color w:val="auto"/>
        </w:rPr>
      </w:pPr>
      <w:r>
        <w:rPr>
          <w:rFonts w:ascii="Times New Roman" w:cs="Times New Roman" w:eastAsia="Times New Roman" w:hAnsi="Times New Roman"/>
          <w:sz w:val="14"/>
          <w:szCs w:val="14"/>
          <w:color w:val="auto"/>
        </w:rPr>
        <w:t>The institutional team markets Westwood mutual funds, collective investment trusts, separate accounts and managed investment solutions, as well as advisory and sub-advisory services to defined benefit and defined contribution corporate and public plan sponsors, foundations and endowments, financial institutions and investment consultants. We maintain strong relationships with many global, national and regional investment consulting firms, which have contributed to our being considered and hired by their clients. By leveraging these relationships, we can offer our investment strategies within select defined contribution and other retirement plans in which clients utilize mutual fund and collective investment trusts vehicles. Sub-advising funds of other financial institutions allows us to extend our marketing reach via other firms' distribution systems.</w:t>
      </w:r>
    </w:p>
    <w:p>
      <w:pPr>
        <w:spacing w:after="0" w:line="56"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i w:val="1"/>
          <w:iCs w:val="1"/>
          <w:color w:val="auto"/>
        </w:rPr>
        <w:t>Intermediary and Retail</w:t>
      </w:r>
    </w:p>
    <w:p>
      <w:pPr>
        <w:spacing w:after="0" w:line="96" w:lineRule="exact"/>
        <w:rPr>
          <w:sz w:val="20"/>
          <w:szCs w:val="20"/>
          <w:color w:val="auto"/>
        </w:rPr>
      </w:pPr>
    </w:p>
    <w:p>
      <w:pPr>
        <w:ind w:right="60" w:firstLine="382"/>
        <w:spacing w:after="0" w:line="270" w:lineRule="auto"/>
        <w:rPr>
          <w:sz w:val="20"/>
          <w:szCs w:val="20"/>
          <w:color w:val="auto"/>
        </w:rPr>
      </w:pPr>
      <w:r>
        <w:rPr>
          <w:rFonts w:ascii="Times New Roman" w:cs="Times New Roman" w:eastAsia="Times New Roman" w:hAnsi="Times New Roman"/>
          <w:sz w:val="14"/>
          <w:szCs w:val="14"/>
          <w:color w:val="auto"/>
        </w:rPr>
        <w:t>In the intermediary and retail channel, our team directly markets our investment services, including the Westwood Funds®, Westwood ETFs and private capital funds to financial intermediaries, RIAs, broker-dealers, and turnkey asset management programs. We also focus on expanding our relationships with financial intermediaries that manage discretionary mutual fund and ETF models.</w:t>
      </w:r>
    </w:p>
    <w:p>
      <w:pPr>
        <w:spacing w:after="0" w:line="51" w:lineRule="exact"/>
        <w:rPr>
          <w:sz w:val="20"/>
          <w:szCs w:val="20"/>
          <w:color w:val="auto"/>
        </w:rPr>
      </w:pPr>
    </w:p>
    <w:p>
      <w:pPr>
        <w:ind w:firstLine="382"/>
        <w:spacing w:after="0" w:line="287" w:lineRule="auto"/>
        <w:rPr>
          <w:sz w:val="20"/>
          <w:szCs w:val="20"/>
          <w:color w:val="auto"/>
        </w:rPr>
      </w:pPr>
      <w:r>
        <w:rPr>
          <w:rFonts w:ascii="Times New Roman" w:cs="Times New Roman" w:eastAsia="Times New Roman" w:hAnsi="Times New Roman"/>
          <w:sz w:val="14"/>
          <w:szCs w:val="14"/>
          <w:color w:val="auto"/>
        </w:rPr>
        <w:t>Managed accounts are similar to sub-advisory relationships in that a third-party financial institution, such as a broker-dealer or RIA, trades securities using our model. The typical managed account client is a high net worth individual or small institution. In these arrangements, the third-party financial institution is responsible to the end client for client service, operations and accounting.</w:t>
      </w:r>
    </w:p>
    <w:p>
      <w:pPr>
        <w:spacing w:after="0" w:line="37"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i w:val="1"/>
          <w:iCs w:val="1"/>
          <w:color w:val="auto"/>
        </w:rPr>
        <w:t>Wealth Management</w:t>
      </w:r>
    </w:p>
    <w:p>
      <w:pPr>
        <w:spacing w:after="0" w:line="96" w:lineRule="exact"/>
        <w:rPr>
          <w:sz w:val="20"/>
          <w:szCs w:val="20"/>
          <w:color w:val="auto"/>
        </w:rPr>
      </w:pPr>
    </w:p>
    <w:p>
      <w:pPr>
        <w:ind w:right="200" w:firstLine="382"/>
        <w:spacing w:after="0" w:line="287" w:lineRule="auto"/>
        <w:rPr>
          <w:sz w:val="20"/>
          <w:szCs w:val="20"/>
          <w:color w:val="auto"/>
        </w:rPr>
      </w:pPr>
      <w:r>
        <w:rPr>
          <w:rFonts w:ascii="Times New Roman" w:cs="Times New Roman" w:eastAsia="Times New Roman" w:hAnsi="Times New Roman"/>
          <w:sz w:val="14"/>
          <w:szCs w:val="14"/>
          <w:color w:val="auto"/>
        </w:rPr>
        <w:t>In our wealth management channel, we generate awareness of our trust fiduciary and investment services through investment consultants, centers of influence, community involvement, and targeted direct marketing to high net worth individuals, families and small to medium-sized institutions. We also seek asset growth generated by referrals from existing clients.</w:t>
      </w:r>
    </w:p>
    <w:p>
      <w:pPr>
        <w:spacing w:after="0" w:line="37"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b w:val="1"/>
          <w:bCs w:val="1"/>
          <w:i w:val="1"/>
          <w:iCs w:val="1"/>
          <w:color w:val="auto"/>
        </w:rPr>
        <w:t>Growth Strategy</w:t>
      </w:r>
    </w:p>
    <w:p>
      <w:pPr>
        <w:spacing w:after="0" w:line="96" w:lineRule="exact"/>
        <w:rPr>
          <w:sz w:val="20"/>
          <w:szCs w:val="20"/>
          <w:color w:val="auto"/>
        </w:rPr>
      </w:pPr>
    </w:p>
    <w:p>
      <w:pPr>
        <w:ind w:right="520" w:firstLine="382"/>
        <w:spacing w:after="0" w:line="287" w:lineRule="auto"/>
        <w:rPr>
          <w:sz w:val="20"/>
          <w:szCs w:val="20"/>
          <w:color w:val="auto"/>
        </w:rPr>
      </w:pPr>
      <w:r>
        <w:rPr>
          <w:rFonts w:ascii="Times New Roman" w:cs="Times New Roman" w:eastAsia="Times New Roman" w:hAnsi="Times New Roman"/>
          <w:sz w:val="14"/>
          <w:szCs w:val="14"/>
          <w:color w:val="auto"/>
        </w:rPr>
        <w:t>We believe we have established a strong platform to support future growth, deriving strength from the experience and capabilities of our management team and our skilled investment, distribution and client service professionals. We believe opportunities for future growth will come from our ability to:</w:t>
      </w:r>
    </w:p>
    <w:p>
      <w:pPr>
        <w:spacing w:after="0" w:line="39" w:lineRule="exact"/>
        <w:rPr>
          <w:sz w:val="20"/>
          <w:szCs w:val="20"/>
          <w:color w:val="auto"/>
        </w:rPr>
      </w:pPr>
    </w:p>
    <w:p>
      <w:pPr>
        <w:ind w:left="520" w:hanging="260"/>
        <w:spacing w:after="0"/>
        <w:tabs>
          <w:tab w:leader="none" w:pos="520" w:val="left"/>
        </w:tabs>
        <w:numPr>
          <w:ilvl w:val="0"/>
          <w:numId w:val="3"/>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generate growth in our investment management platform from new and existing clients and consultant relationships;</w:t>
      </w:r>
    </w:p>
    <w:p>
      <w:pPr>
        <w:spacing w:after="0" w:line="93" w:lineRule="exact"/>
        <w:rPr>
          <w:rFonts w:ascii="Times New Roman" w:cs="Times New Roman" w:eastAsia="Times New Roman" w:hAnsi="Times New Roman"/>
          <w:sz w:val="14"/>
          <w:szCs w:val="14"/>
          <w:color w:val="auto"/>
        </w:rPr>
      </w:pPr>
    </w:p>
    <w:p>
      <w:pPr>
        <w:ind w:left="520" w:hanging="260"/>
        <w:spacing w:after="0"/>
        <w:tabs>
          <w:tab w:leader="none" w:pos="520" w:val="left"/>
        </w:tabs>
        <w:numPr>
          <w:ilvl w:val="0"/>
          <w:numId w:val="3"/>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attract and retain key employees;</w:t>
      </w:r>
    </w:p>
    <w:p>
      <w:pPr>
        <w:spacing w:after="0" w:line="93" w:lineRule="exact"/>
        <w:rPr>
          <w:rFonts w:ascii="Times New Roman" w:cs="Times New Roman" w:eastAsia="Times New Roman" w:hAnsi="Times New Roman"/>
          <w:sz w:val="14"/>
          <w:szCs w:val="14"/>
          <w:color w:val="auto"/>
        </w:rPr>
      </w:pPr>
    </w:p>
    <w:p>
      <w:pPr>
        <w:ind w:left="520" w:hanging="260"/>
        <w:spacing w:after="0"/>
        <w:tabs>
          <w:tab w:leader="none" w:pos="520" w:val="left"/>
        </w:tabs>
        <w:numPr>
          <w:ilvl w:val="0"/>
          <w:numId w:val="3"/>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grow assets in our existing investment strategies;</w:t>
      </w:r>
    </w:p>
    <w:p>
      <w:pPr>
        <w:spacing w:after="0" w:line="93" w:lineRule="exact"/>
        <w:rPr>
          <w:rFonts w:ascii="Times New Roman" w:cs="Times New Roman" w:eastAsia="Times New Roman" w:hAnsi="Times New Roman"/>
          <w:sz w:val="14"/>
          <w:szCs w:val="14"/>
          <w:color w:val="auto"/>
        </w:rPr>
      </w:pPr>
    </w:p>
    <w:p>
      <w:pPr>
        <w:ind w:left="520" w:hanging="260"/>
        <w:spacing w:after="0"/>
        <w:tabs>
          <w:tab w:leader="none" w:pos="520" w:val="left"/>
        </w:tabs>
        <w:numPr>
          <w:ilvl w:val="0"/>
          <w:numId w:val="3"/>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foster continued growth of the wealth management platform and distribution channel;</w:t>
      </w:r>
    </w:p>
    <w:p>
      <w:pPr>
        <w:spacing w:after="0" w:line="200" w:lineRule="exact"/>
        <w:rPr>
          <w:sz w:val="20"/>
          <w:szCs w:val="20"/>
          <w:color w:val="auto"/>
        </w:rPr>
      </w:pPr>
    </w:p>
    <w:p>
      <w:pPr>
        <w:spacing w:after="0" w:line="244" w:lineRule="exact"/>
        <w:rPr>
          <w:sz w:val="20"/>
          <w:szCs w:val="20"/>
          <w:color w:val="auto"/>
        </w:rPr>
      </w:pPr>
    </w:p>
    <w:p>
      <w:pPr>
        <w:jc w:val="center"/>
        <w:ind w:right="-39"/>
        <w:spacing w:after="0"/>
        <w:rPr>
          <w:sz w:val="20"/>
          <w:szCs w:val="20"/>
          <w:color w:val="auto"/>
        </w:rPr>
      </w:pPr>
      <w:r>
        <w:rPr>
          <w:rFonts w:ascii="Times New Roman" w:cs="Times New Roman" w:eastAsia="Times New Roman" w:hAnsi="Times New Roman"/>
          <w:sz w:val="14"/>
          <w:szCs w:val="14"/>
          <w:color w:val="auto"/>
        </w:rPr>
        <w:t>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-8890</wp:posOffset>
            </wp:positionH>
            <wp:positionV relativeFrom="paragraph">
              <wp:posOffset>55880</wp:posOffset>
            </wp:positionV>
            <wp:extent cx="7186930" cy="38735"/>
            <wp:wrapNone/>
            <wp:docPr id="13" name="Picture 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
                    <pic:cNvPicPr>
                      <a:picLocks noChangeAspect="1" noChangeArrowheads="1"/>
                    </pic:cNvPicPr>
                  </pic:nvPicPr>
                  <pic:blipFill>
                    <a:blip r:embed="rId20">
                      <a:extLst>
                        <a:ext uri="{28A0092B-C50C-407E-A947-70E740481C1C}"/>
                      </a:extLst>
                    </a:blip>
                    <a:srcRect/>
                    <a:stretch>
                      <a:fillRect/>
                    </a:stretch>
                  </pic:blipFill>
                  <pic:spPr bwMode="auto">
                    <a:xfrm>
                      <a:off x="0" y="0"/>
                      <a:ext cx="7186930" cy="38735"/>
                    </a:xfrm>
                    <a:prstGeom prst="rect">
                      <a:avLst/>
                    </a:prstGeom>
                    <a:noFill/>
                  </pic:spPr>
                </pic:pic>
              </a:graphicData>
            </a:graphic>
          </wp:anchor>
        </w:drawing>
      </w:r>
    </w:p>
    <w:p>
      <w:pPr>
        <w:sectPr>
          <w:pgSz w:w="11900" w:h="16838" w:orient="portrait"/>
          <w:cols w:equalWidth="0" w:num="1">
            <w:col w:w="11260"/>
          </w:cols>
          <w:pgMar w:left="300" w:top="812" w:right="339" w:bottom="1440" w:gutter="0" w:footer="0" w:header="0"/>
        </w:sectPr>
      </w:pPr>
    </w:p>
    <w:bookmarkStart w:id="8" w:name="page9"/>
    <w:bookmarkEnd w:id="8"/>
    <w:p>
      <w:pPr>
        <w:ind w:left="520" w:hanging="260"/>
        <w:spacing w:after="0"/>
        <w:tabs>
          <w:tab w:leader="none" w:pos="520" w:val="left"/>
        </w:tabs>
        <w:numPr>
          <w:ilvl w:val="0"/>
          <w:numId w:val="4"/>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expand and enhance intermediary distribution;</w:t>
      </w:r>
    </w:p>
    <w:p>
      <w:pPr>
        <w:spacing w:after="0" w:line="93" w:lineRule="exact"/>
        <w:rPr>
          <w:rFonts w:ascii="Times New Roman" w:cs="Times New Roman" w:eastAsia="Times New Roman" w:hAnsi="Times New Roman"/>
          <w:sz w:val="14"/>
          <w:szCs w:val="14"/>
          <w:color w:val="auto"/>
        </w:rPr>
      </w:pPr>
    </w:p>
    <w:p>
      <w:pPr>
        <w:ind w:left="520" w:hanging="260"/>
        <w:spacing w:after="0"/>
        <w:tabs>
          <w:tab w:leader="none" w:pos="520" w:val="left"/>
        </w:tabs>
        <w:numPr>
          <w:ilvl w:val="0"/>
          <w:numId w:val="4"/>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innovate to bring newly developed investment capabilities and vehicles to market;</w:t>
      </w:r>
    </w:p>
    <w:p>
      <w:pPr>
        <w:spacing w:after="0" w:line="93" w:lineRule="exact"/>
        <w:rPr>
          <w:rFonts w:ascii="Times New Roman" w:cs="Times New Roman" w:eastAsia="Times New Roman" w:hAnsi="Times New Roman"/>
          <w:sz w:val="14"/>
          <w:szCs w:val="14"/>
          <w:color w:val="auto"/>
        </w:rPr>
      </w:pPr>
    </w:p>
    <w:p>
      <w:pPr>
        <w:ind w:left="520" w:hanging="260"/>
        <w:spacing w:after="0"/>
        <w:tabs>
          <w:tab w:leader="none" w:pos="520" w:val="left"/>
        </w:tabs>
        <w:numPr>
          <w:ilvl w:val="0"/>
          <w:numId w:val="4"/>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pursue strategic corporate development opportunities;</w:t>
      </w:r>
    </w:p>
    <w:p>
      <w:pPr>
        <w:spacing w:after="0" w:line="93" w:lineRule="exact"/>
        <w:rPr>
          <w:rFonts w:ascii="Times New Roman" w:cs="Times New Roman" w:eastAsia="Times New Roman" w:hAnsi="Times New Roman"/>
          <w:sz w:val="14"/>
          <w:szCs w:val="14"/>
          <w:color w:val="auto"/>
        </w:rPr>
      </w:pPr>
    </w:p>
    <w:p>
      <w:pPr>
        <w:ind w:left="520" w:hanging="260"/>
        <w:spacing w:after="0"/>
        <w:tabs>
          <w:tab w:leader="none" w:pos="520" w:val="left"/>
        </w:tabs>
        <w:numPr>
          <w:ilvl w:val="0"/>
          <w:numId w:val="4"/>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continue to strengthen our brand name; and</w:t>
      </w:r>
    </w:p>
    <w:p>
      <w:pPr>
        <w:spacing w:after="0" w:line="93" w:lineRule="exact"/>
        <w:rPr>
          <w:rFonts w:ascii="Times New Roman" w:cs="Times New Roman" w:eastAsia="Times New Roman" w:hAnsi="Times New Roman"/>
          <w:sz w:val="14"/>
          <w:szCs w:val="14"/>
          <w:color w:val="auto"/>
        </w:rPr>
      </w:pPr>
    </w:p>
    <w:p>
      <w:pPr>
        <w:ind w:left="520" w:hanging="260"/>
        <w:spacing w:after="0"/>
        <w:tabs>
          <w:tab w:leader="none" w:pos="520" w:val="left"/>
        </w:tabs>
        <w:numPr>
          <w:ilvl w:val="0"/>
          <w:numId w:val="4"/>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develop or acquire new investment strategies.</w:t>
      </w:r>
    </w:p>
    <w:p>
      <w:pPr>
        <w:spacing w:after="0" w:line="92" w:lineRule="exact"/>
        <w:rPr>
          <w:sz w:val="20"/>
          <w:szCs w:val="20"/>
          <w:color w:val="auto"/>
        </w:rPr>
      </w:pPr>
    </w:p>
    <w:p>
      <w:pPr>
        <w:ind w:firstLine="382"/>
        <w:spacing w:after="0" w:line="259" w:lineRule="auto"/>
        <w:rPr>
          <w:sz w:val="20"/>
          <w:szCs w:val="20"/>
          <w:color w:val="auto"/>
        </w:rPr>
      </w:pPr>
      <w:r>
        <w:rPr>
          <w:rFonts w:ascii="Times New Roman" w:cs="Times New Roman" w:eastAsia="Times New Roman" w:hAnsi="Times New Roman"/>
          <w:sz w:val="14"/>
          <w:szCs w:val="14"/>
          <w:i w:val="1"/>
          <w:iCs w:val="1"/>
          <w:color w:val="auto"/>
        </w:rPr>
        <w:t>Generate growth from new and existing clients and consultant relationships</w:t>
      </w:r>
      <w:r>
        <w:rPr>
          <w:rFonts w:ascii="Times New Roman" w:cs="Times New Roman" w:eastAsia="Times New Roman" w:hAnsi="Times New Roman"/>
          <w:sz w:val="14"/>
          <w:szCs w:val="14"/>
          <w:color w:val="auto"/>
        </w:rPr>
        <w:t>. A primary business objective is to maintain and enhance existing relationships with clients, investment consultants</w:t>
      </w:r>
      <w:r>
        <w:rPr>
          <w:rFonts w:ascii="Times New Roman" w:cs="Times New Roman" w:eastAsia="Times New Roman" w:hAnsi="Times New Roman"/>
          <w:sz w:val="14"/>
          <w:szCs w:val="14"/>
          <w:i w:val="1"/>
          <w:iCs w:val="1"/>
          <w:color w:val="auto"/>
        </w:rPr>
        <w:t xml:space="preserve"> </w:t>
      </w:r>
      <w:r>
        <w:rPr>
          <w:rFonts w:ascii="Times New Roman" w:cs="Times New Roman" w:eastAsia="Times New Roman" w:hAnsi="Times New Roman"/>
          <w:sz w:val="14"/>
          <w:szCs w:val="14"/>
          <w:color w:val="auto"/>
        </w:rPr>
        <w:t>and intermediaries by providing value-added investment opportunities, performance and excellent client service. We pursue growth via targeted sales and marketing efforts that showcase our boutique, innovative offerings across our product platform. New institutional client accounts are sourced from investment consultants or from our direct sales efforts. The Salient Acquisition, the addition of our MIS team, the launch of several ETFs and the launch of our Energy Secondaries private capital platform have significantly expanded our product range and distribution capabilities. We plan to leverage our increased scale and broader product availability to enhance offerings to institutional, intermediary and wealth management clients. We believe a key factor for our being considered for new client mandates and platform placements is our firm’s in-depth knowledge, our people, our processes and our agility to innovate to meet our client needs with new products and services.</w:t>
      </w:r>
    </w:p>
    <w:p>
      <w:pPr>
        <w:spacing w:after="0" w:line="231" w:lineRule="exact"/>
        <w:rPr>
          <w:sz w:val="20"/>
          <w:szCs w:val="20"/>
          <w:color w:val="auto"/>
        </w:rPr>
      </w:pPr>
    </w:p>
    <w:p>
      <w:pPr>
        <w:jc w:val="both"/>
        <w:ind w:right="40" w:firstLine="382"/>
        <w:spacing w:after="0" w:line="271" w:lineRule="auto"/>
        <w:rPr>
          <w:sz w:val="20"/>
          <w:szCs w:val="20"/>
          <w:color w:val="auto"/>
        </w:rPr>
      </w:pPr>
      <w:r>
        <w:rPr>
          <w:rFonts w:ascii="Times New Roman" w:cs="Times New Roman" w:eastAsia="Times New Roman" w:hAnsi="Times New Roman"/>
          <w:sz w:val="14"/>
          <w:szCs w:val="14"/>
          <w:i w:val="1"/>
          <w:iCs w:val="1"/>
          <w:color w:val="auto"/>
        </w:rPr>
        <w:t>Attract and retain key employees</w:t>
      </w:r>
      <w:r>
        <w:rPr>
          <w:rFonts w:ascii="Times New Roman" w:cs="Times New Roman" w:eastAsia="Times New Roman" w:hAnsi="Times New Roman"/>
          <w:sz w:val="14"/>
          <w:szCs w:val="14"/>
          <w:color w:val="auto"/>
        </w:rPr>
        <w:t>. We have created a workplace environment in which motivated, performance-driven and client-oriented individuals can thrive. As a public company, we offer</w:t>
      </w:r>
      <w:r>
        <w:rPr>
          <w:rFonts w:ascii="Times New Roman" w:cs="Times New Roman" w:eastAsia="Times New Roman" w:hAnsi="Times New Roman"/>
          <w:sz w:val="14"/>
          <w:szCs w:val="14"/>
          <w:i w:val="1"/>
          <w:iCs w:val="1"/>
          <w:color w:val="auto"/>
        </w:rPr>
        <w:t xml:space="preserve"> </w:t>
      </w:r>
      <w:r>
        <w:rPr>
          <w:rFonts w:ascii="Times New Roman" w:cs="Times New Roman" w:eastAsia="Times New Roman" w:hAnsi="Times New Roman"/>
          <w:sz w:val="14"/>
          <w:szCs w:val="14"/>
          <w:color w:val="auto"/>
        </w:rPr>
        <w:t>certain employees a compensation program that includes strong equity incentives to align their success with that of our clients and stockholders. We believe these factors are critical to maintaining a stable, client-focused environment to support future growth.</w:t>
      </w:r>
    </w:p>
    <w:p>
      <w:pPr>
        <w:spacing w:after="0" w:line="49" w:lineRule="exact"/>
        <w:rPr>
          <w:sz w:val="20"/>
          <w:szCs w:val="20"/>
          <w:color w:val="auto"/>
        </w:rPr>
      </w:pPr>
    </w:p>
    <w:p>
      <w:pPr>
        <w:jc w:val="both"/>
        <w:ind w:right="140" w:firstLine="382"/>
        <w:spacing w:after="0" w:line="271" w:lineRule="auto"/>
        <w:rPr>
          <w:sz w:val="20"/>
          <w:szCs w:val="20"/>
          <w:color w:val="auto"/>
        </w:rPr>
      </w:pPr>
      <w:r>
        <w:rPr>
          <w:rFonts w:ascii="Times New Roman" w:cs="Times New Roman" w:eastAsia="Times New Roman" w:hAnsi="Times New Roman"/>
          <w:sz w:val="14"/>
          <w:szCs w:val="14"/>
          <w:i w:val="1"/>
          <w:iCs w:val="1"/>
          <w:color w:val="auto"/>
        </w:rPr>
        <w:t>Grow assets in our existing investment strategies</w:t>
      </w:r>
      <w:r>
        <w:rPr>
          <w:rFonts w:ascii="Times New Roman" w:cs="Times New Roman" w:eastAsia="Times New Roman" w:hAnsi="Times New Roman"/>
          <w:sz w:val="14"/>
          <w:szCs w:val="14"/>
          <w:color w:val="auto"/>
        </w:rPr>
        <w:t>. We have significant capacity to manage additional assets across our investment management platform. We have considerably expanded our</w:t>
      </w:r>
      <w:r>
        <w:rPr>
          <w:rFonts w:ascii="Times New Roman" w:cs="Times New Roman" w:eastAsia="Times New Roman" w:hAnsi="Times New Roman"/>
          <w:sz w:val="14"/>
          <w:szCs w:val="14"/>
          <w:i w:val="1"/>
          <w:iCs w:val="1"/>
          <w:color w:val="auto"/>
        </w:rPr>
        <w:t xml:space="preserve"> </w:t>
      </w:r>
      <w:r>
        <w:rPr>
          <w:rFonts w:ascii="Times New Roman" w:cs="Times New Roman" w:eastAsia="Times New Roman" w:hAnsi="Times New Roman"/>
          <w:sz w:val="14"/>
          <w:szCs w:val="14"/>
          <w:color w:val="auto"/>
        </w:rPr>
        <w:t>range of investment strategies and capabilities through the Salient Acquisition, the addition of MIS and the launch of our Energy Secondaries private capital platform, further enhancing our growth opportunities.</w:t>
      </w:r>
    </w:p>
    <w:p>
      <w:pPr>
        <w:spacing w:after="0" w:line="49" w:lineRule="exact"/>
        <w:rPr>
          <w:sz w:val="20"/>
          <w:szCs w:val="20"/>
          <w:color w:val="auto"/>
        </w:rPr>
      </w:pPr>
    </w:p>
    <w:p>
      <w:pPr>
        <w:ind w:right="20" w:firstLine="382"/>
        <w:spacing w:after="0" w:line="244" w:lineRule="auto"/>
        <w:rPr>
          <w:sz w:val="20"/>
          <w:szCs w:val="20"/>
          <w:color w:val="auto"/>
        </w:rPr>
      </w:pPr>
      <w:r>
        <w:rPr>
          <w:rFonts w:ascii="Times New Roman" w:cs="Times New Roman" w:eastAsia="Times New Roman" w:hAnsi="Times New Roman"/>
          <w:sz w:val="14"/>
          <w:szCs w:val="14"/>
          <w:i w:val="1"/>
          <w:iCs w:val="1"/>
          <w:color w:val="auto"/>
        </w:rPr>
        <w:t xml:space="preserve">Foster continued growth of the wealth management platform and distribution channel. </w:t>
      </w:r>
      <w:r>
        <w:rPr>
          <w:rFonts w:ascii="Times New Roman" w:cs="Times New Roman" w:eastAsia="Times New Roman" w:hAnsi="Times New Roman"/>
          <w:sz w:val="14"/>
          <w:szCs w:val="14"/>
          <w:color w:val="auto"/>
        </w:rPr>
        <w:t>Westwood Trust serves high net worth and ultra-high net worth individuals and families as well as small</w:t>
      </w:r>
      <w:r>
        <w:rPr>
          <w:rFonts w:ascii="Times New Roman" w:cs="Times New Roman" w:eastAsia="Times New Roman" w:hAnsi="Times New Roman"/>
          <w:sz w:val="14"/>
          <w:szCs w:val="14"/>
          <w:i w:val="1"/>
          <w:iCs w:val="1"/>
          <w:color w:val="auto"/>
        </w:rPr>
        <w:t xml:space="preserve"> </w:t>
      </w:r>
      <w:r>
        <w:rPr>
          <w:rFonts w:ascii="Times New Roman" w:cs="Times New Roman" w:eastAsia="Times New Roman" w:hAnsi="Times New Roman"/>
          <w:sz w:val="14"/>
          <w:szCs w:val="14"/>
          <w:color w:val="auto"/>
        </w:rPr>
        <w:t>to medium-sized institutions. Our location within the Texas Triangle, comprised of Dallas-Fort Worth, Houston, San Antonio, and Austin, provides significant opportunities for future growth. The Texas Triangle is experiencing rapid growth in population and jobs and, in aggregate, represents the 8</w:t>
      </w:r>
      <w:r>
        <w:rPr>
          <w:rFonts w:ascii="Times New Roman" w:cs="Times New Roman" w:eastAsia="Times New Roman" w:hAnsi="Times New Roman"/>
          <w:sz w:val="18"/>
          <w:szCs w:val="18"/>
          <w:color w:val="auto"/>
          <w:vertAlign w:val="superscript"/>
        </w:rPr>
        <w:t>th</w:t>
      </w:r>
      <w:r>
        <w:rPr>
          <w:rFonts w:ascii="Times New Roman" w:cs="Times New Roman" w:eastAsia="Times New Roman" w:hAnsi="Times New Roman"/>
          <w:sz w:val="14"/>
          <w:szCs w:val="14"/>
          <w:color w:val="auto"/>
        </w:rPr>
        <w:t xml:space="preserve"> largest economy in the world. We anticipate continued interest from clients and prospective clients in our holistic wealth management approach, which leverages our long history and deep experience as a trust company and investment management firm. A significant percentage of Westwood Trust’s asset inflows stems from referrals along with gathering additional assets from existing clients, trends we see continuing.</w:t>
      </w:r>
    </w:p>
    <w:p>
      <w:pPr>
        <w:spacing w:after="0" w:line="69" w:lineRule="exact"/>
        <w:rPr>
          <w:sz w:val="20"/>
          <w:szCs w:val="20"/>
          <w:color w:val="auto"/>
        </w:rPr>
      </w:pPr>
    </w:p>
    <w:p>
      <w:pPr>
        <w:ind w:right="200" w:firstLine="382"/>
        <w:spacing w:after="0" w:line="265" w:lineRule="auto"/>
        <w:rPr>
          <w:sz w:val="20"/>
          <w:szCs w:val="20"/>
          <w:color w:val="auto"/>
        </w:rPr>
      </w:pPr>
      <w:r>
        <w:rPr>
          <w:rFonts w:ascii="Times New Roman" w:cs="Times New Roman" w:eastAsia="Times New Roman" w:hAnsi="Times New Roman"/>
          <w:sz w:val="14"/>
          <w:szCs w:val="14"/>
          <w:i w:val="1"/>
          <w:iCs w:val="1"/>
          <w:color w:val="auto"/>
        </w:rPr>
        <w:t>Expand and enhance intermediary distribution</w:t>
      </w:r>
      <w:r>
        <w:rPr>
          <w:rFonts w:ascii="Times New Roman" w:cs="Times New Roman" w:eastAsia="Times New Roman" w:hAnsi="Times New Roman"/>
          <w:sz w:val="14"/>
          <w:szCs w:val="14"/>
          <w:color w:val="auto"/>
        </w:rPr>
        <w:t>. The Intermediary distribution channel is a key component of our efforts to grow our AUM, primarily with respect to mutual funds, ETFs,</w:t>
      </w:r>
      <w:r>
        <w:rPr>
          <w:rFonts w:ascii="Times New Roman" w:cs="Times New Roman" w:eastAsia="Times New Roman" w:hAnsi="Times New Roman"/>
          <w:sz w:val="14"/>
          <w:szCs w:val="14"/>
          <w:i w:val="1"/>
          <w:iCs w:val="1"/>
          <w:color w:val="auto"/>
        </w:rPr>
        <w:t xml:space="preserve"> </w:t>
      </w:r>
      <w:r>
        <w:rPr>
          <w:rFonts w:ascii="Times New Roman" w:cs="Times New Roman" w:eastAsia="Times New Roman" w:hAnsi="Times New Roman"/>
          <w:sz w:val="14"/>
          <w:szCs w:val="14"/>
          <w:color w:val="auto"/>
        </w:rPr>
        <w:t>separately managed accounts ("SMA"), model-delivery SMA and private capital funds. We continue to seek ways to enhance the effectiveness of our intermediary distribution efforts through the utilization of technology and addition of experienced sales personnel. In recent years we have added a Head of ETF Distribution and an ETF Sales Specialist. We believe our efforts to expand and enhance intermediary distribution enable us to pursue AUM growth in the defined contribution and retirement marketplaces as well as with RIAs and select broker-dealers.</w:t>
      </w:r>
    </w:p>
    <w:p>
      <w:pPr>
        <w:spacing w:after="0" w:line="53" w:lineRule="exact"/>
        <w:rPr>
          <w:sz w:val="20"/>
          <w:szCs w:val="20"/>
          <w:color w:val="auto"/>
        </w:rPr>
      </w:pPr>
    </w:p>
    <w:p>
      <w:pPr>
        <w:jc w:val="both"/>
        <w:ind w:right="180" w:firstLine="382"/>
        <w:spacing w:after="0" w:line="271" w:lineRule="auto"/>
        <w:rPr>
          <w:sz w:val="20"/>
          <w:szCs w:val="20"/>
          <w:color w:val="auto"/>
        </w:rPr>
      </w:pPr>
      <w:r>
        <w:rPr>
          <w:rFonts w:ascii="Times New Roman" w:cs="Times New Roman" w:eastAsia="Times New Roman" w:hAnsi="Times New Roman"/>
          <w:sz w:val="14"/>
          <w:szCs w:val="14"/>
          <w:i w:val="1"/>
          <w:iCs w:val="1"/>
          <w:color w:val="auto"/>
        </w:rPr>
        <w:t xml:space="preserve">Innovate to bring newly developed investment capabilities and vehicles to market. </w:t>
      </w:r>
      <w:r>
        <w:rPr>
          <w:rFonts w:ascii="Times New Roman" w:cs="Times New Roman" w:eastAsia="Times New Roman" w:hAnsi="Times New Roman"/>
          <w:sz w:val="14"/>
          <w:szCs w:val="14"/>
          <w:color w:val="auto"/>
        </w:rPr>
        <w:t>Being a small, boutique investment manager, we have the agility to bring innovative investment strategies</w:t>
      </w:r>
      <w:r>
        <w:rPr>
          <w:rFonts w:ascii="Times New Roman" w:cs="Times New Roman" w:eastAsia="Times New Roman" w:hAnsi="Times New Roman"/>
          <w:sz w:val="14"/>
          <w:szCs w:val="14"/>
          <w:i w:val="1"/>
          <w:iCs w:val="1"/>
          <w:color w:val="auto"/>
        </w:rPr>
        <w:t xml:space="preserve"> </w:t>
      </w:r>
      <w:r>
        <w:rPr>
          <w:rFonts w:ascii="Times New Roman" w:cs="Times New Roman" w:eastAsia="Times New Roman" w:hAnsi="Times New Roman"/>
          <w:sz w:val="14"/>
          <w:szCs w:val="14"/>
          <w:color w:val="auto"/>
        </w:rPr>
        <w:t>and products to all of our target markets. We have recently expanded our range of investment strategies, capabilities, and vehicles through the following strategic initiatives that will provide future growth opportunities:</w:t>
      </w:r>
    </w:p>
    <w:p>
      <w:pPr>
        <w:spacing w:after="0" w:line="51" w:lineRule="exact"/>
        <w:rPr>
          <w:sz w:val="20"/>
          <w:szCs w:val="20"/>
          <w:color w:val="auto"/>
        </w:rPr>
      </w:pPr>
    </w:p>
    <w:p>
      <w:pPr>
        <w:ind w:left="520" w:right="200" w:hanging="260"/>
        <w:spacing w:after="0" w:line="270" w:lineRule="auto"/>
        <w:tabs>
          <w:tab w:leader="none" w:pos="516" w:val="left"/>
        </w:tabs>
        <w:numPr>
          <w:ilvl w:val="0"/>
          <w:numId w:val="5"/>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Addition of our MIS team in the fourth quarter of 2023 – our MIS team focuses on tailoring investment solutions to a diverse array of institutional risk/reward tolerances and investment approaches. We have built a proprietary portfolio management system to take the team’s custom solutions capabilities to market. We increased our proactive sales efforts throughout 2025 with well-received road shows focused on consultants and institutional plan sponsors.</w:t>
      </w:r>
    </w:p>
    <w:p>
      <w:pPr>
        <w:spacing w:after="0" w:line="50" w:lineRule="exact"/>
        <w:rPr>
          <w:rFonts w:ascii="Times New Roman" w:cs="Times New Roman" w:eastAsia="Times New Roman" w:hAnsi="Times New Roman"/>
          <w:sz w:val="14"/>
          <w:szCs w:val="14"/>
          <w:color w:val="auto"/>
        </w:rPr>
      </w:pPr>
    </w:p>
    <w:p>
      <w:pPr>
        <w:ind w:left="520" w:right="180" w:hanging="260"/>
        <w:spacing w:after="0" w:line="261" w:lineRule="auto"/>
        <w:tabs>
          <w:tab w:leader="none" w:pos="516" w:val="left"/>
        </w:tabs>
        <w:numPr>
          <w:ilvl w:val="0"/>
          <w:numId w:val="5"/>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Energy Secondaries private capital – we continue to see attractive opportunities to acquire limited partnership interests in energy private equity funds. Many institutional investors are divesting energy holdings for liquidity purposes as well as environmental, social and governance ("ESG") and other non-fundamental reasons, thereby creating a large supply and demand imbalance. We can provide needed liquidity to these investors in energy private equity funds via our own private capital funds which offer our clients the opportunity to participate in the funds' acquisition of limited partnership interests, generally at discounts to net asset value ranging from approximately 20% to 40%. We have also seen an increase in general partner-led continuation vehicles and co-investment opportunities, which provide our clients with exposure to single or a small number of mature assets with established operating histories.</w:t>
      </w:r>
    </w:p>
    <w:p>
      <w:pPr>
        <w:spacing w:after="0" w:line="200" w:lineRule="exact"/>
        <w:rPr>
          <w:sz w:val="20"/>
          <w:szCs w:val="20"/>
          <w:color w:val="auto"/>
        </w:rPr>
      </w:pPr>
    </w:p>
    <w:p>
      <w:pPr>
        <w:spacing w:after="0" w:line="208" w:lineRule="exact"/>
        <w:rPr>
          <w:sz w:val="20"/>
          <w:szCs w:val="20"/>
          <w:color w:val="auto"/>
        </w:rPr>
      </w:pPr>
    </w:p>
    <w:p>
      <w:pPr>
        <w:jc w:val="center"/>
        <w:ind w:right="-59"/>
        <w:spacing w:after="0"/>
        <w:rPr>
          <w:sz w:val="20"/>
          <w:szCs w:val="20"/>
          <w:color w:val="auto"/>
        </w:rPr>
      </w:pPr>
      <w:r>
        <w:rPr>
          <w:rFonts w:ascii="Times New Roman" w:cs="Times New Roman" w:eastAsia="Times New Roman" w:hAnsi="Times New Roman"/>
          <w:sz w:val="14"/>
          <w:szCs w:val="14"/>
          <w:color w:val="auto"/>
        </w:rPr>
        <w:t>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-8890</wp:posOffset>
            </wp:positionH>
            <wp:positionV relativeFrom="paragraph">
              <wp:posOffset>55880</wp:posOffset>
            </wp:positionV>
            <wp:extent cx="7186930" cy="38735"/>
            <wp:wrapNone/>
            <wp:docPr id="14" name="Picture 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
                    <pic:cNvPicPr>
                      <a:picLocks noChangeAspect="1" noChangeArrowheads="1"/>
                    </pic:cNvPicPr>
                  </pic:nvPicPr>
                  <pic:blipFill>
                    <a:blip r:embed="rId21">
                      <a:extLst>
                        <a:ext uri="{28A0092B-C50C-407E-A947-70E740481C1C}"/>
                      </a:extLst>
                    </a:blip>
                    <a:srcRect/>
                    <a:stretch>
                      <a:fillRect/>
                    </a:stretch>
                  </pic:blipFill>
                  <pic:spPr bwMode="auto">
                    <a:xfrm>
                      <a:off x="0" y="0"/>
                      <a:ext cx="7186930" cy="38735"/>
                    </a:xfrm>
                    <a:prstGeom prst="rect">
                      <a:avLst/>
                    </a:prstGeom>
                    <a:noFill/>
                  </pic:spPr>
                </pic:pic>
              </a:graphicData>
            </a:graphic>
          </wp:anchor>
        </w:drawing>
      </w:r>
    </w:p>
    <w:p>
      <w:pPr>
        <w:sectPr>
          <w:pgSz w:w="11900" w:h="16838" w:orient="portrait"/>
          <w:cols w:equalWidth="0" w:num="1">
            <w:col w:w="11240"/>
          </w:cols>
          <w:pgMar w:left="300" w:top="814" w:right="359" w:bottom="1440" w:gutter="0" w:footer="0" w:header="0"/>
        </w:sectPr>
      </w:pPr>
    </w:p>
    <w:bookmarkStart w:id="9" w:name="page10"/>
    <w:bookmarkEnd w:id="9"/>
    <w:p>
      <w:pPr>
        <w:ind w:left="520" w:hanging="260"/>
        <w:spacing w:after="0" w:line="244" w:lineRule="auto"/>
        <w:tabs>
          <w:tab w:leader="none" w:pos="516" w:val="left"/>
        </w:tabs>
        <w:numPr>
          <w:ilvl w:val="0"/>
          <w:numId w:val="6"/>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Building our ETF platform – we launched our first two actively-managed ETFs in 2024 and added two more in 2025: Westwood Enhanced Income Opportunity ETF (YLDW) and Westwood LBRTY Global Equity ETF (BFRE). Westwood Enhanced Income Opportunity ETF (YLDW), along with Westwood Salient Enhanced Midstream Income ETF (MDST) and Westwood Salient Enhanced Energy Income ETF (WEEI), comprise our Enhanced Income Series</w:t>
      </w:r>
      <w:r>
        <w:rPr>
          <w:rFonts w:ascii="Times New Roman" w:cs="Times New Roman" w:eastAsia="Times New Roman" w:hAnsi="Times New Roman"/>
          <w:sz w:val="18"/>
          <w:szCs w:val="18"/>
          <w:color w:val="auto"/>
          <w:vertAlign w:val="superscript"/>
        </w:rPr>
        <w:t>TM</w:t>
      </w:r>
      <w:r>
        <w:rPr>
          <w:rFonts w:ascii="Times New Roman" w:cs="Times New Roman" w:eastAsia="Times New Roman" w:hAnsi="Times New Roman"/>
          <w:sz w:val="14"/>
          <w:szCs w:val="14"/>
          <w:color w:val="auto"/>
        </w:rPr>
        <w:t xml:space="preserve"> ETFs. These Enhanced Income Series</w:t>
      </w:r>
      <w:r>
        <w:rPr>
          <w:rFonts w:ascii="Times New Roman" w:cs="Times New Roman" w:eastAsia="Times New Roman" w:hAnsi="Times New Roman"/>
          <w:sz w:val="18"/>
          <w:szCs w:val="18"/>
          <w:color w:val="auto"/>
          <w:vertAlign w:val="superscript"/>
        </w:rPr>
        <w:t>TM</w:t>
      </w:r>
      <w:r>
        <w:rPr>
          <w:rFonts w:ascii="Times New Roman" w:cs="Times New Roman" w:eastAsia="Times New Roman" w:hAnsi="Times New Roman"/>
          <w:sz w:val="14"/>
          <w:szCs w:val="14"/>
          <w:color w:val="auto"/>
        </w:rPr>
        <w:t xml:space="preserve"> funds are designed to provide advisors and investors with a robust solution for generating high distributable monthly income, combining dividend yield and options premiums from covered calls, while offering the potential for equity appreciation across multiple asset classes. We have deployed an ETF ecosystem with top-tier partners, which can serve as a platform for future ETF launches.</w:t>
      </w:r>
    </w:p>
    <w:p>
      <w:pPr>
        <w:spacing w:after="0" w:line="68" w:lineRule="exact"/>
        <w:rPr>
          <w:rFonts w:ascii="Times New Roman" w:cs="Times New Roman" w:eastAsia="Times New Roman" w:hAnsi="Times New Roman"/>
          <w:sz w:val="14"/>
          <w:szCs w:val="14"/>
          <w:color w:val="auto"/>
        </w:rPr>
      </w:pPr>
    </w:p>
    <w:p>
      <w:pPr>
        <w:ind w:left="520" w:right="360" w:hanging="260"/>
        <w:spacing w:after="0" w:line="270" w:lineRule="auto"/>
        <w:tabs>
          <w:tab w:leader="none" w:pos="516" w:val="left"/>
        </w:tabs>
        <w:numPr>
          <w:ilvl w:val="0"/>
          <w:numId w:val="6"/>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Partnership with WEBs Investments Inc. – in late 2024 we partnered with a newly launched firm, WEBs Investments Inc., to develop and launch innovative investment strategies for investors and advisors. Westwood provided the initial capital to launch WEBs and provides distribution resources and administrative support, with an option to buy the entity subject to achievement of certain growth milestones.</w:t>
      </w:r>
    </w:p>
    <w:p>
      <w:pPr>
        <w:spacing w:after="0" w:line="49" w:lineRule="exact"/>
        <w:rPr>
          <w:sz w:val="20"/>
          <w:szCs w:val="20"/>
          <w:color w:val="auto"/>
        </w:rPr>
      </w:pPr>
    </w:p>
    <w:p>
      <w:pPr>
        <w:ind w:right="20" w:firstLine="382"/>
        <w:spacing w:after="0" w:line="260" w:lineRule="auto"/>
        <w:rPr>
          <w:sz w:val="20"/>
          <w:szCs w:val="20"/>
          <w:color w:val="auto"/>
        </w:rPr>
      </w:pPr>
      <w:r>
        <w:rPr>
          <w:rFonts w:ascii="Times New Roman" w:cs="Times New Roman" w:eastAsia="Times New Roman" w:hAnsi="Times New Roman"/>
          <w:sz w:val="14"/>
          <w:szCs w:val="14"/>
          <w:i w:val="1"/>
          <w:iCs w:val="1"/>
          <w:color w:val="auto"/>
        </w:rPr>
        <w:t xml:space="preserve">Pursue strategic corporate development opportunities. </w:t>
      </w:r>
      <w:r>
        <w:rPr>
          <w:rFonts w:ascii="Times New Roman" w:cs="Times New Roman" w:eastAsia="Times New Roman" w:hAnsi="Times New Roman"/>
          <w:sz w:val="14"/>
          <w:szCs w:val="14"/>
          <w:color w:val="auto"/>
        </w:rPr>
        <w:t>We continually evaluate strategic corporate development opportunities to augment our organic growth. These may include acquisitions</w:t>
      </w:r>
      <w:r>
        <w:rPr>
          <w:rFonts w:ascii="Times New Roman" w:cs="Times New Roman" w:eastAsia="Times New Roman" w:hAnsi="Times New Roman"/>
          <w:sz w:val="14"/>
          <w:szCs w:val="14"/>
          <w:i w:val="1"/>
          <w:iCs w:val="1"/>
          <w:color w:val="auto"/>
        </w:rPr>
        <w:t xml:space="preserve"> </w:t>
      </w:r>
      <w:r>
        <w:rPr>
          <w:rFonts w:ascii="Times New Roman" w:cs="Times New Roman" w:eastAsia="Times New Roman" w:hAnsi="Times New Roman"/>
          <w:sz w:val="14"/>
          <w:szCs w:val="14"/>
          <w:color w:val="auto"/>
        </w:rPr>
        <w:t>of asset management firms, investment funds, wealth management firms or other financial institutions, as well as hiring investment professionals or teams. We consider opportunities that can enhance our existing operations, expand our range of investment strategies and services, or further develop our distribution capabilities. Acquiring investment firms or hiring investment professionals or teams with investment strategies outside our current areas of expertise can help us attract new clients and provides existing clients with a broader array of investment strategies. We may consider forging alliances with other financial services or technology firms to leverage our core competency of developing and managing investment strategies and obtain enhanced distribution capabilities or additional service offerings.</w:t>
      </w:r>
    </w:p>
    <w:p>
      <w:pPr>
        <w:spacing w:after="0" w:line="57" w:lineRule="exact"/>
        <w:rPr>
          <w:sz w:val="20"/>
          <w:szCs w:val="20"/>
          <w:color w:val="auto"/>
        </w:rPr>
      </w:pPr>
    </w:p>
    <w:p>
      <w:pPr>
        <w:ind w:right="80" w:firstLine="382"/>
        <w:spacing w:after="0" w:line="265" w:lineRule="auto"/>
        <w:rPr>
          <w:sz w:val="20"/>
          <w:szCs w:val="20"/>
          <w:color w:val="auto"/>
        </w:rPr>
      </w:pPr>
      <w:r>
        <w:rPr>
          <w:rFonts w:ascii="Times New Roman" w:cs="Times New Roman" w:eastAsia="Times New Roman" w:hAnsi="Times New Roman"/>
          <w:sz w:val="14"/>
          <w:szCs w:val="14"/>
          <w:i w:val="1"/>
          <w:iCs w:val="1"/>
          <w:color w:val="auto"/>
        </w:rPr>
        <w:t xml:space="preserve">Continue to strengthen our brand name. </w:t>
      </w:r>
      <w:r>
        <w:rPr>
          <w:rFonts w:ascii="Times New Roman" w:cs="Times New Roman" w:eastAsia="Times New Roman" w:hAnsi="Times New Roman"/>
          <w:sz w:val="14"/>
          <w:szCs w:val="14"/>
          <w:color w:val="auto"/>
        </w:rPr>
        <w:t>We believe that the strength of our brand name has been a key component to our long-term success in the investment industry and will be instrumental</w:t>
      </w:r>
      <w:r>
        <w:rPr>
          <w:rFonts w:ascii="Times New Roman" w:cs="Times New Roman" w:eastAsia="Times New Roman" w:hAnsi="Times New Roman"/>
          <w:sz w:val="14"/>
          <w:szCs w:val="14"/>
          <w:i w:val="1"/>
          <w:iCs w:val="1"/>
          <w:color w:val="auto"/>
        </w:rPr>
        <w:t xml:space="preserve"> </w:t>
      </w:r>
      <w:r>
        <w:rPr>
          <w:rFonts w:ascii="Times New Roman" w:cs="Times New Roman" w:eastAsia="Times New Roman" w:hAnsi="Times New Roman"/>
          <w:sz w:val="14"/>
          <w:szCs w:val="14"/>
          <w:color w:val="auto"/>
        </w:rPr>
        <w:t>to our future success. We have developed a strong brand name largely thanks to our investment performance and attentive client service approach, coupled with high-profile coverage in investment publications and electronic media. Many of our investment professionals have been prominent in print and electronic media, and we will continue to seek creative approaches to strengthen our brand name and reputation in our target markets.</w:t>
      </w:r>
    </w:p>
    <w:p>
      <w:pPr>
        <w:spacing w:after="0" w:line="53" w:lineRule="exact"/>
        <w:rPr>
          <w:sz w:val="20"/>
          <w:szCs w:val="20"/>
          <w:color w:val="auto"/>
        </w:rPr>
      </w:pPr>
    </w:p>
    <w:p>
      <w:pPr>
        <w:ind w:right="20" w:firstLine="382"/>
        <w:spacing w:after="0" w:line="271" w:lineRule="auto"/>
        <w:rPr>
          <w:sz w:val="20"/>
          <w:szCs w:val="20"/>
          <w:color w:val="auto"/>
        </w:rPr>
      </w:pPr>
      <w:r>
        <w:rPr>
          <w:rFonts w:ascii="Times New Roman" w:cs="Times New Roman" w:eastAsia="Times New Roman" w:hAnsi="Times New Roman"/>
          <w:sz w:val="14"/>
          <w:szCs w:val="14"/>
          <w:i w:val="1"/>
          <w:iCs w:val="1"/>
          <w:color w:val="auto"/>
        </w:rPr>
        <w:t xml:space="preserve">Develop or acquire new investment strategies. </w:t>
      </w:r>
      <w:r>
        <w:rPr>
          <w:rFonts w:ascii="Times New Roman" w:cs="Times New Roman" w:eastAsia="Times New Roman" w:hAnsi="Times New Roman"/>
          <w:sz w:val="14"/>
          <w:szCs w:val="14"/>
          <w:color w:val="auto"/>
        </w:rPr>
        <w:t>We continuously seek opportunities to expand our range of investment strategies available to existing and prospective clients. We consider</w:t>
      </w:r>
      <w:r>
        <w:rPr>
          <w:rFonts w:ascii="Times New Roman" w:cs="Times New Roman" w:eastAsia="Times New Roman" w:hAnsi="Times New Roman"/>
          <w:sz w:val="14"/>
          <w:szCs w:val="14"/>
          <w:i w:val="1"/>
          <w:iCs w:val="1"/>
          <w:color w:val="auto"/>
        </w:rPr>
        <w:t xml:space="preserve"> </w:t>
      </w:r>
      <w:r>
        <w:rPr>
          <w:rFonts w:ascii="Times New Roman" w:cs="Times New Roman" w:eastAsia="Times New Roman" w:hAnsi="Times New Roman"/>
          <w:sz w:val="14"/>
          <w:szCs w:val="14"/>
          <w:color w:val="auto"/>
        </w:rPr>
        <w:t>internally developed strategies to extend our existing investment process to new markets, asset classes or strategies and we may consider externally acquired investment strategies. An expanded range of investment strategies offers more ways to serve our client base, generating diversified revenue streams and underpinning asset and revenue growth.</w:t>
      </w:r>
    </w:p>
    <w:p>
      <w:pPr>
        <w:spacing w:after="0" w:line="49"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b w:val="1"/>
          <w:bCs w:val="1"/>
          <w:i w:val="1"/>
          <w:iCs w:val="1"/>
          <w:color w:val="auto"/>
        </w:rPr>
        <w:t>Competition</w:t>
      </w:r>
    </w:p>
    <w:p>
      <w:pPr>
        <w:spacing w:after="0" w:line="96" w:lineRule="exact"/>
        <w:rPr>
          <w:sz w:val="20"/>
          <w:szCs w:val="20"/>
          <w:color w:val="auto"/>
        </w:rPr>
      </w:pPr>
    </w:p>
    <w:p>
      <w:pPr>
        <w:ind w:right="180" w:firstLine="382"/>
        <w:spacing w:after="0" w:line="287" w:lineRule="auto"/>
        <w:rPr>
          <w:sz w:val="20"/>
          <w:szCs w:val="20"/>
          <w:color w:val="auto"/>
        </w:rPr>
      </w:pPr>
      <w:r>
        <w:rPr>
          <w:rFonts w:ascii="Times New Roman" w:cs="Times New Roman" w:eastAsia="Times New Roman" w:hAnsi="Times New Roman"/>
          <w:sz w:val="14"/>
          <w:szCs w:val="14"/>
          <w:color w:val="auto"/>
        </w:rPr>
        <w:t>We are subject to substantial and growing competition in all aspects of our business. Barriers to entry in the asset management business are relatively low and we expect more competitors in the future. Many asset managers are larger, better known and have greater resources than we do.</w:t>
      </w:r>
    </w:p>
    <w:p>
      <w:pPr>
        <w:spacing w:after="0" w:line="39" w:lineRule="exact"/>
        <w:rPr>
          <w:sz w:val="20"/>
          <w:szCs w:val="20"/>
          <w:color w:val="auto"/>
        </w:rPr>
      </w:pPr>
    </w:p>
    <w:p>
      <w:pPr>
        <w:ind w:right="40" w:firstLine="382"/>
        <w:spacing w:after="0" w:line="270" w:lineRule="auto"/>
        <w:rPr>
          <w:sz w:val="20"/>
          <w:szCs w:val="20"/>
          <w:color w:val="auto"/>
        </w:rPr>
      </w:pPr>
      <w:r>
        <w:rPr>
          <w:rFonts w:ascii="Times New Roman" w:cs="Times New Roman" w:eastAsia="Times New Roman" w:hAnsi="Times New Roman"/>
          <w:sz w:val="14"/>
          <w:szCs w:val="14"/>
          <w:color w:val="auto"/>
        </w:rPr>
        <w:t>We compete with other asset management firms on the basis of investment strategies, investment performance in absolute terms and relative to peer groups, quality of service, the levels of fees charged, attractive compensation offered to key employees and the way in which investment strategies are marketed. Many of our competitors offer more investment strategies and services than we do and many have substantially greater AUM.</w:t>
      </w:r>
    </w:p>
    <w:p>
      <w:pPr>
        <w:spacing w:after="0" w:line="51" w:lineRule="exact"/>
        <w:rPr>
          <w:sz w:val="20"/>
          <w:szCs w:val="20"/>
          <w:color w:val="auto"/>
        </w:rPr>
      </w:pPr>
    </w:p>
    <w:p>
      <w:pPr>
        <w:ind w:right="20" w:firstLine="382"/>
        <w:spacing w:after="0" w:line="261" w:lineRule="auto"/>
        <w:rPr>
          <w:sz w:val="20"/>
          <w:szCs w:val="20"/>
          <w:color w:val="auto"/>
        </w:rPr>
      </w:pPr>
      <w:r>
        <w:rPr>
          <w:rFonts w:ascii="Times New Roman" w:cs="Times New Roman" w:eastAsia="Times New Roman" w:hAnsi="Times New Roman"/>
          <w:sz w:val="14"/>
          <w:szCs w:val="14"/>
          <w:color w:val="auto"/>
        </w:rPr>
        <w:t>We compete against numerous investment dealers, banks, insurance companies, mutual fund companies, ETFs, brokerage and investment firms and others that sell equity funds, taxable income funds, tax-free investments and other investment products. The allocation of assets by many investors from active equity investing has enhanced the ability of firms offering passive equity management to compete more effectively with us. The demand for passive strategies with low-fee structures has rapidly increased and investors frequently demand customized and personalized strategies to fit their investment needs. This shift in the marketplace may benefit competitors offering certain investment vehicles that we do not offer. In summary, our competitive landscape is intense and dynamic, which may affect our ability to compete successfully.</w:t>
      </w:r>
    </w:p>
    <w:p>
      <w:pPr>
        <w:spacing w:after="0" w:line="58" w:lineRule="exact"/>
        <w:rPr>
          <w:sz w:val="20"/>
          <w:szCs w:val="20"/>
          <w:color w:val="auto"/>
        </w:rPr>
      </w:pPr>
    </w:p>
    <w:p>
      <w:pPr>
        <w:jc w:val="both"/>
        <w:ind w:right="20" w:firstLine="382"/>
        <w:spacing w:after="0" w:line="270" w:lineRule="auto"/>
        <w:rPr>
          <w:sz w:val="20"/>
          <w:szCs w:val="20"/>
          <w:color w:val="auto"/>
        </w:rPr>
      </w:pPr>
      <w:r>
        <w:rPr>
          <w:rFonts w:ascii="Times New Roman" w:cs="Times New Roman" w:eastAsia="Times New Roman" w:hAnsi="Times New Roman"/>
          <w:sz w:val="14"/>
          <w:szCs w:val="14"/>
          <w:color w:val="auto"/>
        </w:rPr>
        <w:t>Most prospective clients perform a thorough review of an investment manager’s background, investment policies and performance before committing assets and many prospective clients invite competing firms to make presentations. The process of obtaining a new client typically takes twelve to eighteen months from the time of initial contact. While we have achieved success in competing for clients, we dedicate significant resources to this process over an extended period of time with no certainty of winning client mandates.</w:t>
      </w:r>
    </w:p>
    <w:p>
      <w:pPr>
        <w:spacing w:after="0" w:line="49"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b w:val="1"/>
          <w:bCs w:val="1"/>
          <w:i w:val="1"/>
          <w:iCs w:val="1"/>
          <w:color w:val="auto"/>
        </w:rPr>
        <w:t>Regulation</w:t>
      </w:r>
    </w:p>
    <w:p>
      <w:pPr>
        <w:spacing w:after="0" w:line="200" w:lineRule="exact"/>
        <w:rPr>
          <w:sz w:val="20"/>
          <w:szCs w:val="20"/>
          <w:color w:val="auto"/>
        </w:rPr>
      </w:pPr>
    </w:p>
    <w:p>
      <w:pPr>
        <w:spacing w:after="0" w:line="246"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4"/>
          <w:szCs w:val="14"/>
          <w:color w:val="auto"/>
        </w:rPr>
        <w:t>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-8890</wp:posOffset>
            </wp:positionH>
            <wp:positionV relativeFrom="paragraph">
              <wp:posOffset>55880</wp:posOffset>
            </wp:positionV>
            <wp:extent cx="7186930" cy="38735"/>
            <wp:wrapNone/>
            <wp:docPr id="15" name="Picture 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
                    <pic:cNvPicPr>
                      <a:picLocks noChangeAspect="1" noChangeArrowheads="1"/>
                    </pic:cNvPicPr>
                  </pic:nvPicPr>
                  <pic:blipFill>
                    <a:blip r:embed="rId22">
                      <a:extLst>
                        <a:ext uri="{28A0092B-C50C-407E-A947-70E740481C1C}"/>
                      </a:extLst>
                    </a:blip>
                    <a:srcRect/>
                    <a:stretch>
                      <a:fillRect/>
                    </a:stretch>
                  </pic:blipFill>
                  <pic:spPr bwMode="auto">
                    <a:xfrm>
                      <a:off x="0" y="0"/>
                      <a:ext cx="7186930" cy="38735"/>
                    </a:xfrm>
                    <a:prstGeom prst="rect">
                      <a:avLst/>
                    </a:prstGeom>
                    <a:noFill/>
                  </pic:spPr>
                </pic:pic>
              </a:graphicData>
            </a:graphic>
          </wp:anchor>
        </w:drawing>
      </w:r>
    </w:p>
    <w:p>
      <w:pPr>
        <w:sectPr>
          <w:pgSz w:w="11900" w:h="16838" w:orient="portrait"/>
          <w:cols w:equalWidth="0" w:num="1">
            <w:col w:w="11280"/>
          </w:cols>
          <w:pgMar w:left="300" w:top="814" w:right="319" w:bottom="1440" w:gutter="0" w:footer="0" w:header="0"/>
        </w:sectPr>
      </w:pPr>
    </w:p>
    <w:bookmarkStart w:id="10" w:name="page11"/>
    <w:bookmarkEnd w:id="10"/>
    <w:p>
      <w:pPr>
        <w:ind w:firstLine="382"/>
        <w:spacing w:after="0" w:line="264" w:lineRule="auto"/>
        <w:rPr>
          <w:sz w:val="20"/>
          <w:szCs w:val="20"/>
          <w:color w:val="auto"/>
        </w:rPr>
      </w:pPr>
      <w:r>
        <w:rPr>
          <w:rFonts w:ascii="Times New Roman" w:cs="Times New Roman" w:eastAsia="Times New Roman" w:hAnsi="Times New Roman"/>
          <w:sz w:val="14"/>
          <w:szCs w:val="14"/>
          <w:color w:val="auto"/>
        </w:rPr>
        <w:t>Virtually all aspects of our business are subject to federal, state and other non-U.S. jurisdictions' laws and regulations. These laws and regulations are primarily intended to protect investment advisory clients. Under such laws and regulations, agencies that regulate investment advisers have broad administrative powers, including the power to limit, restrict or prohibit advisers from carrying on their business if they fail to comply with such laws and regulations. Possible sanctions include suspension of individual employees, limitations on engaging in certain lines of business for specified periods of time, revocation of investment adviser and other registrations, censures and fines. We believe that we are in compliance with all material laws and regulations.</w:t>
      </w:r>
    </w:p>
    <w:p>
      <w:pPr>
        <w:spacing w:after="0" w:line="54"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i w:val="1"/>
          <w:iCs w:val="1"/>
          <w:color w:val="auto"/>
        </w:rPr>
        <w:t>Westwood Management</w:t>
      </w:r>
    </w:p>
    <w:p>
      <w:pPr>
        <w:spacing w:after="0" w:line="96" w:lineRule="exact"/>
        <w:rPr>
          <w:sz w:val="20"/>
          <w:szCs w:val="20"/>
          <w:color w:val="auto"/>
        </w:rPr>
      </w:pPr>
    </w:p>
    <w:p>
      <w:pPr>
        <w:ind w:right="40" w:firstLine="382"/>
        <w:spacing w:after="0" w:line="256" w:lineRule="auto"/>
        <w:rPr>
          <w:sz w:val="20"/>
          <w:szCs w:val="20"/>
          <w:color w:val="auto"/>
        </w:rPr>
      </w:pPr>
      <w:r>
        <w:rPr>
          <w:rFonts w:ascii="Times New Roman" w:cs="Times New Roman" w:eastAsia="Times New Roman" w:hAnsi="Times New Roman"/>
          <w:sz w:val="14"/>
          <w:szCs w:val="14"/>
          <w:color w:val="auto"/>
        </w:rPr>
        <w:t>Our business is subject to regulation at federal and state levels by the SEC and other regulatory bodies. Westwood Management Corp. and Westwood Advisors, L.L.C. are registered with the SEC under the Investment Advisers Act of 1940, as amended (the "Investment Advisers Act") and under the laws of various states. As RIAs, Westwood Management Corp. and Westwood Advisors, L.L.C. are regulated and subject to examination by the SEC. The Investment Advisers Act imposes numerous obligations on RIAs, including fiduciary duties, record keeping, operational and marketing requirements and disclosure obligations. Westwood Management Corp. also acts as adviser to the Westwood Funds®, a family of mutual funds and Westwood ETFs registered with the SEC under the Investment Company Act of 1940, as amended (the “Investment Company Act”). As an adviser to a registered investment company, Westwood Management Corp. must comply with the Investment Company Act and related regulations. The Investment Company Act imposes numerous obligations on registered investment companies, including requirements relating to operations, fees charged, sales, accounting, record keeping, disclosure, governance, and restrictions on transactions with affiliates. Under SEC rules and regulations promulgated pursuant to the federal securities laws, we are subject to periodic SEC examinations. The SEC can institute proceedings and impose sanctions for violations of the Investment Advisers Act and the Investment Company Act, ranging from censure to termination of an investment adviser’s registration. The failure of Westwood Management Corp. and Westwood Advisors, L.L.C. to comply with SEC requirements could have a material adverse effect on Westwood. We are also required to comply with anti-money laundering laws and regulations, including the USA PATRIOT Act of 2001, as subsequently amended and reauthorized (the "Patriot Act"). We believe that we are in compliance with the regulations under the Investment Advisers Act, the Investment Company Act and the Patriot Act.</w:t>
      </w:r>
    </w:p>
    <w:p>
      <w:pPr>
        <w:spacing w:after="0" w:line="63" w:lineRule="exact"/>
        <w:rPr>
          <w:sz w:val="20"/>
          <w:szCs w:val="20"/>
          <w:color w:val="auto"/>
        </w:rPr>
      </w:pPr>
    </w:p>
    <w:p>
      <w:pPr>
        <w:ind w:right="60" w:firstLine="382"/>
        <w:spacing w:after="0" w:line="259" w:lineRule="auto"/>
        <w:rPr>
          <w:sz w:val="20"/>
          <w:szCs w:val="20"/>
          <w:color w:val="auto"/>
        </w:rPr>
      </w:pPr>
      <w:r>
        <w:rPr>
          <w:rFonts w:ascii="Times New Roman" w:cs="Times New Roman" w:eastAsia="Times New Roman" w:hAnsi="Times New Roman"/>
          <w:sz w:val="14"/>
          <w:szCs w:val="14"/>
          <w:color w:val="auto"/>
        </w:rPr>
        <w:t>As an investment adviser, we have a fiduciary duty to our clients. The SEC has interpreted that duty to impose standards, requirements and limitations on, among other things: trading of client accounts, allocation of investment opportunities among clients, use of soft dollars, execution of transactions and recommendations to clients. We manage accounts for our clients with the authority to buy and sell securities, select broker-dealers to execute trades and negotiate brokerage commission rates. We receive soft dollar credits from certain broker-dealers that are used to pay for brokerage and research-related products, which reduces certain company operating expenses. We intend to use soft dollars to pay only for brokerage and research-related products and services that fall within the safe harbor provisions of the Exchange Act. If our ability to use soft dollars were reduced or eliminated as a result of the implementation of statutory amendments or new regulations, our operating expenses would increase.</w:t>
      </w:r>
    </w:p>
    <w:p>
      <w:pPr>
        <w:spacing w:after="0" w:line="59"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i w:val="1"/>
          <w:iCs w:val="1"/>
          <w:color w:val="auto"/>
        </w:rPr>
        <w:t>Westwood Trust</w:t>
      </w:r>
    </w:p>
    <w:p>
      <w:pPr>
        <w:spacing w:after="0" w:line="96" w:lineRule="exact"/>
        <w:rPr>
          <w:sz w:val="20"/>
          <w:szCs w:val="20"/>
          <w:color w:val="auto"/>
        </w:rPr>
      </w:pPr>
    </w:p>
    <w:p>
      <w:pPr>
        <w:ind w:right="60" w:firstLine="382"/>
        <w:spacing w:after="0" w:line="270" w:lineRule="auto"/>
        <w:rPr>
          <w:sz w:val="20"/>
          <w:szCs w:val="20"/>
          <w:color w:val="auto"/>
        </w:rPr>
      </w:pPr>
      <w:r>
        <w:rPr>
          <w:rFonts w:ascii="Times New Roman" w:cs="Times New Roman" w:eastAsia="Times New Roman" w:hAnsi="Times New Roman"/>
          <w:sz w:val="14"/>
          <w:szCs w:val="14"/>
          <w:color w:val="auto"/>
        </w:rPr>
        <w:t>Westwood Trust operates in a highly regulated environment and is subject to extensive supervision and examination. As a Texas chartered trust company, Westwood Trust is subject to the Texas Finance Code (the "Finance Code"), the rules and regulations promulgated under the Finance Code and supervision by the Texas Department of Banking. These laws are intended primarily for the protection of Westwood Trust’s clients and creditors rather than for the benefit of investors. The Finance Code provides for and regulates a variety of matters, such as:</w:t>
      </w:r>
    </w:p>
    <w:p>
      <w:pPr>
        <w:spacing w:after="0" w:line="51" w:lineRule="exact"/>
        <w:rPr>
          <w:sz w:val="20"/>
          <w:szCs w:val="20"/>
          <w:color w:val="auto"/>
        </w:rPr>
      </w:pPr>
    </w:p>
    <w:p>
      <w:pPr>
        <w:ind w:left="760" w:hanging="246"/>
        <w:spacing w:after="0"/>
        <w:tabs>
          <w:tab w:leader="none" w:pos="760" w:val="left"/>
        </w:tabs>
        <w:numPr>
          <w:ilvl w:val="0"/>
          <w:numId w:val="7"/>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minimum capital maintenance requirements;</w:t>
      </w:r>
    </w:p>
    <w:p>
      <w:pPr>
        <w:spacing w:after="0" w:line="93" w:lineRule="exact"/>
        <w:rPr>
          <w:rFonts w:ascii="Times New Roman" w:cs="Times New Roman" w:eastAsia="Times New Roman" w:hAnsi="Times New Roman"/>
          <w:sz w:val="14"/>
          <w:szCs w:val="14"/>
          <w:color w:val="auto"/>
        </w:rPr>
      </w:pPr>
    </w:p>
    <w:p>
      <w:pPr>
        <w:ind w:left="760" w:hanging="246"/>
        <w:spacing w:after="0"/>
        <w:tabs>
          <w:tab w:leader="none" w:pos="760" w:val="left"/>
        </w:tabs>
        <w:numPr>
          <w:ilvl w:val="0"/>
          <w:numId w:val="7"/>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restrictions on dividends;</w:t>
      </w:r>
    </w:p>
    <w:p>
      <w:pPr>
        <w:spacing w:after="0" w:line="93" w:lineRule="exact"/>
        <w:rPr>
          <w:rFonts w:ascii="Times New Roman" w:cs="Times New Roman" w:eastAsia="Times New Roman" w:hAnsi="Times New Roman"/>
          <w:sz w:val="14"/>
          <w:szCs w:val="14"/>
          <w:color w:val="auto"/>
        </w:rPr>
      </w:pPr>
    </w:p>
    <w:p>
      <w:pPr>
        <w:ind w:left="760" w:hanging="246"/>
        <w:spacing w:after="0"/>
        <w:tabs>
          <w:tab w:leader="none" w:pos="760" w:val="left"/>
        </w:tabs>
        <w:numPr>
          <w:ilvl w:val="0"/>
          <w:numId w:val="7"/>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restrictions on investments of restricted capital;</w:t>
      </w:r>
    </w:p>
    <w:p>
      <w:pPr>
        <w:spacing w:after="0" w:line="93" w:lineRule="exact"/>
        <w:rPr>
          <w:rFonts w:ascii="Times New Roman" w:cs="Times New Roman" w:eastAsia="Times New Roman" w:hAnsi="Times New Roman"/>
          <w:sz w:val="14"/>
          <w:szCs w:val="14"/>
          <w:color w:val="auto"/>
        </w:rPr>
      </w:pPr>
    </w:p>
    <w:p>
      <w:pPr>
        <w:ind w:left="760" w:hanging="246"/>
        <w:spacing w:after="0"/>
        <w:tabs>
          <w:tab w:leader="none" w:pos="760" w:val="left"/>
        </w:tabs>
        <w:numPr>
          <w:ilvl w:val="0"/>
          <w:numId w:val="7"/>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lending and borrowing limitations;</w:t>
      </w:r>
    </w:p>
    <w:p>
      <w:pPr>
        <w:spacing w:after="0" w:line="93" w:lineRule="exact"/>
        <w:rPr>
          <w:rFonts w:ascii="Times New Roman" w:cs="Times New Roman" w:eastAsia="Times New Roman" w:hAnsi="Times New Roman"/>
          <w:sz w:val="14"/>
          <w:szCs w:val="14"/>
          <w:color w:val="auto"/>
        </w:rPr>
      </w:pPr>
    </w:p>
    <w:p>
      <w:pPr>
        <w:ind w:left="760" w:hanging="246"/>
        <w:spacing w:after="0"/>
        <w:tabs>
          <w:tab w:leader="none" w:pos="760" w:val="left"/>
        </w:tabs>
        <w:numPr>
          <w:ilvl w:val="0"/>
          <w:numId w:val="7"/>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prohibitions against engaging in certain activities;</w:t>
      </w:r>
    </w:p>
    <w:p>
      <w:pPr>
        <w:spacing w:after="0" w:line="93" w:lineRule="exact"/>
        <w:rPr>
          <w:rFonts w:ascii="Times New Roman" w:cs="Times New Roman" w:eastAsia="Times New Roman" w:hAnsi="Times New Roman"/>
          <w:sz w:val="14"/>
          <w:szCs w:val="14"/>
          <w:color w:val="auto"/>
        </w:rPr>
      </w:pPr>
    </w:p>
    <w:p>
      <w:pPr>
        <w:ind w:left="760" w:hanging="246"/>
        <w:spacing w:after="0"/>
        <w:tabs>
          <w:tab w:leader="none" w:pos="760" w:val="left"/>
        </w:tabs>
        <w:numPr>
          <w:ilvl w:val="0"/>
          <w:numId w:val="7"/>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periodic fiduciary and information technology examinations by the Texas Department of Banking Commissioner;</w:t>
      </w:r>
    </w:p>
    <w:p>
      <w:pPr>
        <w:spacing w:after="0" w:line="93" w:lineRule="exact"/>
        <w:rPr>
          <w:rFonts w:ascii="Times New Roman" w:cs="Times New Roman" w:eastAsia="Times New Roman" w:hAnsi="Times New Roman"/>
          <w:sz w:val="14"/>
          <w:szCs w:val="14"/>
          <w:color w:val="auto"/>
        </w:rPr>
      </w:pPr>
    </w:p>
    <w:p>
      <w:pPr>
        <w:ind w:left="760" w:hanging="246"/>
        <w:spacing w:after="0"/>
        <w:tabs>
          <w:tab w:leader="none" w:pos="760" w:val="left"/>
        </w:tabs>
        <w:numPr>
          <w:ilvl w:val="0"/>
          <w:numId w:val="7"/>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furnishing periodic financial statements to the Texas Department of Banking Commissioner;</w:t>
      </w:r>
    </w:p>
    <w:p>
      <w:pPr>
        <w:spacing w:after="0" w:line="93" w:lineRule="exact"/>
        <w:rPr>
          <w:rFonts w:ascii="Times New Roman" w:cs="Times New Roman" w:eastAsia="Times New Roman" w:hAnsi="Times New Roman"/>
          <w:sz w:val="14"/>
          <w:szCs w:val="14"/>
          <w:color w:val="auto"/>
        </w:rPr>
      </w:pPr>
    </w:p>
    <w:p>
      <w:pPr>
        <w:ind w:left="760" w:hanging="246"/>
        <w:spacing w:after="0"/>
        <w:tabs>
          <w:tab w:leader="none" w:pos="760" w:val="left"/>
        </w:tabs>
        <w:numPr>
          <w:ilvl w:val="0"/>
          <w:numId w:val="7"/>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fiduciary record keeping requirements; and</w:t>
      </w:r>
    </w:p>
    <w:p>
      <w:pPr>
        <w:spacing w:after="0" w:line="93" w:lineRule="exact"/>
        <w:rPr>
          <w:rFonts w:ascii="Times New Roman" w:cs="Times New Roman" w:eastAsia="Times New Roman" w:hAnsi="Times New Roman"/>
          <w:sz w:val="14"/>
          <w:szCs w:val="14"/>
          <w:color w:val="auto"/>
        </w:rPr>
      </w:pPr>
    </w:p>
    <w:p>
      <w:pPr>
        <w:ind w:left="760" w:hanging="246"/>
        <w:spacing w:after="0"/>
        <w:tabs>
          <w:tab w:leader="none" w:pos="760" w:val="left"/>
        </w:tabs>
        <w:numPr>
          <w:ilvl w:val="0"/>
          <w:numId w:val="7"/>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prior regulatory approval for certain corporate events (mergers, sale or purchase of all or substantially all trust company assets, and transactions transferring control of a trust company).</w:t>
      </w:r>
    </w:p>
    <w:p>
      <w:pPr>
        <w:spacing w:after="0" w:line="200" w:lineRule="exact"/>
        <w:rPr>
          <w:sz w:val="20"/>
          <w:szCs w:val="20"/>
          <w:color w:val="auto"/>
        </w:rPr>
      </w:pPr>
    </w:p>
    <w:p>
      <w:pPr>
        <w:spacing w:after="0" w:line="244"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4"/>
          <w:szCs w:val="14"/>
          <w:color w:val="auto"/>
        </w:rPr>
        <w:t>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-8890</wp:posOffset>
            </wp:positionH>
            <wp:positionV relativeFrom="paragraph">
              <wp:posOffset>55880</wp:posOffset>
            </wp:positionV>
            <wp:extent cx="7186930" cy="38735"/>
            <wp:wrapNone/>
            <wp:docPr id="16" name="Picture 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
                    <pic:cNvPicPr>
                      <a:picLocks noChangeAspect="1" noChangeArrowheads="1"/>
                    </pic:cNvPicPr>
                  </pic:nvPicPr>
                  <pic:blipFill>
                    <a:blip r:embed="rId23">
                      <a:extLst>
                        <a:ext uri="{28A0092B-C50C-407E-A947-70E740481C1C}"/>
                      </a:extLst>
                    </a:blip>
                    <a:srcRect/>
                    <a:stretch>
                      <a:fillRect/>
                    </a:stretch>
                  </pic:blipFill>
                  <pic:spPr bwMode="auto">
                    <a:xfrm>
                      <a:off x="0" y="0"/>
                      <a:ext cx="7186930" cy="38735"/>
                    </a:xfrm>
                    <a:prstGeom prst="rect">
                      <a:avLst/>
                    </a:prstGeom>
                    <a:noFill/>
                  </pic:spPr>
                </pic:pic>
              </a:graphicData>
            </a:graphic>
          </wp:anchor>
        </w:drawing>
      </w:r>
    </w:p>
    <w:p>
      <w:pPr>
        <w:sectPr>
          <w:pgSz w:w="11900" w:h="16838" w:orient="portrait"/>
          <w:cols w:equalWidth="0" w:num="1">
            <w:col w:w="11280"/>
          </w:cols>
          <w:pgMar w:left="300" w:top="814" w:right="319" w:bottom="1440" w:gutter="0" w:footer="0" w:header="0"/>
        </w:sectPr>
      </w:pPr>
    </w:p>
    <w:bookmarkStart w:id="11" w:name="page12"/>
    <w:bookmarkEnd w:id="11"/>
    <w:p>
      <w:pPr>
        <w:ind w:firstLine="382"/>
        <w:spacing w:after="0" w:line="270" w:lineRule="auto"/>
        <w:rPr>
          <w:sz w:val="20"/>
          <w:szCs w:val="20"/>
          <w:color w:val="auto"/>
        </w:rPr>
      </w:pPr>
      <w:r>
        <w:rPr>
          <w:rFonts w:ascii="Times New Roman" w:cs="Times New Roman" w:eastAsia="Times New Roman" w:hAnsi="Times New Roman"/>
          <w:sz w:val="14"/>
          <w:szCs w:val="14"/>
          <w:color w:val="auto"/>
        </w:rPr>
        <w:t>The Finance Code gives the Texas Department of Banking Commissioner broad regulatory powers (including penalties and civil and administrative actions) if the trust company violates certain provisions of the Finance Code, including implementing conservatorship or closure if Westwood Trust is determined to be in a "hazardous condition" (as defined by applicable law). Westwood Trust’s failure to comply with the Finance Code could have a material adverse effect on Westwood.</w:t>
      </w:r>
    </w:p>
    <w:p>
      <w:pPr>
        <w:spacing w:after="0" w:line="51" w:lineRule="exact"/>
        <w:rPr>
          <w:sz w:val="20"/>
          <w:szCs w:val="20"/>
          <w:color w:val="auto"/>
        </w:rPr>
      </w:pPr>
    </w:p>
    <w:p>
      <w:pPr>
        <w:ind w:firstLine="382"/>
        <w:spacing w:after="0" w:line="270" w:lineRule="auto"/>
        <w:rPr>
          <w:sz w:val="20"/>
          <w:szCs w:val="20"/>
          <w:color w:val="auto"/>
        </w:rPr>
      </w:pPr>
      <w:r>
        <w:rPr>
          <w:rFonts w:ascii="Times New Roman" w:cs="Times New Roman" w:eastAsia="Times New Roman" w:hAnsi="Times New Roman"/>
          <w:sz w:val="14"/>
          <w:szCs w:val="14"/>
          <w:color w:val="auto"/>
        </w:rPr>
        <w:t>Westwood Trust is limited by the Finance Code in the payment of dividends to undivided profits, which is described as that part of equity capital equal to the balance of net profits, income, gains and losses since formation minus subsequent distributions to stockholders and transfers to surplus or capital under share dividends or appropriate board resolutions. At the discretion of its Board of Directors (the "Board"), Westwood Trust has made quarterly and special dividend payments, and other distributions, to Westwood Holdings Group, Inc. out of undivided profits.</w:t>
      </w:r>
    </w:p>
    <w:p>
      <w:pPr>
        <w:spacing w:after="0" w:line="20" w:lineRule="exact"/>
        <w:rPr>
          <w:sz w:val="20"/>
          <w:szCs w:val="20"/>
          <w:color w:val="auto"/>
        </w:rPr>
      </w:pPr>
    </w:p>
    <w:p>
      <w:pPr>
        <w:spacing w:after="0" w:line="161" w:lineRule="exact"/>
        <w:rPr>
          <w:sz w:val="20"/>
          <w:szCs w:val="20"/>
          <w:color w:val="auto"/>
        </w:rPr>
      </w:pPr>
      <w:r>
        <w:rPr>
          <w:rFonts w:ascii="Times New Roman" w:cs="Times New Roman" w:eastAsia="Times New Roman" w:hAnsi="Times New Roman"/>
          <w:sz w:val="14"/>
          <w:szCs w:val="14"/>
          <w:i w:val="1"/>
          <w:iCs w:val="1"/>
          <w:color w:val="auto"/>
        </w:rPr>
        <w:t>SEC Broker</w:t>
      </w:r>
      <w:r>
        <w:rPr>
          <w:rFonts w:ascii="MS PGothic" w:cs="MS PGothic" w:eastAsia="MS PGothic" w:hAnsi="MS PGothic"/>
          <w:sz w:val="14"/>
          <w:szCs w:val="14"/>
          <w:i w:val="1"/>
          <w:iCs w:val="1"/>
          <w:color w:val="auto"/>
        </w:rPr>
        <w:t>‑</w:t>
      </w:r>
      <w:r>
        <w:rPr>
          <w:rFonts w:ascii="Times New Roman" w:cs="Times New Roman" w:eastAsia="Times New Roman" w:hAnsi="Times New Roman"/>
          <w:sz w:val="14"/>
          <w:szCs w:val="14"/>
          <w:i w:val="1"/>
          <w:iCs w:val="1"/>
          <w:color w:val="auto"/>
        </w:rPr>
        <w:t>Dealer Registration / FINRA Regulation</w:t>
      </w:r>
    </w:p>
    <w:p>
      <w:pPr>
        <w:spacing w:after="0" w:line="125" w:lineRule="exact"/>
        <w:rPr>
          <w:sz w:val="20"/>
          <w:szCs w:val="20"/>
          <w:color w:val="auto"/>
        </w:rPr>
      </w:pPr>
    </w:p>
    <w:p>
      <w:pPr>
        <w:jc w:val="both"/>
        <w:ind w:firstLine="382"/>
        <w:spacing w:after="0" w:line="287" w:lineRule="auto"/>
        <w:rPr>
          <w:sz w:val="20"/>
          <w:szCs w:val="20"/>
          <w:color w:val="auto"/>
        </w:rPr>
      </w:pPr>
      <w:r>
        <w:rPr>
          <w:rFonts w:ascii="Times New Roman" w:cs="Times New Roman" w:eastAsia="Times New Roman" w:hAnsi="Times New Roman"/>
          <w:sz w:val="14"/>
          <w:szCs w:val="14"/>
          <w:color w:val="auto"/>
        </w:rPr>
        <w:t>SCLP is subject to regulation by the SEC, FINRA and various states. In addition, certain of our employees are registered with FINRA and various states and are subject to SEC, state and FINRA regulation. The failure of the company and/or employees to comply with relevant regulation could have a material adverse effect on our business.</w:t>
      </w:r>
    </w:p>
    <w:p>
      <w:pPr>
        <w:spacing w:after="0" w:line="37"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i w:val="1"/>
          <w:iCs w:val="1"/>
          <w:color w:val="auto"/>
        </w:rPr>
        <w:t>Employee Retirement Income Security Act of 1974</w:t>
      </w:r>
    </w:p>
    <w:p>
      <w:pPr>
        <w:spacing w:after="0" w:line="96" w:lineRule="exact"/>
        <w:rPr>
          <w:sz w:val="20"/>
          <w:szCs w:val="20"/>
          <w:color w:val="auto"/>
        </w:rPr>
      </w:pPr>
    </w:p>
    <w:p>
      <w:pPr>
        <w:jc w:val="both"/>
        <w:ind w:firstLine="382"/>
        <w:spacing w:after="0" w:line="270" w:lineRule="auto"/>
        <w:rPr>
          <w:sz w:val="20"/>
          <w:szCs w:val="20"/>
          <w:color w:val="auto"/>
        </w:rPr>
      </w:pPr>
      <w:r>
        <w:rPr>
          <w:rFonts w:ascii="Times New Roman" w:cs="Times New Roman" w:eastAsia="Times New Roman" w:hAnsi="Times New Roman"/>
          <w:sz w:val="14"/>
          <w:szCs w:val="14"/>
          <w:color w:val="auto"/>
        </w:rPr>
        <w:t>We are subject to the Employee Retirement Income Security Act of 1974, as amended ("ERISA"), and to its related regulations insofar as we are a fiduciary under ERISA with respect to some clients. ERISA and applicable provisions of the Internal Revenue Code impose certain duties on fiduciaries under ERISA or on entities that provide services to ERISA plan clients and prohibit certain transactions involving ERISA plan clients.</w:t>
      </w:r>
    </w:p>
    <w:p>
      <w:pPr>
        <w:spacing w:after="0" w:line="49"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b w:val="1"/>
          <w:bCs w:val="1"/>
          <w:i w:val="1"/>
          <w:iCs w:val="1"/>
          <w:color w:val="auto"/>
        </w:rPr>
        <w:t>Human Capital Resources</w:t>
      </w:r>
    </w:p>
    <w:p>
      <w:pPr>
        <w:spacing w:after="0" w:line="94"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i w:val="1"/>
          <w:iCs w:val="1"/>
          <w:color w:val="auto"/>
        </w:rPr>
        <w:t>Health and Safety</w:t>
      </w:r>
    </w:p>
    <w:p>
      <w:pPr>
        <w:spacing w:after="0" w:line="96" w:lineRule="exact"/>
        <w:rPr>
          <w:sz w:val="20"/>
          <w:szCs w:val="20"/>
          <w:color w:val="auto"/>
        </w:rPr>
      </w:pPr>
    </w:p>
    <w:p>
      <w:pPr>
        <w:ind w:right="100" w:firstLine="382"/>
        <w:spacing w:after="0" w:line="287" w:lineRule="auto"/>
        <w:rPr>
          <w:sz w:val="20"/>
          <w:szCs w:val="20"/>
          <w:color w:val="auto"/>
        </w:rPr>
      </w:pPr>
      <w:r>
        <w:rPr>
          <w:rFonts w:ascii="Times New Roman" w:cs="Times New Roman" w:eastAsia="Times New Roman" w:hAnsi="Times New Roman"/>
          <w:sz w:val="14"/>
          <w:szCs w:val="14"/>
          <w:color w:val="auto"/>
        </w:rPr>
        <w:t>The health and safety of our employees is a high priority, consistent with our operating philosophy of focusing on transparency, effective corporate governance, life principles and giving back to the communities in which we live and work.</w:t>
      </w:r>
    </w:p>
    <w:p>
      <w:pPr>
        <w:spacing w:after="0" w:line="37"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i w:val="1"/>
          <w:iCs w:val="1"/>
          <w:color w:val="auto"/>
        </w:rPr>
        <w:t>Diversity and Inclusion</w:t>
      </w:r>
    </w:p>
    <w:p>
      <w:pPr>
        <w:spacing w:after="0" w:line="96" w:lineRule="exact"/>
        <w:rPr>
          <w:sz w:val="20"/>
          <w:szCs w:val="20"/>
          <w:color w:val="auto"/>
        </w:rPr>
      </w:pPr>
    </w:p>
    <w:p>
      <w:pPr>
        <w:ind w:right="200" w:firstLine="382"/>
        <w:spacing w:after="0" w:line="287" w:lineRule="auto"/>
        <w:rPr>
          <w:sz w:val="20"/>
          <w:szCs w:val="20"/>
          <w:color w:val="auto"/>
        </w:rPr>
      </w:pPr>
      <w:r>
        <w:rPr>
          <w:rFonts w:ascii="Times New Roman" w:cs="Times New Roman" w:eastAsia="Times New Roman" w:hAnsi="Times New Roman"/>
          <w:sz w:val="14"/>
          <w:szCs w:val="14"/>
          <w:color w:val="auto"/>
        </w:rPr>
        <w:t>We believe that our culture of diversity and inclusion enables us to develop and fully utilize the strengths of our people. As of December 31, 2025, approximately 41% of our workforce was female and minorities represented approximately 31% of our workforce.</w:t>
      </w:r>
    </w:p>
    <w:p>
      <w:pPr>
        <w:spacing w:after="0" w:line="37"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i w:val="1"/>
          <w:iCs w:val="1"/>
          <w:color w:val="auto"/>
        </w:rPr>
        <w:t>Employees</w:t>
      </w:r>
    </w:p>
    <w:p>
      <w:pPr>
        <w:spacing w:after="0" w:line="96" w:lineRule="exact"/>
        <w:rPr>
          <w:sz w:val="20"/>
          <w:szCs w:val="20"/>
          <w:color w:val="auto"/>
        </w:rPr>
      </w:pPr>
    </w:p>
    <w:p>
      <w:pPr>
        <w:ind w:right="300" w:firstLine="382"/>
        <w:spacing w:after="0" w:line="287" w:lineRule="auto"/>
        <w:rPr>
          <w:sz w:val="20"/>
          <w:szCs w:val="20"/>
          <w:color w:val="auto"/>
        </w:rPr>
      </w:pPr>
      <w:r>
        <w:rPr>
          <w:rFonts w:ascii="Times New Roman" w:cs="Times New Roman" w:eastAsia="Times New Roman" w:hAnsi="Times New Roman"/>
          <w:sz w:val="14"/>
          <w:szCs w:val="14"/>
          <w:color w:val="auto"/>
        </w:rPr>
        <w:t>At December 31, 2025, we had 148 full-time employees, all located in the U.S. No employees are represented by a labor union, and we believe our employee relations are favorable. As of December 31, 2025, approximately 14% of our employees held the Chartered Financial Analyst designation.</w:t>
      </w:r>
    </w:p>
    <w:p>
      <w:pPr>
        <w:spacing w:after="0" w:line="37"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i w:val="1"/>
          <w:iCs w:val="1"/>
          <w:color w:val="auto"/>
        </w:rPr>
        <w:t>Environmental, Social and Governance</w:t>
      </w:r>
    </w:p>
    <w:p>
      <w:pPr>
        <w:spacing w:after="0" w:line="94"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i w:val="1"/>
          <w:iCs w:val="1"/>
          <w:color w:val="auto"/>
        </w:rPr>
        <w:t>ESG Core Principles</w:t>
      </w:r>
    </w:p>
    <w:p>
      <w:pPr>
        <w:spacing w:after="0" w:line="96" w:lineRule="exact"/>
        <w:rPr>
          <w:sz w:val="20"/>
          <w:szCs w:val="20"/>
          <w:color w:val="auto"/>
        </w:rPr>
      </w:pPr>
    </w:p>
    <w:p>
      <w:pPr>
        <w:ind w:right="200" w:firstLine="382"/>
        <w:spacing w:after="0" w:line="287" w:lineRule="auto"/>
        <w:rPr>
          <w:sz w:val="20"/>
          <w:szCs w:val="20"/>
          <w:color w:val="auto"/>
        </w:rPr>
      </w:pPr>
      <w:r>
        <w:rPr>
          <w:rFonts w:ascii="Times New Roman" w:cs="Times New Roman" w:eastAsia="Times New Roman" w:hAnsi="Times New Roman"/>
          <w:sz w:val="14"/>
          <w:szCs w:val="14"/>
          <w:color w:val="auto"/>
        </w:rPr>
        <w:t>Since inception, we have fostered a corporate culture focused on a set of core values. We have found inspiration in Coach John Wooden’s Pyramid of Success™ which helps us aspire to and maintain a culture of teamwork, integrity and putting client interests ahead of our own.</w:t>
      </w:r>
    </w:p>
    <w:p>
      <w:pPr>
        <w:spacing w:after="0" w:line="39" w:lineRule="exact"/>
        <w:rPr>
          <w:sz w:val="20"/>
          <w:szCs w:val="20"/>
          <w:color w:val="auto"/>
        </w:rPr>
      </w:pPr>
    </w:p>
    <w:p>
      <w:pPr>
        <w:ind w:left="380"/>
        <w:spacing w:after="0"/>
        <w:rPr>
          <w:sz w:val="20"/>
          <w:szCs w:val="20"/>
          <w:color w:val="auto"/>
        </w:rPr>
      </w:pPr>
      <w:r>
        <w:rPr>
          <w:rFonts w:ascii="Times New Roman" w:cs="Times New Roman" w:eastAsia="Times New Roman" w:hAnsi="Times New Roman"/>
          <w:sz w:val="14"/>
          <w:szCs w:val="14"/>
          <w:color w:val="auto"/>
        </w:rPr>
        <w:t>Our ESG focus is guided by the following six pillars:</w:t>
      </w:r>
    </w:p>
    <w:p>
      <w:pPr>
        <w:spacing w:after="0" w:line="94" w:lineRule="exact"/>
        <w:rPr>
          <w:sz w:val="20"/>
          <w:szCs w:val="20"/>
          <w:color w:val="auto"/>
        </w:rPr>
      </w:pPr>
    </w:p>
    <w:p>
      <w:pPr>
        <w:ind w:left="520" w:hanging="260"/>
        <w:spacing w:after="0"/>
        <w:tabs>
          <w:tab w:leader="none" w:pos="520" w:val="left"/>
        </w:tabs>
        <w:numPr>
          <w:ilvl w:val="0"/>
          <w:numId w:val="8"/>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Environmental impact;</w:t>
      </w:r>
    </w:p>
    <w:p>
      <w:pPr>
        <w:spacing w:after="0" w:line="93" w:lineRule="exact"/>
        <w:rPr>
          <w:rFonts w:ascii="Times New Roman" w:cs="Times New Roman" w:eastAsia="Times New Roman" w:hAnsi="Times New Roman"/>
          <w:sz w:val="14"/>
          <w:szCs w:val="14"/>
          <w:color w:val="auto"/>
        </w:rPr>
      </w:pPr>
    </w:p>
    <w:p>
      <w:pPr>
        <w:ind w:left="520" w:hanging="260"/>
        <w:spacing w:after="0"/>
        <w:tabs>
          <w:tab w:leader="none" w:pos="520" w:val="left"/>
        </w:tabs>
        <w:numPr>
          <w:ilvl w:val="0"/>
          <w:numId w:val="8"/>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Diversity and inclusion;</w:t>
      </w:r>
    </w:p>
    <w:p>
      <w:pPr>
        <w:spacing w:after="0" w:line="93" w:lineRule="exact"/>
        <w:rPr>
          <w:rFonts w:ascii="Times New Roman" w:cs="Times New Roman" w:eastAsia="Times New Roman" w:hAnsi="Times New Roman"/>
          <w:sz w:val="14"/>
          <w:szCs w:val="14"/>
          <w:color w:val="auto"/>
        </w:rPr>
      </w:pPr>
    </w:p>
    <w:p>
      <w:pPr>
        <w:ind w:left="520" w:hanging="260"/>
        <w:spacing w:after="0"/>
        <w:tabs>
          <w:tab w:leader="none" w:pos="520" w:val="left"/>
        </w:tabs>
        <w:numPr>
          <w:ilvl w:val="0"/>
          <w:numId w:val="8"/>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Community;</w:t>
      </w:r>
    </w:p>
    <w:p>
      <w:pPr>
        <w:spacing w:after="0" w:line="93" w:lineRule="exact"/>
        <w:rPr>
          <w:rFonts w:ascii="Times New Roman" w:cs="Times New Roman" w:eastAsia="Times New Roman" w:hAnsi="Times New Roman"/>
          <w:sz w:val="14"/>
          <w:szCs w:val="14"/>
          <w:color w:val="auto"/>
        </w:rPr>
      </w:pPr>
    </w:p>
    <w:p>
      <w:pPr>
        <w:ind w:left="520" w:hanging="260"/>
        <w:spacing w:after="0"/>
        <w:tabs>
          <w:tab w:leader="none" w:pos="520" w:val="left"/>
        </w:tabs>
        <w:numPr>
          <w:ilvl w:val="0"/>
          <w:numId w:val="8"/>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Responsible investing;</w:t>
      </w:r>
    </w:p>
    <w:p>
      <w:pPr>
        <w:spacing w:after="0" w:line="93" w:lineRule="exact"/>
        <w:rPr>
          <w:rFonts w:ascii="Times New Roman" w:cs="Times New Roman" w:eastAsia="Times New Roman" w:hAnsi="Times New Roman"/>
          <w:sz w:val="14"/>
          <w:szCs w:val="14"/>
          <w:color w:val="auto"/>
        </w:rPr>
      </w:pPr>
    </w:p>
    <w:p>
      <w:pPr>
        <w:ind w:left="520" w:hanging="260"/>
        <w:spacing w:after="0"/>
        <w:tabs>
          <w:tab w:leader="none" w:pos="520" w:val="left"/>
        </w:tabs>
        <w:numPr>
          <w:ilvl w:val="0"/>
          <w:numId w:val="8"/>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Privacy and data protection; and</w:t>
      </w:r>
    </w:p>
    <w:p>
      <w:pPr>
        <w:spacing w:after="0" w:line="93" w:lineRule="exact"/>
        <w:rPr>
          <w:rFonts w:ascii="Times New Roman" w:cs="Times New Roman" w:eastAsia="Times New Roman" w:hAnsi="Times New Roman"/>
          <w:sz w:val="14"/>
          <w:szCs w:val="14"/>
          <w:color w:val="auto"/>
        </w:rPr>
      </w:pPr>
    </w:p>
    <w:p>
      <w:pPr>
        <w:ind w:left="520" w:hanging="260"/>
        <w:spacing w:after="0"/>
        <w:tabs>
          <w:tab w:leader="none" w:pos="520" w:val="left"/>
        </w:tabs>
        <w:numPr>
          <w:ilvl w:val="0"/>
          <w:numId w:val="8"/>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Governance.</w:t>
      </w:r>
    </w:p>
    <w:p>
      <w:pPr>
        <w:spacing w:after="0" w:line="94" w:lineRule="exact"/>
        <w:rPr>
          <w:sz w:val="20"/>
          <w:szCs w:val="20"/>
          <w:color w:val="auto"/>
        </w:rPr>
      </w:pPr>
    </w:p>
    <w:p>
      <w:pPr>
        <w:ind w:right="60" w:firstLine="382"/>
        <w:spacing w:after="0" w:line="270" w:lineRule="auto"/>
        <w:rPr>
          <w:sz w:val="20"/>
          <w:szCs w:val="20"/>
          <w:color w:val="auto"/>
        </w:rPr>
      </w:pPr>
      <w:r>
        <w:rPr>
          <w:rFonts w:ascii="Times New Roman" w:cs="Times New Roman" w:eastAsia="Times New Roman" w:hAnsi="Times New Roman"/>
          <w:sz w:val="14"/>
          <w:szCs w:val="14"/>
          <w:color w:val="auto"/>
        </w:rPr>
        <w:t>We include ESG pillars in conducting our business and measure ourselves against them because they make good sense. It improves our ability to create an environment that values true diversity, inclusiveness and transparency and ultimately supports long-term employee growth. Our focus on transparency, corporate governance, life principles, ethical conduct and giving back to the communities in which we operate is central to our values.</w:t>
      </w:r>
    </w:p>
    <w:p>
      <w:pPr>
        <w:spacing w:after="0" w:line="49"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i w:val="1"/>
          <w:iCs w:val="1"/>
          <w:color w:val="auto"/>
        </w:rPr>
        <w:t>Governance</w:t>
      </w:r>
    </w:p>
    <w:p>
      <w:pPr>
        <w:spacing w:after="0" w:line="200" w:lineRule="exact"/>
        <w:rPr>
          <w:sz w:val="20"/>
          <w:szCs w:val="20"/>
          <w:color w:val="auto"/>
        </w:rPr>
      </w:pPr>
    </w:p>
    <w:p>
      <w:pPr>
        <w:spacing w:after="0" w:line="24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4"/>
          <w:szCs w:val="14"/>
          <w:color w:val="auto"/>
        </w:rPr>
        <w:t>10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-8890</wp:posOffset>
            </wp:positionH>
            <wp:positionV relativeFrom="paragraph">
              <wp:posOffset>55880</wp:posOffset>
            </wp:positionV>
            <wp:extent cx="7186930" cy="38735"/>
            <wp:wrapNone/>
            <wp:docPr id="17" name="Picture 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
                    <pic:cNvPicPr>
                      <a:picLocks noChangeAspect="1" noChangeArrowheads="1"/>
                    </pic:cNvPicPr>
                  </pic:nvPicPr>
                  <pic:blipFill>
                    <a:blip r:embed="rId24">
                      <a:extLst>
                        <a:ext uri="{28A0092B-C50C-407E-A947-70E740481C1C}"/>
                      </a:extLst>
                    </a:blip>
                    <a:srcRect/>
                    <a:stretch>
                      <a:fillRect/>
                    </a:stretch>
                  </pic:blipFill>
                  <pic:spPr bwMode="auto">
                    <a:xfrm>
                      <a:off x="0" y="0"/>
                      <a:ext cx="7186930" cy="38735"/>
                    </a:xfrm>
                    <a:prstGeom prst="rect">
                      <a:avLst/>
                    </a:prstGeom>
                    <a:noFill/>
                  </pic:spPr>
                </pic:pic>
              </a:graphicData>
            </a:graphic>
          </wp:anchor>
        </w:drawing>
      </w:r>
    </w:p>
    <w:p>
      <w:pPr>
        <w:sectPr>
          <w:pgSz w:w="11900" w:h="16838" w:orient="portrait"/>
          <w:cols w:equalWidth="0" w:num="1">
            <w:col w:w="11280"/>
          </w:cols>
          <w:pgMar w:left="300" w:top="814" w:right="319" w:bottom="1440" w:gutter="0" w:footer="0" w:header="0"/>
        </w:sectPr>
      </w:pPr>
    </w:p>
    <w:bookmarkStart w:id="12" w:name="page13"/>
    <w:bookmarkEnd w:id="12"/>
    <w:p>
      <w:pPr>
        <w:jc w:val="both"/>
        <w:ind w:right="120" w:firstLine="382"/>
        <w:spacing w:after="0" w:line="270" w:lineRule="auto"/>
        <w:rPr>
          <w:sz w:val="20"/>
          <w:szCs w:val="20"/>
          <w:color w:val="auto"/>
        </w:rPr>
      </w:pPr>
      <w:r>
        <w:rPr>
          <w:rFonts w:ascii="Times New Roman" w:cs="Times New Roman" w:eastAsia="Times New Roman" w:hAnsi="Times New Roman"/>
          <w:sz w:val="14"/>
          <w:szCs w:val="14"/>
          <w:color w:val="auto"/>
        </w:rPr>
        <w:t>Westwood is committed to the successful integration and promotion of ESG at the corporate level and the investment level. We have separate governing structures to ensure that we have the necessary leadership to create and sustain a clear corporate strategy across our business. The separation of responsibilities among these governing structures ensures proper accountability across our firm.</w:t>
      </w:r>
    </w:p>
    <w:p>
      <w:pPr>
        <w:spacing w:after="0" w:line="51" w:lineRule="exact"/>
        <w:rPr>
          <w:sz w:val="20"/>
          <w:szCs w:val="20"/>
          <w:color w:val="auto"/>
        </w:rPr>
      </w:pPr>
    </w:p>
    <w:p>
      <w:pPr>
        <w:ind w:right="80" w:firstLine="382"/>
        <w:spacing w:after="0" w:line="270" w:lineRule="auto"/>
        <w:rPr>
          <w:sz w:val="20"/>
          <w:szCs w:val="20"/>
          <w:color w:val="auto"/>
        </w:rPr>
      </w:pPr>
      <w:r>
        <w:rPr>
          <w:rFonts w:ascii="Times New Roman" w:cs="Times New Roman" w:eastAsia="Times New Roman" w:hAnsi="Times New Roman"/>
          <w:sz w:val="14"/>
          <w:szCs w:val="14"/>
          <w:color w:val="auto"/>
        </w:rPr>
        <w:t>Westwood’s Board plays an important role to ensure that the interests of shareholders are represented and that Westwood is fulfilling its fiduciary duties. The Board regularly interacts with management to ensure that stakeholder interests are properly considered. Management regularly updates the Board on our ESG efforts and collaboration between the Board and those responsible for ESG is key to our implementation strategy. Our Board benefits from deep industry experience and a majority of its members are independent which enables strong oversight of our business.</w:t>
      </w:r>
    </w:p>
    <w:p>
      <w:pPr>
        <w:spacing w:after="0" w:line="51" w:lineRule="exact"/>
        <w:rPr>
          <w:sz w:val="20"/>
          <w:szCs w:val="20"/>
          <w:color w:val="auto"/>
        </w:rPr>
      </w:pPr>
    </w:p>
    <w:p>
      <w:pPr>
        <w:ind w:right="360" w:firstLine="382"/>
        <w:spacing w:after="0" w:line="287" w:lineRule="auto"/>
        <w:rPr>
          <w:sz w:val="20"/>
          <w:szCs w:val="20"/>
          <w:color w:val="auto"/>
        </w:rPr>
      </w:pPr>
      <w:r>
        <w:rPr>
          <w:rFonts w:ascii="Times New Roman" w:cs="Times New Roman" w:eastAsia="Times New Roman" w:hAnsi="Times New Roman"/>
          <w:sz w:val="14"/>
          <w:szCs w:val="14"/>
          <w:color w:val="auto"/>
        </w:rPr>
        <w:t>Westwood’s ESG Steering Committee is responsible for ensuring effective execution of our overall ESG strategy. Along with our CEO, this group sets the strategic direction for our ESG agenda, oversees its implementation, and reviews our ESG strategy with our Board.</w:t>
      </w:r>
    </w:p>
    <w:p>
      <w:pPr>
        <w:spacing w:after="0" w:line="37"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i w:val="1"/>
          <w:iCs w:val="1"/>
          <w:color w:val="auto"/>
        </w:rPr>
        <w:t>Responsible Investment / ESG Integration</w:t>
      </w:r>
    </w:p>
    <w:p>
      <w:pPr>
        <w:spacing w:after="0" w:line="96" w:lineRule="exact"/>
        <w:rPr>
          <w:sz w:val="20"/>
          <w:szCs w:val="20"/>
          <w:color w:val="auto"/>
        </w:rPr>
      </w:pPr>
    </w:p>
    <w:p>
      <w:pPr>
        <w:ind w:right="100" w:firstLine="382"/>
        <w:spacing w:after="0" w:line="264" w:lineRule="auto"/>
        <w:rPr>
          <w:sz w:val="20"/>
          <w:szCs w:val="20"/>
          <w:color w:val="auto"/>
        </w:rPr>
      </w:pPr>
      <w:r>
        <w:rPr>
          <w:rFonts w:ascii="Times New Roman" w:cs="Times New Roman" w:eastAsia="Times New Roman" w:hAnsi="Times New Roman"/>
          <w:sz w:val="14"/>
          <w:szCs w:val="14"/>
          <w:color w:val="auto"/>
        </w:rPr>
        <w:t>Our responsible investment commitment is evident in our overall investment approach where we take a fundamental approach to identifying high-quality companies and sound businesses around the world. As an active asset manager, ESG issues are directly considered in our bottom-up, fundamental assessment of companies. Our fundamental, financial materiality-based approach to identifying high-quality companies and businesses around the world leads our investment team to consider these issues in their fundamental analyses of the merits of a company's strategy, downside risk and valuation. As ESG integration and evaluation techniques evolve we will adapt to ensure compliance with our fiduciary responsibilities.</w:t>
      </w:r>
    </w:p>
    <w:p>
      <w:pPr>
        <w:spacing w:after="0" w:line="56" w:lineRule="exact"/>
        <w:rPr>
          <w:sz w:val="20"/>
          <w:szCs w:val="20"/>
          <w:color w:val="auto"/>
        </w:rPr>
      </w:pPr>
    </w:p>
    <w:p>
      <w:pPr>
        <w:ind w:firstLine="382"/>
        <w:spacing w:after="0" w:line="287" w:lineRule="auto"/>
        <w:rPr>
          <w:sz w:val="20"/>
          <w:szCs w:val="20"/>
          <w:color w:val="auto"/>
        </w:rPr>
      </w:pPr>
      <w:r>
        <w:rPr>
          <w:rFonts w:ascii="Times New Roman" w:cs="Times New Roman" w:eastAsia="Times New Roman" w:hAnsi="Times New Roman"/>
          <w:sz w:val="14"/>
          <w:szCs w:val="14"/>
          <w:color w:val="auto"/>
        </w:rPr>
        <w:t>Westwood is a signatory of the United Nations Principles for Responsible Investment ("UNPRI") and is committed to adopting and implementing responsible investment principles in a manner consistent with our fiduciary duties to clients. We support the UNPRI and recognize the importance of considering ESG issues as an element in our overall investment process.</w:t>
      </w:r>
    </w:p>
    <w:p>
      <w:pPr>
        <w:spacing w:after="0" w:line="37"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i w:val="1"/>
          <w:iCs w:val="1"/>
          <w:color w:val="auto"/>
        </w:rPr>
        <w:t>Engagement</w:t>
      </w:r>
    </w:p>
    <w:p>
      <w:pPr>
        <w:spacing w:after="0" w:line="96" w:lineRule="exact"/>
        <w:rPr>
          <w:sz w:val="20"/>
          <w:szCs w:val="20"/>
          <w:color w:val="auto"/>
        </w:rPr>
      </w:pPr>
    </w:p>
    <w:p>
      <w:pPr>
        <w:ind w:right="60" w:firstLine="382"/>
        <w:spacing w:after="0" w:line="264" w:lineRule="auto"/>
        <w:rPr>
          <w:sz w:val="20"/>
          <w:szCs w:val="20"/>
          <w:color w:val="auto"/>
        </w:rPr>
      </w:pPr>
      <w:r>
        <w:rPr>
          <w:rFonts w:ascii="Times New Roman" w:cs="Times New Roman" w:eastAsia="Times New Roman" w:hAnsi="Times New Roman"/>
          <w:sz w:val="14"/>
          <w:szCs w:val="14"/>
          <w:color w:val="auto"/>
        </w:rPr>
        <w:t>As part of our fundamental investment research process, our analysts conduct meetings with target company management and investor relations to understand strategy, execution and financial strength throughout the life of our investment. Meetings inform our investment analysis and amplify our understanding of a business’s ability to adapt to changing business environments. Meetings can take place in person, during investment conferences or video calls, and they often build on long-standing relationships. Our understanding of material issues affecting the company is shared with the team in our valuation analyses and recommendations made by our research analysts.</w:t>
      </w:r>
    </w:p>
    <w:p>
      <w:pPr>
        <w:spacing w:after="0" w:line="56" w:lineRule="exact"/>
        <w:rPr>
          <w:sz w:val="20"/>
          <w:szCs w:val="20"/>
          <w:color w:val="auto"/>
        </w:rPr>
      </w:pPr>
    </w:p>
    <w:p>
      <w:pPr>
        <w:ind w:right="200" w:firstLine="382"/>
        <w:spacing w:after="0" w:line="270" w:lineRule="auto"/>
        <w:rPr>
          <w:sz w:val="20"/>
          <w:szCs w:val="20"/>
          <w:color w:val="auto"/>
        </w:rPr>
      </w:pPr>
      <w:r>
        <w:rPr>
          <w:rFonts w:ascii="Times New Roman" w:cs="Times New Roman" w:eastAsia="Times New Roman" w:hAnsi="Times New Roman"/>
          <w:sz w:val="14"/>
          <w:szCs w:val="14"/>
          <w:color w:val="auto"/>
        </w:rPr>
        <w:t>Westwood does not set and track engagement objectives. We engage on specific topics on a case-by-case basis and when ESG or other issues are of specific concern, our team seeks to understand how the company plans to address relevant issues and then tracks them over time. Our engagement is generally conducted via direct dialogue between our investment professionals and company managements which is a more constructive approach toward understanding issues and encouraging solutions that provide value to stakeholders.</w:t>
      </w:r>
    </w:p>
    <w:p>
      <w:pPr>
        <w:spacing w:after="0" w:line="49"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i w:val="1"/>
          <w:iCs w:val="1"/>
          <w:color w:val="auto"/>
        </w:rPr>
        <w:t>Proxy Voting</w:t>
      </w:r>
    </w:p>
    <w:p>
      <w:pPr>
        <w:spacing w:after="0" w:line="96" w:lineRule="exact"/>
        <w:rPr>
          <w:sz w:val="20"/>
          <w:szCs w:val="20"/>
          <w:color w:val="auto"/>
        </w:rPr>
      </w:pPr>
    </w:p>
    <w:p>
      <w:pPr>
        <w:ind w:firstLine="382"/>
        <w:spacing w:after="0" w:line="270" w:lineRule="auto"/>
        <w:rPr>
          <w:sz w:val="20"/>
          <w:szCs w:val="20"/>
          <w:color w:val="auto"/>
        </w:rPr>
      </w:pPr>
      <w:r>
        <w:rPr>
          <w:rFonts w:ascii="Times New Roman" w:cs="Times New Roman" w:eastAsia="Times New Roman" w:hAnsi="Times New Roman"/>
          <w:sz w:val="14"/>
          <w:szCs w:val="14"/>
          <w:color w:val="auto"/>
        </w:rPr>
        <w:t>Westwood views proxy voting rights as valuable portfolio assets. Our overarching principle is to exercise voting responsibilities solely in the best interests of our clients. We use proxy voting as a means of addressing corporate governance issues and identifying corporate actions that enhance shareholder value. Our process benefits from multiple inputs and directly involves our investment professionals.</w:t>
      </w:r>
    </w:p>
    <w:p>
      <w:pPr>
        <w:spacing w:after="0" w:line="51" w:lineRule="exact"/>
        <w:rPr>
          <w:sz w:val="20"/>
          <w:szCs w:val="20"/>
          <w:color w:val="auto"/>
        </w:rPr>
      </w:pPr>
    </w:p>
    <w:p>
      <w:pPr>
        <w:ind w:right="40" w:firstLine="382"/>
        <w:spacing w:after="0" w:line="259" w:lineRule="auto"/>
        <w:rPr>
          <w:sz w:val="20"/>
          <w:szCs w:val="20"/>
          <w:color w:val="auto"/>
        </w:rPr>
      </w:pPr>
      <w:r>
        <w:rPr>
          <w:rFonts w:ascii="Times New Roman" w:cs="Times New Roman" w:eastAsia="Times New Roman" w:hAnsi="Times New Roman"/>
          <w:sz w:val="14"/>
          <w:szCs w:val="14"/>
          <w:color w:val="auto"/>
        </w:rPr>
        <w:t>Westwood uses guidelines from a third-party proxy research service, Glass, Lewis &amp; Co. ("Glass Lewis"), that we believe create value for our clients and cover most proxy issues. The Investment Operations Team, including the head of data governance, oversees the implementation of our proxy voting policy. Westwood’s Corporate Responsibility Committee, together with our investment team’s bi-monthly review of ballots, evaluates the alignment of Glass-Lewis proxy voting guidelines on environmental and social issues with our financial-materiality-based view of ESG integration. The Glass Lewis policy states that it will vote in favor when there is a clear link between the proposal and value enhancement or risk mitigation. Our goal is to vote all proxies and we generally follow the recommendations of our proxy research service however our Research Analysts occasionally recommend a vote that differs from Glass Lewis. We vote against recommendations when we believe that it serves our clients’ best interests. An annual summary of voting is sent to each client for whom proxies are voted.</w:t>
      </w:r>
    </w:p>
    <w:p>
      <w:pPr>
        <w:spacing w:after="0" w:line="59"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i w:val="1"/>
          <w:iCs w:val="1"/>
          <w:color w:val="auto"/>
        </w:rPr>
        <w:t>Social Impact and Corporate Giving</w:t>
      </w:r>
    </w:p>
    <w:p>
      <w:pPr>
        <w:spacing w:after="0" w:line="96" w:lineRule="exact"/>
        <w:rPr>
          <w:sz w:val="20"/>
          <w:szCs w:val="20"/>
          <w:color w:val="auto"/>
        </w:rPr>
      </w:pPr>
    </w:p>
    <w:p>
      <w:pPr>
        <w:ind w:right="360" w:firstLine="382"/>
        <w:spacing w:after="0" w:line="287" w:lineRule="auto"/>
        <w:rPr>
          <w:sz w:val="20"/>
          <w:szCs w:val="20"/>
          <w:color w:val="auto"/>
        </w:rPr>
      </w:pPr>
      <w:r>
        <w:rPr>
          <w:rFonts w:ascii="Times New Roman" w:cs="Times New Roman" w:eastAsia="Times New Roman" w:hAnsi="Times New Roman"/>
          <w:sz w:val="14"/>
          <w:szCs w:val="14"/>
          <w:color w:val="auto"/>
        </w:rPr>
        <w:t>Westwood has a long history of community involvement and support of local charitable causes. This involvement is a cornerstone of our culture, drives employee engagement and makes employees proud to work at Westwood. In honoring Westwood’s history of community involvement and support of local charitable causes, Westwood supports and partners with</w:t>
      </w:r>
    </w:p>
    <w:p>
      <w:pPr>
        <w:spacing w:after="0" w:line="389"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4"/>
          <w:szCs w:val="14"/>
          <w:color w:val="auto"/>
        </w:rPr>
        <w:t>11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-8890</wp:posOffset>
            </wp:positionH>
            <wp:positionV relativeFrom="paragraph">
              <wp:posOffset>55880</wp:posOffset>
            </wp:positionV>
            <wp:extent cx="7186930" cy="38735"/>
            <wp:wrapNone/>
            <wp:docPr id="18" name="Picture 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
                    <pic:cNvPicPr>
                      <a:picLocks noChangeAspect="1" noChangeArrowheads="1"/>
                    </pic:cNvPicPr>
                  </pic:nvPicPr>
                  <pic:blipFill>
                    <a:blip r:embed="rId25">
                      <a:extLst>
                        <a:ext uri="{28A0092B-C50C-407E-A947-70E740481C1C}"/>
                      </a:extLst>
                    </a:blip>
                    <a:srcRect/>
                    <a:stretch>
                      <a:fillRect/>
                    </a:stretch>
                  </pic:blipFill>
                  <pic:spPr bwMode="auto">
                    <a:xfrm>
                      <a:off x="0" y="0"/>
                      <a:ext cx="7186930" cy="38735"/>
                    </a:xfrm>
                    <a:prstGeom prst="rect">
                      <a:avLst/>
                    </a:prstGeom>
                    <a:noFill/>
                  </pic:spPr>
                </pic:pic>
              </a:graphicData>
            </a:graphic>
          </wp:anchor>
        </w:drawing>
      </w:r>
    </w:p>
    <w:p>
      <w:pPr>
        <w:sectPr>
          <w:pgSz w:w="11900" w:h="16838" w:orient="portrait"/>
          <w:cols w:equalWidth="0" w:num="1">
            <w:col w:w="11260"/>
          </w:cols>
          <w:pgMar w:left="300" w:top="814" w:right="339" w:bottom="1440" w:gutter="0" w:footer="0" w:header="0"/>
        </w:sectPr>
      </w:pPr>
    </w:p>
    <w:bookmarkStart w:id="13" w:name="page14"/>
    <w:bookmarkEnd w:id="13"/>
    <w:p>
      <w:pPr>
        <w:ind w:right="100"/>
        <w:spacing w:after="0" w:line="270" w:lineRule="auto"/>
        <w:rPr>
          <w:sz w:val="20"/>
          <w:szCs w:val="20"/>
          <w:color w:val="auto"/>
        </w:rPr>
      </w:pPr>
      <w:r>
        <w:rPr>
          <w:rFonts w:ascii="Times New Roman" w:cs="Times New Roman" w:eastAsia="Times New Roman" w:hAnsi="Times New Roman"/>
          <w:sz w:val="14"/>
          <w:szCs w:val="14"/>
          <w:color w:val="auto"/>
        </w:rPr>
        <w:t>organizations that embrace activities that align with Westwood’s core values of teamwork, excellence, integrity and placement of client and stakeholder interests above our own. Every year, Westwood supports a number of charitable organizations financially and via employee volunteer efforts focused on issues like education, children’s needs, homelessness, food insecurity and disaster relief.</w:t>
      </w:r>
    </w:p>
    <w:p>
      <w:pPr>
        <w:spacing w:after="0" w:line="49"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i w:val="1"/>
          <w:iCs w:val="1"/>
          <w:color w:val="auto"/>
        </w:rPr>
        <w:t>Environment</w:t>
      </w:r>
    </w:p>
    <w:p>
      <w:pPr>
        <w:spacing w:after="0" w:line="96" w:lineRule="exact"/>
        <w:rPr>
          <w:sz w:val="20"/>
          <w:szCs w:val="20"/>
          <w:color w:val="auto"/>
        </w:rPr>
      </w:pPr>
    </w:p>
    <w:p>
      <w:pPr>
        <w:ind w:firstLine="382"/>
        <w:spacing w:after="0" w:line="264" w:lineRule="auto"/>
        <w:rPr>
          <w:sz w:val="20"/>
          <w:szCs w:val="20"/>
          <w:color w:val="auto"/>
        </w:rPr>
      </w:pPr>
      <w:r>
        <w:rPr>
          <w:rFonts w:ascii="Times New Roman" w:cs="Times New Roman" w:eastAsia="Times New Roman" w:hAnsi="Times New Roman"/>
          <w:sz w:val="14"/>
          <w:szCs w:val="14"/>
          <w:color w:val="auto"/>
        </w:rPr>
        <w:t>At Westwood, we embrace caring for our communities and work hard to take care of the world around us. Westwood is committed to the responsible use, and protection of, our natural environment through conservation and sustainable practices that enhance ecosystem resilience, human well-being and ultimately our company’s strength and resiliency. Through our initiative to calculate our travel-related carbon footprint and buy offset carbon credits, we measure and offset greenhouse gas emissions. We are committed to offsetting our carbon emissions generated through air travel which makes up a substantial portion of our carbon emissions.</w:t>
      </w:r>
    </w:p>
    <w:p>
      <w:pPr>
        <w:spacing w:after="0" w:line="54"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i w:val="1"/>
          <w:iCs w:val="1"/>
          <w:color w:val="auto"/>
        </w:rPr>
        <w:t>Diversity and Inclusion</w:t>
      </w:r>
    </w:p>
    <w:p>
      <w:pPr>
        <w:spacing w:after="0" w:line="96" w:lineRule="exact"/>
        <w:rPr>
          <w:sz w:val="20"/>
          <w:szCs w:val="20"/>
          <w:color w:val="auto"/>
        </w:rPr>
      </w:pPr>
    </w:p>
    <w:p>
      <w:pPr>
        <w:ind w:right="380" w:firstLine="382"/>
        <w:spacing w:after="0" w:line="287" w:lineRule="auto"/>
        <w:rPr>
          <w:sz w:val="20"/>
          <w:szCs w:val="20"/>
          <w:color w:val="auto"/>
        </w:rPr>
      </w:pPr>
      <w:r>
        <w:rPr>
          <w:rFonts w:ascii="Times New Roman" w:cs="Times New Roman" w:eastAsia="Times New Roman" w:hAnsi="Times New Roman"/>
          <w:sz w:val="14"/>
          <w:szCs w:val="14"/>
          <w:color w:val="auto"/>
        </w:rPr>
        <w:t>Diversity is an important part of our culture and identity; approximately 41% of our employees are women — many in senior positions — and approximately 31% of our employees self-identify as members of minority communities.</w:t>
      </w:r>
    </w:p>
    <w:p>
      <w:pPr>
        <w:spacing w:after="0" w:line="39" w:lineRule="exact"/>
        <w:rPr>
          <w:sz w:val="20"/>
          <w:szCs w:val="20"/>
          <w:color w:val="auto"/>
        </w:rPr>
      </w:pPr>
    </w:p>
    <w:p>
      <w:pPr>
        <w:ind w:right="80" w:firstLine="382"/>
        <w:spacing w:after="0" w:line="270" w:lineRule="auto"/>
        <w:rPr>
          <w:sz w:val="20"/>
          <w:szCs w:val="20"/>
          <w:color w:val="auto"/>
        </w:rPr>
      </w:pPr>
      <w:r>
        <w:rPr>
          <w:rFonts w:ascii="Times New Roman" w:cs="Times New Roman" w:eastAsia="Times New Roman" w:hAnsi="Times New Roman"/>
          <w:sz w:val="14"/>
          <w:szCs w:val="14"/>
          <w:color w:val="auto"/>
        </w:rPr>
        <w:t>Diversity and inclusion concepts are an integral part of our history, culture and identity. Westwood was founded by a woman in 1983, when the finance industry had only a small percentage of women in the workforce. We embrace opportunity for individuals from all backgrounds and are committed to fostering unique ideas, perspectives and experiences. We encourage an environment where our employees feel valued, involved and empowered to do their best work, deliver the best possible service to our clients and meet their full potential.</w:t>
      </w:r>
    </w:p>
    <w:p>
      <w:pPr>
        <w:spacing w:after="0" w:line="176" w:lineRule="exact"/>
        <w:rPr>
          <w:sz w:val="20"/>
          <w:szCs w:val="20"/>
          <w:color w:val="auto"/>
        </w:rPr>
      </w:pPr>
    </w:p>
    <w:p>
      <w:pPr>
        <w:spacing w:after="0"/>
        <w:tabs>
          <w:tab w:leader="none" w:pos="660" w:val="left"/>
        </w:tabs>
        <w:rPr>
          <w:sz w:val="20"/>
          <w:szCs w:val="20"/>
          <w:color w:val="auto"/>
        </w:rPr>
      </w:pPr>
      <w:r>
        <w:rPr>
          <w:rFonts w:ascii="Times New Roman" w:cs="Times New Roman" w:eastAsia="Times New Roman" w:hAnsi="Times New Roman"/>
          <w:sz w:val="14"/>
          <w:szCs w:val="14"/>
          <w:b w:val="1"/>
          <w:bCs w:val="1"/>
          <w:color w:val="auto"/>
        </w:rPr>
        <w:t>Item 1A.</w:t>
        <w:tab/>
        <w:t>Risk Factors.</w:t>
      </w:r>
    </w:p>
    <w:p>
      <w:pPr>
        <w:spacing w:after="0" w:line="94" w:lineRule="exact"/>
        <w:rPr>
          <w:sz w:val="20"/>
          <w:szCs w:val="20"/>
          <w:color w:val="auto"/>
        </w:rPr>
      </w:pPr>
    </w:p>
    <w:p>
      <w:pPr>
        <w:jc w:val="both"/>
        <w:ind w:right="120" w:firstLine="382"/>
        <w:spacing w:after="0" w:line="271" w:lineRule="auto"/>
        <w:rPr>
          <w:sz w:val="20"/>
          <w:szCs w:val="20"/>
          <w:color w:val="auto"/>
        </w:rPr>
      </w:pPr>
      <w:r>
        <w:rPr>
          <w:rFonts w:ascii="Times New Roman" w:cs="Times New Roman" w:eastAsia="Times New Roman" w:hAnsi="Times New Roman"/>
          <w:sz w:val="14"/>
          <w:szCs w:val="14"/>
          <w:i w:val="1"/>
          <w:iCs w:val="1"/>
          <w:color w:val="auto"/>
        </w:rPr>
        <w:t>We believe these represent the material risks currently facing our business. Our business, financial condition or results of operations could be materially adversely affected by these risks. The trading price of our common stock could decline due to any of these risks, and you may lose all or part of your investment. You should carefully consider the risks described below before making an investment decision. You should also refer to the other information included or incorporated by reference in this Report, including our financial statements and related notes.</w:t>
      </w:r>
    </w:p>
    <w:p>
      <w:pPr>
        <w:spacing w:after="0" w:line="49"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b w:val="1"/>
          <w:bCs w:val="1"/>
          <w:u w:val="single" w:color="auto"/>
          <w:color w:val="auto"/>
        </w:rPr>
        <w:t>Risks Related to the Investment Industry</w:t>
      </w:r>
    </w:p>
    <w:p>
      <w:pPr>
        <w:spacing w:after="0" w:line="94" w:lineRule="exact"/>
        <w:rPr>
          <w:sz w:val="20"/>
          <w:szCs w:val="20"/>
          <w:color w:val="auto"/>
        </w:rPr>
      </w:pPr>
    </w:p>
    <w:p>
      <w:pPr>
        <w:ind w:right="200" w:firstLine="382"/>
        <w:spacing w:after="0" w:line="290" w:lineRule="auto"/>
        <w:rPr>
          <w:sz w:val="20"/>
          <w:szCs w:val="20"/>
          <w:color w:val="auto"/>
        </w:rPr>
      </w:pPr>
      <w:r>
        <w:rPr>
          <w:rFonts w:ascii="Times New Roman" w:cs="Times New Roman" w:eastAsia="Times New Roman" w:hAnsi="Times New Roman"/>
          <w:sz w:val="14"/>
          <w:szCs w:val="14"/>
          <w:b w:val="1"/>
          <w:bCs w:val="1"/>
          <w:color w:val="auto"/>
        </w:rPr>
        <w:t>Our results of operations depend upon the market value and composition of AUM and AUA, which can fluctuate significantly based on various factors, some of which are beyond our control.</w:t>
      </w:r>
    </w:p>
    <w:p>
      <w:pPr>
        <w:spacing w:after="0" w:line="37" w:lineRule="exact"/>
        <w:rPr>
          <w:sz w:val="20"/>
          <w:szCs w:val="20"/>
          <w:color w:val="auto"/>
        </w:rPr>
      </w:pPr>
    </w:p>
    <w:p>
      <w:pPr>
        <w:ind w:left="380"/>
        <w:spacing w:after="0"/>
        <w:rPr>
          <w:sz w:val="20"/>
          <w:szCs w:val="20"/>
          <w:color w:val="auto"/>
        </w:rPr>
      </w:pPr>
      <w:r>
        <w:rPr>
          <w:rFonts w:ascii="Times New Roman" w:cs="Times New Roman" w:eastAsia="Times New Roman" w:hAnsi="Times New Roman"/>
          <w:sz w:val="14"/>
          <w:szCs w:val="14"/>
          <w:color w:val="auto"/>
        </w:rPr>
        <w:t>Our revenues are primarily generated from fees derived as a percentage of AUM and AUA. The value of our AUM and AUA can be negatively impacted by several factors, including:</w:t>
      </w:r>
    </w:p>
    <w:p>
      <w:pPr>
        <w:spacing w:after="0" w:line="94" w:lineRule="exact"/>
        <w:rPr>
          <w:sz w:val="20"/>
          <w:szCs w:val="20"/>
          <w:color w:val="auto"/>
        </w:rPr>
      </w:pPr>
    </w:p>
    <w:p>
      <w:pPr>
        <w:ind w:left="380" w:right="60" w:hanging="248"/>
        <w:spacing w:after="0" w:line="264" w:lineRule="auto"/>
        <w:tabs>
          <w:tab w:leader="none" w:pos="376" w:val="left"/>
        </w:tabs>
        <w:numPr>
          <w:ilvl w:val="0"/>
          <w:numId w:val="9"/>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Market performance: Performance of the securities markets could be impacted by a number of factors beyond our control, including, among others, general economic downturns, political uncertainty, acts of terrorism or natural disasters. Negative performance within the securities markets or short-term volatility within the securities markets could result in investors withdrawing assets, decreasing their rates of investment or shifting assets to cash or other asset classes or strategies that we do not manage, all of which could reduce our revenues. In addition, during periods of slowing growth or declining revenues, profits and profit margins are adversely affected because certain expenses remain relatively fixed.</w:t>
      </w:r>
    </w:p>
    <w:p>
      <w:pPr>
        <w:spacing w:after="0" w:line="55" w:lineRule="exact"/>
        <w:rPr>
          <w:rFonts w:ascii="Times New Roman" w:cs="Times New Roman" w:eastAsia="Times New Roman" w:hAnsi="Times New Roman"/>
          <w:sz w:val="14"/>
          <w:szCs w:val="14"/>
          <w:color w:val="auto"/>
        </w:rPr>
      </w:pPr>
    </w:p>
    <w:p>
      <w:pPr>
        <w:ind w:left="380" w:hanging="248"/>
        <w:spacing w:after="0" w:line="258" w:lineRule="auto"/>
        <w:tabs>
          <w:tab w:leader="none" w:pos="376" w:val="left"/>
        </w:tabs>
        <w:numPr>
          <w:ilvl w:val="0"/>
          <w:numId w:val="9"/>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Investment performance: Because we compete with many asset management firms based on our investment strategies, the maintenance and growth of AUM and AUA is largely dependent on the investment performance of the assets that we manage. Poor performance may result in the loss or reduction of client accounts, which decreases revenues. Underperformance relative to peer groups and/or relevant benchmarks for our various investment strategies could adversely affect our results of operations, especially if such underperformance continues for an extended period of time. The historical returns of our strategies and the ratings and rankings we, or the mutual funds that we advise, have generated should not be considered indicative of the future results of these strategies or of any other strategies that we may develop. The investment performance we achieve for our customers varies over time and variances can be wide. Certain of our investment strategies have capacity constraints because there may be a limit to the number of securities available for certain strategies to operate effectively. In those instances, we may choose to limit access to new or existing investors.</w:t>
      </w:r>
    </w:p>
    <w:p>
      <w:pPr>
        <w:spacing w:after="0" w:line="59" w:lineRule="exact"/>
        <w:rPr>
          <w:rFonts w:ascii="Times New Roman" w:cs="Times New Roman" w:eastAsia="Times New Roman" w:hAnsi="Times New Roman"/>
          <w:sz w:val="14"/>
          <w:szCs w:val="14"/>
          <w:color w:val="auto"/>
        </w:rPr>
      </w:pPr>
    </w:p>
    <w:p>
      <w:pPr>
        <w:ind w:left="380"/>
        <w:spacing w:after="0"/>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b w:val="1"/>
          <w:bCs w:val="1"/>
          <w:color w:val="auto"/>
        </w:rPr>
        <w:t>The investment management and wealth management industry is highly competitive and innovative.</w:t>
      </w:r>
    </w:p>
    <w:p>
      <w:pPr>
        <w:spacing w:after="0" w:line="200" w:lineRule="exact"/>
        <w:rPr>
          <w:sz w:val="20"/>
          <w:szCs w:val="20"/>
          <w:color w:val="auto"/>
        </w:rPr>
      </w:pPr>
    </w:p>
    <w:p>
      <w:pPr>
        <w:spacing w:after="0" w:line="24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4"/>
          <w:szCs w:val="14"/>
          <w:color w:val="auto"/>
        </w:rPr>
        <w:t>12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-8890</wp:posOffset>
            </wp:positionH>
            <wp:positionV relativeFrom="paragraph">
              <wp:posOffset>55880</wp:posOffset>
            </wp:positionV>
            <wp:extent cx="7186930" cy="38735"/>
            <wp:wrapNone/>
            <wp:docPr id="19" name="Picture 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
                    <pic:cNvPicPr>
                      <a:picLocks noChangeAspect="1" noChangeArrowheads="1"/>
                    </pic:cNvPicPr>
                  </pic:nvPicPr>
                  <pic:blipFill>
                    <a:blip r:embed="rId26">
                      <a:extLst>
                        <a:ext uri="{28A0092B-C50C-407E-A947-70E740481C1C}"/>
                      </a:extLst>
                    </a:blip>
                    <a:srcRect/>
                    <a:stretch>
                      <a:fillRect/>
                    </a:stretch>
                  </pic:blipFill>
                  <pic:spPr bwMode="auto">
                    <a:xfrm>
                      <a:off x="0" y="0"/>
                      <a:ext cx="7186930" cy="38735"/>
                    </a:xfrm>
                    <a:prstGeom prst="rect">
                      <a:avLst/>
                    </a:prstGeom>
                    <a:noFill/>
                  </pic:spPr>
                </pic:pic>
              </a:graphicData>
            </a:graphic>
          </wp:anchor>
        </w:drawing>
      </w:r>
    </w:p>
    <w:p>
      <w:pPr>
        <w:sectPr>
          <w:pgSz w:w="11900" w:h="16838" w:orient="portrait"/>
          <w:cols w:equalWidth="0" w:num="1">
            <w:col w:w="11280"/>
          </w:cols>
          <w:pgMar w:left="300" w:top="814" w:right="319" w:bottom="1440" w:gutter="0" w:footer="0" w:header="0"/>
        </w:sectPr>
      </w:pPr>
    </w:p>
    <w:bookmarkStart w:id="14" w:name="page15"/>
    <w:bookmarkEnd w:id="14"/>
    <w:p>
      <w:pPr>
        <w:ind w:right="300" w:firstLine="382"/>
        <w:spacing w:after="0" w:line="287" w:lineRule="auto"/>
        <w:rPr>
          <w:sz w:val="20"/>
          <w:szCs w:val="20"/>
          <w:color w:val="auto"/>
        </w:rPr>
      </w:pPr>
      <w:r>
        <w:rPr>
          <w:rFonts w:ascii="Times New Roman" w:cs="Times New Roman" w:eastAsia="Times New Roman" w:hAnsi="Times New Roman"/>
          <w:sz w:val="14"/>
          <w:szCs w:val="14"/>
          <w:color w:val="auto"/>
        </w:rPr>
        <w:t>The investment management and wealth management industry is highly competitive based on factors such as investment performance, fee rates, continuity of investment professionals and client relationships, the quality of client service, corporate positioning, business reputation and differentiated products. Several factors increase competitive risks, including the following:</w:t>
      </w:r>
    </w:p>
    <w:p>
      <w:pPr>
        <w:spacing w:after="0" w:line="39" w:lineRule="exact"/>
        <w:rPr>
          <w:sz w:val="20"/>
          <w:szCs w:val="20"/>
          <w:color w:val="auto"/>
        </w:rPr>
      </w:pPr>
    </w:p>
    <w:p>
      <w:pPr>
        <w:ind w:left="380" w:hanging="248"/>
        <w:spacing w:after="0"/>
        <w:tabs>
          <w:tab w:leader="none" w:pos="380" w:val="left"/>
        </w:tabs>
        <w:numPr>
          <w:ilvl w:val="0"/>
          <w:numId w:val="10"/>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Potential competitors have a relatively low cost of entering the investment management industry;</w:t>
      </w:r>
    </w:p>
    <w:p>
      <w:pPr>
        <w:spacing w:after="0" w:line="93" w:lineRule="exact"/>
        <w:rPr>
          <w:rFonts w:ascii="Times New Roman" w:cs="Times New Roman" w:eastAsia="Times New Roman" w:hAnsi="Times New Roman"/>
          <w:sz w:val="14"/>
          <w:szCs w:val="14"/>
          <w:color w:val="auto"/>
        </w:rPr>
      </w:pPr>
    </w:p>
    <w:p>
      <w:pPr>
        <w:ind w:left="380" w:hanging="248"/>
        <w:spacing w:after="0"/>
        <w:tabs>
          <w:tab w:leader="none" w:pos="380" w:val="left"/>
        </w:tabs>
        <w:numPr>
          <w:ilvl w:val="0"/>
          <w:numId w:val="10"/>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Many competitors have greater financial, technological, marketing and other resources, more comprehensive name recognition and more personnel;</w:t>
      </w:r>
    </w:p>
    <w:p>
      <w:pPr>
        <w:spacing w:after="0" w:line="93" w:lineRule="exact"/>
        <w:rPr>
          <w:rFonts w:ascii="Times New Roman" w:cs="Times New Roman" w:eastAsia="Times New Roman" w:hAnsi="Times New Roman"/>
          <w:sz w:val="14"/>
          <w:szCs w:val="14"/>
          <w:color w:val="auto"/>
        </w:rPr>
      </w:pPr>
    </w:p>
    <w:p>
      <w:pPr>
        <w:ind w:left="380" w:right="700" w:hanging="248"/>
        <w:spacing w:after="0" w:line="287" w:lineRule="auto"/>
        <w:tabs>
          <w:tab w:leader="none" w:pos="376" w:val="left"/>
        </w:tabs>
        <w:numPr>
          <w:ilvl w:val="0"/>
          <w:numId w:val="10"/>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The continuing trend toward consolidation in the investment management industry, and the securities business in general, has served to increase the size and strength of some of our competitors;</w:t>
      </w:r>
    </w:p>
    <w:p>
      <w:pPr>
        <w:spacing w:after="0" w:line="39" w:lineRule="exact"/>
        <w:rPr>
          <w:rFonts w:ascii="Times New Roman" w:cs="Times New Roman" w:eastAsia="Times New Roman" w:hAnsi="Times New Roman"/>
          <w:sz w:val="14"/>
          <w:szCs w:val="14"/>
          <w:color w:val="auto"/>
        </w:rPr>
      </w:pPr>
    </w:p>
    <w:p>
      <w:pPr>
        <w:ind w:left="380" w:hanging="248"/>
        <w:spacing w:after="0"/>
        <w:tabs>
          <w:tab w:leader="none" w:pos="380" w:val="left"/>
        </w:tabs>
        <w:numPr>
          <w:ilvl w:val="0"/>
          <w:numId w:val="10"/>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Recent changes in consumer demand for technological capabilities, including the enhanced ability for firms to offer lower fees for passive management strategies, have increased competition;</w:t>
      </w:r>
    </w:p>
    <w:p>
      <w:pPr>
        <w:spacing w:after="0" w:line="93" w:lineRule="exact"/>
        <w:rPr>
          <w:rFonts w:ascii="Times New Roman" w:cs="Times New Roman" w:eastAsia="Times New Roman" w:hAnsi="Times New Roman"/>
          <w:sz w:val="14"/>
          <w:szCs w:val="14"/>
          <w:color w:val="auto"/>
        </w:rPr>
      </w:pPr>
    </w:p>
    <w:p>
      <w:pPr>
        <w:ind w:left="380" w:hanging="248"/>
        <w:spacing w:after="0"/>
        <w:tabs>
          <w:tab w:leader="none" w:pos="380" w:val="left"/>
        </w:tabs>
        <w:numPr>
          <w:ilvl w:val="0"/>
          <w:numId w:val="10"/>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Shifts in demand for alternative investment styles, asset classes and distribution vehicles may cause our competitors to be perceived as more attractive;</w:t>
      </w:r>
    </w:p>
    <w:p>
      <w:pPr>
        <w:spacing w:after="0" w:line="93" w:lineRule="exact"/>
        <w:rPr>
          <w:rFonts w:ascii="Times New Roman" w:cs="Times New Roman" w:eastAsia="Times New Roman" w:hAnsi="Times New Roman"/>
          <w:sz w:val="14"/>
          <w:szCs w:val="14"/>
          <w:color w:val="auto"/>
        </w:rPr>
      </w:pPr>
    </w:p>
    <w:p>
      <w:pPr>
        <w:ind w:left="380" w:hanging="248"/>
        <w:spacing w:after="0"/>
        <w:tabs>
          <w:tab w:leader="none" w:pos="380" w:val="left"/>
        </w:tabs>
        <w:numPr>
          <w:ilvl w:val="0"/>
          <w:numId w:val="10"/>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Other industry participants, hedge funds and alternative asset managers may seek to recruit our investment professionals;</w:t>
      </w:r>
    </w:p>
    <w:p>
      <w:pPr>
        <w:spacing w:after="0" w:line="93" w:lineRule="exact"/>
        <w:rPr>
          <w:rFonts w:ascii="Times New Roman" w:cs="Times New Roman" w:eastAsia="Times New Roman" w:hAnsi="Times New Roman"/>
          <w:sz w:val="14"/>
          <w:szCs w:val="14"/>
          <w:color w:val="auto"/>
        </w:rPr>
      </w:pPr>
    </w:p>
    <w:p>
      <w:pPr>
        <w:ind w:left="380" w:hanging="248"/>
        <w:spacing w:after="0"/>
        <w:tabs>
          <w:tab w:leader="none" w:pos="380" w:val="left"/>
        </w:tabs>
        <w:numPr>
          <w:ilvl w:val="0"/>
          <w:numId w:val="10"/>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Some competitors charge lower fees for their investment management services;</w:t>
      </w:r>
    </w:p>
    <w:p>
      <w:pPr>
        <w:spacing w:after="0" w:line="93" w:lineRule="exact"/>
        <w:rPr>
          <w:rFonts w:ascii="Times New Roman" w:cs="Times New Roman" w:eastAsia="Times New Roman" w:hAnsi="Times New Roman"/>
          <w:sz w:val="14"/>
          <w:szCs w:val="14"/>
          <w:color w:val="auto"/>
        </w:rPr>
      </w:pPr>
    </w:p>
    <w:p>
      <w:pPr>
        <w:ind w:left="380" w:hanging="248"/>
        <w:spacing w:after="0"/>
        <w:tabs>
          <w:tab w:leader="none" w:pos="380" w:val="left"/>
        </w:tabs>
        <w:numPr>
          <w:ilvl w:val="0"/>
          <w:numId w:val="10"/>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Some competitors may provide more comprehensive client services, including banking, financial planning and tax planning at levels beyond those we currently provide; and</w:t>
      </w:r>
    </w:p>
    <w:p>
      <w:pPr>
        <w:spacing w:after="0" w:line="93" w:lineRule="exact"/>
        <w:rPr>
          <w:rFonts w:ascii="Times New Roman" w:cs="Times New Roman" w:eastAsia="Times New Roman" w:hAnsi="Times New Roman"/>
          <w:sz w:val="14"/>
          <w:szCs w:val="14"/>
          <w:color w:val="auto"/>
        </w:rPr>
      </w:pPr>
    </w:p>
    <w:p>
      <w:pPr>
        <w:ind w:left="380" w:hanging="248"/>
        <w:spacing w:after="0"/>
        <w:tabs>
          <w:tab w:leader="none" w:pos="380" w:val="left"/>
        </w:tabs>
        <w:numPr>
          <w:ilvl w:val="0"/>
          <w:numId w:val="10"/>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Some competitors may have more sophisticated, innovative or advanced distribution networks.</w:t>
      </w:r>
    </w:p>
    <w:p>
      <w:pPr>
        <w:spacing w:after="0" w:line="94" w:lineRule="exact"/>
        <w:rPr>
          <w:sz w:val="20"/>
          <w:szCs w:val="20"/>
          <w:color w:val="auto"/>
        </w:rPr>
      </w:pPr>
    </w:p>
    <w:p>
      <w:pPr>
        <w:ind w:right="20" w:firstLine="382"/>
        <w:spacing w:after="0" w:line="270" w:lineRule="auto"/>
        <w:rPr>
          <w:sz w:val="20"/>
          <w:szCs w:val="20"/>
          <w:color w:val="auto"/>
        </w:rPr>
      </w:pPr>
      <w:r>
        <w:rPr>
          <w:rFonts w:ascii="Times New Roman" w:cs="Times New Roman" w:eastAsia="Times New Roman" w:hAnsi="Times New Roman"/>
          <w:sz w:val="14"/>
          <w:szCs w:val="14"/>
          <w:color w:val="auto"/>
        </w:rPr>
        <w:t>We have faced significant competition from competitors with lower fee, passive investment strategies. Investment advisors emphasizing passive products have gained, and may continue to gain, significant market share from active managers like us, which could have a material adverse effect on our business. If we are unable to compete effectively, our earnings could be reduced and our business could be adversely affected.</w:t>
      </w:r>
    </w:p>
    <w:p>
      <w:pPr>
        <w:spacing w:after="0" w:line="51" w:lineRule="exact"/>
        <w:rPr>
          <w:sz w:val="20"/>
          <w:szCs w:val="20"/>
          <w:color w:val="auto"/>
        </w:rPr>
      </w:pPr>
    </w:p>
    <w:p>
      <w:pPr>
        <w:ind w:firstLine="382"/>
        <w:spacing w:after="0" w:line="287" w:lineRule="auto"/>
        <w:rPr>
          <w:sz w:val="20"/>
          <w:szCs w:val="20"/>
          <w:color w:val="auto"/>
        </w:rPr>
      </w:pPr>
      <w:r>
        <w:rPr>
          <w:rFonts w:ascii="Times New Roman" w:cs="Times New Roman" w:eastAsia="Times New Roman" w:hAnsi="Times New Roman"/>
          <w:sz w:val="14"/>
          <w:szCs w:val="14"/>
          <w:color w:val="auto"/>
        </w:rPr>
        <w:t>In addition, the use of various technologies based on artificial intelligence ("AI") is expanding rapidly in our industry. Our competitors may have access to more advanced technology, including AI, which might enable our competitors to innovate better and more quickly, or to compete more effectively on quality and price, which could impact our profitability.</w:t>
      </w:r>
    </w:p>
    <w:p>
      <w:pPr>
        <w:spacing w:after="0" w:line="39" w:lineRule="exact"/>
        <w:rPr>
          <w:sz w:val="20"/>
          <w:szCs w:val="20"/>
          <w:color w:val="auto"/>
        </w:rPr>
      </w:pPr>
    </w:p>
    <w:p>
      <w:pPr>
        <w:ind w:right="320" w:firstLine="382"/>
        <w:spacing w:after="0" w:line="287" w:lineRule="auto"/>
        <w:rPr>
          <w:sz w:val="20"/>
          <w:szCs w:val="20"/>
          <w:color w:val="auto"/>
        </w:rPr>
      </w:pPr>
      <w:r>
        <w:rPr>
          <w:rFonts w:ascii="Times New Roman" w:cs="Times New Roman" w:eastAsia="Times New Roman" w:hAnsi="Times New Roman"/>
          <w:sz w:val="14"/>
          <w:szCs w:val="14"/>
          <w:color w:val="auto"/>
        </w:rPr>
        <w:t>Interest in AI may increase competition and lower barriers to entry in the industry, and we may be unable to compete with the products or services offered by new competitors, resulting in lower earnings or the ability to operate sustainably.</w:t>
      </w:r>
    </w:p>
    <w:p>
      <w:pPr>
        <w:spacing w:after="0" w:line="37" w:lineRule="exact"/>
        <w:rPr>
          <w:sz w:val="20"/>
          <w:szCs w:val="20"/>
          <w:color w:val="auto"/>
        </w:rPr>
      </w:pPr>
    </w:p>
    <w:p>
      <w:pPr>
        <w:ind w:left="380" w:right="460"/>
        <w:spacing w:after="0" w:line="328" w:lineRule="auto"/>
        <w:rPr>
          <w:sz w:val="20"/>
          <w:szCs w:val="20"/>
          <w:color w:val="auto"/>
        </w:rPr>
      </w:pPr>
      <w:r>
        <w:rPr>
          <w:rFonts w:ascii="Times New Roman" w:cs="Times New Roman" w:eastAsia="Times New Roman" w:hAnsi="Times New Roman"/>
          <w:sz w:val="14"/>
          <w:szCs w:val="14"/>
          <w:b w:val="1"/>
          <w:bCs w:val="1"/>
          <w:color w:val="auto"/>
        </w:rPr>
        <w:t xml:space="preserve">Some of our strategies invest in the securities of non-U.S. companies, which involve foreign currency exchange, tax, political, social and economic uncertainties and risks. </w:t>
      </w:r>
      <w:r>
        <w:rPr>
          <w:rFonts w:ascii="Times New Roman" w:cs="Times New Roman" w:eastAsia="Times New Roman" w:hAnsi="Times New Roman"/>
          <w:sz w:val="14"/>
          <w:szCs w:val="14"/>
          <w:color w:val="auto"/>
        </w:rPr>
        <w:t>Some of our strategies offer access to global markets with exposure to non-U.S. companies. Fluctuations in foreign currency exchange rates could negatively affect the returns of clients</w:t>
      </w:r>
    </w:p>
    <w:p>
      <w:pPr>
        <w:spacing w:after="0" w:line="1" w:lineRule="exact"/>
        <w:rPr>
          <w:sz w:val="20"/>
          <w:szCs w:val="20"/>
          <w:color w:val="auto"/>
        </w:rPr>
      </w:pPr>
    </w:p>
    <w:p>
      <w:pPr>
        <w:ind w:right="20"/>
        <w:spacing w:after="0" w:line="255" w:lineRule="auto"/>
        <w:rPr>
          <w:sz w:val="20"/>
          <w:szCs w:val="20"/>
          <w:color w:val="auto"/>
        </w:rPr>
      </w:pPr>
      <w:r>
        <w:rPr>
          <w:rFonts w:ascii="Times New Roman" w:cs="Times New Roman" w:eastAsia="Times New Roman" w:hAnsi="Times New Roman"/>
          <w:sz w:val="14"/>
          <w:szCs w:val="14"/>
          <w:color w:val="auto"/>
        </w:rPr>
        <w:t>invested in these strategies. Investments in non-U.S. issuers may also be affected by tax policies in countries or regions in which we are invested, as well as political, social and economic uncertainty or other diplomatic developments. Many financial markets are less developed or efficient than U.S. financial markets with limited liquidity and higher price volatility and may also lack an established regulatory framework. Liquidity and price volatility may be adversely affected by political or economic events, government policies and social or civil unrest within a particular country. These risks, among others, could adversely affect the performance of our strategies invested in securities of non-U.S. issuers and may be particularly acute in emerging or less developed markets. As a result, we may be unable to attract or retain client investments in these strategies, and assets invested in these strategies may experience significant declines in value and our results of operations may be negatively affected.</w:t>
      </w:r>
    </w:p>
    <w:p>
      <w:pPr>
        <w:spacing w:after="0" w:line="61"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b w:val="1"/>
          <w:bCs w:val="1"/>
          <w:u w:val="single" w:color="auto"/>
          <w:color w:val="auto"/>
        </w:rPr>
        <w:t>Legal and Regulatory Risks</w:t>
      </w:r>
    </w:p>
    <w:p>
      <w:pPr>
        <w:spacing w:after="0" w:line="94" w:lineRule="exact"/>
        <w:rPr>
          <w:sz w:val="20"/>
          <w:szCs w:val="20"/>
          <w:color w:val="auto"/>
        </w:rPr>
      </w:pPr>
    </w:p>
    <w:p>
      <w:pPr>
        <w:ind w:right="560" w:firstLine="382"/>
        <w:spacing w:after="0" w:line="290" w:lineRule="auto"/>
        <w:rPr>
          <w:sz w:val="20"/>
          <w:szCs w:val="20"/>
          <w:color w:val="auto"/>
        </w:rPr>
      </w:pPr>
      <w:r>
        <w:rPr>
          <w:rFonts w:ascii="Times New Roman" w:cs="Times New Roman" w:eastAsia="Times New Roman" w:hAnsi="Times New Roman"/>
          <w:sz w:val="14"/>
          <w:szCs w:val="14"/>
          <w:b w:val="1"/>
          <w:bCs w:val="1"/>
          <w:color w:val="auto"/>
        </w:rPr>
        <w:t>Our business is subject to extensive regulation, which is subject to frequent change, with attendant compliance costs and serious consequences for violations; expansion into international markets and introduction of new products and services increases our regulatory and operational risks.</w:t>
      </w:r>
    </w:p>
    <w:p>
      <w:pPr>
        <w:spacing w:after="0" w:line="37" w:lineRule="exact"/>
        <w:rPr>
          <w:sz w:val="20"/>
          <w:szCs w:val="20"/>
          <w:color w:val="auto"/>
        </w:rPr>
      </w:pPr>
    </w:p>
    <w:p>
      <w:pPr>
        <w:ind w:right="20" w:firstLine="382"/>
        <w:spacing w:after="0" w:line="261" w:lineRule="auto"/>
        <w:rPr>
          <w:sz w:val="20"/>
          <w:szCs w:val="20"/>
          <w:color w:val="auto"/>
        </w:rPr>
      </w:pPr>
      <w:r>
        <w:rPr>
          <w:rFonts w:ascii="Times New Roman" w:cs="Times New Roman" w:eastAsia="Times New Roman" w:hAnsi="Times New Roman"/>
          <w:sz w:val="14"/>
          <w:szCs w:val="14"/>
          <w:color w:val="auto"/>
        </w:rPr>
        <w:t>Virtually all aspects of our business are subject to laws and regulations, including the Investment Advisers Act, the Investment Company Act, the Patriot Act, the Finance Code and anti-money laundering laws. These laws and regulations generally grant regulatory agencies broad administrative powers, including the power to limit or restrict us from operating our business, as well as powers to place us under conservatorship or closure if we fail to comply with such laws and regulations. Violations of such laws or regulations could subject us or our employees to disciplinary proceedings and civil or criminal liability, including revocation of licenses, censures, fines or temporary suspensions, permanent barring from the conduct of business, conservatorship or closure. Any such proceeding or liability could have a material adverse effect upon our business, financial condition, results of operations and business prospects.</w:t>
      </w:r>
    </w:p>
    <w:p>
      <w:pPr>
        <w:spacing w:after="0" w:line="200" w:lineRule="exact"/>
        <w:rPr>
          <w:sz w:val="20"/>
          <w:szCs w:val="20"/>
          <w:color w:val="auto"/>
        </w:rPr>
      </w:pPr>
    </w:p>
    <w:p>
      <w:pPr>
        <w:spacing w:after="0" w:line="20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4"/>
          <w:szCs w:val="14"/>
          <w:color w:val="auto"/>
        </w:rPr>
        <w:t>13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-8890</wp:posOffset>
            </wp:positionH>
            <wp:positionV relativeFrom="paragraph">
              <wp:posOffset>55880</wp:posOffset>
            </wp:positionV>
            <wp:extent cx="7186930" cy="38735"/>
            <wp:wrapNone/>
            <wp:docPr id="20" name="Picture 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
                    <pic:cNvPicPr>
                      <a:picLocks noChangeAspect="1" noChangeArrowheads="1"/>
                    </pic:cNvPicPr>
                  </pic:nvPicPr>
                  <pic:blipFill>
                    <a:blip r:embed="rId27">
                      <a:extLst>
                        <a:ext uri="{28A0092B-C50C-407E-A947-70E740481C1C}"/>
                      </a:extLst>
                    </a:blip>
                    <a:srcRect/>
                    <a:stretch>
                      <a:fillRect/>
                    </a:stretch>
                  </pic:blipFill>
                  <pic:spPr bwMode="auto">
                    <a:xfrm>
                      <a:off x="0" y="0"/>
                      <a:ext cx="7186930" cy="38735"/>
                    </a:xfrm>
                    <a:prstGeom prst="rect">
                      <a:avLst/>
                    </a:prstGeom>
                    <a:noFill/>
                  </pic:spPr>
                </pic:pic>
              </a:graphicData>
            </a:graphic>
          </wp:anchor>
        </w:drawing>
      </w:r>
    </w:p>
    <w:p>
      <w:pPr>
        <w:sectPr>
          <w:pgSz w:w="11900" w:h="16838" w:orient="portrait"/>
          <w:cols w:equalWidth="0" w:num="1">
            <w:col w:w="11280"/>
          </w:cols>
          <w:pgMar w:left="300" w:top="814" w:right="319" w:bottom="1440" w:gutter="0" w:footer="0" w:header="0"/>
        </w:sectPr>
      </w:pPr>
    </w:p>
    <w:bookmarkStart w:id="15" w:name="page16"/>
    <w:bookmarkEnd w:id="15"/>
    <w:p>
      <w:pPr>
        <w:ind w:right="20" w:firstLine="382"/>
        <w:spacing w:after="0" w:line="287" w:lineRule="auto"/>
        <w:rPr>
          <w:sz w:val="20"/>
          <w:szCs w:val="20"/>
          <w:color w:val="auto"/>
        </w:rPr>
      </w:pPr>
      <w:r>
        <w:rPr>
          <w:rFonts w:ascii="Times New Roman" w:cs="Times New Roman" w:eastAsia="Times New Roman" w:hAnsi="Times New Roman"/>
          <w:sz w:val="14"/>
          <w:szCs w:val="14"/>
          <w:color w:val="auto"/>
        </w:rPr>
        <w:t>The regulatory environment in which we operate is subject to change. We may be adversely affected as a result of new or revised legislation or regulations or by changes in the interpretation or enforcement of existing laws and regulations.</w:t>
      </w:r>
    </w:p>
    <w:p>
      <w:pPr>
        <w:spacing w:after="0" w:line="39" w:lineRule="exact"/>
        <w:rPr>
          <w:sz w:val="20"/>
          <w:szCs w:val="20"/>
          <w:color w:val="auto"/>
        </w:rPr>
      </w:pPr>
    </w:p>
    <w:p>
      <w:pPr>
        <w:ind w:right="100" w:firstLine="382"/>
        <w:spacing w:after="0" w:line="264" w:lineRule="auto"/>
        <w:rPr>
          <w:sz w:val="20"/>
          <w:szCs w:val="20"/>
          <w:color w:val="auto"/>
        </w:rPr>
      </w:pPr>
      <w:r>
        <w:rPr>
          <w:rFonts w:ascii="Times New Roman" w:cs="Times New Roman" w:eastAsia="Times New Roman" w:hAnsi="Times New Roman"/>
          <w:sz w:val="14"/>
          <w:szCs w:val="14"/>
          <w:color w:val="auto"/>
        </w:rPr>
        <w:t>The Dodd-Frank Act of 2010 significantly increased and revised the federal rules and regulations governing the financial services industry and has generally resulted in increased compliance and administrative requirements. For example, the SEC’s adoption of Form PF and revisions to Form ADV impose additional reporting requirements for SEC-registered investment advisors. ERISA Section 408(b)(2) and related regulations require additional information to be provided to ERISA-governed retirement plans. We believe that changes in laws, rules and regulations, including those discussed above, have increased our administrative and compliance costs however we are unable to quantify the increased costs attributable to such changes. See "Item 1. Business — Regulation."</w:t>
      </w:r>
    </w:p>
    <w:p>
      <w:pPr>
        <w:spacing w:after="0" w:line="56" w:lineRule="exact"/>
        <w:rPr>
          <w:sz w:val="20"/>
          <w:szCs w:val="20"/>
          <w:color w:val="auto"/>
        </w:rPr>
      </w:pPr>
    </w:p>
    <w:p>
      <w:pPr>
        <w:ind w:right="60" w:firstLine="382"/>
        <w:spacing w:after="0" w:line="261" w:lineRule="auto"/>
        <w:rPr>
          <w:sz w:val="20"/>
          <w:szCs w:val="20"/>
          <w:color w:val="auto"/>
        </w:rPr>
      </w:pPr>
      <w:r>
        <w:rPr>
          <w:rFonts w:ascii="Times New Roman" w:cs="Times New Roman" w:eastAsia="Times New Roman" w:hAnsi="Times New Roman"/>
          <w:sz w:val="14"/>
          <w:szCs w:val="14"/>
          <w:color w:val="auto"/>
        </w:rPr>
        <w:t>We engage in product offerings and international business activities through our global multi-asset securities product offerings that are available to our international and domestic clients. As of December 31, 2025, approximately 1% of our AUM is managed for clients who are domiciled outside the U. S. As a result, we face increased operational, regulatory, compliance, marketing, client service, reputational and foreign exchange rate risks. Rapid regulatory change is occurring internationally with respect to financial institutions. The failure of our compliance and internal control systems to properly identify and mitigate such additional risks, or of our operating infrastructure to support international activities, could result in operational failures and actions by regulatory agencies, which could have a material adverse effect on our business.</w:t>
      </w:r>
    </w:p>
    <w:p>
      <w:pPr>
        <w:spacing w:after="0" w:line="58" w:lineRule="exact"/>
        <w:rPr>
          <w:sz w:val="20"/>
          <w:szCs w:val="20"/>
          <w:color w:val="auto"/>
        </w:rPr>
      </w:pPr>
    </w:p>
    <w:p>
      <w:pPr>
        <w:ind w:right="520" w:firstLine="382"/>
        <w:spacing w:after="0" w:line="287" w:lineRule="auto"/>
        <w:rPr>
          <w:sz w:val="20"/>
          <w:szCs w:val="20"/>
          <w:color w:val="auto"/>
        </w:rPr>
      </w:pPr>
      <w:r>
        <w:rPr>
          <w:rFonts w:ascii="Times New Roman" w:cs="Times New Roman" w:eastAsia="Times New Roman" w:hAnsi="Times New Roman"/>
          <w:sz w:val="14"/>
          <w:szCs w:val="14"/>
          <w:color w:val="auto"/>
        </w:rPr>
        <w:t>We devote considerable time and resources to both domestic and international compliance; however, we may fail to timely and properly identify regulatory requirements or modify our compliance procedures for changes in our regulatory environment, which may subject us to legal proceedings, domestic and foreign government investigations, penalties and fines.</w:t>
      </w:r>
    </w:p>
    <w:p>
      <w:pPr>
        <w:spacing w:after="0" w:line="37" w:lineRule="exact"/>
        <w:rPr>
          <w:sz w:val="20"/>
          <w:szCs w:val="20"/>
          <w:color w:val="auto"/>
        </w:rPr>
      </w:pPr>
    </w:p>
    <w:p>
      <w:pPr>
        <w:ind w:firstLine="382"/>
        <w:spacing w:after="0" w:line="257" w:lineRule="auto"/>
        <w:rPr>
          <w:sz w:val="20"/>
          <w:szCs w:val="20"/>
          <w:color w:val="auto"/>
        </w:rPr>
      </w:pPr>
      <w:r>
        <w:rPr>
          <w:rFonts w:ascii="Times New Roman" w:cs="Times New Roman" w:eastAsia="Times New Roman" w:hAnsi="Times New Roman"/>
          <w:sz w:val="14"/>
          <w:szCs w:val="14"/>
          <w:b w:val="1"/>
          <w:bCs w:val="1"/>
          <w:color w:val="auto"/>
        </w:rPr>
        <w:t xml:space="preserve">Our business involves risks of being engaged in litigation and liability that could increase our expenses and reduce our results of operations. </w:t>
      </w:r>
      <w:r>
        <w:rPr>
          <w:rFonts w:ascii="Times New Roman" w:cs="Times New Roman" w:eastAsia="Times New Roman" w:hAnsi="Times New Roman"/>
          <w:sz w:val="14"/>
          <w:szCs w:val="14"/>
          <w:color w:val="auto"/>
        </w:rPr>
        <w:t>Many aspects of our business involve</w:t>
      </w:r>
      <w:r>
        <w:rPr>
          <w:rFonts w:ascii="Times New Roman" w:cs="Times New Roman" w:eastAsia="Times New Roman" w:hAnsi="Times New Roman"/>
          <w:sz w:val="14"/>
          <w:szCs w:val="14"/>
          <w:b w:val="1"/>
          <w:bCs w:val="1"/>
          <w:color w:val="auto"/>
        </w:rPr>
        <w:t xml:space="preserve"> </w:t>
      </w:r>
      <w:r>
        <w:rPr>
          <w:rFonts w:ascii="Times New Roman" w:cs="Times New Roman" w:eastAsia="Times New Roman" w:hAnsi="Times New Roman"/>
          <w:sz w:val="14"/>
          <w:szCs w:val="14"/>
          <w:color w:val="auto"/>
        </w:rPr>
        <w:t>substantial risks of liability. We could be named as defendants or co-defendants in lawsuits or could be involved in disputes that involve the threat of lawsuits seeking substantial damages. As an SEC-RIA, mutual fund adviser, trustee to certain Trust clients and publicly traded entity, we are subject to governmental and self-regulatory organization examinations, investigations and proceedings. Our investment strategies could be subject to actual or threatened lawsuits and governmental and self-regulatory organization investigations and proceedings, any of which could harm the investment returns or reputation of the applicable fund or result in our being liable for any resulting damages. There has been an increased incidence recently of litigation and regulatory investigations in the asset management industry, including customer claims and class action suits seeking substantial damages. While customers do not have legal recourse against us solely on the basis of poor investment results, if our investment strategies perform poorly or we provide poor financial advice, we are more likely to become subject to litigation brought by dissatisfied clients. In addition, to the extent customers are successful in claiming that their losses resulted from fraud, negligence, willful misconduct, breach of contract or other similar misconduct, these clients may have remedies against us, the mutual funds and other funds we advise or our investment professionals under the federal securities laws or state law. See the discussion of legal proceedings in Item 3. "Legal Proceedings."</w:t>
      </w:r>
    </w:p>
    <w:p>
      <w:pPr>
        <w:spacing w:after="0" w:line="231"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b w:val="1"/>
          <w:bCs w:val="1"/>
          <w:u w:val="single" w:color="auto"/>
          <w:color w:val="auto"/>
        </w:rPr>
        <w:t>Business and Operational Risks</w:t>
      </w:r>
    </w:p>
    <w:p>
      <w:pPr>
        <w:spacing w:after="0" w:line="94" w:lineRule="exact"/>
        <w:rPr>
          <w:sz w:val="20"/>
          <w:szCs w:val="20"/>
          <w:color w:val="auto"/>
        </w:rPr>
      </w:pPr>
    </w:p>
    <w:p>
      <w:pPr>
        <w:ind w:right="440" w:firstLine="382"/>
        <w:spacing w:after="0" w:line="290" w:lineRule="auto"/>
        <w:rPr>
          <w:sz w:val="20"/>
          <w:szCs w:val="20"/>
          <w:color w:val="auto"/>
        </w:rPr>
      </w:pPr>
      <w:r>
        <w:rPr>
          <w:rFonts w:ascii="Times New Roman" w:cs="Times New Roman" w:eastAsia="Times New Roman" w:hAnsi="Times New Roman"/>
          <w:sz w:val="14"/>
          <w:szCs w:val="14"/>
          <w:b w:val="1"/>
          <w:bCs w:val="1"/>
          <w:color w:val="auto"/>
        </w:rPr>
        <w:t>Due to the substantial cost and time required to introduce new investment strategies or expand the market for current strategies, we may not be able to successfully introduce investment strategies in a timely manner, or at all.</w:t>
      </w:r>
    </w:p>
    <w:p>
      <w:pPr>
        <w:spacing w:after="0" w:line="37" w:lineRule="exact"/>
        <w:rPr>
          <w:sz w:val="20"/>
          <w:szCs w:val="20"/>
          <w:color w:val="auto"/>
        </w:rPr>
      </w:pPr>
    </w:p>
    <w:p>
      <w:pPr>
        <w:ind w:right="220" w:firstLine="382"/>
        <w:spacing w:after="0" w:line="287" w:lineRule="auto"/>
        <w:rPr>
          <w:sz w:val="20"/>
          <w:szCs w:val="20"/>
          <w:color w:val="auto"/>
        </w:rPr>
      </w:pPr>
      <w:r>
        <w:rPr>
          <w:rFonts w:ascii="Times New Roman" w:cs="Times New Roman" w:eastAsia="Times New Roman" w:hAnsi="Times New Roman"/>
          <w:sz w:val="14"/>
          <w:szCs w:val="14"/>
          <w:color w:val="auto"/>
        </w:rPr>
        <w:t>We have incurred significant costs to develop new investment strategies, launch ETFs and other investment vehicles, and upgrade our business infrastructure. We expect to continue to incur significant costs related to such improvements.</w:t>
      </w:r>
    </w:p>
    <w:p>
      <w:pPr>
        <w:spacing w:after="0" w:line="39" w:lineRule="exact"/>
        <w:rPr>
          <w:sz w:val="20"/>
          <w:szCs w:val="20"/>
          <w:color w:val="auto"/>
        </w:rPr>
      </w:pPr>
    </w:p>
    <w:p>
      <w:pPr>
        <w:ind w:right="60" w:firstLine="382"/>
        <w:spacing w:after="0" w:line="257" w:lineRule="auto"/>
        <w:rPr>
          <w:sz w:val="20"/>
          <w:szCs w:val="20"/>
          <w:color w:val="auto"/>
        </w:rPr>
      </w:pPr>
      <w:r>
        <w:rPr>
          <w:rFonts w:ascii="Times New Roman" w:cs="Times New Roman" w:eastAsia="Times New Roman" w:hAnsi="Times New Roman"/>
          <w:sz w:val="14"/>
          <w:szCs w:val="14"/>
          <w:color w:val="auto"/>
        </w:rPr>
        <w:t>The development of new investment strategies, whether through acquisition or internal development, requires a substantial amount of time and significant financial resources, including expenses related to compensation, sales and marketing, information technology, legal counsel and other professional services. Our ability to market and sell a new investment strategy depends on our financial resources, the investment performance of the specific strategy, the timing of the offering, the timing of regulatory approvals and our marketing strategies. Once an investment strategy is developed, we must effectively introduce the strategy to existing and prospective clients, as well as consultants. Our ability to sell new investment strategies to existing and prospective clients may depend on our ability to meet or exceed the performance of our competitors offering the same or a similar strategy. We may not be able to manage the assets within a given investment strategy profitably, and it may take years before we produce the kind of results that will attract clients. If we are unable to realize the benefits of the costs and expenses incurred in developing new investment strategies, we may experience losses as a result of our management of these investment strategies, and our ability to introduce further new investment strategies and compete in our industry may be hampered.</w:t>
      </w:r>
    </w:p>
    <w:p>
      <w:pPr>
        <w:spacing w:after="0" w:line="64" w:lineRule="exact"/>
        <w:rPr>
          <w:sz w:val="20"/>
          <w:szCs w:val="20"/>
          <w:color w:val="auto"/>
        </w:rPr>
      </w:pPr>
    </w:p>
    <w:p>
      <w:pPr>
        <w:ind w:right="300" w:firstLine="382"/>
        <w:spacing w:after="0" w:line="270" w:lineRule="auto"/>
        <w:rPr>
          <w:sz w:val="20"/>
          <w:szCs w:val="20"/>
          <w:color w:val="auto"/>
        </w:rPr>
      </w:pPr>
      <w:r>
        <w:rPr>
          <w:rFonts w:ascii="Times New Roman" w:cs="Times New Roman" w:eastAsia="Times New Roman" w:hAnsi="Times New Roman"/>
          <w:sz w:val="14"/>
          <w:szCs w:val="14"/>
          <w:color w:val="auto"/>
        </w:rPr>
        <w:t>To introduce new investment strategies, we may seek to add new investment teams. To the extent we are unable to recruit and retain investment teams to complement our existing business model, we may not be successful in diversifying and increasing our investment strategies and client assets, which could have a material adverse effect on our business and future prospects. The addition of a new team using an investment strategy with which we may have limited or no experience may</w:t>
      </w:r>
    </w:p>
    <w:p>
      <w:pPr>
        <w:spacing w:after="0" w:line="200" w:lineRule="exact"/>
        <w:rPr>
          <w:sz w:val="20"/>
          <w:szCs w:val="20"/>
          <w:color w:val="auto"/>
        </w:rPr>
      </w:pPr>
    </w:p>
    <w:p>
      <w:pPr>
        <w:spacing w:after="0" w:line="20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4"/>
          <w:szCs w:val="14"/>
          <w:color w:val="auto"/>
        </w:rPr>
        <w:t>14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-8890</wp:posOffset>
            </wp:positionH>
            <wp:positionV relativeFrom="paragraph">
              <wp:posOffset>55880</wp:posOffset>
            </wp:positionV>
            <wp:extent cx="7186930" cy="38735"/>
            <wp:wrapNone/>
            <wp:docPr id="21" name="Picture 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
                    <pic:cNvPicPr>
                      <a:picLocks noChangeAspect="1" noChangeArrowheads="1"/>
                    </pic:cNvPicPr>
                  </pic:nvPicPr>
                  <pic:blipFill>
                    <a:blip r:embed="rId28">
                      <a:extLst>
                        <a:ext uri="{28A0092B-C50C-407E-A947-70E740481C1C}"/>
                      </a:extLst>
                    </a:blip>
                    <a:srcRect/>
                    <a:stretch>
                      <a:fillRect/>
                    </a:stretch>
                  </pic:blipFill>
                  <pic:spPr bwMode="auto">
                    <a:xfrm>
                      <a:off x="0" y="0"/>
                      <a:ext cx="7186930" cy="38735"/>
                    </a:xfrm>
                    <a:prstGeom prst="rect">
                      <a:avLst/>
                    </a:prstGeom>
                    <a:noFill/>
                  </pic:spPr>
                </pic:pic>
              </a:graphicData>
            </a:graphic>
          </wp:anchor>
        </w:drawing>
      </w:r>
    </w:p>
    <w:p>
      <w:pPr>
        <w:sectPr>
          <w:pgSz w:w="11900" w:h="16838" w:orient="portrait"/>
          <w:cols w:equalWidth="0" w:num="1">
            <w:col w:w="11280"/>
          </w:cols>
          <w:pgMar w:left="300" w:top="814" w:right="319" w:bottom="1440" w:gutter="0" w:footer="0" w:header="0"/>
        </w:sectPr>
      </w:pPr>
    </w:p>
    <w:bookmarkStart w:id="16" w:name="page17"/>
    <w:bookmarkEnd w:id="16"/>
    <w:p>
      <w:pPr>
        <w:ind w:right="60"/>
        <w:spacing w:after="0" w:line="287" w:lineRule="auto"/>
        <w:rPr>
          <w:sz w:val="20"/>
          <w:szCs w:val="20"/>
          <w:color w:val="auto"/>
        </w:rPr>
      </w:pPr>
      <w:r>
        <w:rPr>
          <w:rFonts w:ascii="Times New Roman" w:cs="Times New Roman" w:eastAsia="Times New Roman" w:hAnsi="Times New Roman"/>
          <w:sz w:val="14"/>
          <w:szCs w:val="14"/>
          <w:color w:val="auto"/>
        </w:rPr>
        <w:t>require additional resources to update our operational platform and could strain our operational resources and increase the possibility of operational errors. Additional investments may be required to improve our operational platform. If any new teams or strategies perform poorly and fail to attract sufficient assets, our results of operations and reputation may be adversely affected.</w:t>
      </w:r>
    </w:p>
    <w:p>
      <w:pPr>
        <w:spacing w:after="0" w:line="37" w:lineRule="exact"/>
        <w:rPr>
          <w:sz w:val="20"/>
          <w:szCs w:val="20"/>
          <w:color w:val="auto"/>
        </w:rPr>
      </w:pPr>
    </w:p>
    <w:p>
      <w:pPr>
        <w:ind w:left="380"/>
        <w:spacing w:after="0"/>
        <w:rPr>
          <w:sz w:val="20"/>
          <w:szCs w:val="20"/>
          <w:color w:val="auto"/>
        </w:rPr>
      </w:pPr>
      <w:r>
        <w:rPr>
          <w:rFonts w:ascii="Times New Roman" w:cs="Times New Roman" w:eastAsia="Times New Roman" w:hAnsi="Times New Roman"/>
          <w:sz w:val="14"/>
          <w:szCs w:val="14"/>
          <w:b w:val="1"/>
          <w:bCs w:val="1"/>
          <w:color w:val="auto"/>
        </w:rPr>
        <w:t>Damage to our reputation could harm our business and have a material adverse effect on our results of operations.</w:t>
      </w:r>
    </w:p>
    <w:p>
      <w:pPr>
        <w:spacing w:after="0" w:line="96" w:lineRule="exact"/>
        <w:rPr>
          <w:sz w:val="20"/>
          <w:szCs w:val="20"/>
          <w:color w:val="auto"/>
        </w:rPr>
      </w:pPr>
    </w:p>
    <w:p>
      <w:pPr>
        <w:ind w:right="20" w:firstLine="382"/>
        <w:spacing w:after="0" w:line="264" w:lineRule="auto"/>
        <w:rPr>
          <w:sz w:val="20"/>
          <w:szCs w:val="20"/>
          <w:color w:val="auto"/>
        </w:rPr>
      </w:pPr>
      <w:r>
        <w:rPr>
          <w:rFonts w:ascii="Times New Roman" w:cs="Times New Roman" w:eastAsia="Times New Roman" w:hAnsi="Times New Roman"/>
          <w:sz w:val="14"/>
          <w:szCs w:val="14"/>
          <w:color w:val="auto"/>
        </w:rPr>
        <w:t>Our brand is a valuable intangible asset that could be vulnerable to threats that can be difficult or impossible to anticipate or control. Regulatory inquiries and rumors could damage our reputation, even if they are unfounded or satisfactorily addressed. Our reputation could also be negatively affected by employees and third parties acting on our behalf, who may circumvent our controls or act in a manner inconsistent with our policies and procedures. Public perception of our brand could be negatively affected by decreases in our profitability, AUM or stock price. Damage to our brand could impede our ability to attract and retain customers and key employees and could reduce our AUM, which could have a material adverse effect on our results of operations.</w:t>
      </w:r>
    </w:p>
    <w:p>
      <w:pPr>
        <w:spacing w:after="0" w:line="54" w:lineRule="exact"/>
        <w:rPr>
          <w:sz w:val="20"/>
          <w:szCs w:val="20"/>
          <w:color w:val="auto"/>
        </w:rPr>
      </w:pPr>
    </w:p>
    <w:p>
      <w:pPr>
        <w:ind w:firstLine="382"/>
        <w:spacing w:after="0" w:line="290" w:lineRule="auto"/>
        <w:rPr>
          <w:sz w:val="20"/>
          <w:szCs w:val="20"/>
          <w:color w:val="auto"/>
        </w:rPr>
      </w:pPr>
      <w:r>
        <w:rPr>
          <w:rFonts w:ascii="Times New Roman" w:cs="Times New Roman" w:eastAsia="Times New Roman" w:hAnsi="Times New Roman"/>
          <w:sz w:val="14"/>
          <w:szCs w:val="14"/>
          <w:b w:val="1"/>
          <w:bCs w:val="1"/>
          <w:color w:val="auto"/>
        </w:rPr>
        <w:t>Our success depends on certain key employees and our ability to attract and develop new, talented professionals. Our inability to attract and retain key employees could compromise our future success.</w:t>
      </w:r>
    </w:p>
    <w:p>
      <w:pPr>
        <w:spacing w:after="0" w:line="37" w:lineRule="exact"/>
        <w:rPr>
          <w:sz w:val="20"/>
          <w:szCs w:val="20"/>
          <w:color w:val="auto"/>
        </w:rPr>
      </w:pPr>
    </w:p>
    <w:p>
      <w:pPr>
        <w:ind w:right="20" w:firstLine="382"/>
        <w:spacing w:after="0" w:line="261" w:lineRule="auto"/>
        <w:rPr>
          <w:sz w:val="20"/>
          <w:szCs w:val="20"/>
          <w:color w:val="auto"/>
        </w:rPr>
      </w:pPr>
      <w:r>
        <w:rPr>
          <w:rFonts w:ascii="Times New Roman" w:cs="Times New Roman" w:eastAsia="Times New Roman" w:hAnsi="Times New Roman"/>
          <w:sz w:val="14"/>
          <w:szCs w:val="14"/>
          <w:color w:val="auto"/>
        </w:rPr>
        <w:t>Our future success depends upon our ability to attract and retain professional and executive employees, including investment, marketing, client service and management personnel. There is substantial competition for skilled personnel within the asset management business, and failure to attract, develop, retain and motivate qualified personnel could negatively impact our business, financial condition, results of operations and future prospects. In order to retain or replace key personnel, we may be required to increase compensation, which would decrease net income. Investment and sales professionals often maintain strong relationships with their clients, and their departure may cause us to lose client accounts, which could have a material impact on our revenues and results of operations.</w:t>
      </w:r>
    </w:p>
    <w:p>
      <w:pPr>
        <w:spacing w:after="0" w:line="56" w:lineRule="exact"/>
        <w:rPr>
          <w:sz w:val="20"/>
          <w:szCs w:val="20"/>
          <w:color w:val="auto"/>
        </w:rPr>
      </w:pPr>
    </w:p>
    <w:p>
      <w:pPr>
        <w:ind w:right="340" w:firstLine="382"/>
        <w:spacing w:after="0" w:line="290" w:lineRule="auto"/>
        <w:rPr>
          <w:sz w:val="20"/>
          <w:szCs w:val="20"/>
          <w:color w:val="auto"/>
        </w:rPr>
      </w:pPr>
      <w:r>
        <w:rPr>
          <w:rFonts w:ascii="Times New Roman" w:cs="Times New Roman" w:eastAsia="Times New Roman" w:hAnsi="Times New Roman"/>
          <w:sz w:val="14"/>
          <w:szCs w:val="14"/>
          <w:b w:val="1"/>
          <w:bCs w:val="1"/>
          <w:color w:val="auto"/>
        </w:rPr>
        <w:t>Failure to perform operational tasks or the misrepresentation of products and services could have an adverse effect on our reputation and our business, financial condition and results of operations.</w:t>
      </w:r>
    </w:p>
    <w:p>
      <w:pPr>
        <w:spacing w:after="0" w:line="37" w:lineRule="exact"/>
        <w:rPr>
          <w:sz w:val="20"/>
          <w:szCs w:val="20"/>
          <w:color w:val="auto"/>
        </w:rPr>
      </w:pPr>
    </w:p>
    <w:p>
      <w:pPr>
        <w:jc w:val="both"/>
        <w:ind w:right="20" w:firstLine="382"/>
        <w:spacing w:after="0" w:line="270" w:lineRule="auto"/>
        <w:rPr>
          <w:sz w:val="20"/>
          <w:szCs w:val="20"/>
          <w:color w:val="auto"/>
        </w:rPr>
      </w:pPr>
      <w:r>
        <w:rPr>
          <w:rFonts w:ascii="Times New Roman" w:cs="Times New Roman" w:eastAsia="Times New Roman" w:hAnsi="Times New Roman"/>
          <w:sz w:val="14"/>
          <w:szCs w:val="14"/>
          <w:color w:val="auto"/>
        </w:rPr>
        <w:t>Our operations are complex, and our failure to properly perform portfolio responsibilities, including security pricing, corporate actions, investment restrictions compliance, daily net asset value calculations, account reconciliations, tax reporting, investment performance calculations and portfolio oversight could result in reputational harm or subject us to regulatory sanctions, fines, penalties and litigation.</w:t>
      </w:r>
    </w:p>
    <w:p>
      <w:pPr>
        <w:spacing w:after="0" w:line="51" w:lineRule="exact"/>
        <w:rPr>
          <w:sz w:val="20"/>
          <w:szCs w:val="20"/>
          <w:color w:val="auto"/>
        </w:rPr>
      </w:pPr>
    </w:p>
    <w:p>
      <w:pPr>
        <w:jc w:val="both"/>
        <w:ind w:right="40" w:firstLine="382"/>
        <w:spacing w:after="0" w:line="287" w:lineRule="auto"/>
        <w:rPr>
          <w:sz w:val="20"/>
          <w:szCs w:val="20"/>
          <w:color w:val="auto"/>
        </w:rPr>
      </w:pPr>
      <w:r>
        <w:rPr>
          <w:rFonts w:ascii="Times New Roman" w:cs="Times New Roman" w:eastAsia="Times New Roman" w:hAnsi="Times New Roman"/>
          <w:sz w:val="14"/>
          <w:szCs w:val="14"/>
          <w:color w:val="auto"/>
        </w:rPr>
        <w:t>We use advertising materials, public relations information and other external communications to market and sell our investment products. Failure to accurately calculate and present investment performance data within established guidelines and regulations could result in reputational harm or subject us to regulatory sanctions, fines, penalties and litigation.</w:t>
      </w:r>
    </w:p>
    <w:p>
      <w:pPr>
        <w:spacing w:after="0" w:line="39" w:lineRule="exact"/>
        <w:rPr>
          <w:sz w:val="20"/>
          <w:szCs w:val="20"/>
          <w:color w:val="auto"/>
        </w:rPr>
      </w:pPr>
    </w:p>
    <w:p>
      <w:pPr>
        <w:ind w:right="120" w:firstLine="382"/>
        <w:spacing w:after="0" w:line="287" w:lineRule="auto"/>
        <w:rPr>
          <w:sz w:val="20"/>
          <w:szCs w:val="20"/>
          <w:color w:val="auto"/>
        </w:rPr>
      </w:pPr>
      <w:r>
        <w:rPr>
          <w:rFonts w:ascii="Times New Roman" w:cs="Times New Roman" w:eastAsia="Times New Roman" w:hAnsi="Times New Roman"/>
          <w:sz w:val="14"/>
          <w:szCs w:val="14"/>
          <w:color w:val="auto"/>
        </w:rPr>
        <w:t>Damage to our reputation could impede our ability to attract and retain customers and key employees and could reduce our AUM, which could have a material adverse effect on our results of operations. Significant regulatory sanctions, fines, penalties, and litigation could also materially adversely affect our financial condition and results of operations.</w:t>
      </w:r>
    </w:p>
    <w:p>
      <w:pPr>
        <w:spacing w:after="0" w:line="37" w:lineRule="exact"/>
        <w:rPr>
          <w:sz w:val="20"/>
          <w:szCs w:val="20"/>
          <w:color w:val="auto"/>
        </w:rPr>
      </w:pPr>
    </w:p>
    <w:p>
      <w:pPr>
        <w:ind w:right="280" w:firstLine="382"/>
        <w:spacing w:after="0" w:line="290" w:lineRule="auto"/>
        <w:rPr>
          <w:sz w:val="20"/>
          <w:szCs w:val="20"/>
          <w:color w:val="auto"/>
        </w:rPr>
      </w:pPr>
      <w:r>
        <w:rPr>
          <w:rFonts w:ascii="Times New Roman" w:cs="Times New Roman" w:eastAsia="Times New Roman" w:hAnsi="Times New Roman"/>
          <w:sz w:val="14"/>
          <w:szCs w:val="14"/>
          <w:b w:val="1"/>
          <w:bCs w:val="1"/>
          <w:color w:val="auto"/>
        </w:rPr>
        <w:t>Failure to select appropriate third-party vendors and apply appropriate oversight of third-party vendors could disrupt our operations and have a material adverse effect on our business, financial condition and results of operations.</w:t>
      </w:r>
    </w:p>
    <w:p>
      <w:pPr>
        <w:spacing w:after="0" w:line="37" w:lineRule="exact"/>
        <w:rPr>
          <w:sz w:val="20"/>
          <w:szCs w:val="20"/>
          <w:color w:val="auto"/>
        </w:rPr>
      </w:pPr>
    </w:p>
    <w:p>
      <w:pPr>
        <w:ind w:right="200" w:firstLine="382"/>
        <w:spacing w:after="0" w:line="264" w:lineRule="auto"/>
        <w:rPr>
          <w:sz w:val="20"/>
          <w:szCs w:val="20"/>
          <w:color w:val="auto"/>
        </w:rPr>
      </w:pPr>
      <w:r>
        <w:rPr>
          <w:rFonts w:ascii="Times New Roman" w:cs="Times New Roman" w:eastAsia="Times New Roman" w:hAnsi="Times New Roman"/>
          <w:sz w:val="14"/>
          <w:szCs w:val="14"/>
          <w:color w:val="auto"/>
        </w:rPr>
        <w:t>We rely on third-party vendors to perform important portions of our operations, and there is no assurance that our third-party vendors will properly perform or follow our processes, policies and procedures. There is no assurance that our plans for transition or delegation to a third-party vendor will be successful or that there will not be interruptions in service from these third parties. A third-party vendor's failure to accurately perform important operations or follow our processes, policies and procedures could result in the loss of clients, significant regulatory sanctions, fines, penalties and litigation, which could have a material adverse effect on our business, financial condition and results of operations.</w:t>
      </w:r>
    </w:p>
    <w:p>
      <w:pPr>
        <w:spacing w:after="0" w:line="54" w:lineRule="exact"/>
        <w:rPr>
          <w:sz w:val="20"/>
          <w:szCs w:val="20"/>
          <w:color w:val="auto"/>
        </w:rPr>
      </w:pPr>
    </w:p>
    <w:p>
      <w:pPr>
        <w:ind w:left="380"/>
        <w:spacing w:after="0"/>
        <w:rPr>
          <w:sz w:val="20"/>
          <w:szCs w:val="20"/>
          <w:color w:val="auto"/>
        </w:rPr>
      </w:pPr>
      <w:r>
        <w:rPr>
          <w:rFonts w:ascii="Times New Roman" w:cs="Times New Roman" w:eastAsia="Times New Roman" w:hAnsi="Times New Roman"/>
          <w:sz w:val="14"/>
          <w:szCs w:val="14"/>
          <w:b w:val="1"/>
          <w:bCs w:val="1"/>
          <w:color w:val="auto"/>
        </w:rPr>
        <w:t>We are a holding company dependent on the operations and funds of our subsidiaries.</w:t>
      </w:r>
    </w:p>
    <w:p>
      <w:pPr>
        <w:spacing w:after="0" w:line="96" w:lineRule="exact"/>
        <w:rPr>
          <w:sz w:val="20"/>
          <w:szCs w:val="20"/>
          <w:color w:val="auto"/>
        </w:rPr>
      </w:pPr>
    </w:p>
    <w:p>
      <w:pPr>
        <w:ind w:right="80" w:firstLine="382"/>
        <w:spacing w:after="0" w:line="270" w:lineRule="auto"/>
        <w:rPr>
          <w:sz w:val="20"/>
          <w:szCs w:val="20"/>
          <w:color w:val="auto"/>
        </w:rPr>
      </w:pPr>
      <w:r>
        <w:rPr>
          <w:rFonts w:ascii="Times New Roman" w:cs="Times New Roman" w:eastAsia="Times New Roman" w:hAnsi="Times New Roman"/>
          <w:sz w:val="14"/>
          <w:szCs w:val="14"/>
          <w:color w:val="auto"/>
        </w:rPr>
        <w:t>We are a holding company, with no revenue-generating operations or assets other than our ownership interests in Westwood Management and Westwood Trust. Accordingly, we are dependent on the cash flow generated by these operating subsidiaries and rely on dividends or other intercompany transfers from our operating subsidiaries to generate the funds necessary to meet our obligations.</w:t>
      </w:r>
    </w:p>
    <w:p>
      <w:pPr>
        <w:spacing w:after="0" w:line="49"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b w:val="1"/>
          <w:bCs w:val="1"/>
          <w:u w:val="single" w:color="auto"/>
          <w:color w:val="auto"/>
        </w:rPr>
        <w:t>Technology and Privacy Risks</w:t>
      </w:r>
    </w:p>
    <w:p>
      <w:pPr>
        <w:spacing w:after="0" w:line="94" w:lineRule="exact"/>
        <w:rPr>
          <w:sz w:val="20"/>
          <w:szCs w:val="20"/>
          <w:color w:val="auto"/>
        </w:rPr>
      </w:pPr>
    </w:p>
    <w:p>
      <w:pPr>
        <w:ind w:left="380"/>
        <w:spacing w:after="0"/>
        <w:rPr>
          <w:sz w:val="20"/>
          <w:szCs w:val="20"/>
          <w:color w:val="auto"/>
        </w:rPr>
      </w:pPr>
      <w:r>
        <w:rPr>
          <w:rFonts w:ascii="Times New Roman" w:cs="Times New Roman" w:eastAsia="Times New Roman" w:hAnsi="Times New Roman"/>
          <w:sz w:val="14"/>
          <w:szCs w:val="14"/>
          <w:b w:val="1"/>
          <w:bCs w:val="1"/>
          <w:color w:val="auto"/>
        </w:rPr>
        <w:t>Failure to implement and maintain effective cybersecurity controls could disrupt our operations and have a material adverse effect on our results of operations, reputation and stock</w:t>
      </w:r>
    </w:p>
    <w:p>
      <w:pPr>
        <w:spacing w:after="0" w:line="25"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b w:val="1"/>
          <w:bCs w:val="1"/>
          <w:color w:val="auto"/>
        </w:rPr>
        <w:t>price.</w:t>
      </w:r>
    </w:p>
    <w:p>
      <w:pPr>
        <w:spacing w:after="0" w:line="200" w:lineRule="exact"/>
        <w:rPr>
          <w:sz w:val="20"/>
          <w:szCs w:val="20"/>
          <w:color w:val="auto"/>
        </w:rPr>
      </w:pPr>
    </w:p>
    <w:p>
      <w:pPr>
        <w:spacing w:after="0" w:line="230"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4"/>
          <w:szCs w:val="14"/>
          <w:color w:val="auto"/>
        </w:rPr>
        <w:t>15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-8890</wp:posOffset>
            </wp:positionH>
            <wp:positionV relativeFrom="paragraph">
              <wp:posOffset>55880</wp:posOffset>
            </wp:positionV>
            <wp:extent cx="7186930" cy="38735"/>
            <wp:wrapNone/>
            <wp:docPr id="22" name="Picture 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
                    <pic:cNvPicPr>
                      <a:picLocks noChangeAspect="1" noChangeArrowheads="1"/>
                    </pic:cNvPicPr>
                  </pic:nvPicPr>
                  <pic:blipFill>
                    <a:blip r:embed="rId29">
                      <a:extLst>
                        <a:ext uri="{28A0092B-C50C-407E-A947-70E740481C1C}"/>
                      </a:extLst>
                    </a:blip>
                    <a:srcRect/>
                    <a:stretch>
                      <a:fillRect/>
                    </a:stretch>
                  </pic:blipFill>
                  <pic:spPr bwMode="auto">
                    <a:xfrm>
                      <a:off x="0" y="0"/>
                      <a:ext cx="7186930" cy="38735"/>
                    </a:xfrm>
                    <a:prstGeom prst="rect">
                      <a:avLst/>
                    </a:prstGeom>
                    <a:noFill/>
                  </pic:spPr>
                </pic:pic>
              </a:graphicData>
            </a:graphic>
          </wp:anchor>
        </w:drawing>
      </w:r>
    </w:p>
    <w:p>
      <w:pPr>
        <w:sectPr>
          <w:pgSz w:w="11900" w:h="16838" w:orient="portrait"/>
          <w:cols w:equalWidth="0" w:num="1">
            <w:col w:w="11280"/>
          </w:cols>
          <w:pgMar w:left="300" w:top="814" w:right="319" w:bottom="1440" w:gutter="0" w:footer="0" w:header="0"/>
        </w:sectPr>
      </w:pPr>
    </w:p>
    <w:bookmarkStart w:id="17" w:name="page18"/>
    <w:bookmarkEnd w:id="17"/>
    <w:p>
      <w:pPr>
        <w:ind w:right="160" w:firstLine="382"/>
        <w:spacing w:after="0" w:line="257" w:lineRule="auto"/>
        <w:rPr>
          <w:sz w:val="20"/>
          <w:szCs w:val="20"/>
          <w:color w:val="auto"/>
        </w:rPr>
      </w:pPr>
      <w:r>
        <w:rPr>
          <w:rFonts w:ascii="Times New Roman" w:cs="Times New Roman" w:eastAsia="Times New Roman" w:hAnsi="Times New Roman"/>
          <w:sz w:val="14"/>
          <w:szCs w:val="14"/>
          <w:color w:val="auto"/>
        </w:rPr>
        <w:t>Our business is dependent on information technology systems and the cybersecurity controls we and our third party vendors have in place to protect those systems and the information contained therein. Despite the implementation of protective measures and endeavoring to modify them as circumstances warrant, our computer systems, software, networks and vendors may be vulnerable to human error, natural disasters, power loss, spam attacks, unauthorized access, distributed denial of service attacks, computer viruses and other malicious code, and other events that could result in significant liability and damage to our reputation, and have an ongoing impact on the security and stability of our operations. The techniques used in these attacks are increasingly sophisticated, change frequently and are often not recognized until launched. A failure of our controls or our third party vendors' controls to protect our information technology from an external or internal attack or to prevent a breach of confidential client or competitive information could materially interrupt our operations and expose us to regulatory and legal actions, which could have a material adverse effect on our operating results, reputation and stock price. As attempted attacks continue to evolve in scope and sophistication, we may be required to expend substantial additional resources to modify or enhance our protective measures, to investigate and remediate vulnerabilities or other exposures or to communicate about cyber attacks to our customers.</w:t>
      </w:r>
    </w:p>
    <w:p>
      <w:pPr>
        <w:spacing w:after="0" w:line="64" w:lineRule="exact"/>
        <w:rPr>
          <w:sz w:val="20"/>
          <w:szCs w:val="20"/>
          <w:color w:val="auto"/>
        </w:rPr>
      </w:pPr>
    </w:p>
    <w:p>
      <w:pPr>
        <w:jc w:val="both"/>
        <w:ind w:right="60" w:firstLine="382"/>
        <w:spacing w:after="0" w:line="270" w:lineRule="auto"/>
        <w:rPr>
          <w:sz w:val="20"/>
          <w:szCs w:val="20"/>
          <w:color w:val="auto"/>
        </w:rPr>
      </w:pPr>
      <w:r>
        <w:rPr>
          <w:rFonts w:ascii="Times New Roman" w:cs="Times New Roman" w:eastAsia="Times New Roman" w:hAnsi="Times New Roman"/>
          <w:sz w:val="14"/>
          <w:szCs w:val="14"/>
          <w:color w:val="auto"/>
        </w:rPr>
        <w:t>As a public company, we have controls and procedures that relate to cybersecurity disclosure and are required under the federal securities laws to disclose information relating to certain cyber attacks or other information security breaches. Successful cyber attacks at other asset management companies or other market participants, whether or not we are affected, could lead to a general loss of customer confidence in the industry that could negatively affect us, including harming the market perception of the effectiveness of our security measures, which could result in a loss of business.</w:t>
      </w:r>
    </w:p>
    <w:p>
      <w:pPr>
        <w:spacing w:after="0" w:line="49" w:lineRule="exact"/>
        <w:rPr>
          <w:sz w:val="20"/>
          <w:szCs w:val="20"/>
          <w:color w:val="auto"/>
        </w:rPr>
      </w:pPr>
    </w:p>
    <w:p>
      <w:pPr>
        <w:ind w:left="380"/>
        <w:spacing w:after="0"/>
        <w:rPr>
          <w:sz w:val="20"/>
          <w:szCs w:val="20"/>
          <w:color w:val="auto"/>
        </w:rPr>
      </w:pPr>
      <w:r>
        <w:rPr>
          <w:rFonts w:ascii="Times New Roman" w:cs="Times New Roman" w:eastAsia="Times New Roman" w:hAnsi="Times New Roman"/>
          <w:sz w:val="14"/>
          <w:szCs w:val="14"/>
          <w:b w:val="1"/>
          <w:bCs w:val="1"/>
          <w:color w:val="auto"/>
        </w:rPr>
        <w:t>Our business is vulnerable to systems failures that could have a material adverse effect on our business, financial condition and results of operations.</w:t>
      </w:r>
    </w:p>
    <w:p>
      <w:pPr>
        <w:spacing w:after="0" w:line="96" w:lineRule="exact"/>
        <w:rPr>
          <w:sz w:val="20"/>
          <w:szCs w:val="20"/>
          <w:color w:val="auto"/>
        </w:rPr>
      </w:pPr>
    </w:p>
    <w:p>
      <w:pPr>
        <w:ind w:right="100" w:firstLine="382"/>
        <w:spacing w:after="0" w:line="264" w:lineRule="auto"/>
        <w:rPr>
          <w:sz w:val="20"/>
          <w:szCs w:val="20"/>
          <w:color w:val="auto"/>
        </w:rPr>
      </w:pPr>
      <w:r>
        <w:rPr>
          <w:rFonts w:ascii="Times New Roman" w:cs="Times New Roman" w:eastAsia="Times New Roman" w:hAnsi="Times New Roman"/>
          <w:sz w:val="14"/>
          <w:szCs w:val="14"/>
          <w:color w:val="auto"/>
        </w:rPr>
        <w:t>Any delays or inaccuracies in securities pricing information or information processing could give rise to claims that could have a material adverse effect on our business, financial condition and results of operations. We are highly dependent on information systems and third-party vendors for securities pricing information, information processing and updates for certain software. We, or our third-party vendors, may suffer a systems failure or interruption, whether caused by an earthquake, fire, other natural disaster, power or telecommunications failure, unauthorized access, force majeure, act of war or otherwise, and our back-up procedures and capabilities may be inadequate to prevent the risk of extended interruptions in operations.</w:t>
      </w:r>
    </w:p>
    <w:p>
      <w:pPr>
        <w:spacing w:after="0" w:line="54" w:lineRule="exact"/>
        <w:rPr>
          <w:sz w:val="20"/>
          <w:szCs w:val="20"/>
          <w:color w:val="auto"/>
        </w:rPr>
      </w:pPr>
    </w:p>
    <w:p>
      <w:pPr>
        <w:ind w:right="140" w:firstLine="382"/>
        <w:spacing w:after="0" w:line="290" w:lineRule="auto"/>
        <w:rPr>
          <w:sz w:val="20"/>
          <w:szCs w:val="20"/>
          <w:color w:val="auto"/>
        </w:rPr>
      </w:pPr>
      <w:r>
        <w:rPr>
          <w:rFonts w:ascii="Times New Roman" w:cs="Times New Roman" w:eastAsia="Times New Roman" w:hAnsi="Times New Roman"/>
          <w:sz w:val="14"/>
          <w:szCs w:val="14"/>
          <w:b w:val="1"/>
          <w:bCs w:val="1"/>
          <w:color w:val="auto"/>
        </w:rPr>
        <w:t>Misuse of assets and information in the possession of our employees and third-party vendors could damage our reputation and result in costly litigation and liability for our clients and us.</w:t>
      </w:r>
    </w:p>
    <w:p>
      <w:pPr>
        <w:spacing w:after="0" w:line="37" w:lineRule="exact"/>
        <w:rPr>
          <w:sz w:val="20"/>
          <w:szCs w:val="20"/>
          <w:color w:val="auto"/>
        </w:rPr>
      </w:pPr>
    </w:p>
    <w:p>
      <w:pPr>
        <w:ind w:firstLine="382"/>
        <w:spacing w:after="0" w:line="261" w:lineRule="auto"/>
        <w:rPr>
          <w:sz w:val="20"/>
          <w:szCs w:val="20"/>
          <w:color w:val="auto"/>
        </w:rPr>
      </w:pPr>
      <w:r>
        <w:rPr>
          <w:rFonts w:ascii="Times New Roman" w:cs="Times New Roman" w:eastAsia="Times New Roman" w:hAnsi="Times New Roman"/>
          <w:sz w:val="14"/>
          <w:szCs w:val="14"/>
          <w:color w:val="auto"/>
        </w:rPr>
        <w:t>Our employees and certain third-party vendors handle significant amounts of assets along with financial and personal information for our clients. Our employees or third party vendors could misuse or improperly disclose such information, either inadvertently or intentionally, which could harm our reputation. We have implemented a system of controls to minimize the risk of fraudulent use of assets and information; however, our controls may be insufficient to prevent fraudulent actions by employees or third party vendors. If our controls are ineffective, we could be subject to costly litigation, which could consume financial resources, distract management, damage our reputation and result in regulatory sanctions. Such fraudulent actions could also adversely affect clients, causing them to seek redress.</w:t>
      </w:r>
    </w:p>
    <w:p>
      <w:pPr>
        <w:spacing w:after="0" w:line="56" w:lineRule="exact"/>
        <w:rPr>
          <w:sz w:val="20"/>
          <w:szCs w:val="20"/>
          <w:color w:val="auto"/>
        </w:rPr>
      </w:pPr>
    </w:p>
    <w:p>
      <w:pPr>
        <w:jc w:val="right"/>
        <w:ind w:right="7380"/>
        <w:spacing w:after="0"/>
        <w:rPr>
          <w:sz w:val="20"/>
          <w:szCs w:val="20"/>
          <w:color w:val="auto"/>
        </w:rPr>
      </w:pPr>
      <w:r>
        <w:rPr>
          <w:rFonts w:ascii="Times New Roman" w:cs="Times New Roman" w:eastAsia="Times New Roman" w:hAnsi="Times New Roman"/>
          <w:sz w:val="14"/>
          <w:szCs w:val="14"/>
          <w:b w:val="1"/>
          <w:bCs w:val="1"/>
          <w:u w:val="single" w:color="auto"/>
          <w:color w:val="auto"/>
        </w:rPr>
        <w:t>Risks Related to Ownership of Stock and Corporate Governance</w:t>
      </w:r>
    </w:p>
    <w:p>
      <w:pPr>
        <w:spacing w:after="0" w:line="94" w:lineRule="exact"/>
        <w:rPr>
          <w:sz w:val="20"/>
          <w:szCs w:val="20"/>
          <w:color w:val="auto"/>
        </w:rPr>
      </w:pPr>
    </w:p>
    <w:p>
      <w:pPr>
        <w:jc w:val="right"/>
        <w:ind w:right="7380"/>
        <w:spacing w:after="0"/>
        <w:rPr>
          <w:sz w:val="20"/>
          <w:szCs w:val="20"/>
          <w:color w:val="auto"/>
        </w:rPr>
      </w:pPr>
      <w:r>
        <w:rPr>
          <w:rFonts w:ascii="Times New Roman" w:cs="Times New Roman" w:eastAsia="Times New Roman" w:hAnsi="Times New Roman"/>
          <w:sz w:val="14"/>
          <w:szCs w:val="14"/>
          <w:b w:val="1"/>
          <w:bCs w:val="1"/>
          <w:color w:val="auto"/>
        </w:rPr>
        <w:t>Our stock is thinly traded and may be subject to volatility.</w:t>
      </w:r>
    </w:p>
    <w:p>
      <w:pPr>
        <w:spacing w:after="0" w:line="96" w:lineRule="exact"/>
        <w:rPr>
          <w:sz w:val="20"/>
          <w:szCs w:val="20"/>
          <w:color w:val="auto"/>
        </w:rPr>
      </w:pPr>
    </w:p>
    <w:p>
      <w:pPr>
        <w:ind w:right="40" w:firstLine="382"/>
        <w:spacing w:after="0" w:line="270" w:lineRule="auto"/>
        <w:rPr>
          <w:sz w:val="20"/>
          <w:szCs w:val="20"/>
          <w:color w:val="auto"/>
        </w:rPr>
      </w:pPr>
      <w:r>
        <w:rPr>
          <w:rFonts w:ascii="Times New Roman" w:cs="Times New Roman" w:eastAsia="Times New Roman" w:hAnsi="Times New Roman"/>
          <w:sz w:val="14"/>
          <w:szCs w:val="14"/>
          <w:color w:val="auto"/>
        </w:rPr>
        <w:t>Although our common stock is traded on the New York Stock Exchange, it may be relatively illiquid, or "thinly traded," which can increase share price volatility and make it difficult for larger investors to buy or sell shares in the public market without affecting the share price. Investors may be unable to buy or sell a certain quantity of our shares in the public market within one or more trading days. If any such limited trading in our stock continues, it may be difficult for holders to sell their shares in the public market at any given time at prevailing prices.</w:t>
      </w:r>
    </w:p>
    <w:p>
      <w:pPr>
        <w:spacing w:after="0" w:line="51" w:lineRule="exact"/>
        <w:rPr>
          <w:sz w:val="20"/>
          <w:szCs w:val="20"/>
          <w:color w:val="auto"/>
        </w:rPr>
      </w:pPr>
    </w:p>
    <w:p>
      <w:pPr>
        <w:ind w:right="280" w:firstLine="382"/>
        <w:spacing w:after="0" w:line="270" w:lineRule="auto"/>
        <w:rPr>
          <w:sz w:val="20"/>
          <w:szCs w:val="20"/>
          <w:color w:val="auto"/>
        </w:rPr>
      </w:pPr>
      <w:r>
        <w:rPr>
          <w:rFonts w:ascii="Times New Roman" w:cs="Times New Roman" w:eastAsia="Times New Roman" w:hAnsi="Times New Roman"/>
          <w:sz w:val="14"/>
          <w:szCs w:val="14"/>
          <w:color w:val="auto"/>
        </w:rPr>
        <w:t>The prevailing market price of our common stock may fluctuate significantly in response to a number of factors, some of which are beyond our control, including actual or anticipated fluctuations in operating results; changes in market valuations of other similar companies; additions or departures of key personnel; future sales of common stock; deviations in net revenues or in losses from levels expected by the investment community; and trading volume fluctuations.</w:t>
      </w:r>
    </w:p>
    <w:p>
      <w:pPr>
        <w:spacing w:after="0" w:line="49" w:lineRule="exact"/>
        <w:rPr>
          <w:sz w:val="20"/>
          <w:szCs w:val="20"/>
          <w:color w:val="auto"/>
        </w:rPr>
      </w:pPr>
    </w:p>
    <w:p>
      <w:pPr>
        <w:ind w:left="380"/>
        <w:spacing w:after="0"/>
        <w:rPr>
          <w:sz w:val="20"/>
          <w:szCs w:val="20"/>
          <w:color w:val="auto"/>
        </w:rPr>
      </w:pPr>
      <w:r>
        <w:rPr>
          <w:rFonts w:ascii="Times New Roman" w:cs="Times New Roman" w:eastAsia="Times New Roman" w:hAnsi="Times New Roman"/>
          <w:sz w:val="14"/>
          <w:szCs w:val="14"/>
          <w:b w:val="1"/>
          <w:bCs w:val="1"/>
          <w:color w:val="auto"/>
        </w:rPr>
        <w:t>Distributions to our common stockholders have included and may in the future include a return of capital.</w:t>
      </w:r>
    </w:p>
    <w:p>
      <w:pPr>
        <w:spacing w:after="0" w:line="96" w:lineRule="exact"/>
        <w:rPr>
          <w:sz w:val="20"/>
          <w:szCs w:val="20"/>
          <w:color w:val="auto"/>
        </w:rPr>
      </w:pPr>
    </w:p>
    <w:p>
      <w:pPr>
        <w:ind w:right="40" w:firstLine="382"/>
        <w:spacing w:after="0" w:line="264" w:lineRule="auto"/>
        <w:rPr>
          <w:sz w:val="20"/>
          <w:szCs w:val="20"/>
          <w:color w:val="auto"/>
        </w:rPr>
      </w:pPr>
      <w:r>
        <w:rPr>
          <w:rFonts w:ascii="Times New Roman" w:cs="Times New Roman" w:eastAsia="Times New Roman" w:hAnsi="Times New Roman"/>
          <w:sz w:val="14"/>
          <w:szCs w:val="14"/>
          <w:color w:val="auto"/>
        </w:rPr>
        <w:t>Future distributions to our common stockholders may include a return of capital. To the extent that we distribute amounts that exceed our accumulated earnings, these distributions would constitute a return of capital to the extent of the common stockholder’s adjusted tax basis in its shares of our common stock. A return of capital represents a return of a common stockholder’s original investment in shares of our common stock and should not be confused with a distribution from earnings. Although return of capital distributions may not be taxable, such distributions may increase an investor’s tax liability for capital gains upon the sale of our common stock by reducing the investor’s tax basis in its shares of our common stock. Such returns of</w:t>
      </w:r>
    </w:p>
    <w:p>
      <w:pPr>
        <w:spacing w:after="0" w:line="200" w:lineRule="exact"/>
        <w:rPr>
          <w:sz w:val="20"/>
          <w:szCs w:val="20"/>
          <w:color w:val="auto"/>
        </w:rPr>
      </w:pPr>
    </w:p>
    <w:p>
      <w:pPr>
        <w:spacing w:after="0" w:line="206"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4"/>
          <w:szCs w:val="14"/>
          <w:color w:val="auto"/>
        </w:rPr>
        <w:t>16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-8890</wp:posOffset>
            </wp:positionH>
            <wp:positionV relativeFrom="paragraph">
              <wp:posOffset>55880</wp:posOffset>
            </wp:positionV>
            <wp:extent cx="7186930" cy="38735"/>
            <wp:wrapNone/>
            <wp:docPr id="23" name="Picture 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
                    <pic:cNvPicPr>
                      <a:picLocks noChangeAspect="1" noChangeArrowheads="1"/>
                    </pic:cNvPicPr>
                  </pic:nvPicPr>
                  <pic:blipFill>
                    <a:blip r:embed="rId30">
                      <a:extLst>
                        <a:ext uri="{28A0092B-C50C-407E-A947-70E740481C1C}"/>
                      </a:extLst>
                    </a:blip>
                    <a:srcRect/>
                    <a:stretch>
                      <a:fillRect/>
                    </a:stretch>
                  </pic:blipFill>
                  <pic:spPr bwMode="auto">
                    <a:xfrm>
                      <a:off x="0" y="0"/>
                      <a:ext cx="7186930" cy="38735"/>
                    </a:xfrm>
                    <a:prstGeom prst="rect">
                      <a:avLst/>
                    </a:prstGeom>
                    <a:noFill/>
                  </pic:spPr>
                </pic:pic>
              </a:graphicData>
            </a:graphic>
          </wp:anchor>
        </w:drawing>
      </w:r>
    </w:p>
    <w:p>
      <w:pPr>
        <w:sectPr>
          <w:pgSz w:w="11900" w:h="16838" w:orient="portrait"/>
          <w:cols w:equalWidth="0" w:num="1">
            <w:col w:w="11280"/>
          </w:cols>
          <w:pgMar w:left="300" w:top="814" w:right="319" w:bottom="1440" w:gutter="0" w:footer="0" w:header="0"/>
        </w:sectPr>
      </w:pPr>
    </w:p>
    <w:bookmarkStart w:id="18" w:name="page19"/>
    <w:bookmarkEnd w:id="18"/>
    <w:p>
      <w:pPr>
        <w:spacing w:after="0"/>
        <w:rPr>
          <w:sz w:val="20"/>
          <w:szCs w:val="20"/>
          <w:color w:val="auto"/>
        </w:rPr>
      </w:pPr>
      <w:r>
        <w:rPr>
          <w:rFonts w:ascii="Times New Roman" w:cs="Times New Roman" w:eastAsia="Times New Roman" w:hAnsi="Times New Roman"/>
          <w:sz w:val="14"/>
          <w:szCs w:val="14"/>
          <w:color w:val="auto"/>
        </w:rPr>
        <w:t>capital reduce our asset base and could result in future needs for debt or capital infusions, which could have a material adverse impact on our business.</w:t>
      </w:r>
    </w:p>
    <w:p>
      <w:pPr>
        <w:spacing w:after="0" w:line="92" w:lineRule="exact"/>
        <w:rPr>
          <w:sz w:val="20"/>
          <w:szCs w:val="20"/>
          <w:color w:val="auto"/>
        </w:rPr>
      </w:pPr>
    </w:p>
    <w:p>
      <w:pPr>
        <w:ind w:right="300" w:firstLine="382"/>
        <w:spacing w:after="0" w:line="290" w:lineRule="auto"/>
        <w:rPr>
          <w:sz w:val="20"/>
          <w:szCs w:val="20"/>
          <w:color w:val="auto"/>
        </w:rPr>
      </w:pPr>
      <w:r>
        <w:rPr>
          <w:rFonts w:ascii="Times New Roman" w:cs="Times New Roman" w:eastAsia="Times New Roman" w:hAnsi="Times New Roman"/>
          <w:sz w:val="14"/>
          <w:szCs w:val="14"/>
          <w:b w:val="1"/>
          <w:bCs w:val="1"/>
          <w:color w:val="auto"/>
        </w:rPr>
        <w:t>Actions of activist stockholders could cause us to incur substantial costs, divert the attention and resources of our management and the Board of Directors, and have an adverse effect on our business and stock price.</w:t>
      </w:r>
    </w:p>
    <w:p>
      <w:pPr>
        <w:spacing w:after="0" w:line="37" w:lineRule="exact"/>
        <w:rPr>
          <w:sz w:val="20"/>
          <w:szCs w:val="20"/>
          <w:color w:val="auto"/>
        </w:rPr>
      </w:pPr>
    </w:p>
    <w:p>
      <w:pPr>
        <w:ind w:right="40" w:firstLine="382"/>
        <w:spacing w:after="0" w:line="259" w:lineRule="auto"/>
        <w:rPr>
          <w:sz w:val="20"/>
          <w:szCs w:val="20"/>
          <w:color w:val="auto"/>
        </w:rPr>
      </w:pPr>
      <w:r>
        <w:rPr>
          <w:rFonts w:ascii="Times New Roman" w:cs="Times New Roman" w:eastAsia="Times New Roman" w:hAnsi="Times New Roman"/>
          <w:sz w:val="14"/>
          <w:szCs w:val="14"/>
          <w:color w:val="auto"/>
        </w:rPr>
        <w:t>We have been and may continue to be subject to proposals by stockholders urging us to take certain corporate actions or seeking to acquire control over the Company. If activist stockholder activities continue or new activities arise, our business could be adversely affected as responding to actions by activist stockholders can be costly and time-consuming, disrupt our operations, and divert the attention of management and our Board of Directors, all of which could interfere with our ability to execute our strategic plan. We have retained, and may be required to continue to retain, the services of various professionals to advise us on activist stockholder matters, including legal, financial and communications advisors, the costs of which may adversely affect our financial results. In addition, the perceived uncertainties as to our future direction, strategy or leadership created as a consequence of activist stockholder initiatives may result in the loss of potential business opportunities, result in the loss of key personnel, harm our ability to attract new investors, clients and employees, and cause our stock price to experience periods of volatility or stagnation.</w:t>
      </w:r>
    </w:p>
    <w:p>
      <w:pPr>
        <w:spacing w:after="0" w:line="59"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b w:val="1"/>
          <w:bCs w:val="1"/>
          <w:u w:val="single" w:color="auto"/>
          <w:color w:val="auto"/>
        </w:rPr>
        <w:t>Risks Related to our Clients</w:t>
      </w:r>
    </w:p>
    <w:p>
      <w:pPr>
        <w:spacing w:after="0" w:line="94" w:lineRule="exact"/>
        <w:rPr>
          <w:sz w:val="20"/>
          <w:szCs w:val="20"/>
          <w:color w:val="auto"/>
        </w:rPr>
      </w:pPr>
    </w:p>
    <w:p>
      <w:pPr>
        <w:ind w:left="380"/>
        <w:spacing w:after="0"/>
        <w:rPr>
          <w:sz w:val="20"/>
          <w:szCs w:val="20"/>
          <w:color w:val="auto"/>
        </w:rPr>
      </w:pPr>
      <w:r>
        <w:rPr>
          <w:rFonts w:ascii="Times New Roman" w:cs="Times New Roman" w:eastAsia="Times New Roman" w:hAnsi="Times New Roman"/>
          <w:sz w:val="14"/>
          <w:szCs w:val="14"/>
          <w:b w:val="1"/>
          <w:bCs w:val="1"/>
          <w:color w:val="auto"/>
        </w:rPr>
        <w:t>Competitive fee pressures could reduce revenues and profit margins.</w:t>
      </w:r>
    </w:p>
    <w:p>
      <w:pPr>
        <w:spacing w:after="0" w:line="96" w:lineRule="exact"/>
        <w:rPr>
          <w:sz w:val="20"/>
          <w:szCs w:val="20"/>
          <w:color w:val="auto"/>
        </w:rPr>
      </w:pPr>
    </w:p>
    <w:p>
      <w:pPr>
        <w:ind w:right="180" w:firstLine="382"/>
        <w:spacing w:after="0" w:line="264" w:lineRule="auto"/>
        <w:rPr>
          <w:sz w:val="20"/>
          <w:szCs w:val="20"/>
          <w:color w:val="auto"/>
        </w:rPr>
      </w:pPr>
      <w:r>
        <w:rPr>
          <w:rFonts w:ascii="Times New Roman" w:cs="Times New Roman" w:eastAsia="Times New Roman" w:hAnsi="Times New Roman"/>
          <w:sz w:val="14"/>
          <w:szCs w:val="14"/>
          <w:color w:val="auto"/>
        </w:rPr>
        <w:t>To the extent we have to compete on the basis of price, we may not be able to maintain a profitable fee structure. In recent years, there has been a trend toward lower fees in the investment management industry driven in large part by low-cost, passive strategies, and we are actively marketing lower fee structures to stay competitive. We cannot be assured that we will succeed in providing investment returns and service levels that will allow us to maintain a profitable fee structure. Continued fee reductions on existing or future new business could have an adverse effect on our profit margins and results of operations.</w:t>
      </w:r>
    </w:p>
    <w:p>
      <w:pPr>
        <w:spacing w:after="0" w:line="56" w:lineRule="exact"/>
        <w:rPr>
          <w:sz w:val="20"/>
          <w:szCs w:val="20"/>
          <w:color w:val="auto"/>
        </w:rPr>
      </w:pPr>
    </w:p>
    <w:p>
      <w:pPr>
        <w:ind w:firstLine="382"/>
        <w:spacing w:after="0" w:line="264" w:lineRule="auto"/>
        <w:rPr>
          <w:sz w:val="20"/>
          <w:szCs w:val="20"/>
          <w:color w:val="auto"/>
        </w:rPr>
      </w:pPr>
      <w:r>
        <w:rPr>
          <w:rFonts w:ascii="Times New Roman" w:cs="Times New Roman" w:eastAsia="Times New Roman" w:hAnsi="Times New Roman"/>
          <w:sz w:val="14"/>
          <w:szCs w:val="14"/>
          <w:color w:val="auto"/>
        </w:rPr>
        <w:t>In addition, we have performance fee agreements with certain clients who pay a fee if we outperform a specified index over predetermined periods of time. We may not be able to outperform such indexes, and failure to do so would cause us to earn none or only part of those potential revenues, which could have a material adverse effect on our revenues and results of operations. Our revenues from performance-based fees can fluctuate significantly between measurement periods, depending on how we perform relative to the indexes specified in these agreements. For example, we earned performance fees of $1.1 million in 2025, $1.9 million in 2024 and $1.6 million in 2023.</w:t>
      </w:r>
    </w:p>
    <w:p>
      <w:pPr>
        <w:spacing w:after="0" w:line="54" w:lineRule="exact"/>
        <w:rPr>
          <w:sz w:val="20"/>
          <w:szCs w:val="20"/>
          <w:color w:val="auto"/>
        </w:rPr>
      </w:pPr>
    </w:p>
    <w:p>
      <w:pPr>
        <w:ind w:right="420" w:firstLine="382"/>
        <w:spacing w:after="0" w:line="290" w:lineRule="auto"/>
        <w:rPr>
          <w:sz w:val="20"/>
          <w:szCs w:val="20"/>
          <w:color w:val="auto"/>
        </w:rPr>
      </w:pPr>
      <w:r>
        <w:rPr>
          <w:rFonts w:ascii="Times New Roman" w:cs="Times New Roman" w:eastAsia="Times New Roman" w:hAnsi="Times New Roman"/>
          <w:sz w:val="14"/>
          <w:szCs w:val="14"/>
          <w:b w:val="1"/>
          <w:bCs w:val="1"/>
          <w:color w:val="auto"/>
        </w:rPr>
        <w:t>Our business is dependent on investment advisory, sub-advisory, and trust agreements that are subject to termination or non-renewal and investments we manage under such agreements may be redeemed. As a result, we could lose clients on very short notice.</w:t>
      </w:r>
    </w:p>
    <w:p>
      <w:pPr>
        <w:spacing w:after="0" w:line="37" w:lineRule="exact"/>
        <w:rPr>
          <w:sz w:val="20"/>
          <w:szCs w:val="20"/>
          <w:color w:val="auto"/>
        </w:rPr>
      </w:pPr>
    </w:p>
    <w:p>
      <w:pPr>
        <w:ind w:right="200" w:firstLine="382"/>
        <w:spacing w:after="0" w:line="261" w:lineRule="auto"/>
        <w:rPr>
          <w:sz w:val="20"/>
          <w:szCs w:val="20"/>
          <w:color w:val="auto"/>
        </w:rPr>
      </w:pPr>
      <w:r>
        <w:rPr>
          <w:rFonts w:ascii="Times New Roman" w:cs="Times New Roman" w:eastAsia="Times New Roman" w:hAnsi="Times New Roman"/>
          <w:sz w:val="14"/>
          <w:szCs w:val="14"/>
          <w:color w:val="auto"/>
        </w:rPr>
        <w:t>Substantially all of our revenues are derived pursuant to investment advisory, sub-advisory and trust agreements with our clients that are subject to termination without advance notice. Investors in funds that we advise or sub-advise may redeem their investments at any time without prior notice, thereby reducing our AUM. These investors may redeem for any reason, including general financial market conditions, our absolute or relative investment performance or their own financial condition and requirements. In a declining stock market, the pace of redemptions could accelerate. Substantial additional redemptions or a termination or failure to renew a material number of these agreements would adversely affect our revenues and have a material adverse effect on our earnings and financial condition.</w:t>
      </w:r>
    </w:p>
    <w:p>
      <w:pPr>
        <w:spacing w:after="0" w:line="56" w:lineRule="exact"/>
        <w:rPr>
          <w:sz w:val="20"/>
          <w:szCs w:val="20"/>
          <w:color w:val="auto"/>
        </w:rPr>
      </w:pPr>
    </w:p>
    <w:p>
      <w:pPr>
        <w:ind w:right="140" w:firstLine="382"/>
        <w:spacing w:after="0" w:line="290" w:lineRule="auto"/>
        <w:rPr>
          <w:sz w:val="20"/>
          <w:szCs w:val="20"/>
          <w:color w:val="auto"/>
        </w:rPr>
      </w:pPr>
      <w:r>
        <w:rPr>
          <w:rFonts w:ascii="Times New Roman" w:cs="Times New Roman" w:eastAsia="Times New Roman" w:hAnsi="Times New Roman"/>
          <w:sz w:val="14"/>
          <w:szCs w:val="14"/>
          <w:b w:val="1"/>
          <w:bCs w:val="1"/>
          <w:color w:val="auto"/>
        </w:rPr>
        <w:t>A small number of clients account for a substantial portion of our business, and a reduction or loss of business with any of these clients could have a material adverse effect on our business, financial condition and results of operations.</w:t>
      </w:r>
    </w:p>
    <w:p>
      <w:pPr>
        <w:spacing w:after="0" w:line="37" w:lineRule="exact"/>
        <w:rPr>
          <w:sz w:val="20"/>
          <w:szCs w:val="20"/>
          <w:color w:val="auto"/>
        </w:rPr>
      </w:pPr>
    </w:p>
    <w:p>
      <w:pPr>
        <w:ind w:right="80" w:firstLine="382"/>
        <w:spacing w:after="0" w:line="264" w:lineRule="auto"/>
        <w:rPr>
          <w:sz w:val="20"/>
          <w:szCs w:val="20"/>
          <w:color w:val="auto"/>
        </w:rPr>
      </w:pPr>
      <w:r>
        <w:rPr>
          <w:rFonts w:ascii="Times New Roman" w:cs="Times New Roman" w:eastAsia="Times New Roman" w:hAnsi="Times New Roman"/>
          <w:sz w:val="14"/>
          <w:szCs w:val="14"/>
          <w:color w:val="auto"/>
        </w:rPr>
        <w:t>We are dependent to a significant degree on our ability to maintain our relationships with clients, consultants, managed account platforms and other intermediaries. Our ten largest clients accounted for approximately 20%, 20% and 21% of our fee revenues for the years ended December 31, 2025, 2024 and 2023, respectively. There can be no assurance that we will be successful in maintaining existing relationships, securing additional relationships or achieving the superior investment performance necessary to earn performance-based advisory fees. Our failure to retain one or more of these large relationships or to establish additional profitable relationships could have a material adverse effect on our business, financial condition and results of operations.</w:t>
      </w:r>
    </w:p>
    <w:p>
      <w:pPr>
        <w:spacing w:after="0" w:line="54"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b w:val="1"/>
          <w:bCs w:val="1"/>
          <w:u w:val="single" w:color="auto"/>
          <w:color w:val="auto"/>
        </w:rPr>
        <w:t>General Risk Factors</w:t>
      </w:r>
    </w:p>
    <w:p>
      <w:pPr>
        <w:spacing w:after="0" w:line="94" w:lineRule="exact"/>
        <w:rPr>
          <w:sz w:val="20"/>
          <w:szCs w:val="20"/>
          <w:color w:val="auto"/>
        </w:rPr>
      </w:pPr>
    </w:p>
    <w:p>
      <w:pPr>
        <w:ind w:left="380"/>
        <w:spacing w:after="0"/>
        <w:rPr>
          <w:sz w:val="20"/>
          <w:szCs w:val="20"/>
          <w:color w:val="auto"/>
        </w:rPr>
      </w:pPr>
      <w:r>
        <w:rPr>
          <w:rFonts w:ascii="Times New Roman" w:cs="Times New Roman" w:eastAsia="Times New Roman" w:hAnsi="Times New Roman"/>
          <w:sz w:val="14"/>
          <w:szCs w:val="14"/>
          <w:b w:val="1"/>
          <w:bCs w:val="1"/>
          <w:color w:val="auto"/>
        </w:rPr>
        <w:t>We have made and may continue to make business combinations as a part of our business strategy, which may present risks and uncertainties.</w:t>
      </w:r>
    </w:p>
    <w:p>
      <w:pPr>
        <w:spacing w:after="0" w:line="96" w:lineRule="exact"/>
        <w:rPr>
          <w:sz w:val="20"/>
          <w:szCs w:val="20"/>
          <w:color w:val="auto"/>
        </w:rPr>
      </w:pPr>
    </w:p>
    <w:p>
      <w:pPr>
        <w:ind w:right="340" w:firstLine="382"/>
        <w:spacing w:after="0" w:line="287" w:lineRule="auto"/>
        <w:rPr>
          <w:sz w:val="20"/>
          <w:szCs w:val="20"/>
          <w:color w:val="auto"/>
        </w:rPr>
      </w:pPr>
      <w:r>
        <w:rPr>
          <w:rFonts w:ascii="Times New Roman" w:cs="Times New Roman" w:eastAsia="Times New Roman" w:hAnsi="Times New Roman"/>
          <w:sz w:val="14"/>
          <w:szCs w:val="14"/>
          <w:color w:val="auto"/>
        </w:rPr>
        <w:t>We may continue to seek business acquisitions as a means of broadening our offerings and capturing additional opportunities. However, there is no guarantee that we will be successful in identifying target companies that meet our criteria</w:t>
      </w:r>
    </w:p>
    <w:p>
      <w:pPr>
        <w:spacing w:after="0" w:line="389" w:lineRule="exact"/>
        <w:rPr>
          <w:sz w:val="20"/>
          <w:szCs w:val="20"/>
          <w:color w:val="auto"/>
        </w:rPr>
      </w:pPr>
    </w:p>
    <w:p>
      <w:pPr>
        <w:jc w:val="center"/>
        <w:ind w:right="-39"/>
        <w:spacing w:after="0"/>
        <w:rPr>
          <w:sz w:val="20"/>
          <w:szCs w:val="20"/>
          <w:color w:val="auto"/>
        </w:rPr>
      </w:pPr>
      <w:r>
        <w:rPr>
          <w:rFonts w:ascii="Times New Roman" w:cs="Times New Roman" w:eastAsia="Times New Roman" w:hAnsi="Times New Roman"/>
          <w:sz w:val="14"/>
          <w:szCs w:val="14"/>
          <w:color w:val="auto"/>
        </w:rPr>
        <w:t>17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-8890</wp:posOffset>
            </wp:positionH>
            <wp:positionV relativeFrom="paragraph">
              <wp:posOffset>55880</wp:posOffset>
            </wp:positionV>
            <wp:extent cx="7186930" cy="38735"/>
            <wp:wrapNone/>
            <wp:docPr id="24" name="Picture 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
                    <pic:cNvPicPr>
                      <a:picLocks noChangeAspect="1" noChangeArrowheads="1"/>
                    </pic:cNvPicPr>
                  </pic:nvPicPr>
                  <pic:blipFill>
                    <a:blip r:embed="rId31">
                      <a:extLst>
                        <a:ext uri="{28A0092B-C50C-407E-A947-70E740481C1C}"/>
                      </a:extLst>
                    </a:blip>
                    <a:srcRect/>
                    <a:stretch>
                      <a:fillRect/>
                    </a:stretch>
                  </pic:blipFill>
                  <pic:spPr bwMode="auto">
                    <a:xfrm>
                      <a:off x="0" y="0"/>
                      <a:ext cx="7186930" cy="38735"/>
                    </a:xfrm>
                    <a:prstGeom prst="rect">
                      <a:avLst/>
                    </a:prstGeom>
                    <a:noFill/>
                  </pic:spPr>
                </pic:pic>
              </a:graphicData>
            </a:graphic>
          </wp:anchor>
        </w:drawing>
      </w:r>
    </w:p>
    <w:p>
      <w:pPr>
        <w:sectPr>
          <w:pgSz w:w="11900" w:h="16838" w:orient="portrait"/>
          <w:cols w:equalWidth="0" w:num="1">
            <w:col w:w="11260"/>
          </w:cols>
          <w:pgMar w:left="300" w:top="814" w:right="339" w:bottom="1440" w:gutter="0" w:footer="0" w:header="0"/>
        </w:sectPr>
      </w:pPr>
    </w:p>
    <w:bookmarkStart w:id="19" w:name="page20"/>
    <w:bookmarkEnd w:id="19"/>
    <w:p>
      <w:pPr>
        <w:spacing w:after="0"/>
        <w:rPr>
          <w:sz w:val="20"/>
          <w:szCs w:val="20"/>
          <w:color w:val="auto"/>
        </w:rPr>
      </w:pPr>
      <w:r>
        <w:rPr>
          <w:rFonts w:ascii="Times New Roman" w:cs="Times New Roman" w:eastAsia="Times New Roman" w:hAnsi="Times New Roman"/>
          <w:sz w:val="14"/>
          <w:szCs w:val="14"/>
          <w:color w:val="auto"/>
        </w:rPr>
        <w:t>for acquisition. Additionally, future acquisitions may require us to obtain additional equity or debt financing, which may not be available on attractive terms, if at all.</w:t>
      </w:r>
    </w:p>
    <w:p>
      <w:pPr>
        <w:spacing w:after="0" w:line="94" w:lineRule="exact"/>
        <w:rPr>
          <w:sz w:val="20"/>
          <w:szCs w:val="20"/>
          <w:color w:val="auto"/>
        </w:rPr>
      </w:pPr>
    </w:p>
    <w:p>
      <w:pPr>
        <w:ind w:right="200" w:firstLine="382"/>
        <w:spacing w:after="0" w:line="287" w:lineRule="auto"/>
        <w:rPr>
          <w:sz w:val="20"/>
          <w:szCs w:val="20"/>
          <w:color w:val="auto"/>
        </w:rPr>
      </w:pPr>
      <w:r>
        <w:rPr>
          <w:rFonts w:ascii="Times New Roman" w:cs="Times New Roman" w:eastAsia="Times New Roman" w:hAnsi="Times New Roman"/>
          <w:sz w:val="14"/>
          <w:szCs w:val="14"/>
          <w:color w:val="auto"/>
        </w:rPr>
        <w:t>The success of our historical and future business combinations also depends on our ability to integrate the operations of the acquired businesses efficiently and effectively with our existing operations and realize the anticipated benefits from them. The potential risks associated with successful integration and realization of benefits include, but are not limited to the following:</w:t>
      </w:r>
    </w:p>
    <w:p>
      <w:pPr>
        <w:spacing w:after="0" w:line="39" w:lineRule="exact"/>
        <w:rPr>
          <w:sz w:val="20"/>
          <w:szCs w:val="20"/>
          <w:color w:val="auto"/>
        </w:rPr>
      </w:pPr>
    </w:p>
    <w:p>
      <w:pPr>
        <w:ind w:left="520" w:hanging="260"/>
        <w:spacing w:after="0"/>
        <w:tabs>
          <w:tab w:leader="none" w:pos="520" w:val="left"/>
        </w:tabs>
        <w:numPr>
          <w:ilvl w:val="0"/>
          <w:numId w:val="11"/>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our due diligence may not identify or fully assess valuation issues, potential liabilities or other acquisition risks;</w:t>
      </w:r>
    </w:p>
    <w:p>
      <w:pPr>
        <w:spacing w:after="0" w:line="93" w:lineRule="exact"/>
        <w:rPr>
          <w:rFonts w:ascii="Times New Roman" w:cs="Times New Roman" w:eastAsia="Times New Roman" w:hAnsi="Times New Roman"/>
          <w:sz w:val="14"/>
          <w:szCs w:val="14"/>
          <w:color w:val="auto"/>
        </w:rPr>
      </w:pPr>
    </w:p>
    <w:p>
      <w:pPr>
        <w:ind w:left="520" w:right="260" w:hanging="260"/>
        <w:spacing w:after="0" w:line="287" w:lineRule="auto"/>
        <w:tabs>
          <w:tab w:leader="none" w:pos="516" w:val="left"/>
        </w:tabs>
        <w:numPr>
          <w:ilvl w:val="0"/>
          <w:numId w:val="11"/>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acquired entities may not achieve anticipated revenue targets, cost savings or other synergies or benefits, or acquisitions may not result in improved operating performance, which could adversely affect our earnings, and we may be unable to recover investments in any such acquisitions;</w:t>
      </w:r>
    </w:p>
    <w:p>
      <w:pPr>
        <w:spacing w:after="0" w:line="39" w:lineRule="exact"/>
        <w:rPr>
          <w:rFonts w:ascii="Times New Roman" w:cs="Times New Roman" w:eastAsia="Times New Roman" w:hAnsi="Times New Roman"/>
          <w:sz w:val="14"/>
          <w:szCs w:val="14"/>
          <w:color w:val="auto"/>
        </w:rPr>
      </w:pPr>
    </w:p>
    <w:p>
      <w:pPr>
        <w:ind w:left="520" w:hanging="260"/>
        <w:spacing w:after="0"/>
        <w:tabs>
          <w:tab w:leader="none" w:pos="520" w:val="left"/>
        </w:tabs>
        <w:numPr>
          <w:ilvl w:val="0"/>
          <w:numId w:val="11"/>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we may have difficulty integrating acquired businesses, resulting in unforeseen difficulties and greater expenses than expected;</w:t>
      </w:r>
    </w:p>
    <w:p>
      <w:pPr>
        <w:spacing w:after="0" w:line="93" w:lineRule="exact"/>
        <w:rPr>
          <w:rFonts w:ascii="Times New Roman" w:cs="Times New Roman" w:eastAsia="Times New Roman" w:hAnsi="Times New Roman"/>
          <w:sz w:val="14"/>
          <w:szCs w:val="14"/>
          <w:color w:val="auto"/>
        </w:rPr>
      </w:pPr>
    </w:p>
    <w:p>
      <w:pPr>
        <w:ind w:left="520" w:hanging="260"/>
        <w:spacing w:after="0"/>
        <w:tabs>
          <w:tab w:leader="none" w:pos="520" w:val="left"/>
        </w:tabs>
        <w:numPr>
          <w:ilvl w:val="0"/>
          <w:numId w:val="11"/>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we may have difficulty entering into new markets in an efficient and cost-effective manner while maintaining adequate standards, controls and procedures;</w:t>
      </w:r>
    </w:p>
    <w:p>
      <w:pPr>
        <w:spacing w:after="0" w:line="93" w:lineRule="exact"/>
        <w:rPr>
          <w:rFonts w:ascii="Times New Roman" w:cs="Times New Roman" w:eastAsia="Times New Roman" w:hAnsi="Times New Roman"/>
          <w:sz w:val="14"/>
          <w:szCs w:val="14"/>
          <w:color w:val="auto"/>
        </w:rPr>
      </w:pPr>
    </w:p>
    <w:p>
      <w:pPr>
        <w:ind w:left="520" w:right="160" w:hanging="260"/>
        <w:spacing w:after="0" w:line="287" w:lineRule="auto"/>
        <w:tabs>
          <w:tab w:leader="none" w:pos="516" w:val="left"/>
        </w:tabs>
        <w:numPr>
          <w:ilvl w:val="0"/>
          <w:numId w:val="11"/>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key personnel within an acquired organization may resign from their related positions resulting in a significant loss to our strategic and operational efficiency associated with the acquired company;</w:t>
      </w:r>
    </w:p>
    <w:p>
      <w:pPr>
        <w:spacing w:after="0" w:line="39" w:lineRule="exact"/>
        <w:rPr>
          <w:rFonts w:ascii="Times New Roman" w:cs="Times New Roman" w:eastAsia="Times New Roman" w:hAnsi="Times New Roman"/>
          <w:sz w:val="14"/>
          <w:szCs w:val="14"/>
          <w:color w:val="auto"/>
        </w:rPr>
      </w:pPr>
    </w:p>
    <w:p>
      <w:pPr>
        <w:ind w:left="520" w:hanging="260"/>
        <w:spacing w:after="0"/>
        <w:tabs>
          <w:tab w:leader="none" w:pos="520" w:val="left"/>
        </w:tabs>
        <w:numPr>
          <w:ilvl w:val="0"/>
          <w:numId w:val="11"/>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the effectiveness of our daily operations may be reduced by the redirection of employees and other resources to acquisition and integration activities;</w:t>
      </w:r>
    </w:p>
    <w:p>
      <w:pPr>
        <w:spacing w:after="0" w:line="93" w:lineRule="exact"/>
        <w:rPr>
          <w:rFonts w:ascii="Times New Roman" w:cs="Times New Roman" w:eastAsia="Times New Roman" w:hAnsi="Times New Roman"/>
          <w:sz w:val="14"/>
          <w:szCs w:val="14"/>
          <w:color w:val="auto"/>
        </w:rPr>
      </w:pPr>
    </w:p>
    <w:p>
      <w:pPr>
        <w:ind w:left="520" w:right="100" w:hanging="260"/>
        <w:spacing w:after="0" w:line="287" w:lineRule="auto"/>
        <w:tabs>
          <w:tab w:leader="none" w:pos="516" w:val="left"/>
        </w:tabs>
        <w:numPr>
          <w:ilvl w:val="0"/>
          <w:numId w:val="11"/>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we may assume liabilities of an acquired business (including litigation, tax liabilities, and other contingent liabilities), including liabilities that were unknown at the time of the acquisition, that pose future risks to our working capital needs, cash flows and the profitability of related operations;</w:t>
      </w:r>
    </w:p>
    <w:p>
      <w:pPr>
        <w:spacing w:after="0" w:line="39" w:lineRule="exact"/>
        <w:rPr>
          <w:rFonts w:ascii="Times New Roman" w:cs="Times New Roman" w:eastAsia="Times New Roman" w:hAnsi="Times New Roman"/>
          <w:sz w:val="14"/>
          <w:szCs w:val="14"/>
          <w:color w:val="auto"/>
        </w:rPr>
      </w:pPr>
    </w:p>
    <w:p>
      <w:pPr>
        <w:ind w:left="520" w:hanging="260"/>
        <w:spacing w:after="0"/>
        <w:tabs>
          <w:tab w:leader="none" w:pos="520" w:val="left"/>
        </w:tabs>
        <w:numPr>
          <w:ilvl w:val="0"/>
          <w:numId w:val="11"/>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we may assume unprofitable projects that pose future risks to our working capital needs, cash flows and the profitability of related operations; or</w:t>
      </w:r>
    </w:p>
    <w:p>
      <w:pPr>
        <w:spacing w:after="0" w:line="93" w:lineRule="exact"/>
        <w:rPr>
          <w:rFonts w:ascii="Times New Roman" w:cs="Times New Roman" w:eastAsia="Times New Roman" w:hAnsi="Times New Roman"/>
          <w:sz w:val="14"/>
          <w:szCs w:val="14"/>
          <w:color w:val="auto"/>
        </w:rPr>
      </w:pPr>
    </w:p>
    <w:p>
      <w:pPr>
        <w:ind w:left="520" w:hanging="260"/>
        <w:spacing w:after="0"/>
        <w:tabs>
          <w:tab w:leader="none" w:pos="520" w:val="left"/>
        </w:tabs>
        <w:numPr>
          <w:ilvl w:val="0"/>
          <w:numId w:val="11"/>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business acquisitions may include substantial transactional costs to complete the acquisition that exceed the estimated financial and operational benefit.</w:t>
      </w:r>
    </w:p>
    <w:p>
      <w:pPr>
        <w:spacing w:after="0" w:line="92" w:lineRule="exact"/>
        <w:rPr>
          <w:sz w:val="20"/>
          <w:szCs w:val="20"/>
          <w:color w:val="auto"/>
        </w:rPr>
      </w:pPr>
    </w:p>
    <w:p>
      <w:pPr>
        <w:ind w:right="160" w:firstLine="382"/>
        <w:spacing w:after="0" w:line="290" w:lineRule="auto"/>
        <w:rPr>
          <w:sz w:val="20"/>
          <w:szCs w:val="20"/>
          <w:color w:val="auto"/>
        </w:rPr>
      </w:pPr>
      <w:r>
        <w:rPr>
          <w:rFonts w:ascii="Times New Roman" w:cs="Times New Roman" w:eastAsia="Times New Roman" w:hAnsi="Times New Roman"/>
          <w:sz w:val="14"/>
          <w:szCs w:val="14"/>
          <w:b w:val="1"/>
          <w:bCs w:val="1"/>
          <w:color w:val="auto"/>
        </w:rPr>
        <w:t>Failure to effectively execute our strategic growth plan could result in damage to our reputation and could have a material adverse effect on our business, financial condition and results of operations.</w:t>
      </w:r>
    </w:p>
    <w:p>
      <w:pPr>
        <w:spacing w:after="0" w:line="37" w:lineRule="exact"/>
        <w:rPr>
          <w:sz w:val="20"/>
          <w:szCs w:val="20"/>
          <w:color w:val="auto"/>
        </w:rPr>
      </w:pPr>
    </w:p>
    <w:p>
      <w:pPr>
        <w:ind w:right="280" w:firstLine="382"/>
        <w:spacing w:after="0" w:line="287" w:lineRule="auto"/>
        <w:rPr>
          <w:sz w:val="20"/>
          <w:szCs w:val="20"/>
          <w:color w:val="auto"/>
        </w:rPr>
      </w:pPr>
      <w:r>
        <w:rPr>
          <w:rFonts w:ascii="Times New Roman" w:cs="Times New Roman" w:eastAsia="Times New Roman" w:hAnsi="Times New Roman"/>
          <w:sz w:val="14"/>
          <w:szCs w:val="14"/>
          <w:color w:val="auto"/>
        </w:rPr>
        <w:t>We believe that we have established a strong platform to support future growth but there is no assurance that we will appropriately execute our strategic plans, including but not limited to acquisitions, divestitures or other strategic transactions.</w:t>
      </w:r>
    </w:p>
    <w:p>
      <w:pPr>
        <w:spacing w:after="0" w:line="39" w:lineRule="exact"/>
        <w:rPr>
          <w:sz w:val="20"/>
          <w:szCs w:val="20"/>
          <w:color w:val="auto"/>
        </w:rPr>
      </w:pPr>
    </w:p>
    <w:p>
      <w:pPr>
        <w:ind w:firstLine="382"/>
        <w:spacing w:after="0" w:line="256" w:lineRule="auto"/>
        <w:rPr>
          <w:sz w:val="20"/>
          <w:szCs w:val="20"/>
          <w:color w:val="auto"/>
        </w:rPr>
      </w:pPr>
      <w:r>
        <w:rPr>
          <w:rFonts w:ascii="Times New Roman" w:cs="Times New Roman" w:eastAsia="Times New Roman" w:hAnsi="Times New Roman"/>
          <w:sz w:val="14"/>
          <w:szCs w:val="14"/>
          <w:color w:val="auto"/>
        </w:rPr>
        <w:t>As part of our long-term business strategy, we may pursue corporate development transactions including the acquisition of asset management firms, mutual funds, wealth management firms and investment professionals or teams. Acquisitions involve inherent risks that could compromise the success of the combined business and dilute the holdings of current stockholders. See “Item 1. Business — Growth Strategy.” If we are incorrect when assessing the value, strengths, weaknesses, liabilities and potential profitability of such transactions, or if we fail to adequately integrate the acquired businesses or individuals, the success of the combined business could be compromised. Business acquisitions are subject to the risks commonly associated with such transactions including, among others, potential exposure to unknown liabilities of acquired companies and to acquisition costs and expenses, the difficulty and expense of integrating the operations and personnel of the acquired companies, potential disruptions to the business of the combined company and potential diversion of management’s time and attention, the impairment of relationships with and the possible loss of key employees and clients as a result of changes in management, potential litigation or other legal risks, potential write-downs related to goodwill impairments in connection with acquisitions and dilution to the stockholders of the combined company if the acquisition is made for stock of the combined company. In addition, investment strategies, technologies or businesses of acquired companies may not be effectively assimilated into our business or may have a negative effect on the combined company’s revenues or earnings. The combined company may also incur significant expenses to complete acquisitions and support acquired investment strategies and businesses. Further, any such acquisitions may be funded with cash, debt or equity, which could dilute the holdings or limit the rights of stockholders. Finally, we may not be successful in identifying attractive acquisition candidates or completing acquisitions on favorable terms.</w:t>
      </w:r>
    </w:p>
    <w:p>
      <w:pPr>
        <w:spacing w:after="0" w:line="63" w:lineRule="exact"/>
        <w:rPr>
          <w:sz w:val="20"/>
          <w:szCs w:val="20"/>
          <w:color w:val="auto"/>
        </w:rPr>
      </w:pPr>
    </w:p>
    <w:p>
      <w:pPr>
        <w:ind w:right="60" w:firstLine="382"/>
        <w:spacing w:after="0" w:line="270" w:lineRule="auto"/>
        <w:rPr>
          <w:sz w:val="20"/>
          <w:szCs w:val="20"/>
          <w:color w:val="auto"/>
        </w:rPr>
      </w:pPr>
      <w:r>
        <w:rPr>
          <w:rFonts w:ascii="Times New Roman" w:cs="Times New Roman" w:eastAsia="Times New Roman" w:hAnsi="Times New Roman"/>
          <w:sz w:val="14"/>
          <w:szCs w:val="14"/>
          <w:color w:val="auto"/>
        </w:rPr>
        <w:t>Divestitures involve inherent risks that could compromise the success of our business. Risks related to divestitures can include difficulties in the separation of the divested business, loss of clients, retention or obligation to indemnify certain liabilities, the failure of counterparties to satisfy payment obligations, unfavorable market conditions that may impact any earnout or contingency payment due to us, unexpected difficulties in losing employees of the divested business or asset impairments.</w:t>
      </w:r>
    </w:p>
    <w:p>
      <w:pPr>
        <w:spacing w:after="0" w:line="200" w:lineRule="exact"/>
        <w:rPr>
          <w:sz w:val="20"/>
          <w:szCs w:val="20"/>
          <w:color w:val="auto"/>
        </w:rPr>
      </w:pPr>
    </w:p>
    <w:p>
      <w:pPr>
        <w:spacing w:after="0" w:line="201" w:lineRule="exact"/>
        <w:rPr>
          <w:sz w:val="20"/>
          <w:szCs w:val="20"/>
          <w:color w:val="auto"/>
        </w:rPr>
      </w:pPr>
    </w:p>
    <w:p>
      <w:pPr>
        <w:jc w:val="center"/>
        <w:ind w:right="-79"/>
        <w:spacing w:after="0"/>
        <w:rPr>
          <w:sz w:val="20"/>
          <w:szCs w:val="20"/>
          <w:color w:val="auto"/>
        </w:rPr>
      </w:pPr>
      <w:r>
        <w:rPr>
          <w:rFonts w:ascii="Times New Roman" w:cs="Times New Roman" w:eastAsia="Times New Roman" w:hAnsi="Times New Roman"/>
          <w:sz w:val="14"/>
          <w:szCs w:val="14"/>
          <w:color w:val="auto"/>
        </w:rPr>
        <w:t>18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-8890</wp:posOffset>
            </wp:positionH>
            <wp:positionV relativeFrom="paragraph">
              <wp:posOffset>55880</wp:posOffset>
            </wp:positionV>
            <wp:extent cx="7186930" cy="38735"/>
            <wp:wrapNone/>
            <wp:docPr id="25" name="Picture 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
                    <pic:cNvPicPr>
                      <a:picLocks noChangeAspect="1" noChangeArrowheads="1"/>
                    </pic:cNvPicPr>
                  </pic:nvPicPr>
                  <pic:blipFill>
                    <a:blip r:embed="rId32">
                      <a:extLst>
                        <a:ext uri="{28A0092B-C50C-407E-A947-70E740481C1C}"/>
                      </a:extLst>
                    </a:blip>
                    <a:srcRect/>
                    <a:stretch>
                      <a:fillRect/>
                    </a:stretch>
                  </pic:blipFill>
                  <pic:spPr bwMode="auto">
                    <a:xfrm>
                      <a:off x="0" y="0"/>
                      <a:ext cx="7186930" cy="38735"/>
                    </a:xfrm>
                    <a:prstGeom prst="rect">
                      <a:avLst/>
                    </a:prstGeom>
                    <a:noFill/>
                  </pic:spPr>
                </pic:pic>
              </a:graphicData>
            </a:graphic>
          </wp:anchor>
        </w:drawing>
      </w:r>
    </w:p>
    <w:p>
      <w:pPr>
        <w:sectPr>
          <w:pgSz w:w="11900" w:h="16838" w:orient="portrait"/>
          <w:cols w:equalWidth="0" w:num="1">
            <w:col w:w="11200"/>
          </w:cols>
          <w:pgMar w:left="300" w:top="814" w:right="399" w:bottom="1440" w:gutter="0" w:footer="0" w:header="0"/>
        </w:sectPr>
      </w:pPr>
    </w:p>
    <w:bookmarkStart w:id="20" w:name="page21"/>
    <w:bookmarkEnd w:id="20"/>
    <w:p>
      <w:pPr>
        <w:ind w:right="100" w:firstLine="382"/>
        <w:spacing w:after="0" w:line="264" w:lineRule="auto"/>
        <w:rPr>
          <w:sz w:val="20"/>
          <w:szCs w:val="20"/>
          <w:color w:val="auto"/>
        </w:rPr>
      </w:pPr>
      <w:r>
        <w:rPr>
          <w:rFonts w:ascii="Times New Roman" w:cs="Times New Roman" w:eastAsia="Times New Roman" w:hAnsi="Times New Roman"/>
          <w:sz w:val="14"/>
          <w:szCs w:val="14"/>
          <w:color w:val="auto"/>
        </w:rPr>
        <w:t>As consumer demand for digital interaction with investment advisors and portfolios continues to grow, we are exploring opportunities to develop digital solutions to enhance services to our clients. If we are incorrect in assessing the value, strengths, weaknesses and potential profitability of such solutions, or if we fail to adequately integrate the solutions, the success of our overall business could be compromised. The initial investment in the necessary technological capabilities and the potential diversion of management’s time and attention could have a material impact to our business, financial condition and results of operations.</w:t>
      </w:r>
    </w:p>
    <w:p>
      <w:pPr>
        <w:spacing w:after="0" w:line="56" w:lineRule="exact"/>
        <w:rPr>
          <w:sz w:val="20"/>
          <w:szCs w:val="20"/>
          <w:color w:val="auto"/>
        </w:rPr>
      </w:pPr>
    </w:p>
    <w:p>
      <w:pPr>
        <w:ind w:right="60" w:firstLine="382"/>
        <w:spacing w:after="0" w:line="287" w:lineRule="auto"/>
        <w:rPr>
          <w:sz w:val="20"/>
          <w:szCs w:val="20"/>
          <w:color w:val="auto"/>
        </w:rPr>
      </w:pPr>
      <w:r>
        <w:rPr>
          <w:rFonts w:ascii="Times New Roman" w:cs="Times New Roman" w:eastAsia="Times New Roman" w:hAnsi="Times New Roman"/>
          <w:sz w:val="14"/>
          <w:szCs w:val="14"/>
          <w:color w:val="auto"/>
        </w:rPr>
        <w:t>There is no assurance that we will be successful in overcoming these or other risks encountered with acquisitions, divestitures and other strategic transactions. These risks may prevent us from realizing the expected benefits from acquisitions or divestitures and could result in the failure to realize the full economic value of a strategic transaction.</w:t>
      </w:r>
    </w:p>
    <w:p>
      <w:pPr>
        <w:spacing w:after="0" w:line="37" w:lineRule="exact"/>
        <w:rPr>
          <w:sz w:val="20"/>
          <w:szCs w:val="20"/>
          <w:color w:val="auto"/>
        </w:rPr>
      </w:pPr>
    </w:p>
    <w:p>
      <w:pPr>
        <w:ind w:left="380"/>
        <w:spacing w:after="0"/>
        <w:rPr>
          <w:sz w:val="20"/>
          <w:szCs w:val="20"/>
          <w:color w:val="auto"/>
        </w:rPr>
      </w:pPr>
      <w:r>
        <w:rPr>
          <w:rFonts w:ascii="Times New Roman" w:cs="Times New Roman" w:eastAsia="Times New Roman" w:hAnsi="Times New Roman"/>
          <w:sz w:val="14"/>
          <w:szCs w:val="14"/>
          <w:b w:val="1"/>
          <w:bCs w:val="1"/>
          <w:color w:val="auto"/>
        </w:rPr>
        <w:t>Various factors may hinder the declaration and payment of dividends.</w:t>
      </w:r>
    </w:p>
    <w:p>
      <w:pPr>
        <w:spacing w:after="0" w:line="96" w:lineRule="exact"/>
        <w:rPr>
          <w:sz w:val="20"/>
          <w:szCs w:val="20"/>
          <w:color w:val="auto"/>
        </w:rPr>
      </w:pPr>
    </w:p>
    <w:p>
      <w:pPr>
        <w:ind w:firstLine="382"/>
        <w:spacing w:after="0" w:line="259" w:lineRule="auto"/>
        <w:rPr>
          <w:sz w:val="20"/>
          <w:szCs w:val="20"/>
          <w:color w:val="auto"/>
        </w:rPr>
      </w:pPr>
      <w:r>
        <w:rPr>
          <w:rFonts w:ascii="Times New Roman" w:cs="Times New Roman" w:eastAsia="Times New Roman" w:hAnsi="Times New Roman"/>
          <w:sz w:val="14"/>
          <w:szCs w:val="14"/>
          <w:color w:val="auto"/>
        </w:rPr>
        <w:t>We have historically paid a quarterly dividend; however, payment of future dividends is subject to the discretion of our Board, and various factors may impact our ability to maintain the current dividend or pay dividends at all. Such factors include our financial position, capital requirements and liquidity, tax regulations, stock repurchase plans, state corporate and banking law restrictions, results of operations and other factors that our Board may consider relevant. As a holding company, our ability to pay dividends is dependent on the dividends and income we receive from our subsidiaries. Currently, our primary source of cash consists of dividends from Westwood Management or Westwood Trust. The payment of dividends by Westwood Trust is subject to the discretion of its Board and compliance with applicable laws, including the provisions of the Finance Code applicable to Westwood Trust. See “Item 7. Management’s Discussion and Analysis of Financial Condition and Results of Operations.”</w:t>
      </w:r>
    </w:p>
    <w:p>
      <w:pPr>
        <w:spacing w:after="0" w:line="59" w:lineRule="exact"/>
        <w:rPr>
          <w:sz w:val="20"/>
          <w:szCs w:val="20"/>
          <w:color w:val="auto"/>
        </w:rPr>
      </w:pPr>
    </w:p>
    <w:p>
      <w:pPr>
        <w:ind w:left="380"/>
        <w:spacing w:after="0"/>
        <w:rPr>
          <w:sz w:val="20"/>
          <w:szCs w:val="20"/>
          <w:color w:val="auto"/>
        </w:rPr>
      </w:pPr>
      <w:r>
        <w:rPr>
          <w:rFonts w:ascii="Times New Roman" w:cs="Times New Roman" w:eastAsia="Times New Roman" w:hAnsi="Times New Roman"/>
          <w:sz w:val="14"/>
          <w:szCs w:val="14"/>
          <w:b w:val="1"/>
          <w:bCs w:val="1"/>
          <w:color w:val="auto"/>
        </w:rPr>
        <w:t>We may not be able to fund future capital requirements on favorable terms, if at all.</w:t>
      </w:r>
    </w:p>
    <w:p>
      <w:pPr>
        <w:spacing w:after="0" w:line="96" w:lineRule="exact"/>
        <w:rPr>
          <w:sz w:val="20"/>
          <w:szCs w:val="20"/>
          <w:color w:val="auto"/>
        </w:rPr>
      </w:pPr>
    </w:p>
    <w:p>
      <w:pPr>
        <w:ind w:right="140" w:firstLine="382"/>
        <w:spacing w:after="0" w:line="264" w:lineRule="auto"/>
        <w:rPr>
          <w:sz w:val="20"/>
          <w:szCs w:val="20"/>
          <w:color w:val="auto"/>
        </w:rPr>
      </w:pPr>
      <w:r>
        <w:rPr>
          <w:rFonts w:ascii="Times New Roman" w:cs="Times New Roman" w:eastAsia="Times New Roman" w:hAnsi="Times New Roman"/>
          <w:sz w:val="14"/>
          <w:szCs w:val="14"/>
          <w:color w:val="auto"/>
        </w:rPr>
        <w:t>We cannot be certain that financing to fund our working capital or other cash requirements, if needed, will be available on favorable terms, if at all. Our capital requirements may vary greatly from quarter to quarter depending on, among other things, capital expenditures, technological investments and fluctuations in our operating results and financing activities. If financing becomes necessary, we may or may not be able to obtain financing on favorable terms, if at all. Further, any future equity financings could dilute the relative percentage ownership of then existing common stockholders, and any future debt financings could involve restrictive covenants that limit our ability to take certain actions.</w:t>
      </w:r>
    </w:p>
    <w:p>
      <w:pPr>
        <w:spacing w:after="0" w:line="54" w:lineRule="exact"/>
        <w:rPr>
          <w:sz w:val="20"/>
          <w:szCs w:val="20"/>
          <w:color w:val="auto"/>
        </w:rPr>
      </w:pPr>
    </w:p>
    <w:p>
      <w:pPr>
        <w:ind w:right="140" w:firstLine="382"/>
        <w:spacing w:after="0" w:line="290" w:lineRule="auto"/>
        <w:rPr>
          <w:sz w:val="20"/>
          <w:szCs w:val="20"/>
          <w:color w:val="auto"/>
        </w:rPr>
      </w:pPr>
      <w:r>
        <w:rPr>
          <w:rFonts w:ascii="Times New Roman" w:cs="Times New Roman" w:eastAsia="Times New Roman" w:hAnsi="Times New Roman"/>
          <w:sz w:val="14"/>
          <w:szCs w:val="14"/>
          <w:b w:val="1"/>
          <w:bCs w:val="1"/>
          <w:color w:val="auto"/>
        </w:rPr>
        <w:t>Failure to properly identify and address conflicts of interest could harm our reputation or cause clients to withdraw funds, which could adversely affect our business and results of operations.</w:t>
      </w:r>
    </w:p>
    <w:p>
      <w:pPr>
        <w:spacing w:after="0" w:line="37" w:lineRule="exact"/>
        <w:rPr>
          <w:sz w:val="20"/>
          <w:szCs w:val="20"/>
          <w:color w:val="auto"/>
        </w:rPr>
      </w:pPr>
    </w:p>
    <w:p>
      <w:pPr>
        <w:ind w:right="220" w:firstLine="382"/>
        <w:spacing w:after="0" w:line="270" w:lineRule="auto"/>
        <w:rPr>
          <w:sz w:val="20"/>
          <w:szCs w:val="20"/>
          <w:color w:val="auto"/>
        </w:rPr>
      </w:pPr>
      <w:r>
        <w:rPr>
          <w:rFonts w:ascii="Times New Roman" w:cs="Times New Roman" w:eastAsia="Times New Roman" w:hAnsi="Times New Roman"/>
          <w:sz w:val="14"/>
          <w:szCs w:val="14"/>
          <w:color w:val="auto"/>
        </w:rPr>
        <w:t>The SEC and other regulators have increased their scrutiny of potential conflicts of interest, and we have implemented procedures and controls that we believe are reasonably designed to address these issues. However, appropriately dealing with conflicts of interest is complex, and if we fail, or appear to fail, to deal appropriately with conflicts of interest, we could face reputational damage, litigation or regulatory proceedings, any of which may adversely affect our results of operations.</w:t>
      </w:r>
    </w:p>
    <w:p>
      <w:pPr>
        <w:spacing w:after="0" w:line="51" w:lineRule="exact"/>
        <w:rPr>
          <w:sz w:val="20"/>
          <w:szCs w:val="20"/>
          <w:color w:val="auto"/>
        </w:rPr>
      </w:pPr>
    </w:p>
    <w:p>
      <w:pPr>
        <w:ind w:right="20" w:firstLine="382"/>
        <w:spacing w:after="0" w:line="258" w:lineRule="auto"/>
        <w:rPr>
          <w:sz w:val="20"/>
          <w:szCs w:val="20"/>
          <w:color w:val="auto"/>
        </w:rPr>
      </w:pPr>
      <w:r>
        <w:rPr>
          <w:rFonts w:ascii="Times New Roman" w:cs="Times New Roman" w:eastAsia="Times New Roman" w:hAnsi="Times New Roman"/>
          <w:sz w:val="14"/>
          <w:szCs w:val="14"/>
          <w:color w:val="auto"/>
        </w:rPr>
        <w:t>As we expand the scope of our business and our client base, we must also continue to monitor and address any potential new conflicts between the interests of our stockholders and those of our clients. Our clients may withdraw funds if they perceive conflicts of interest between the investment decisions we make for strategies in which they have invested and our obligations to our stockholders. For example, we may limit the growth of assets in or close strategies or otherwise take action to slow the flow of assets when we believe it is in the best interest of our clients, even though our AUM and investment management fees may be negatively impacted. Similarly, we may establish or add new investment teams or expand operations into other geographic areas or jurisdictions if we believe such actions are in the best interest of our clients, even though our results of operations may be adversely affected in the short term. Although we believe such actions enable us to retain client assets and maintain our profit margins, if clients perceive a change in our investment or operational decisions favors a strategy to maximize short term results, they may withdraw funds, which could adversely affect our revenues and results of operations.</w:t>
      </w:r>
    </w:p>
    <w:p>
      <w:pPr>
        <w:spacing w:after="0" w:line="60" w:lineRule="exact"/>
        <w:rPr>
          <w:sz w:val="20"/>
          <w:szCs w:val="20"/>
          <w:color w:val="auto"/>
        </w:rPr>
      </w:pPr>
    </w:p>
    <w:p>
      <w:pPr>
        <w:ind w:left="380"/>
        <w:spacing w:after="0"/>
        <w:rPr>
          <w:sz w:val="20"/>
          <w:szCs w:val="20"/>
          <w:color w:val="auto"/>
        </w:rPr>
      </w:pPr>
      <w:r>
        <w:rPr>
          <w:rFonts w:ascii="Times New Roman" w:cs="Times New Roman" w:eastAsia="Times New Roman" w:hAnsi="Times New Roman"/>
          <w:sz w:val="14"/>
          <w:szCs w:val="14"/>
          <w:b w:val="1"/>
          <w:bCs w:val="1"/>
          <w:color w:val="auto"/>
        </w:rPr>
        <w:t>Insurance coverage may be inadequate to cover legal and regulatory proceedings.</w:t>
      </w:r>
    </w:p>
    <w:p>
      <w:pPr>
        <w:spacing w:after="0" w:line="96" w:lineRule="exact"/>
        <w:rPr>
          <w:sz w:val="20"/>
          <w:szCs w:val="20"/>
          <w:color w:val="auto"/>
        </w:rPr>
      </w:pPr>
    </w:p>
    <w:p>
      <w:pPr>
        <w:ind w:right="80" w:firstLine="382"/>
        <w:spacing w:after="0" w:line="270" w:lineRule="auto"/>
        <w:rPr>
          <w:sz w:val="20"/>
          <w:szCs w:val="20"/>
          <w:color w:val="auto"/>
        </w:rPr>
      </w:pPr>
      <w:r>
        <w:rPr>
          <w:rFonts w:ascii="Times New Roman" w:cs="Times New Roman" w:eastAsia="Times New Roman" w:hAnsi="Times New Roman"/>
          <w:sz w:val="14"/>
          <w:szCs w:val="14"/>
          <w:color w:val="auto"/>
        </w:rPr>
        <w:t>We maintain insurance coverage in amounts and on terms we believe appropriate to cover legal and regulatory matters and potential cybersecurity attacks; however, we can make no assurance that there will be adequate coverage or that a specific claim will be covered by our insurance policies. Additionally, insurance premiums may rise for substantially the same coverage amounts and terms, which will increase our expenses and reduce net income.</w:t>
      </w:r>
    </w:p>
    <w:p>
      <w:pPr>
        <w:spacing w:after="0" w:line="49" w:lineRule="exact"/>
        <w:rPr>
          <w:sz w:val="20"/>
          <w:szCs w:val="20"/>
          <w:color w:val="auto"/>
        </w:rPr>
      </w:pPr>
    </w:p>
    <w:p>
      <w:pPr>
        <w:ind w:left="380"/>
        <w:spacing w:after="0"/>
        <w:rPr>
          <w:sz w:val="20"/>
          <w:szCs w:val="20"/>
          <w:color w:val="auto"/>
        </w:rPr>
      </w:pPr>
      <w:r>
        <w:rPr>
          <w:rFonts w:ascii="Times New Roman" w:cs="Times New Roman" w:eastAsia="Times New Roman" w:hAnsi="Times New Roman"/>
          <w:sz w:val="14"/>
          <w:szCs w:val="14"/>
          <w:b w:val="1"/>
          <w:bCs w:val="1"/>
          <w:color w:val="auto"/>
        </w:rPr>
        <w:t>Failure to maintain effective internal controls could have a material adverse effect on our business and stock price.</w:t>
      </w:r>
    </w:p>
    <w:p>
      <w:pPr>
        <w:spacing w:after="0" w:line="96" w:lineRule="exact"/>
        <w:rPr>
          <w:sz w:val="20"/>
          <w:szCs w:val="20"/>
          <w:color w:val="auto"/>
        </w:rPr>
      </w:pPr>
    </w:p>
    <w:p>
      <w:pPr>
        <w:ind w:right="400" w:firstLine="382"/>
        <w:spacing w:after="0" w:line="270" w:lineRule="auto"/>
        <w:rPr>
          <w:sz w:val="20"/>
          <w:szCs w:val="20"/>
          <w:color w:val="auto"/>
        </w:rPr>
      </w:pPr>
      <w:r>
        <w:rPr>
          <w:rFonts w:ascii="Times New Roman" w:cs="Times New Roman" w:eastAsia="Times New Roman" w:hAnsi="Times New Roman"/>
          <w:sz w:val="14"/>
          <w:szCs w:val="14"/>
          <w:color w:val="auto"/>
        </w:rPr>
        <w:t>Effective internal controls are necessary to provide reliable financial reports. If we cannot provide reliable financial reports, our brand and operating results could be harmed. All internal control systems, no matter how well designed, contain inherent limitations, and systems determined to be effective can provide only reasonable assurance with respect to financial statement preparation and presentation.</w:t>
      </w:r>
    </w:p>
    <w:p>
      <w:pPr>
        <w:spacing w:after="0" w:line="200" w:lineRule="exact"/>
        <w:rPr>
          <w:sz w:val="20"/>
          <w:szCs w:val="20"/>
          <w:color w:val="auto"/>
        </w:rPr>
      </w:pPr>
    </w:p>
    <w:p>
      <w:pPr>
        <w:spacing w:after="0" w:line="20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4"/>
          <w:szCs w:val="14"/>
          <w:color w:val="auto"/>
        </w:rPr>
        <w:t>19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-8890</wp:posOffset>
            </wp:positionH>
            <wp:positionV relativeFrom="paragraph">
              <wp:posOffset>55880</wp:posOffset>
            </wp:positionV>
            <wp:extent cx="7186930" cy="38735"/>
            <wp:wrapNone/>
            <wp:docPr id="26" name="Picture 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
                    <pic:cNvPicPr>
                      <a:picLocks noChangeAspect="1" noChangeArrowheads="1"/>
                    </pic:cNvPicPr>
                  </pic:nvPicPr>
                  <pic:blipFill>
                    <a:blip r:embed="rId33">
                      <a:extLst>
                        <a:ext uri="{28A0092B-C50C-407E-A947-70E740481C1C}"/>
                      </a:extLst>
                    </a:blip>
                    <a:srcRect/>
                    <a:stretch>
                      <a:fillRect/>
                    </a:stretch>
                  </pic:blipFill>
                  <pic:spPr bwMode="auto">
                    <a:xfrm>
                      <a:off x="0" y="0"/>
                      <a:ext cx="7186930" cy="38735"/>
                    </a:xfrm>
                    <a:prstGeom prst="rect">
                      <a:avLst/>
                    </a:prstGeom>
                    <a:noFill/>
                  </pic:spPr>
                </pic:pic>
              </a:graphicData>
            </a:graphic>
          </wp:anchor>
        </w:drawing>
      </w:r>
    </w:p>
    <w:p>
      <w:pPr>
        <w:sectPr>
          <w:pgSz w:w="11900" w:h="16838" w:orient="portrait"/>
          <w:cols w:equalWidth="0" w:num="1">
            <w:col w:w="11280"/>
          </w:cols>
          <w:pgMar w:left="300" w:top="814" w:right="319" w:bottom="1440" w:gutter="0" w:footer="0" w:header="0"/>
        </w:sectPr>
      </w:pPr>
    </w:p>
    <w:bookmarkStart w:id="21" w:name="page22"/>
    <w:bookmarkEnd w:id="21"/>
    <w:p>
      <w:pPr>
        <w:ind w:right="140" w:firstLine="382"/>
        <w:spacing w:after="0" w:line="261" w:lineRule="auto"/>
        <w:rPr>
          <w:sz w:val="20"/>
          <w:szCs w:val="20"/>
          <w:color w:val="auto"/>
        </w:rPr>
      </w:pPr>
      <w:r>
        <w:rPr>
          <w:rFonts w:ascii="Times New Roman" w:cs="Times New Roman" w:eastAsia="Times New Roman" w:hAnsi="Times New Roman"/>
          <w:sz w:val="14"/>
          <w:szCs w:val="14"/>
          <w:color w:val="auto"/>
        </w:rPr>
        <w:t>We cannot be certain that the measures we take to evaluate and improve our internal controls will ensure that we implement and maintain adequate controls over our financial processes and reporting. Any failure to implement required new or improved controls, or difficulties encountered in their implementation, could harm our operating results or cause us to fail to meet our reporting obligations. If we fail to maintain the adequacy of our internal controls, as such standards are modified, supplemented or amended, we may not be able to ensure that we can conclude that we have effective internal control over financial reporting in accordance with Section 404 of the Sarbanes-Oxley Act of 2002. Failure to achieve and maintain an effective internal control environment could cause investors to lose confidence in our reported financial information, which could have a material adverse effect on our stock price.</w:t>
      </w:r>
    </w:p>
    <w:p>
      <w:pPr>
        <w:spacing w:after="0" w:line="141"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b w:val="1"/>
          <w:bCs w:val="1"/>
          <w:color w:val="auto"/>
        </w:rPr>
        <w:t>Item 1B. Unresolved Staff Comments.</w:t>
      </w:r>
    </w:p>
    <w:p>
      <w:pPr>
        <w:spacing w:after="0" w:line="96" w:lineRule="exact"/>
        <w:rPr>
          <w:sz w:val="20"/>
          <w:szCs w:val="20"/>
          <w:color w:val="auto"/>
        </w:rPr>
      </w:pPr>
    </w:p>
    <w:p>
      <w:pPr>
        <w:ind w:left="380"/>
        <w:spacing w:after="0"/>
        <w:rPr>
          <w:sz w:val="20"/>
          <w:szCs w:val="20"/>
          <w:color w:val="auto"/>
        </w:rPr>
      </w:pPr>
      <w:r>
        <w:rPr>
          <w:rFonts w:ascii="Times New Roman" w:cs="Times New Roman" w:eastAsia="Times New Roman" w:hAnsi="Times New Roman"/>
          <w:sz w:val="14"/>
          <w:szCs w:val="14"/>
          <w:color w:val="auto"/>
        </w:rPr>
        <w:t>None.</w:t>
      </w:r>
    </w:p>
    <w:p>
      <w:pPr>
        <w:spacing w:after="0" w:line="177"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b w:val="1"/>
          <w:bCs w:val="1"/>
          <w:color w:val="auto"/>
        </w:rPr>
        <w:t>Item 1C. Cybersecurity.</w:t>
      </w:r>
    </w:p>
    <w:p>
      <w:pPr>
        <w:spacing w:after="0" w:line="96" w:lineRule="exact"/>
        <w:rPr>
          <w:sz w:val="20"/>
          <w:szCs w:val="20"/>
          <w:color w:val="auto"/>
        </w:rPr>
      </w:pPr>
    </w:p>
    <w:p>
      <w:pPr>
        <w:ind w:firstLine="382"/>
        <w:spacing w:after="0" w:line="287" w:lineRule="auto"/>
        <w:rPr>
          <w:sz w:val="20"/>
          <w:szCs w:val="20"/>
          <w:color w:val="auto"/>
        </w:rPr>
      </w:pPr>
      <w:r>
        <w:rPr>
          <w:rFonts w:ascii="Times New Roman" w:cs="Times New Roman" w:eastAsia="Times New Roman" w:hAnsi="Times New Roman"/>
          <w:sz w:val="14"/>
          <w:szCs w:val="14"/>
          <w:color w:val="auto"/>
        </w:rPr>
        <w:t>We have invested significantly over the past several years to enhance our cybersecurity governance. We have expanded our control access to data and systems, invested in firewalls and security systems, elevated internal awareness through trainings and exercises, and upgraded our systems, programs and intrusion monitoring.</w:t>
      </w:r>
    </w:p>
    <w:p>
      <w:pPr>
        <w:spacing w:after="0" w:line="39" w:lineRule="exact"/>
        <w:rPr>
          <w:sz w:val="20"/>
          <w:szCs w:val="20"/>
          <w:color w:val="auto"/>
        </w:rPr>
      </w:pPr>
    </w:p>
    <w:p>
      <w:pPr>
        <w:ind w:right="360" w:firstLine="382"/>
        <w:spacing w:after="0" w:line="287" w:lineRule="auto"/>
        <w:rPr>
          <w:sz w:val="20"/>
          <w:szCs w:val="20"/>
          <w:color w:val="auto"/>
        </w:rPr>
      </w:pPr>
      <w:r>
        <w:rPr>
          <w:rFonts w:ascii="Times New Roman" w:cs="Times New Roman" w:eastAsia="Times New Roman" w:hAnsi="Times New Roman"/>
          <w:sz w:val="14"/>
          <w:szCs w:val="14"/>
          <w:color w:val="auto"/>
        </w:rPr>
        <w:t>We conduct periodic vulnerability assessments based on our use of technology, third party vendor relationships and reported changes in cybercrime methodologies, and in response to any attempted cyber incident, among other circumstances.</w:t>
      </w:r>
    </w:p>
    <w:p>
      <w:pPr>
        <w:spacing w:after="0" w:line="39" w:lineRule="exact"/>
        <w:rPr>
          <w:sz w:val="20"/>
          <w:szCs w:val="20"/>
          <w:color w:val="auto"/>
        </w:rPr>
      </w:pPr>
    </w:p>
    <w:p>
      <w:pPr>
        <w:ind w:right="20" w:firstLine="382"/>
        <w:spacing w:after="0" w:line="264" w:lineRule="auto"/>
        <w:rPr>
          <w:sz w:val="20"/>
          <w:szCs w:val="20"/>
          <w:color w:val="auto"/>
        </w:rPr>
      </w:pPr>
      <w:r>
        <w:rPr>
          <w:rFonts w:ascii="Times New Roman" w:cs="Times New Roman" w:eastAsia="Times New Roman" w:hAnsi="Times New Roman"/>
          <w:sz w:val="14"/>
          <w:szCs w:val="14"/>
          <w:color w:val="auto"/>
        </w:rPr>
        <w:t>Our goal is to protect all the assets of our clients and safeguard the proprietary and confidential information of Westwood and its employees, which is a fundamental responsibility of every Westwood employee. Westwood is responsible for distributing our policies and procedures to employees and conducting appropriate employee training to ensure employees’ adherence to our policies and procedures. Repeated or serious violations of our policies by employees or independent contractors may result in disciplinary action against such persons, which may include restricted permissions or prohibitions and/or termination.</w:t>
      </w:r>
    </w:p>
    <w:p>
      <w:pPr>
        <w:spacing w:after="0" w:line="56" w:lineRule="exact"/>
        <w:rPr>
          <w:sz w:val="20"/>
          <w:szCs w:val="20"/>
          <w:color w:val="auto"/>
        </w:rPr>
      </w:pPr>
    </w:p>
    <w:p>
      <w:pPr>
        <w:ind w:right="640" w:firstLine="382"/>
        <w:spacing w:after="0" w:line="287" w:lineRule="auto"/>
        <w:rPr>
          <w:sz w:val="20"/>
          <w:szCs w:val="20"/>
          <w:color w:val="auto"/>
        </w:rPr>
      </w:pPr>
      <w:r>
        <w:rPr>
          <w:rFonts w:ascii="Times New Roman" w:cs="Times New Roman" w:eastAsia="Times New Roman" w:hAnsi="Times New Roman"/>
          <w:sz w:val="14"/>
          <w:szCs w:val="14"/>
          <w:color w:val="auto"/>
        </w:rPr>
        <w:t>Our President and Chief Operating Officer is responsible for reviewing, maintaining and enforcing our policies and procedures to ensure we meet our overall cybersecurity goals and objectives, while at a minimum, ensuring compliance with applicable federal and state laws and regulations.</w:t>
      </w:r>
    </w:p>
    <w:p>
      <w:pPr>
        <w:spacing w:after="0" w:line="39" w:lineRule="exact"/>
        <w:rPr>
          <w:sz w:val="20"/>
          <w:szCs w:val="20"/>
          <w:color w:val="auto"/>
        </w:rPr>
      </w:pPr>
    </w:p>
    <w:p>
      <w:pPr>
        <w:ind w:right="140" w:firstLine="382"/>
        <w:spacing w:after="0" w:line="270" w:lineRule="auto"/>
        <w:rPr>
          <w:sz w:val="20"/>
          <w:szCs w:val="20"/>
          <w:color w:val="auto"/>
        </w:rPr>
      </w:pPr>
      <w:r>
        <w:rPr>
          <w:rFonts w:ascii="Times New Roman" w:cs="Times New Roman" w:eastAsia="Times New Roman" w:hAnsi="Times New Roman"/>
          <w:sz w:val="14"/>
          <w:szCs w:val="14"/>
          <w:color w:val="auto"/>
        </w:rPr>
        <w:t>We have designed procedures to implement our cybersecurity policy, minimize cybersecurity threats to our clients and conduct reviews to monitor and ensure our policy is observed, properly implemented and updated as necessary, including cybersecurity oversight, periodic risk assessments and external consultant reviews, access restrictions, ongoing training, governance policies and procedures, authentication protocols, secure access measures, and policies for elevating suspicious activities.</w:t>
      </w:r>
    </w:p>
    <w:p>
      <w:pPr>
        <w:spacing w:after="0" w:line="51" w:lineRule="exact"/>
        <w:rPr>
          <w:sz w:val="20"/>
          <w:szCs w:val="20"/>
          <w:color w:val="auto"/>
        </w:rPr>
      </w:pPr>
    </w:p>
    <w:p>
      <w:pPr>
        <w:ind w:right="400" w:firstLine="382"/>
        <w:spacing w:after="0" w:line="270" w:lineRule="auto"/>
        <w:rPr>
          <w:sz w:val="20"/>
          <w:szCs w:val="20"/>
          <w:color w:val="auto"/>
        </w:rPr>
      </w:pPr>
      <w:r>
        <w:rPr>
          <w:rFonts w:ascii="Times New Roman" w:cs="Times New Roman" w:eastAsia="Times New Roman" w:hAnsi="Times New Roman"/>
          <w:sz w:val="14"/>
          <w:szCs w:val="14"/>
          <w:color w:val="auto"/>
        </w:rPr>
        <w:t>Westwood has an established vendor management policy, which considers risks related to new or existing vendors, defines new vendor selection, vendor renewal, vendor monitoring and vendor risk assessment. The review of vendors is led by our Chief Compliance Officer and each vendor relationship owner, and involves reviewing System and Organization Controls reports, Statement on Standards for Attestation Engagements number 18 reports, and other reviews of internal controls.</w:t>
      </w:r>
    </w:p>
    <w:p>
      <w:pPr>
        <w:spacing w:after="0" w:line="51" w:lineRule="exact"/>
        <w:rPr>
          <w:sz w:val="20"/>
          <w:szCs w:val="20"/>
          <w:color w:val="auto"/>
        </w:rPr>
      </w:pPr>
    </w:p>
    <w:p>
      <w:pPr>
        <w:ind w:right="420" w:firstLine="382"/>
        <w:spacing w:after="0" w:line="287" w:lineRule="auto"/>
        <w:rPr>
          <w:sz w:val="20"/>
          <w:szCs w:val="20"/>
          <w:color w:val="auto"/>
        </w:rPr>
      </w:pPr>
      <w:r>
        <w:rPr>
          <w:rFonts w:ascii="Times New Roman" w:cs="Times New Roman" w:eastAsia="Times New Roman" w:hAnsi="Times New Roman"/>
          <w:sz w:val="14"/>
          <w:szCs w:val="14"/>
          <w:color w:val="auto"/>
        </w:rPr>
        <w:t>Westwood’s Board is responsible for overseeing the effective execution of our overall cybersecurity programs. Along with management, our Board reviews our cybersecurity efforts and programs and is informed of cybersecurity risks primarily through discussions with management, educational sessions and exercises.</w:t>
      </w:r>
    </w:p>
    <w:p>
      <w:pPr>
        <w:spacing w:after="0" w:line="39" w:lineRule="exact"/>
        <w:rPr>
          <w:sz w:val="20"/>
          <w:szCs w:val="20"/>
          <w:color w:val="auto"/>
        </w:rPr>
      </w:pPr>
    </w:p>
    <w:p>
      <w:pPr>
        <w:ind w:left="380"/>
        <w:spacing w:after="0"/>
        <w:rPr>
          <w:sz w:val="20"/>
          <w:szCs w:val="20"/>
          <w:color w:val="auto"/>
        </w:rPr>
      </w:pPr>
      <w:r>
        <w:rPr>
          <w:rFonts w:ascii="Times New Roman" w:cs="Times New Roman" w:eastAsia="Times New Roman" w:hAnsi="Times New Roman"/>
          <w:sz w:val="14"/>
          <w:szCs w:val="14"/>
          <w:color w:val="auto"/>
        </w:rPr>
        <w:t>Our Board’s responsibilities include, but are not limited to:</w:t>
      </w:r>
    </w:p>
    <w:p>
      <w:pPr>
        <w:spacing w:after="0" w:line="94" w:lineRule="exact"/>
        <w:rPr>
          <w:sz w:val="20"/>
          <w:szCs w:val="20"/>
          <w:color w:val="auto"/>
        </w:rPr>
      </w:pPr>
    </w:p>
    <w:p>
      <w:pPr>
        <w:ind w:left="900"/>
        <w:spacing w:after="0"/>
        <w:rPr>
          <w:sz w:val="20"/>
          <w:szCs w:val="20"/>
          <w:color w:val="auto"/>
        </w:rPr>
      </w:pPr>
      <w:r>
        <w:rPr>
          <w:rFonts w:ascii="Times New Roman" w:cs="Times New Roman" w:eastAsia="Times New Roman" w:hAnsi="Times New Roman"/>
          <w:sz w:val="14"/>
          <w:szCs w:val="14"/>
          <w:color w:val="auto"/>
        </w:rPr>
        <w:t>a. Overseeing effective implementation of cybersecurity initiatives and alignment with our policies and strategies;</w:t>
      </w:r>
    </w:p>
    <w:p>
      <w:pPr>
        <w:spacing w:after="0" w:line="94" w:lineRule="exact"/>
        <w:rPr>
          <w:sz w:val="20"/>
          <w:szCs w:val="20"/>
          <w:color w:val="auto"/>
        </w:rPr>
      </w:pPr>
    </w:p>
    <w:p>
      <w:pPr>
        <w:ind w:left="900"/>
        <w:spacing w:after="0"/>
        <w:rPr>
          <w:sz w:val="20"/>
          <w:szCs w:val="20"/>
          <w:color w:val="auto"/>
        </w:rPr>
      </w:pPr>
      <w:r>
        <w:rPr>
          <w:rFonts w:ascii="Times New Roman" w:cs="Times New Roman" w:eastAsia="Times New Roman" w:hAnsi="Times New Roman"/>
          <w:sz w:val="14"/>
          <w:szCs w:val="14"/>
          <w:color w:val="auto"/>
        </w:rPr>
        <w:t>b. Oversight of the continued and consistent implementation of our cybersecurity policies and procedures; and</w:t>
      </w:r>
    </w:p>
    <w:p>
      <w:pPr>
        <w:spacing w:after="0" w:line="94" w:lineRule="exact"/>
        <w:rPr>
          <w:sz w:val="20"/>
          <w:szCs w:val="20"/>
          <w:color w:val="auto"/>
        </w:rPr>
      </w:pPr>
    </w:p>
    <w:p>
      <w:pPr>
        <w:ind w:left="900"/>
        <w:spacing w:after="0"/>
        <w:rPr>
          <w:sz w:val="20"/>
          <w:szCs w:val="20"/>
          <w:color w:val="auto"/>
        </w:rPr>
      </w:pPr>
      <w:r>
        <w:rPr>
          <w:rFonts w:ascii="Times New Roman" w:cs="Times New Roman" w:eastAsia="Times New Roman" w:hAnsi="Times New Roman"/>
          <w:sz w:val="14"/>
          <w:szCs w:val="14"/>
          <w:color w:val="auto"/>
        </w:rPr>
        <w:t>c. Promoting overall corporate commitment to cybersecurity.</w:t>
      </w:r>
    </w:p>
    <w:p>
      <w:pPr>
        <w:spacing w:after="0" w:line="94" w:lineRule="exact"/>
        <w:rPr>
          <w:sz w:val="20"/>
          <w:szCs w:val="20"/>
          <w:color w:val="auto"/>
        </w:rPr>
      </w:pPr>
    </w:p>
    <w:p>
      <w:pPr>
        <w:ind w:left="380"/>
        <w:spacing w:after="0"/>
        <w:rPr>
          <w:sz w:val="20"/>
          <w:szCs w:val="20"/>
          <w:color w:val="auto"/>
        </w:rPr>
      </w:pPr>
      <w:r>
        <w:rPr>
          <w:rFonts w:ascii="Times New Roman" w:cs="Times New Roman" w:eastAsia="Times New Roman" w:hAnsi="Times New Roman"/>
          <w:sz w:val="14"/>
          <w:szCs w:val="14"/>
          <w:color w:val="auto"/>
        </w:rPr>
        <w:t>Westwood management is responsible for the execution of the framework for the management of our information security. These responsibilities include, but are not limited to:</w:t>
      </w:r>
    </w:p>
    <w:p>
      <w:pPr>
        <w:spacing w:after="0" w:line="94" w:lineRule="exact"/>
        <w:rPr>
          <w:sz w:val="20"/>
          <w:szCs w:val="20"/>
          <w:color w:val="auto"/>
        </w:rPr>
      </w:pPr>
    </w:p>
    <w:p>
      <w:pPr>
        <w:ind w:left="900"/>
        <w:spacing w:after="0"/>
        <w:rPr>
          <w:sz w:val="20"/>
          <w:szCs w:val="20"/>
          <w:color w:val="auto"/>
        </w:rPr>
      </w:pPr>
      <w:r>
        <w:rPr>
          <w:rFonts w:ascii="Times New Roman" w:cs="Times New Roman" w:eastAsia="Times New Roman" w:hAnsi="Times New Roman"/>
          <w:sz w:val="14"/>
          <w:szCs w:val="14"/>
          <w:color w:val="auto"/>
        </w:rPr>
        <w:t>a. Designing, implementing and executing our framework for information security management;</w:t>
      </w:r>
    </w:p>
    <w:p>
      <w:pPr>
        <w:spacing w:after="0" w:line="94" w:lineRule="exact"/>
        <w:rPr>
          <w:sz w:val="20"/>
          <w:szCs w:val="20"/>
          <w:color w:val="auto"/>
        </w:rPr>
      </w:pPr>
    </w:p>
    <w:p>
      <w:pPr>
        <w:ind w:left="900"/>
        <w:spacing w:after="0"/>
        <w:rPr>
          <w:sz w:val="20"/>
          <w:szCs w:val="20"/>
          <w:color w:val="auto"/>
        </w:rPr>
      </w:pPr>
      <w:r>
        <w:rPr>
          <w:rFonts w:ascii="Times New Roman" w:cs="Times New Roman" w:eastAsia="Times New Roman" w:hAnsi="Times New Roman"/>
          <w:sz w:val="14"/>
          <w:szCs w:val="14"/>
          <w:color w:val="auto"/>
        </w:rPr>
        <w:t>b. Reviewing and updating our policies and procedures annually;</w:t>
      </w:r>
    </w:p>
    <w:p>
      <w:pPr>
        <w:spacing w:after="0" w:line="94" w:lineRule="exact"/>
        <w:rPr>
          <w:sz w:val="20"/>
          <w:szCs w:val="20"/>
          <w:color w:val="auto"/>
        </w:rPr>
      </w:pPr>
    </w:p>
    <w:p>
      <w:pPr>
        <w:ind w:left="900"/>
        <w:spacing w:after="0"/>
        <w:rPr>
          <w:sz w:val="20"/>
          <w:szCs w:val="20"/>
          <w:color w:val="auto"/>
        </w:rPr>
      </w:pPr>
      <w:r>
        <w:rPr>
          <w:rFonts w:ascii="Times New Roman" w:cs="Times New Roman" w:eastAsia="Times New Roman" w:hAnsi="Times New Roman"/>
          <w:sz w:val="14"/>
          <w:szCs w:val="14"/>
          <w:color w:val="auto"/>
        </w:rPr>
        <w:t>c. Assigning all data within Westwood to an appropriate owner, and ensuring data owners have knowledge of such data and have an information classification selected for that data;</w:t>
      </w:r>
    </w:p>
    <w:p>
      <w:pPr>
        <w:spacing w:after="0" w:line="200" w:lineRule="exact"/>
        <w:rPr>
          <w:sz w:val="20"/>
          <w:szCs w:val="20"/>
          <w:color w:val="auto"/>
        </w:rPr>
      </w:pPr>
    </w:p>
    <w:p>
      <w:pPr>
        <w:spacing w:after="0" w:line="244"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4"/>
          <w:szCs w:val="14"/>
          <w:color w:val="auto"/>
        </w:rPr>
        <w:t>20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-8890</wp:posOffset>
            </wp:positionH>
            <wp:positionV relativeFrom="paragraph">
              <wp:posOffset>55880</wp:posOffset>
            </wp:positionV>
            <wp:extent cx="7186930" cy="38735"/>
            <wp:wrapNone/>
            <wp:docPr id="27" name="Picture 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
                    <pic:cNvPicPr>
                      <a:picLocks noChangeAspect="1" noChangeArrowheads="1"/>
                    </pic:cNvPicPr>
                  </pic:nvPicPr>
                  <pic:blipFill>
                    <a:blip r:embed="rId34">
                      <a:extLst>
                        <a:ext uri="{28A0092B-C50C-407E-A947-70E740481C1C}"/>
                      </a:extLst>
                    </a:blip>
                    <a:srcRect/>
                    <a:stretch>
                      <a:fillRect/>
                    </a:stretch>
                  </pic:blipFill>
                  <pic:spPr bwMode="auto">
                    <a:xfrm>
                      <a:off x="0" y="0"/>
                      <a:ext cx="7186930" cy="38735"/>
                    </a:xfrm>
                    <a:prstGeom prst="rect">
                      <a:avLst/>
                    </a:prstGeom>
                    <a:noFill/>
                  </pic:spPr>
                </pic:pic>
              </a:graphicData>
            </a:graphic>
          </wp:anchor>
        </w:drawing>
      </w:r>
    </w:p>
    <w:p>
      <w:pPr>
        <w:sectPr>
          <w:pgSz w:w="11900" w:h="16838" w:orient="portrait"/>
          <w:cols w:equalWidth="0" w:num="1">
            <w:col w:w="11280"/>
          </w:cols>
          <w:pgMar w:left="300" w:top="814" w:right="319" w:bottom="1440" w:gutter="0" w:footer="0" w:header="0"/>
        </w:sectPr>
      </w:pPr>
    </w:p>
    <w:bookmarkStart w:id="22" w:name="page23"/>
    <w:bookmarkEnd w:id="22"/>
    <w:p>
      <w:pPr>
        <w:ind w:left="900"/>
        <w:spacing w:after="0"/>
        <w:rPr>
          <w:sz w:val="20"/>
          <w:szCs w:val="20"/>
          <w:color w:val="auto"/>
        </w:rPr>
      </w:pPr>
      <w:r>
        <w:rPr>
          <w:rFonts w:ascii="Times New Roman" w:cs="Times New Roman" w:eastAsia="Times New Roman" w:hAnsi="Times New Roman"/>
          <w:sz w:val="14"/>
          <w:szCs w:val="14"/>
          <w:color w:val="auto"/>
        </w:rPr>
        <w:t>d. Ensuring annual compliance with our information security management policies and procedures;</w:t>
      </w:r>
    </w:p>
    <w:p>
      <w:pPr>
        <w:spacing w:after="0" w:line="94" w:lineRule="exact"/>
        <w:rPr>
          <w:sz w:val="20"/>
          <w:szCs w:val="20"/>
          <w:color w:val="auto"/>
        </w:rPr>
      </w:pPr>
    </w:p>
    <w:p>
      <w:pPr>
        <w:ind w:left="900"/>
        <w:spacing w:after="0"/>
        <w:rPr>
          <w:sz w:val="20"/>
          <w:szCs w:val="20"/>
          <w:color w:val="auto"/>
        </w:rPr>
      </w:pPr>
      <w:r>
        <w:rPr>
          <w:rFonts w:ascii="Times New Roman" w:cs="Times New Roman" w:eastAsia="Times New Roman" w:hAnsi="Times New Roman"/>
          <w:sz w:val="14"/>
          <w:szCs w:val="14"/>
          <w:color w:val="auto"/>
        </w:rPr>
        <w:t>e. Application and execution of our risk management framework in the event of a potential issue; and</w:t>
      </w:r>
    </w:p>
    <w:p>
      <w:pPr>
        <w:spacing w:after="0" w:line="94" w:lineRule="exact"/>
        <w:rPr>
          <w:sz w:val="20"/>
          <w:szCs w:val="20"/>
          <w:color w:val="auto"/>
        </w:rPr>
      </w:pPr>
    </w:p>
    <w:p>
      <w:pPr>
        <w:ind w:left="900"/>
        <w:spacing w:after="0"/>
        <w:rPr>
          <w:sz w:val="20"/>
          <w:szCs w:val="20"/>
          <w:color w:val="auto"/>
        </w:rPr>
      </w:pPr>
      <w:r>
        <w:rPr>
          <w:rFonts w:ascii="Times New Roman" w:cs="Times New Roman" w:eastAsia="Times New Roman" w:hAnsi="Times New Roman"/>
          <w:sz w:val="14"/>
          <w:szCs w:val="14"/>
          <w:color w:val="auto"/>
        </w:rPr>
        <w:t>f. Development and execution of an action plan for each potential issue to address risks via remediating, mitigating, accepting or closing the issue.</w:t>
      </w:r>
    </w:p>
    <w:p>
      <w:pPr>
        <w:spacing w:after="0" w:line="94" w:lineRule="exact"/>
        <w:rPr>
          <w:sz w:val="20"/>
          <w:szCs w:val="20"/>
          <w:color w:val="auto"/>
        </w:rPr>
      </w:pPr>
    </w:p>
    <w:p>
      <w:pPr>
        <w:ind w:firstLine="382"/>
        <w:spacing w:after="0" w:line="270" w:lineRule="auto"/>
        <w:rPr>
          <w:sz w:val="20"/>
          <w:szCs w:val="20"/>
          <w:color w:val="auto"/>
        </w:rPr>
      </w:pPr>
      <w:r>
        <w:rPr>
          <w:rFonts w:ascii="Times New Roman" w:cs="Times New Roman" w:eastAsia="Times New Roman" w:hAnsi="Times New Roman"/>
          <w:sz w:val="14"/>
          <w:szCs w:val="14"/>
          <w:color w:val="auto"/>
        </w:rPr>
        <w:t>Our management members, specifically our Chief Executive Officer, Chief Financial Officer, President and Chief Operating Officer, Information Security Officer and Chief Compliance Officer, have cybersecurity expertise gained through years of training, internal and external discussions, numerous learning exercises, and development, execution and evaluation of our cybersecurity policies.</w:t>
      </w:r>
    </w:p>
    <w:p>
      <w:pPr>
        <w:spacing w:after="0" w:line="51" w:lineRule="exact"/>
        <w:rPr>
          <w:sz w:val="20"/>
          <w:szCs w:val="20"/>
          <w:color w:val="auto"/>
        </w:rPr>
      </w:pPr>
    </w:p>
    <w:p>
      <w:pPr>
        <w:jc w:val="both"/>
        <w:ind w:right="300" w:firstLine="382"/>
        <w:spacing w:after="0" w:line="270" w:lineRule="auto"/>
        <w:rPr>
          <w:sz w:val="20"/>
          <w:szCs w:val="20"/>
          <w:color w:val="auto"/>
        </w:rPr>
      </w:pPr>
      <w:r>
        <w:rPr>
          <w:rFonts w:ascii="Times New Roman" w:cs="Times New Roman" w:eastAsia="Times New Roman" w:hAnsi="Times New Roman"/>
          <w:sz w:val="14"/>
          <w:szCs w:val="14"/>
          <w:color w:val="auto"/>
        </w:rPr>
        <w:t>If a potential cybersecurity breach were to be identified, management would implement its incident response plan. This plan, which provides for a quick, effective and orderly response to information security incidents relies on our Incident Response Team (“IRT”) to report findings to management and the appropriate authorities as necessary. The IRT, comprised of various cross-functional subject matter experts, is also responsible for:</w:t>
      </w:r>
    </w:p>
    <w:p>
      <w:pPr>
        <w:spacing w:after="0" w:line="51" w:lineRule="exact"/>
        <w:rPr>
          <w:sz w:val="20"/>
          <w:szCs w:val="20"/>
          <w:color w:val="auto"/>
        </w:rPr>
      </w:pPr>
    </w:p>
    <w:p>
      <w:pPr>
        <w:ind w:left="900"/>
        <w:spacing w:after="0"/>
        <w:rPr>
          <w:sz w:val="20"/>
          <w:szCs w:val="20"/>
          <w:color w:val="auto"/>
        </w:rPr>
      </w:pPr>
      <w:r>
        <w:rPr>
          <w:rFonts w:ascii="Times New Roman" w:cs="Times New Roman" w:eastAsia="Times New Roman" w:hAnsi="Times New Roman"/>
          <w:sz w:val="14"/>
          <w:szCs w:val="14"/>
          <w:color w:val="auto"/>
        </w:rPr>
        <w:t>a. detecting and analyzing suspicious events that might indicate a breach has occurred; and</w:t>
      </w:r>
    </w:p>
    <w:p>
      <w:pPr>
        <w:spacing w:after="0" w:line="94" w:lineRule="exact"/>
        <w:rPr>
          <w:sz w:val="20"/>
          <w:szCs w:val="20"/>
          <w:color w:val="auto"/>
        </w:rPr>
      </w:pPr>
    </w:p>
    <w:p>
      <w:pPr>
        <w:ind w:left="520" w:right="400" w:firstLine="382"/>
        <w:spacing w:after="0" w:line="264" w:lineRule="auto"/>
        <w:rPr>
          <w:sz w:val="20"/>
          <w:szCs w:val="20"/>
          <w:color w:val="auto"/>
        </w:rPr>
      </w:pPr>
      <w:r>
        <w:rPr>
          <w:rFonts w:ascii="Times New Roman" w:cs="Times New Roman" w:eastAsia="Times New Roman" w:hAnsi="Times New Roman"/>
          <w:sz w:val="14"/>
          <w:szCs w:val="14"/>
          <w:color w:val="auto"/>
        </w:rPr>
        <w:t>b. containing, eradicating and restoring normal operations through quick responses, isolating and preserving evidence to aid in remediation and assisting investigators, isolating additional systems from being impacted by the situation being remediated, tracking issues, communicating a strategy and protocol to follow to maintain control of information and confidentiality and to ensure members of the IRT and Westwood management are kept informed of issues as the incident develops and is resolved, and developing and implementing strategies for ensuring the integrity of impacted information systems and critical information hosted on those systems.</w:t>
      </w:r>
    </w:p>
    <w:p>
      <w:pPr>
        <w:spacing w:after="0" w:line="56" w:lineRule="exact"/>
        <w:rPr>
          <w:sz w:val="20"/>
          <w:szCs w:val="20"/>
          <w:color w:val="auto"/>
        </w:rPr>
      </w:pPr>
    </w:p>
    <w:p>
      <w:pPr>
        <w:ind w:firstLine="382"/>
        <w:spacing w:after="0" w:line="287" w:lineRule="auto"/>
        <w:rPr>
          <w:sz w:val="20"/>
          <w:szCs w:val="20"/>
          <w:color w:val="auto"/>
        </w:rPr>
      </w:pPr>
      <w:r>
        <w:rPr>
          <w:rFonts w:ascii="Times New Roman" w:cs="Times New Roman" w:eastAsia="Times New Roman" w:hAnsi="Times New Roman"/>
          <w:sz w:val="14"/>
          <w:szCs w:val="14"/>
          <w:color w:val="auto"/>
        </w:rPr>
        <w:t>In the event of a cybersecurity breach Westwood management would notify our Board as soon as practicable, along with other affected parties including clients, regulatory bodies, third parties and employees, as necessary and required by applicable laws and regulations.</w:t>
      </w:r>
    </w:p>
    <w:p>
      <w:pPr>
        <w:spacing w:after="0" w:line="122"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b w:val="1"/>
          <w:bCs w:val="1"/>
          <w:color w:val="auto"/>
        </w:rPr>
        <w:t>Item 2. Properties.</w:t>
      </w:r>
    </w:p>
    <w:p>
      <w:pPr>
        <w:spacing w:after="0" w:line="138" w:lineRule="exact"/>
        <w:rPr>
          <w:sz w:val="20"/>
          <w:szCs w:val="20"/>
          <w:color w:val="auto"/>
        </w:rPr>
      </w:pPr>
    </w:p>
    <w:p>
      <w:pPr>
        <w:ind w:right="120" w:firstLine="382"/>
        <w:spacing w:after="0" w:line="270" w:lineRule="auto"/>
        <w:rPr>
          <w:sz w:val="20"/>
          <w:szCs w:val="20"/>
          <w:color w:val="auto"/>
        </w:rPr>
      </w:pPr>
      <w:r>
        <w:rPr>
          <w:rFonts w:ascii="Times New Roman" w:cs="Times New Roman" w:eastAsia="Times New Roman" w:hAnsi="Times New Roman"/>
          <w:sz w:val="14"/>
          <w:szCs w:val="14"/>
          <w:color w:val="auto"/>
        </w:rPr>
        <w:t>Westwood, Westwood Management and Westwood Trust conduct their principal operations using approximately 30,000 square feet of leased office space in Dallas, Texas pursuant to a lease with an initial term that expires in 2036. In addition, we lease approximately 11,000 square feet of office space in Houston, Texas pursuant to a lease that expires in September 2029. We lease a limited amount of office space in Chicago, Illinois.</w:t>
      </w:r>
    </w:p>
    <w:p>
      <w:pPr>
        <w:spacing w:after="0" w:line="93" w:lineRule="exact"/>
        <w:rPr>
          <w:sz w:val="20"/>
          <w:szCs w:val="20"/>
          <w:color w:val="auto"/>
        </w:rPr>
      </w:pPr>
    </w:p>
    <w:p>
      <w:pPr>
        <w:ind w:left="380"/>
        <w:spacing w:after="0"/>
        <w:rPr>
          <w:sz w:val="20"/>
          <w:szCs w:val="20"/>
          <w:color w:val="auto"/>
        </w:rPr>
      </w:pPr>
      <w:r>
        <w:rPr>
          <w:rFonts w:ascii="Times New Roman" w:cs="Times New Roman" w:eastAsia="Times New Roman" w:hAnsi="Times New Roman"/>
          <w:sz w:val="14"/>
          <w:szCs w:val="14"/>
          <w:color w:val="auto"/>
        </w:rPr>
        <w:t>We monitor these facilities to ensure their adequacy to serve our anticipated business needs.</w:t>
      </w:r>
    </w:p>
    <w:p>
      <w:pPr>
        <w:spacing w:after="0" w:line="177"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b w:val="1"/>
          <w:bCs w:val="1"/>
          <w:color w:val="auto"/>
        </w:rPr>
        <w:t>Item 3. Legal Proceedings.</w:t>
      </w:r>
    </w:p>
    <w:p>
      <w:pPr>
        <w:spacing w:after="0" w:line="96" w:lineRule="exact"/>
        <w:rPr>
          <w:sz w:val="20"/>
          <w:szCs w:val="20"/>
          <w:color w:val="auto"/>
        </w:rPr>
      </w:pPr>
    </w:p>
    <w:p>
      <w:pPr>
        <w:ind w:left="380"/>
        <w:spacing w:after="0"/>
        <w:rPr>
          <w:sz w:val="20"/>
          <w:szCs w:val="20"/>
          <w:color w:val="auto"/>
        </w:rPr>
      </w:pPr>
      <w:r>
        <w:rPr>
          <w:rFonts w:ascii="Times New Roman" w:cs="Times New Roman" w:eastAsia="Times New Roman" w:hAnsi="Times New Roman"/>
          <w:sz w:val="14"/>
          <w:szCs w:val="14"/>
          <w:color w:val="auto"/>
        </w:rPr>
        <w:t>We are subject from time to time to certain claims and legal proceedings arising in the ordinary course of our business.</w:t>
      </w:r>
    </w:p>
    <w:p>
      <w:pPr>
        <w:spacing w:after="0" w:line="177"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b w:val="1"/>
          <w:bCs w:val="1"/>
          <w:color w:val="auto"/>
        </w:rPr>
        <w:t>Item 4. Mine Safety Disclosures.</w:t>
      </w:r>
    </w:p>
    <w:p>
      <w:pPr>
        <w:spacing w:after="0" w:line="96" w:lineRule="exact"/>
        <w:rPr>
          <w:sz w:val="20"/>
          <w:szCs w:val="20"/>
          <w:color w:val="auto"/>
        </w:rPr>
      </w:pPr>
    </w:p>
    <w:p>
      <w:pPr>
        <w:ind w:left="380"/>
        <w:spacing w:after="0"/>
        <w:rPr>
          <w:sz w:val="20"/>
          <w:szCs w:val="20"/>
          <w:color w:val="auto"/>
        </w:rPr>
      </w:pPr>
      <w:r>
        <w:rPr>
          <w:rFonts w:ascii="Times New Roman" w:cs="Times New Roman" w:eastAsia="Times New Roman" w:hAnsi="Times New Roman"/>
          <w:sz w:val="14"/>
          <w:szCs w:val="14"/>
          <w:color w:val="auto"/>
        </w:rPr>
        <w:t>Not applicable.</w:t>
      </w:r>
    </w:p>
    <w:p>
      <w:pPr>
        <w:spacing w:after="0" w:line="200" w:lineRule="exact"/>
        <w:rPr>
          <w:sz w:val="20"/>
          <w:szCs w:val="20"/>
          <w:color w:val="auto"/>
        </w:rPr>
      </w:pPr>
    </w:p>
    <w:p>
      <w:pPr>
        <w:spacing w:after="0" w:line="244" w:lineRule="exact"/>
        <w:rPr>
          <w:sz w:val="20"/>
          <w:szCs w:val="20"/>
          <w:color w:val="auto"/>
        </w:rPr>
      </w:pPr>
    </w:p>
    <w:p>
      <w:pPr>
        <w:jc w:val="center"/>
        <w:ind w:right="-59"/>
        <w:spacing w:after="0"/>
        <w:rPr>
          <w:sz w:val="20"/>
          <w:szCs w:val="20"/>
          <w:color w:val="auto"/>
        </w:rPr>
      </w:pPr>
      <w:r>
        <w:rPr>
          <w:rFonts w:ascii="Times New Roman" w:cs="Times New Roman" w:eastAsia="Times New Roman" w:hAnsi="Times New Roman"/>
          <w:sz w:val="14"/>
          <w:szCs w:val="14"/>
          <w:color w:val="auto"/>
        </w:rPr>
        <w:t>21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-8890</wp:posOffset>
            </wp:positionH>
            <wp:positionV relativeFrom="paragraph">
              <wp:posOffset>55880</wp:posOffset>
            </wp:positionV>
            <wp:extent cx="7186930" cy="38735"/>
            <wp:wrapNone/>
            <wp:docPr id="28" name="Picture 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
                    <pic:cNvPicPr>
                      <a:picLocks noChangeAspect="1" noChangeArrowheads="1"/>
                    </pic:cNvPicPr>
                  </pic:nvPicPr>
                  <pic:blipFill>
                    <a:blip r:embed="rId35">
                      <a:extLst>
                        <a:ext uri="{28A0092B-C50C-407E-A947-70E740481C1C}"/>
                      </a:extLst>
                    </a:blip>
                    <a:srcRect/>
                    <a:stretch>
                      <a:fillRect/>
                    </a:stretch>
                  </pic:blipFill>
                  <pic:spPr bwMode="auto">
                    <a:xfrm>
                      <a:off x="0" y="0"/>
                      <a:ext cx="7186930" cy="38735"/>
                    </a:xfrm>
                    <a:prstGeom prst="rect">
                      <a:avLst/>
                    </a:prstGeom>
                    <a:noFill/>
                  </pic:spPr>
                </pic:pic>
              </a:graphicData>
            </a:graphic>
          </wp:anchor>
        </w:drawing>
      </w:r>
    </w:p>
    <w:p>
      <w:pPr>
        <w:sectPr>
          <w:pgSz w:w="11900" w:h="16838" w:orient="portrait"/>
          <w:cols w:equalWidth="0" w:num="1">
            <w:col w:w="11220"/>
          </w:cols>
          <w:pgMar w:left="300" w:top="814" w:right="379" w:bottom="1440" w:gutter="0" w:footer="0" w:header="0"/>
        </w:sectPr>
      </w:pPr>
    </w:p>
    <w:bookmarkStart w:id="23" w:name="page24"/>
    <w:bookmarkEnd w:id="23"/>
    <w:p>
      <w:pPr>
        <w:jc w:val="center"/>
        <w:ind w:right="-19"/>
        <w:spacing w:after="0"/>
        <w:rPr>
          <w:sz w:val="20"/>
          <w:szCs w:val="20"/>
          <w:color w:val="auto"/>
        </w:rPr>
      </w:pPr>
      <w:r>
        <w:rPr>
          <w:rFonts w:ascii="Times New Roman" w:cs="Times New Roman" w:eastAsia="Times New Roman" w:hAnsi="Times New Roman"/>
          <w:sz w:val="14"/>
          <w:szCs w:val="14"/>
          <w:b w:val="1"/>
          <w:bCs w:val="1"/>
          <w:color w:val="auto"/>
        </w:rPr>
        <w:t>PART II</w:t>
      </w:r>
    </w:p>
    <w:p>
      <w:pPr>
        <w:spacing w:after="0" w:line="221"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b w:val="1"/>
          <w:bCs w:val="1"/>
          <w:color w:val="auto"/>
        </w:rPr>
        <w:t>Item 5. Market for Registrant's Common Equity, Related Stockholder Matters and Issuer Purchases of Equity Securities.</w:t>
      </w:r>
    </w:p>
    <w:p>
      <w:pPr>
        <w:spacing w:after="0" w:line="136"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b w:val="1"/>
          <w:bCs w:val="1"/>
          <w:color w:val="auto"/>
        </w:rPr>
        <w:t>Market Information</w:t>
      </w:r>
    </w:p>
    <w:p>
      <w:pPr>
        <w:spacing w:after="0" w:line="96" w:lineRule="exact"/>
        <w:rPr>
          <w:sz w:val="20"/>
          <w:szCs w:val="20"/>
          <w:color w:val="auto"/>
        </w:rPr>
      </w:pPr>
    </w:p>
    <w:p>
      <w:pPr>
        <w:ind w:firstLine="382"/>
        <w:spacing w:after="0" w:line="287" w:lineRule="auto"/>
        <w:rPr>
          <w:sz w:val="20"/>
          <w:szCs w:val="20"/>
          <w:color w:val="auto"/>
        </w:rPr>
      </w:pPr>
      <w:r>
        <w:rPr>
          <w:rFonts w:ascii="Times New Roman" w:cs="Times New Roman" w:eastAsia="Times New Roman" w:hAnsi="Times New Roman"/>
          <w:sz w:val="14"/>
          <w:szCs w:val="14"/>
          <w:color w:val="auto"/>
        </w:rPr>
        <w:t>Our common stock trades on the New York Stock Exchange under the symbol "WHG." At December 31, 2025, there were approximately 130 record holders of our common stock, although we believe that the number of beneficial owners of our common stock is substantially greater.</w:t>
      </w:r>
    </w:p>
    <w:p>
      <w:pPr>
        <w:spacing w:after="0" w:line="37"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b w:val="1"/>
          <w:bCs w:val="1"/>
          <w:color w:val="auto"/>
        </w:rPr>
        <w:t>Dividends</w:t>
      </w:r>
    </w:p>
    <w:p>
      <w:pPr>
        <w:spacing w:after="0" w:line="96" w:lineRule="exact"/>
        <w:rPr>
          <w:sz w:val="20"/>
          <w:szCs w:val="20"/>
          <w:color w:val="auto"/>
        </w:rPr>
      </w:pPr>
    </w:p>
    <w:p>
      <w:pPr>
        <w:ind w:left="380"/>
        <w:spacing w:after="0"/>
        <w:rPr>
          <w:sz w:val="20"/>
          <w:szCs w:val="20"/>
          <w:color w:val="auto"/>
        </w:rPr>
      </w:pPr>
      <w:r>
        <w:rPr>
          <w:rFonts w:ascii="Times New Roman" w:cs="Times New Roman" w:eastAsia="Times New Roman" w:hAnsi="Times New Roman"/>
          <w:sz w:val="14"/>
          <w:szCs w:val="14"/>
          <w:color w:val="auto"/>
        </w:rPr>
        <w:t>Declarations of cash dividends is at the discretion of the Board of Directors and is subject to limitations under the Delaware General Corporation Law.</w:t>
      </w:r>
    </w:p>
    <w:p>
      <w:pPr>
        <w:spacing w:after="0" w:line="94" w:lineRule="exact"/>
        <w:rPr>
          <w:sz w:val="20"/>
          <w:szCs w:val="20"/>
          <w:color w:val="auto"/>
        </w:rPr>
      </w:pPr>
    </w:p>
    <w:p>
      <w:pPr>
        <w:ind w:right="120" w:firstLine="382"/>
        <w:spacing w:after="0" w:line="270" w:lineRule="auto"/>
        <w:rPr>
          <w:sz w:val="20"/>
          <w:szCs w:val="20"/>
          <w:color w:val="auto"/>
        </w:rPr>
      </w:pPr>
      <w:r>
        <w:rPr>
          <w:rFonts w:ascii="Times New Roman" w:cs="Times New Roman" w:eastAsia="Times New Roman" w:hAnsi="Times New Roman"/>
          <w:sz w:val="14"/>
          <w:szCs w:val="14"/>
          <w:color w:val="auto"/>
        </w:rPr>
        <w:t>Westwood Holdings Group is the sole beneficial owner of Westwood Management and Westwood Trust. Westwood Trust is limited in the payment of dividends under applicable Texas law to the amount of undivided profits, which is defined as that part of equity capital equal to the balance of net profits, income, gains and losses since formation minus subsequent distributions to stockholders and transfers to surplus or capital under share dividends or appropriate Board resolutions.</w:t>
      </w:r>
    </w:p>
    <w:p>
      <w:pPr>
        <w:spacing w:after="0" w:line="49"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b w:val="1"/>
          <w:bCs w:val="1"/>
          <w:color w:val="auto"/>
        </w:rPr>
        <w:t>Issuer Purchases of Equity Securities</w:t>
      </w:r>
    </w:p>
    <w:p>
      <w:pPr>
        <w:spacing w:after="0" w:line="96" w:lineRule="exact"/>
        <w:rPr>
          <w:sz w:val="20"/>
          <w:szCs w:val="20"/>
          <w:color w:val="auto"/>
        </w:rPr>
      </w:pPr>
    </w:p>
    <w:p>
      <w:pPr>
        <w:ind w:right="380" w:firstLine="382"/>
        <w:spacing w:after="0" w:line="270" w:lineRule="auto"/>
        <w:rPr>
          <w:sz w:val="20"/>
          <w:szCs w:val="20"/>
          <w:color w:val="auto"/>
        </w:rPr>
      </w:pPr>
      <w:r>
        <w:rPr>
          <w:rFonts w:ascii="Times New Roman" w:cs="Times New Roman" w:eastAsia="Times New Roman" w:hAnsi="Times New Roman"/>
          <w:sz w:val="14"/>
          <w:szCs w:val="14"/>
          <w:color w:val="auto"/>
        </w:rPr>
        <w:t>On July 20, 2012, our Board of Directors authorized management to repurchase up to $10.0 million of our outstanding common stock on the open market or in privately negotiated transactions. The Board authorized an additional $5.0 million of repurchases under the share repurchase program in July 2016, an additional $10.0 million in February 2020, an additional $10.0 million in April 2020, and an additional $5.0 million in April 2025. The share repurchase program has no expiration date and may be discontinued at any time by the Board of Directors.</w:t>
      </w:r>
    </w:p>
    <w:p>
      <w:pPr>
        <w:spacing w:after="0" w:line="51" w:lineRule="exact"/>
        <w:rPr>
          <w:sz w:val="20"/>
          <w:szCs w:val="20"/>
          <w:color w:val="auto"/>
        </w:rPr>
      </w:pPr>
    </w:p>
    <w:p>
      <w:pPr>
        <w:ind w:left="380"/>
        <w:spacing w:after="0"/>
        <w:rPr>
          <w:sz w:val="20"/>
          <w:szCs w:val="20"/>
          <w:color w:val="auto"/>
        </w:rPr>
      </w:pPr>
      <w:r>
        <w:rPr>
          <w:rFonts w:ascii="Times New Roman" w:cs="Times New Roman" w:eastAsia="Times New Roman" w:hAnsi="Times New Roman"/>
          <w:sz w:val="14"/>
          <w:szCs w:val="14"/>
          <w:color w:val="auto"/>
        </w:rPr>
        <w:t>As of December 31, 2025, $5.5 million of shares may yet be repurchased under our share repurchase plan.</w:t>
      </w:r>
    </w:p>
    <w:p>
      <w:pPr>
        <w:spacing w:after="0" w:line="94" w:lineRule="exact"/>
        <w:rPr>
          <w:sz w:val="20"/>
          <w:szCs w:val="20"/>
          <w:color w:val="auto"/>
        </w:rPr>
      </w:pPr>
    </w:p>
    <w:p>
      <w:pPr>
        <w:ind w:left="380"/>
        <w:spacing w:after="0"/>
        <w:rPr>
          <w:sz w:val="20"/>
          <w:szCs w:val="20"/>
          <w:color w:val="auto"/>
        </w:rPr>
      </w:pPr>
      <w:r>
        <w:rPr>
          <w:rFonts w:ascii="Times New Roman" w:cs="Times New Roman" w:eastAsia="Times New Roman" w:hAnsi="Times New Roman"/>
          <w:sz w:val="14"/>
          <w:szCs w:val="14"/>
          <w:color w:val="auto"/>
        </w:rPr>
        <w:t>The Company did not repurchase any shares of its common stock during the year ended December 31, 2025.</w:t>
      </w:r>
    </w:p>
    <w:p>
      <w:pPr>
        <w:spacing w:after="0" w:line="200" w:lineRule="exact"/>
        <w:rPr>
          <w:sz w:val="20"/>
          <w:szCs w:val="20"/>
          <w:color w:val="auto"/>
        </w:rPr>
      </w:pPr>
    </w:p>
    <w:p>
      <w:pPr>
        <w:spacing w:after="0" w:line="200" w:lineRule="exact"/>
        <w:rPr>
          <w:sz w:val="20"/>
          <w:szCs w:val="20"/>
          <w:color w:val="auto"/>
        </w:rPr>
      </w:pPr>
    </w:p>
    <w:p>
      <w:pPr>
        <w:spacing w:after="0" w:line="362"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4"/>
          <w:szCs w:val="14"/>
          <w:color w:val="auto"/>
        </w:rPr>
        <w:t>22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-8890</wp:posOffset>
            </wp:positionH>
            <wp:positionV relativeFrom="paragraph">
              <wp:posOffset>55880</wp:posOffset>
            </wp:positionV>
            <wp:extent cx="7186930" cy="38735"/>
            <wp:wrapNone/>
            <wp:docPr id="29" name="Picture 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
                    <pic:cNvPicPr>
                      <a:picLocks noChangeAspect="1" noChangeArrowheads="1"/>
                    </pic:cNvPicPr>
                  </pic:nvPicPr>
                  <pic:blipFill>
                    <a:blip r:embed="rId36">
                      <a:extLst>
                        <a:ext uri="{28A0092B-C50C-407E-A947-70E740481C1C}"/>
                      </a:extLst>
                    </a:blip>
                    <a:srcRect/>
                    <a:stretch>
                      <a:fillRect/>
                    </a:stretch>
                  </pic:blipFill>
                  <pic:spPr bwMode="auto">
                    <a:xfrm>
                      <a:off x="0" y="0"/>
                      <a:ext cx="7186930" cy="38735"/>
                    </a:xfrm>
                    <a:prstGeom prst="rect">
                      <a:avLst/>
                    </a:prstGeom>
                    <a:noFill/>
                  </pic:spPr>
                </pic:pic>
              </a:graphicData>
            </a:graphic>
          </wp:anchor>
        </w:drawing>
      </w:r>
    </w:p>
    <w:p>
      <w:pPr>
        <w:sectPr>
          <w:pgSz w:w="11900" w:h="16838" w:orient="portrait"/>
          <w:cols w:equalWidth="0" w:num="1">
            <w:col w:w="11280"/>
          </w:cols>
          <w:pgMar w:left="300" w:top="728" w:right="319" w:bottom="1440" w:gutter="0" w:footer="0" w:header="0"/>
        </w:sectPr>
      </w:pPr>
    </w:p>
    <w:bookmarkStart w:id="24" w:name="page25"/>
    <w:bookmarkEnd w:id="24"/>
    <w:p>
      <w:pPr>
        <w:spacing w:after="0"/>
        <w:rPr>
          <w:sz w:val="20"/>
          <w:szCs w:val="20"/>
          <w:color w:val="auto"/>
        </w:rPr>
      </w:pPr>
      <w:r>
        <w:rPr>
          <w:rFonts w:ascii="Times New Roman" w:cs="Times New Roman" w:eastAsia="Times New Roman" w:hAnsi="Times New Roman"/>
          <w:sz w:val="14"/>
          <w:szCs w:val="14"/>
          <w:b w:val="1"/>
          <w:bCs w:val="1"/>
          <w:color w:val="auto"/>
        </w:rPr>
        <w:t>Performance Graph</w:t>
      </w:r>
    </w:p>
    <w:p>
      <w:pPr>
        <w:spacing w:after="0" w:line="181" w:lineRule="exact"/>
        <w:rPr>
          <w:sz w:val="20"/>
          <w:szCs w:val="20"/>
          <w:color w:val="auto"/>
        </w:rPr>
      </w:pPr>
    </w:p>
    <w:p>
      <w:pPr>
        <w:ind w:right="240" w:firstLine="382"/>
        <w:spacing w:after="0" w:line="287" w:lineRule="auto"/>
        <w:rPr>
          <w:sz w:val="20"/>
          <w:szCs w:val="20"/>
          <w:color w:val="auto"/>
        </w:rPr>
      </w:pPr>
      <w:r>
        <w:rPr>
          <w:rFonts w:ascii="Times New Roman" w:cs="Times New Roman" w:eastAsia="Times New Roman" w:hAnsi="Times New Roman"/>
          <w:sz w:val="14"/>
          <w:szCs w:val="14"/>
          <w:color w:val="auto"/>
        </w:rPr>
        <w:t>The following graph compares total stockholder returns of Westwood since December 31, 2020 with the total return of the Russell 2000 Index and the S&amp;P U.S. BMI Asset Management &amp; Custody Banks Index, a composite of various publicly-traded asset management companies.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-19050</wp:posOffset>
            </wp:positionV>
            <wp:extent cx="4365625" cy="2748915"/>
            <wp:wrapNone/>
            <wp:docPr id="30" name="Picture 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
                    <pic:cNvPicPr>
                      <a:picLocks noChangeAspect="1" noChangeArrowheads="1"/>
                    </pic:cNvPicPr>
                  </pic:nvPicPr>
                  <pic:blipFill>
                    <a:blip r:embed="rId37">
                      <a:extLst>
                        <a:ext uri="{28A0092B-C50C-407E-A947-70E740481C1C}"/>
                      </a:extLst>
                    </a:blip>
                    <a:srcRect/>
                    <a:stretch>
                      <a:fillRect/>
                    </a:stretch>
                  </pic:blipFill>
                  <pic:spPr bwMode="auto">
                    <a:xfrm>
                      <a:off x="0" y="0"/>
                      <a:ext cx="4365625" cy="274891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0" w:lineRule="exact"/>
        <w:rPr>
          <w:sz w:val="20"/>
          <w:szCs w:val="20"/>
          <w:color w:val="auto"/>
        </w:rPr>
      </w:pPr>
    </w:p>
    <w:tbl>
      <w:tblPr>
        <w:tblLayout w:type="fixed"/>
        <w:tblInd w:w="0" w:type="dxa"/>
        <w:tblCellMar>
          <w:top w:w="0" w:type="dxa"/>
          <w:left w:w="0" w:type="dxa"/>
          <w:bottom w:w="0" w:type="dxa"/>
          <w:right w:w="0" w:type="dxa"/>
        </w:tblCellMar>
      </w:tblPr>
      <w:tr>
        <w:trPr>
          <w:trHeight w:val="158"/>
        </w:trPr>
        <w:tc>
          <w:tcPr>
            <w:tcW w:w="360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220" w:type="dxa"/>
            <w:vAlign w:val="bottom"/>
            <w:tcBorders>
              <w:bottom w:val="single" w:sz="8" w:color="auto"/>
            </w:tcBorders>
          </w:tcPr>
          <w:p>
            <w:pPr>
              <w:spacing w:after="0"/>
              <w:rPr>
                <w:sz w:val="13"/>
                <w:szCs w:val="13"/>
                <w:color w:val="auto"/>
              </w:rPr>
            </w:pPr>
          </w:p>
        </w:tc>
        <w:tc>
          <w:tcPr>
            <w:tcW w:w="700" w:type="dxa"/>
            <w:vAlign w:val="bottom"/>
            <w:tcBorders>
              <w:bottom w:val="single" w:sz="8" w:color="auto"/>
            </w:tcBorders>
          </w:tcPr>
          <w:p>
            <w:pPr>
              <w:spacing w:after="0"/>
              <w:rPr>
                <w:sz w:val="13"/>
                <w:szCs w:val="13"/>
                <w:color w:val="auto"/>
              </w:rPr>
            </w:pPr>
          </w:p>
        </w:tc>
        <w:tc>
          <w:tcPr>
            <w:tcW w:w="100" w:type="dxa"/>
            <w:vAlign w:val="bottom"/>
            <w:tcBorders>
              <w:bottom w:val="single" w:sz="8" w:color="auto"/>
            </w:tcBorders>
          </w:tcPr>
          <w:p>
            <w:pPr>
              <w:spacing w:after="0"/>
              <w:rPr>
                <w:sz w:val="13"/>
                <w:szCs w:val="13"/>
                <w:color w:val="auto"/>
              </w:rPr>
            </w:pPr>
          </w:p>
        </w:tc>
        <w:tc>
          <w:tcPr>
            <w:tcW w:w="220" w:type="dxa"/>
            <w:vAlign w:val="bottom"/>
            <w:tcBorders>
              <w:bottom w:val="single" w:sz="8" w:color="auto"/>
            </w:tcBorders>
          </w:tcPr>
          <w:p>
            <w:pPr>
              <w:spacing w:after="0"/>
              <w:rPr>
                <w:sz w:val="13"/>
                <w:szCs w:val="13"/>
                <w:color w:val="auto"/>
              </w:rPr>
            </w:pPr>
          </w:p>
        </w:tc>
        <w:tc>
          <w:tcPr>
            <w:tcW w:w="700" w:type="dxa"/>
            <w:vAlign w:val="bottom"/>
            <w:tcBorders>
              <w:bottom w:val="single" w:sz="8" w:color="auto"/>
            </w:tcBorders>
          </w:tcPr>
          <w:p>
            <w:pPr>
              <w:spacing w:after="0"/>
              <w:rPr>
                <w:sz w:val="13"/>
                <w:szCs w:val="13"/>
                <w:color w:val="auto"/>
              </w:rPr>
            </w:pPr>
          </w:p>
        </w:tc>
        <w:tc>
          <w:tcPr>
            <w:tcW w:w="100" w:type="dxa"/>
            <w:vAlign w:val="bottom"/>
            <w:tcBorders>
              <w:bottom w:val="single" w:sz="8" w:color="auto"/>
            </w:tcBorders>
          </w:tcPr>
          <w:p>
            <w:pPr>
              <w:spacing w:after="0"/>
              <w:rPr>
                <w:sz w:val="13"/>
                <w:szCs w:val="13"/>
                <w:color w:val="auto"/>
              </w:rPr>
            </w:pPr>
          </w:p>
        </w:tc>
        <w:tc>
          <w:tcPr>
            <w:tcW w:w="200" w:type="dxa"/>
            <w:vAlign w:val="bottom"/>
            <w:tcBorders>
              <w:bottom w:val="single" w:sz="8" w:color="auto"/>
            </w:tcBorders>
          </w:tcPr>
          <w:p>
            <w:pPr>
              <w:spacing w:after="0"/>
              <w:rPr>
                <w:sz w:val="13"/>
                <w:szCs w:val="13"/>
                <w:color w:val="auto"/>
              </w:rPr>
            </w:pPr>
          </w:p>
        </w:tc>
        <w:tc>
          <w:tcPr>
            <w:tcW w:w="1840" w:type="dxa"/>
            <w:vAlign w:val="bottom"/>
            <w:tcBorders>
              <w:bottom w:val="single" w:sz="8" w:color="auto"/>
            </w:tcBorders>
            <w:gridSpan w:val="5"/>
          </w:tcPr>
          <w:p>
            <w:pPr>
              <w:ind w:left="120"/>
              <w:spacing w:after="0"/>
              <w:rPr>
                <w:sz w:val="20"/>
                <w:szCs w:val="20"/>
                <w:color w:val="auto"/>
              </w:rPr>
            </w:pPr>
            <w:r>
              <w:rPr>
                <w:rFonts w:ascii="Times New Roman" w:cs="Times New Roman" w:eastAsia="Times New Roman" w:hAnsi="Times New Roman"/>
                <w:sz w:val="11"/>
                <w:szCs w:val="11"/>
                <w:b w:val="1"/>
                <w:bCs w:val="1"/>
                <w:color w:val="auto"/>
              </w:rPr>
              <w:t>Period ended December 31,</w:t>
            </w:r>
          </w:p>
        </w:tc>
        <w:tc>
          <w:tcPr>
            <w:tcW w:w="220" w:type="dxa"/>
            <w:vAlign w:val="bottom"/>
            <w:tcBorders>
              <w:bottom w:val="single" w:sz="8" w:color="auto"/>
            </w:tcBorders>
          </w:tcPr>
          <w:p>
            <w:pPr>
              <w:spacing w:after="0"/>
              <w:rPr>
                <w:sz w:val="13"/>
                <w:szCs w:val="13"/>
                <w:color w:val="auto"/>
              </w:rPr>
            </w:pPr>
          </w:p>
        </w:tc>
        <w:tc>
          <w:tcPr>
            <w:tcW w:w="700" w:type="dxa"/>
            <w:vAlign w:val="bottom"/>
            <w:tcBorders>
              <w:bottom w:val="single" w:sz="8" w:color="auto"/>
            </w:tcBorders>
          </w:tcPr>
          <w:p>
            <w:pPr>
              <w:spacing w:after="0"/>
              <w:rPr>
                <w:sz w:val="13"/>
                <w:szCs w:val="13"/>
                <w:color w:val="auto"/>
              </w:rPr>
            </w:pPr>
          </w:p>
        </w:tc>
        <w:tc>
          <w:tcPr>
            <w:tcW w:w="100" w:type="dxa"/>
            <w:vAlign w:val="bottom"/>
            <w:tcBorders>
              <w:bottom w:val="single" w:sz="8" w:color="auto"/>
            </w:tcBorders>
          </w:tcPr>
          <w:p>
            <w:pPr>
              <w:spacing w:after="0"/>
              <w:rPr>
                <w:sz w:val="13"/>
                <w:szCs w:val="13"/>
                <w:color w:val="auto"/>
              </w:rPr>
            </w:pPr>
          </w:p>
        </w:tc>
        <w:tc>
          <w:tcPr>
            <w:tcW w:w="220" w:type="dxa"/>
            <w:vAlign w:val="bottom"/>
            <w:tcBorders>
              <w:bottom w:val="single" w:sz="8" w:color="auto"/>
            </w:tcBorders>
          </w:tcPr>
          <w:p>
            <w:pPr>
              <w:spacing w:after="0"/>
              <w:rPr>
                <w:sz w:val="13"/>
                <w:szCs w:val="13"/>
                <w:color w:val="auto"/>
              </w:rPr>
            </w:pPr>
          </w:p>
        </w:tc>
        <w:tc>
          <w:tcPr>
            <w:tcW w:w="720" w:type="dxa"/>
            <w:vAlign w:val="bottom"/>
            <w:tcBorders>
              <w:bottom w:val="single" w:sz="8" w:color="auto"/>
            </w:tcBorders>
          </w:tcPr>
          <w:p>
            <w:pPr>
              <w:spacing w:after="0"/>
              <w:rPr>
                <w:sz w:val="13"/>
                <w:szCs w:val="13"/>
                <w:color w:val="auto"/>
              </w:rPr>
            </w:pPr>
          </w:p>
        </w:tc>
        <w:tc>
          <w:tcPr>
            <w:tcW w:w="80" w:type="dxa"/>
            <w:vAlign w:val="bottom"/>
          </w:tcPr>
          <w:p>
            <w:pPr>
              <w:spacing w:after="0"/>
              <w:rPr>
                <w:sz w:val="13"/>
                <w:szCs w:val="13"/>
                <w:color w:val="auto"/>
              </w:rPr>
            </w:pPr>
          </w:p>
        </w:tc>
        <w:tc>
          <w:tcPr>
            <w:tcW w:w="1480" w:type="dxa"/>
            <w:vAlign w:val="bottom"/>
            <w:vMerge w:val="restart"/>
          </w:tcPr>
          <w:p>
            <w:pPr>
              <w:jc w:val="right"/>
              <w:ind w:right="1"/>
              <w:spacing w:after="0"/>
              <w:rPr>
                <w:sz w:val="20"/>
                <w:szCs w:val="20"/>
                <w:color w:val="auto"/>
              </w:rPr>
            </w:pPr>
            <w:r>
              <w:rPr>
                <w:rFonts w:ascii="Times New Roman" w:cs="Times New Roman" w:eastAsia="Times New Roman" w:hAnsi="Times New Roman"/>
                <w:sz w:val="11"/>
                <w:szCs w:val="11"/>
                <w:b w:val="1"/>
                <w:bCs w:val="1"/>
                <w:color w:val="auto"/>
              </w:rPr>
              <w:t>Cumulative Five-Year Total</w:t>
            </w:r>
          </w:p>
        </w:tc>
        <w:tc>
          <w:tcPr>
            <w:tcW w:w="0" w:type="dxa"/>
            <w:vAlign w:val="bottom"/>
          </w:tcPr>
          <w:p>
            <w:pPr>
              <w:spacing w:after="0"/>
              <w:rPr>
                <w:sz w:val="1"/>
                <w:szCs w:val="1"/>
                <w:color w:val="auto"/>
              </w:rPr>
            </w:pPr>
          </w:p>
        </w:tc>
      </w:tr>
      <w:tr>
        <w:trPr>
          <w:trHeight w:val="32"/>
        </w:trPr>
        <w:tc>
          <w:tcPr>
            <w:tcW w:w="3680" w:type="dxa"/>
            <w:vAlign w:val="bottom"/>
            <w:gridSpan w:val="2"/>
            <w:vMerge w:val="restart"/>
          </w:tcPr>
          <w:p>
            <w:pPr>
              <w:ind w:left="20"/>
              <w:spacing w:after="0"/>
              <w:rPr>
                <w:sz w:val="20"/>
                <w:szCs w:val="20"/>
                <w:color w:val="auto"/>
              </w:rPr>
            </w:pPr>
            <w:r>
              <w:rPr>
                <w:rFonts w:ascii="Times New Roman" w:cs="Times New Roman" w:eastAsia="Times New Roman" w:hAnsi="Times New Roman"/>
                <w:sz w:val="11"/>
                <w:szCs w:val="11"/>
                <w:b w:val="1"/>
                <w:bCs w:val="1"/>
                <w:i w:val="1"/>
                <w:iCs w:val="1"/>
                <w:color w:val="auto"/>
              </w:rPr>
              <w:t>Index</w:t>
            </w:r>
          </w:p>
        </w:tc>
        <w:tc>
          <w:tcPr>
            <w:tcW w:w="220" w:type="dxa"/>
            <w:vAlign w:val="bottom"/>
          </w:tcPr>
          <w:p>
            <w:pPr>
              <w:spacing w:after="0"/>
              <w:rPr>
                <w:sz w:val="2"/>
                <w:szCs w:val="2"/>
                <w:color w:val="auto"/>
              </w:rPr>
            </w:pPr>
          </w:p>
        </w:tc>
        <w:tc>
          <w:tcPr>
            <w:tcW w:w="700" w:type="dxa"/>
            <w:vAlign w:val="bottom"/>
            <w:vMerge w:val="restart"/>
          </w:tcPr>
          <w:p>
            <w:pPr>
              <w:jc w:val="right"/>
              <w:ind w:right="278"/>
              <w:spacing w:after="0"/>
              <w:rPr>
                <w:sz w:val="20"/>
                <w:szCs w:val="20"/>
                <w:color w:val="auto"/>
              </w:rPr>
            </w:pPr>
            <w:r>
              <w:rPr>
                <w:rFonts w:ascii="Times New Roman" w:cs="Times New Roman" w:eastAsia="Times New Roman" w:hAnsi="Times New Roman"/>
                <w:sz w:val="11"/>
                <w:szCs w:val="11"/>
                <w:b w:val="1"/>
                <w:bCs w:val="1"/>
                <w:color w:val="auto"/>
              </w:rPr>
              <w:t>2020</w:t>
            </w:r>
          </w:p>
        </w:tc>
        <w:tc>
          <w:tcPr>
            <w:tcW w:w="100" w:type="dxa"/>
            <w:vAlign w:val="bottom"/>
          </w:tcPr>
          <w:p>
            <w:pPr>
              <w:spacing w:after="0"/>
              <w:rPr>
                <w:sz w:val="2"/>
                <w:szCs w:val="2"/>
                <w:color w:val="auto"/>
              </w:rPr>
            </w:pPr>
          </w:p>
        </w:tc>
        <w:tc>
          <w:tcPr>
            <w:tcW w:w="220" w:type="dxa"/>
            <w:vAlign w:val="bottom"/>
          </w:tcPr>
          <w:p>
            <w:pPr>
              <w:spacing w:after="0"/>
              <w:rPr>
                <w:sz w:val="2"/>
                <w:szCs w:val="2"/>
                <w:color w:val="auto"/>
              </w:rPr>
            </w:pPr>
          </w:p>
        </w:tc>
        <w:tc>
          <w:tcPr>
            <w:tcW w:w="700" w:type="dxa"/>
            <w:vAlign w:val="bottom"/>
            <w:vMerge w:val="restart"/>
          </w:tcPr>
          <w:p>
            <w:pPr>
              <w:jc w:val="right"/>
              <w:ind w:right="278"/>
              <w:spacing w:after="0"/>
              <w:rPr>
                <w:sz w:val="20"/>
                <w:szCs w:val="20"/>
                <w:color w:val="auto"/>
              </w:rPr>
            </w:pPr>
            <w:r>
              <w:rPr>
                <w:rFonts w:ascii="Times New Roman" w:cs="Times New Roman" w:eastAsia="Times New Roman" w:hAnsi="Times New Roman"/>
                <w:sz w:val="11"/>
                <w:szCs w:val="11"/>
                <w:b w:val="1"/>
                <w:bCs w:val="1"/>
                <w:color w:val="auto"/>
              </w:rPr>
              <w:t>2021</w:t>
            </w:r>
          </w:p>
        </w:tc>
        <w:tc>
          <w:tcPr>
            <w:tcW w:w="100" w:type="dxa"/>
            <w:vAlign w:val="bottom"/>
          </w:tcPr>
          <w:p>
            <w:pPr>
              <w:spacing w:after="0"/>
              <w:rPr>
                <w:sz w:val="2"/>
                <w:szCs w:val="2"/>
                <w:color w:val="auto"/>
              </w:rPr>
            </w:pPr>
          </w:p>
        </w:tc>
        <w:tc>
          <w:tcPr>
            <w:tcW w:w="200" w:type="dxa"/>
            <w:vAlign w:val="bottom"/>
          </w:tcPr>
          <w:p>
            <w:pPr>
              <w:spacing w:after="0"/>
              <w:rPr>
                <w:sz w:val="2"/>
                <w:szCs w:val="2"/>
                <w:color w:val="auto"/>
              </w:rPr>
            </w:pPr>
          </w:p>
        </w:tc>
        <w:tc>
          <w:tcPr>
            <w:tcW w:w="720" w:type="dxa"/>
            <w:vAlign w:val="bottom"/>
            <w:vMerge w:val="restart"/>
          </w:tcPr>
          <w:p>
            <w:pPr>
              <w:jc w:val="right"/>
              <w:ind w:right="279"/>
              <w:spacing w:after="0"/>
              <w:rPr>
                <w:sz w:val="20"/>
                <w:szCs w:val="20"/>
                <w:color w:val="auto"/>
              </w:rPr>
            </w:pPr>
            <w:r>
              <w:rPr>
                <w:rFonts w:ascii="Times New Roman" w:cs="Times New Roman" w:eastAsia="Times New Roman" w:hAnsi="Times New Roman"/>
                <w:sz w:val="11"/>
                <w:szCs w:val="11"/>
                <w:b w:val="1"/>
                <w:bCs w:val="1"/>
                <w:color w:val="auto"/>
              </w:rPr>
              <w:t>2022</w:t>
            </w:r>
          </w:p>
        </w:tc>
        <w:tc>
          <w:tcPr>
            <w:tcW w:w="100" w:type="dxa"/>
            <w:vAlign w:val="bottom"/>
          </w:tcPr>
          <w:p>
            <w:pPr>
              <w:spacing w:after="0"/>
              <w:rPr>
                <w:sz w:val="2"/>
                <w:szCs w:val="2"/>
                <w:color w:val="auto"/>
              </w:rPr>
            </w:pPr>
          </w:p>
        </w:tc>
        <w:tc>
          <w:tcPr>
            <w:tcW w:w="220" w:type="dxa"/>
            <w:vAlign w:val="bottom"/>
          </w:tcPr>
          <w:p>
            <w:pPr>
              <w:spacing w:after="0"/>
              <w:rPr>
                <w:sz w:val="2"/>
                <w:szCs w:val="2"/>
                <w:color w:val="auto"/>
              </w:rPr>
            </w:pPr>
          </w:p>
        </w:tc>
        <w:tc>
          <w:tcPr>
            <w:tcW w:w="700" w:type="dxa"/>
            <w:vAlign w:val="bottom"/>
            <w:vMerge w:val="restart"/>
          </w:tcPr>
          <w:p>
            <w:pPr>
              <w:jc w:val="right"/>
              <w:ind w:right="278"/>
              <w:spacing w:after="0"/>
              <w:rPr>
                <w:sz w:val="20"/>
                <w:szCs w:val="20"/>
                <w:color w:val="auto"/>
              </w:rPr>
            </w:pPr>
            <w:r>
              <w:rPr>
                <w:rFonts w:ascii="Times New Roman" w:cs="Times New Roman" w:eastAsia="Times New Roman" w:hAnsi="Times New Roman"/>
                <w:sz w:val="11"/>
                <w:szCs w:val="11"/>
                <w:b w:val="1"/>
                <w:bCs w:val="1"/>
                <w:color w:val="auto"/>
              </w:rPr>
              <w:t>2023</w:t>
            </w:r>
          </w:p>
        </w:tc>
        <w:tc>
          <w:tcPr>
            <w:tcW w:w="100" w:type="dxa"/>
            <w:vAlign w:val="bottom"/>
          </w:tcPr>
          <w:p>
            <w:pPr>
              <w:spacing w:after="0"/>
              <w:rPr>
                <w:sz w:val="2"/>
                <w:szCs w:val="2"/>
                <w:color w:val="auto"/>
              </w:rPr>
            </w:pPr>
          </w:p>
        </w:tc>
        <w:tc>
          <w:tcPr>
            <w:tcW w:w="220" w:type="dxa"/>
            <w:vAlign w:val="bottom"/>
          </w:tcPr>
          <w:p>
            <w:pPr>
              <w:spacing w:after="0"/>
              <w:rPr>
                <w:sz w:val="2"/>
                <w:szCs w:val="2"/>
                <w:color w:val="auto"/>
              </w:rPr>
            </w:pPr>
          </w:p>
        </w:tc>
        <w:tc>
          <w:tcPr>
            <w:tcW w:w="700" w:type="dxa"/>
            <w:vAlign w:val="bottom"/>
            <w:vMerge w:val="restart"/>
          </w:tcPr>
          <w:p>
            <w:pPr>
              <w:jc w:val="right"/>
              <w:ind w:right="278"/>
              <w:spacing w:after="0"/>
              <w:rPr>
                <w:sz w:val="20"/>
                <w:szCs w:val="20"/>
                <w:color w:val="auto"/>
              </w:rPr>
            </w:pPr>
            <w:r>
              <w:rPr>
                <w:rFonts w:ascii="Times New Roman" w:cs="Times New Roman" w:eastAsia="Times New Roman" w:hAnsi="Times New Roman"/>
                <w:sz w:val="11"/>
                <w:szCs w:val="11"/>
                <w:b w:val="1"/>
                <w:bCs w:val="1"/>
                <w:color w:val="auto"/>
              </w:rPr>
              <w:t>2024</w:t>
            </w:r>
          </w:p>
        </w:tc>
        <w:tc>
          <w:tcPr>
            <w:tcW w:w="100" w:type="dxa"/>
            <w:vAlign w:val="bottom"/>
          </w:tcPr>
          <w:p>
            <w:pPr>
              <w:spacing w:after="0"/>
              <w:rPr>
                <w:sz w:val="2"/>
                <w:szCs w:val="2"/>
                <w:color w:val="auto"/>
              </w:rPr>
            </w:pPr>
          </w:p>
        </w:tc>
        <w:tc>
          <w:tcPr>
            <w:tcW w:w="220" w:type="dxa"/>
            <w:vAlign w:val="bottom"/>
          </w:tcPr>
          <w:p>
            <w:pPr>
              <w:spacing w:after="0"/>
              <w:rPr>
                <w:sz w:val="2"/>
                <w:szCs w:val="2"/>
                <w:color w:val="auto"/>
              </w:rPr>
            </w:pPr>
          </w:p>
        </w:tc>
        <w:tc>
          <w:tcPr>
            <w:tcW w:w="720" w:type="dxa"/>
            <w:vAlign w:val="bottom"/>
            <w:vMerge w:val="restart"/>
          </w:tcPr>
          <w:p>
            <w:pPr>
              <w:jc w:val="right"/>
              <w:ind w:right="298"/>
              <w:spacing w:after="0"/>
              <w:rPr>
                <w:sz w:val="20"/>
                <w:szCs w:val="20"/>
                <w:color w:val="auto"/>
              </w:rPr>
            </w:pPr>
            <w:r>
              <w:rPr>
                <w:rFonts w:ascii="Times New Roman" w:cs="Times New Roman" w:eastAsia="Times New Roman" w:hAnsi="Times New Roman"/>
                <w:sz w:val="11"/>
                <w:szCs w:val="11"/>
                <w:b w:val="1"/>
                <w:bCs w:val="1"/>
                <w:color w:val="auto"/>
              </w:rPr>
              <w:t>2025</w:t>
            </w:r>
          </w:p>
        </w:tc>
        <w:tc>
          <w:tcPr>
            <w:tcW w:w="80" w:type="dxa"/>
            <w:vAlign w:val="bottom"/>
          </w:tcPr>
          <w:p>
            <w:pPr>
              <w:spacing w:after="0"/>
              <w:rPr>
                <w:sz w:val="2"/>
                <w:szCs w:val="2"/>
                <w:color w:val="auto"/>
              </w:rPr>
            </w:pPr>
          </w:p>
        </w:tc>
        <w:tc>
          <w:tcPr>
            <w:tcW w:w="1480" w:type="dxa"/>
            <w:vAlign w:val="bottom"/>
            <w:vMerge w:val="continue"/>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154"/>
        </w:trPr>
        <w:tc>
          <w:tcPr>
            <w:tcW w:w="3680" w:type="dxa"/>
            <w:vAlign w:val="bottom"/>
            <w:gridSpan w:val="2"/>
            <w:vMerge w:val="continue"/>
          </w:tcPr>
          <w:p>
            <w:pPr>
              <w:spacing w:after="0"/>
              <w:rPr>
                <w:sz w:val="13"/>
                <w:szCs w:val="13"/>
                <w:color w:val="auto"/>
              </w:rPr>
            </w:pPr>
          </w:p>
        </w:tc>
        <w:tc>
          <w:tcPr>
            <w:tcW w:w="220" w:type="dxa"/>
            <w:vAlign w:val="bottom"/>
          </w:tcPr>
          <w:p>
            <w:pPr>
              <w:spacing w:after="0"/>
              <w:rPr>
                <w:sz w:val="13"/>
                <w:szCs w:val="13"/>
                <w:color w:val="auto"/>
              </w:rPr>
            </w:pPr>
          </w:p>
        </w:tc>
        <w:tc>
          <w:tcPr>
            <w:tcW w:w="700" w:type="dxa"/>
            <w:vAlign w:val="bottom"/>
            <w:vMerge w:val="continue"/>
          </w:tcPr>
          <w:p>
            <w:pPr>
              <w:spacing w:after="0"/>
              <w:rPr>
                <w:sz w:val="13"/>
                <w:szCs w:val="13"/>
                <w:color w:val="auto"/>
              </w:rPr>
            </w:pPr>
          </w:p>
        </w:tc>
        <w:tc>
          <w:tcPr>
            <w:tcW w:w="100" w:type="dxa"/>
            <w:vAlign w:val="bottom"/>
          </w:tcPr>
          <w:p>
            <w:pPr>
              <w:spacing w:after="0"/>
              <w:rPr>
                <w:sz w:val="13"/>
                <w:szCs w:val="13"/>
                <w:color w:val="auto"/>
              </w:rPr>
            </w:pPr>
          </w:p>
        </w:tc>
        <w:tc>
          <w:tcPr>
            <w:tcW w:w="220" w:type="dxa"/>
            <w:vAlign w:val="bottom"/>
          </w:tcPr>
          <w:p>
            <w:pPr>
              <w:spacing w:after="0"/>
              <w:rPr>
                <w:sz w:val="13"/>
                <w:szCs w:val="13"/>
                <w:color w:val="auto"/>
              </w:rPr>
            </w:pPr>
          </w:p>
        </w:tc>
        <w:tc>
          <w:tcPr>
            <w:tcW w:w="700" w:type="dxa"/>
            <w:vAlign w:val="bottom"/>
            <w:vMerge w:val="continue"/>
          </w:tcPr>
          <w:p>
            <w:pPr>
              <w:spacing w:after="0"/>
              <w:rPr>
                <w:sz w:val="13"/>
                <w:szCs w:val="13"/>
                <w:color w:val="auto"/>
              </w:rPr>
            </w:pPr>
          </w:p>
        </w:tc>
        <w:tc>
          <w:tcPr>
            <w:tcW w:w="100" w:type="dxa"/>
            <w:vAlign w:val="bottom"/>
          </w:tcPr>
          <w:p>
            <w:pPr>
              <w:spacing w:after="0"/>
              <w:rPr>
                <w:sz w:val="13"/>
                <w:szCs w:val="13"/>
                <w:color w:val="auto"/>
              </w:rPr>
            </w:pPr>
          </w:p>
        </w:tc>
        <w:tc>
          <w:tcPr>
            <w:tcW w:w="200" w:type="dxa"/>
            <w:vAlign w:val="bottom"/>
          </w:tcPr>
          <w:p>
            <w:pPr>
              <w:spacing w:after="0"/>
              <w:rPr>
                <w:sz w:val="13"/>
                <w:szCs w:val="13"/>
                <w:color w:val="auto"/>
              </w:rPr>
            </w:pPr>
          </w:p>
        </w:tc>
        <w:tc>
          <w:tcPr>
            <w:tcW w:w="720" w:type="dxa"/>
            <w:vAlign w:val="bottom"/>
            <w:vMerge w:val="continue"/>
          </w:tcPr>
          <w:p>
            <w:pPr>
              <w:spacing w:after="0"/>
              <w:rPr>
                <w:sz w:val="13"/>
                <w:szCs w:val="13"/>
                <w:color w:val="auto"/>
              </w:rPr>
            </w:pPr>
          </w:p>
        </w:tc>
        <w:tc>
          <w:tcPr>
            <w:tcW w:w="100" w:type="dxa"/>
            <w:vAlign w:val="bottom"/>
          </w:tcPr>
          <w:p>
            <w:pPr>
              <w:spacing w:after="0"/>
              <w:rPr>
                <w:sz w:val="13"/>
                <w:szCs w:val="13"/>
                <w:color w:val="auto"/>
              </w:rPr>
            </w:pPr>
          </w:p>
        </w:tc>
        <w:tc>
          <w:tcPr>
            <w:tcW w:w="220" w:type="dxa"/>
            <w:vAlign w:val="bottom"/>
          </w:tcPr>
          <w:p>
            <w:pPr>
              <w:spacing w:after="0"/>
              <w:rPr>
                <w:sz w:val="13"/>
                <w:szCs w:val="13"/>
                <w:color w:val="auto"/>
              </w:rPr>
            </w:pPr>
          </w:p>
        </w:tc>
        <w:tc>
          <w:tcPr>
            <w:tcW w:w="700" w:type="dxa"/>
            <w:vAlign w:val="bottom"/>
            <w:vMerge w:val="continue"/>
          </w:tcPr>
          <w:p>
            <w:pPr>
              <w:spacing w:after="0"/>
              <w:rPr>
                <w:sz w:val="13"/>
                <w:szCs w:val="13"/>
                <w:color w:val="auto"/>
              </w:rPr>
            </w:pPr>
          </w:p>
        </w:tc>
        <w:tc>
          <w:tcPr>
            <w:tcW w:w="100" w:type="dxa"/>
            <w:vAlign w:val="bottom"/>
          </w:tcPr>
          <w:p>
            <w:pPr>
              <w:spacing w:after="0"/>
              <w:rPr>
                <w:sz w:val="13"/>
                <w:szCs w:val="13"/>
                <w:color w:val="auto"/>
              </w:rPr>
            </w:pPr>
          </w:p>
        </w:tc>
        <w:tc>
          <w:tcPr>
            <w:tcW w:w="220" w:type="dxa"/>
            <w:vAlign w:val="bottom"/>
          </w:tcPr>
          <w:p>
            <w:pPr>
              <w:spacing w:after="0"/>
              <w:rPr>
                <w:sz w:val="13"/>
                <w:szCs w:val="13"/>
                <w:color w:val="auto"/>
              </w:rPr>
            </w:pPr>
          </w:p>
        </w:tc>
        <w:tc>
          <w:tcPr>
            <w:tcW w:w="700" w:type="dxa"/>
            <w:vAlign w:val="bottom"/>
            <w:vMerge w:val="continue"/>
          </w:tcPr>
          <w:p>
            <w:pPr>
              <w:spacing w:after="0"/>
              <w:rPr>
                <w:sz w:val="13"/>
                <w:szCs w:val="13"/>
                <w:color w:val="auto"/>
              </w:rPr>
            </w:pPr>
          </w:p>
        </w:tc>
        <w:tc>
          <w:tcPr>
            <w:tcW w:w="100" w:type="dxa"/>
            <w:vAlign w:val="bottom"/>
          </w:tcPr>
          <w:p>
            <w:pPr>
              <w:spacing w:after="0"/>
              <w:rPr>
                <w:sz w:val="13"/>
                <w:szCs w:val="13"/>
                <w:color w:val="auto"/>
              </w:rPr>
            </w:pPr>
          </w:p>
        </w:tc>
        <w:tc>
          <w:tcPr>
            <w:tcW w:w="220" w:type="dxa"/>
            <w:vAlign w:val="bottom"/>
          </w:tcPr>
          <w:p>
            <w:pPr>
              <w:spacing w:after="0"/>
              <w:rPr>
                <w:sz w:val="13"/>
                <w:szCs w:val="13"/>
                <w:color w:val="auto"/>
              </w:rPr>
            </w:pPr>
          </w:p>
        </w:tc>
        <w:tc>
          <w:tcPr>
            <w:tcW w:w="720" w:type="dxa"/>
            <w:vAlign w:val="bottom"/>
            <w:vMerge w:val="continue"/>
          </w:tcPr>
          <w:p>
            <w:pPr>
              <w:spacing w:after="0"/>
              <w:rPr>
                <w:sz w:val="13"/>
                <w:szCs w:val="13"/>
                <w:color w:val="auto"/>
              </w:rPr>
            </w:pPr>
          </w:p>
        </w:tc>
        <w:tc>
          <w:tcPr>
            <w:tcW w:w="80" w:type="dxa"/>
            <w:vAlign w:val="bottom"/>
          </w:tcPr>
          <w:p>
            <w:pPr>
              <w:spacing w:after="0"/>
              <w:rPr>
                <w:sz w:val="13"/>
                <w:szCs w:val="13"/>
                <w:color w:val="auto"/>
              </w:rPr>
            </w:pPr>
          </w:p>
        </w:tc>
        <w:tc>
          <w:tcPr>
            <w:tcW w:w="1480" w:type="dxa"/>
            <w:vAlign w:val="bottom"/>
          </w:tcPr>
          <w:p>
            <w:pPr>
              <w:jc w:val="right"/>
              <w:ind w:right="501"/>
              <w:spacing w:after="0"/>
              <w:rPr>
                <w:sz w:val="20"/>
                <w:szCs w:val="20"/>
                <w:color w:val="auto"/>
              </w:rPr>
            </w:pPr>
            <w:r>
              <w:rPr>
                <w:rFonts w:ascii="Times New Roman" w:cs="Times New Roman" w:eastAsia="Times New Roman" w:hAnsi="Times New Roman"/>
                <w:sz w:val="11"/>
                <w:szCs w:val="11"/>
                <w:b w:val="1"/>
                <w:bCs w:val="1"/>
                <w:color w:val="auto"/>
              </w:rPr>
              <w:t>Return</w:t>
            </w:r>
          </w:p>
        </w:tc>
        <w:tc>
          <w:tcPr>
            <w:tcW w:w="0" w:type="dxa"/>
            <w:vAlign w:val="bottom"/>
          </w:tcPr>
          <w:p>
            <w:pPr>
              <w:spacing w:after="0"/>
              <w:rPr>
                <w:sz w:val="1"/>
                <w:szCs w:val="1"/>
                <w:color w:val="auto"/>
              </w:rPr>
            </w:pPr>
          </w:p>
        </w:tc>
      </w:tr>
      <w:tr>
        <w:trPr>
          <w:trHeight w:val="166"/>
        </w:trPr>
        <w:tc>
          <w:tcPr>
            <w:tcW w:w="3600" w:type="dxa"/>
            <w:vAlign w:val="bottom"/>
            <w:tcBorders>
              <w:top w:val="single" w:sz="8" w:color="auto"/>
            </w:tcBorders>
            <w:shd w:val="clear" w:color="auto" w:fill="CCEEFF"/>
          </w:tcPr>
          <w:p>
            <w:pPr>
              <w:ind w:left="20"/>
              <w:spacing w:after="0"/>
              <w:rPr>
                <w:sz w:val="20"/>
                <w:szCs w:val="20"/>
                <w:color w:val="auto"/>
              </w:rPr>
            </w:pPr>
            <w:r>
              <w:rPr>
                <w:rFonts w:ascii="Times New Roman" w:cs="Times New Roman" w:eastAsia="Times New Roman" w:hAnsi="Times New Roman"/>
                <w:sz w:val="13"/>
                <w:szCs w:val="13"/>
                <w:color w:val="auto"/>
              </w:rPr>
              <w:t>Westwood Holdings Group, Inc.</w:t>
            </w:r>
          </w:p>
        </w:tc>
        <w:tc>
          <w:tcPr>
            <w:tcW w:w="80" w:type="dxa"/>
            <w:vAlign w:val="bottom"/>
            <w:tcBorders>
              <w:top w:val="single" w:sz="8" w:color="CCEEFF"/>
            </w:tcBorders>
            <w:shd w:val="clear" w:color="auto" w:fill="CCEEFF"/>
          </w:tcPr>
          <w:p>
            <w:pPr>
              <w:spacing w:after="0"/>
              <w:rPr>
                <w:sz w:val="14"/>
                <w:szCs w:val="14"/>
                <w:color w:val="auto"/>
              </w:rPr>
            </w:pPr>
          </w:p>
        </w:tc>
        <w:tc>
          <w:tcPr>
            <w:tcW w:w="220" w:type="dxa"/>
            <w:vAlign w:val="bottom"/>
            <w:tcBorders>
              <w:top w:val="single" w:sz="8" w:color="auto"/>
            </w:tcBorders>
            <w:shd w:val="clear" w:color="auto" w:fill="CCEEFF"/>
          </w:tcPr>
          <w:p>
            <w:pPr>
              <w:jc w:val="right"/>
              <w:ind w:right="76"/>
              <w:spacing w:after="0"/>
              <w:rPr>
                <w:sz w:val="20"/>
                <w:szCs w:val="20"/>
                <w:color w:val="auto"/>
              </w:rPr>
            </w:pPr>
            <w:r>
              <w:rPr>
                <w:rFonts w:ascii="Times New Roman" w:cs="Times New Roman" w:eastAsia="Times New Roman" w:hAnsi="Times New Roman"/>
                <w:sz w:val="13"/>
                <w:szCs w:val="13"/>
                <w:color w:val="auto"/>
                <w:w w:val="91"/>
              </w:rPr>
              <w:t>$</w:t>
            </w:r>
          </w:p>
        </w:tc>
        <w:tc>
          <w:tcPr>
            <w:tcW w:w="70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100.00</w:t>
            </w:r>
          </w:p>
        </w:tc>
        <w:tc>
          <w:tcPr>
            <w:tcW w:w="100" w:type="dxa"/>
            <w:vAlign w:val="bottom"/>
            <w:tcBorders>
              <w:top w:val="single" w:sz="8" w:color="CCEEFF"/>
            </w:tcBorders>
            <w:shd w:val="clear" w:color="auto" w:fill="CCEEFF"/>
          </w:tcPr>
          <w:p>
            <w:pPr>
              <w:spacing w:after="0"/>
              <w:rPr>
                <w:sz w:val="14"/>
                <w:szCs w:val="14"/>
                <w:color w:val="auto"/>
              </w:rPr>
            </w:pPr>
          </w:p>
        </w:tc>
        <w:tc>
          <w:tcPr>
            <w:tcW w:w="220" w:type="dxa"/>
            <w:vAlign w:val="bottom"/>
            <w:tcBorders>
              <w:top w:val="single" w:sz="8" w:color="auto"/>
            </w:tcBorders>
            <w:shd w:val="clear" w:color="auto" w:fill="CCEEFF"/>
          </w:tcPr>
          <w:p>
            <w:pPr>
              <w:jc w:val="right"/>
              <w:ind w:right="76"/>
              <w:spacing w:after="0"/>
              <w:rPr>
                <w:sz w:val="20"/>
                <w:szCs w:val="20"/>
                <w:color w:val="auto"/>
              </w:rPr>
            </w:pPr>
            <w:r>
              <w:rPr>
                <w:rFonts w:ascii="Times New Roman" w:cs="Times New Roman" w:eastAsia="Times New Roman" w:hAnsi="Times New Roman"/>
                <w:sz w:val="13"/>
                <w:szCs w:val="13"/>
                <w:color w:val="auto"/>
                <w:w w:val="91"/>
              </w:rPr>
              <w:t>$</w:t>
            </w:r>
          </w:p>
        </w:tc>
        <w:tc>
          <w:tcPr>
            <w:tcW w:w="70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132.00</w:t>
            </w:r>
          </w:p>
        </w:tc>
        <w:tc>
          <w:tcPr>
            <w:tcW w:w="100" w:type="dxa"/>
            <w:vAlign w:val="bottom"/>
            <w:tcBorders>
              <w:top w:val="single" w:sz="8" w:color="CCEEFF"/>
            </w:tcBorders>
            <w:shd w:val="clear" w:color="auto" w:fill="CCEEFF"/>
          </w:tcPr>
          <w:p>
            <w:pPr>
              <w:spacing w:after="0"/>
              <w:rPr>
                <w:sz w:val="14"/>
                <w:szCs w:val="14"/>
                <w:color w:val="auto"/>
              </w:rPr>
            </w:pPr>
          </w:p>
        </w:tc>
        <w:tc>
          <w:tcPr>
            <w:tcW w:w="200" w:type="dxa"/>
            <w:vAlign w:val="bottom"/>
            <w:tcBorders>
              <w:top w:val="single" w:sz="8" w:color="auto"/>
            </w:tcBorders>
            <w:shd w:val="clear" w:color="auto" w:fill="CCEEFF"/>
          </w:tcPr>
          <w:p>
            <w:pPr>
              <w:jc w:val="right"/>
              <w:ind w:right="56"/>
              <w:spacing w:after="0"/>
              <w:rPr>
                <w:sz w:val="20"/>
                <w:szCs w:val="20"/>
                <w:color w:val="auto"/>
              </w:rPr>
            </w:pPr>
            <w:r>
              <w:rPr>
                <w:rFonts w:ascii="Times New Roman" w:cs="Times New Roman" w:eastAsia="Times New Roman" w:hAnsi="Times New Roman"/>
                <w:sz w:val="13"/>
                <w:szCs w:val="13"/>
                <w:color w:val="auto"/>
                <w:w w:val="91"/>
              </w:rPr>
              <w:t>$</w:t>
            </w:r>
          </w:p>
        </w:tc>
        <w:tc>
          <w:tcPr>
            <w:tcW w:w="72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90.52</w:t>
            </w:r>
          </w:p>
        </w:tc>
        <w:tc>
          <w:tcPr>
            <w:tcW w:w="100" w:type="dxa"/>
            <w:vAlign w:val="bottom"/>
            <w:tcBorders>
              <w:top w:val="single" w:sz="8" w:color="CCEEFF"/>
            </w:tcBorders>
            <w:shd w:val="clear" w:color="auto" w:fill="CCEEFF"/>
          </w:tcPr>
          <w:p>
            <w:pPr>
              <w:spacing w:after="0"/>
              <w:rPr>
                <w:sz w:val="14"/>
                <w:szCs w:val="14"/>
                <w:color w:val="auto"/>
              </w:rPr>
            </w:pPr>
          </w:p>
        </w:tc>
        <w:tc>
          <w:tcPr>
            <w:tcW w:w="220" w:type="dxa"/>
            <w:vAlign w:val="bottom"/>
            <w:tcBorders>
              <w:top w:val="single" w:sz="8" w:color="auto"/>
            </w:tcBorders>
            <w:shd w:val="clear" w:color="auto" w:fill="CCEEFF"/>
          </w:tcPr>
          <w:p>
            <w:pPr>
              <w:jc w:val="right"/>
              <w:ind w:right="76"/>
              <w:spacing w:after="0"/>
              <w:rPr>
                <w:sz w:val="20"/>
                <w:szCs w:val="20"/>
                <w:color w:val="auto"/>
              </w:rPr>
            </w:pPr>
            <w:r>
              <w:rPr>
                <w:rFonts w:ascii="Times New Roman" w:cs="Times New Roman" w:eastAsia="Times New Roman" w:hAnsi="Times New Roman"/>
                <w:sz w:val="13"/>
                <w:szCs w:val="13"/>
                <w:color w:val="auto"/>
                <w:w w:val="91"/>
              </w:rPr>
              <w:t>$</w:t>
            </w:r>
          </w:p>
        </w:tc>
        <w:tc>
          <w:tcPr>
            <w:tcW w:w="70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107.72</w:t>
            </w:r>
          </w:p>
        </w:tc>
        <w:tc>
          <w:tcPr>
            <w:tcW w:w="100" w:type="dxa"/>
            <w:vAlign w:val="bottom"/>
            <w:tcBorders>
              <w:top w:val="single" w:sz="8" w:color="CCEEFF"/>
            </w:tcBorders>
            <w:shd w:val="clear" w:color="auto" w:fill="CCEEFF"/>
          </w:tcPr>
          <w:p>
            <w:pPr>
              <w:spacing w:after="0"/>
              <w:rPr>
                <w:sz w:val="14"/>
                <w:szCs w:val="14"/>
                <w:color w:val="auto"/>
              </w:rPr>
            </w:pPr>
          </w:p>
        </w:tc>
        <w:tc>
          <w:tcPr>
            <w:tcW w:w="220" w:type="dxa"/>
            <w:vAlign w:val="bottom"/>
            <w:tcBorders>
              <w:top w:val="single" w:sz="8" w:color="auto"/>
            </w:tcBorders>
            <w:shd w:val="clear" w:color="auto" w:fill="CCEEFF"/>
          </w:tcPr>
          <w:p>
            <w:pPr>
              <w:jc w:val="right"/>
              <w:ind w:right="76"/>
              <w:spacing w:after="0"/>
              <w:rPr>
                <w:sz w:val="20"/>
                <w:szCs w:val="20"/>
                <w:color w:val="auto"/>
              </w:rPr>
            </w:pPr>
            <w:r>
              <w:rPr>
                <w:rFonts w:ascii="Times New Roman" w:cs="Times New Roman" w:eastAsia="Times New Roman" w:hAnsi="Times New Roman"/>
                <w:sz w:val="13"/>
                <w:szCs w:val="13"/>
                <w:color w:val="auto"/>
                <w:w w:val="91"/>
              </w:rPr>
              <w:t>$</w:t>
            </w:r>
          </w:p>
        </w:tc>
        <w:tc>
          <w:tcPr>
            <w:tcW w:w="70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130.20</w:t>
            </w:r>
          </w:p>
        </w:tc>
        <w:tc>
          <w:tcPr>
            <w:tcW w:w="100" w:type="dxa"/>
            <w:vAlign w:val="bottom"/>
            <w:tcBorders>
              <w:top w:val="single" w:sz="8" w:color="CCEEFF"/>
            </w:tcBorders>
            <w:shd w:val="clear" w:color="auto" w:fill="CCEEFF"/>
          </w:tcPr>
          <w:p>
            <w:pPr>
              <w:spacing w:after="0"/>
              <w:rPr>
                <w:sz w:val="14"/>
                <w:szCs w:val="14"/>
                <w:color w:val="auto"/>
              </w:rPr>
            </w:pPr>
          </w:p>
        </w:tc>
        <w:tc>
          <w:tcPr>
            <w:tcW w:w="220" w:type="dxa"/>
            <w:vAlign w:val="bottom"/>
            <w:tcBorders>
              <w:top w:val="single" w:sz="8" w:color="auto"/>
            </w:tcBorders>
            <w:shd w:val="clear" w:color="auto" w:fill="CCEEFF"/>
          </w:tcPr>
          <w:p>
            <w:pPr>
              <w:jc w:val="right"/>
              <w:ind w:right="76"/>
              <w:spacing w:after="0"/>
              <w:rPr>
                <w:sz w:val="20"/>
                <w:szCs w:val="20"/>
                <w:color w:val="auto"/>
              </w:rPr>
            </w:pPr>
            <w:r>
              <w:rPr>
                <w:rFonts w:ascii="Times New Roman" w:cs="Times New Roman" w:eastAsia="Times New Roman" w:hAnsi="Times New Roman"/>
                <w:sz w:val="13"/>
                <w:szCs w:val="13"/>
                <w:color w:val="auto"/>
                <w:w w:val="91"/>
              </w:rPr>
              <w:t>$</w:t>
            </w:r>
          </w:p>
        </w:tc>
        <w:tc>
          <w:tcPr>
            <w:tcW w:w="72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160.26</w:t>
            </w:r>
          </w:p>
        </w:tc>
        <w:tc>
          <w:tcPr>
            <w:tcW w:w="80" w:type="dxa"/>
            <w:vAlign w:val="bottom"/>
            <w:tcBorders>
              <w:top w:val="single" w:sz="8" w:color="CCEEFF"/>
            </w:tcBorders>
            <w:shd w:val="clear" w:color="auto" w:fill="CCEEFF"/>
          </w:tcPr>
          <w:p>
            <w:pPr>
              <w:spacing w:after="0"/>
              <w:rPr>
                <w:sz w:val="14"/>
                <w:szCs w:val="14"/>
                <w:color w:val="auto"/>
              </w:rPr>
            </w:pPr>
          </w:p>
        </w:tc>
        <w:tc>
          <w:tcPr>
            <w:tcW w:w="148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60.26 %</w:t>
            </w:r>
          </w:p>
        </w:tc>
        <w:tc>
          <w:tcPr>
            <w:tcW w:w="0" w:type="dxa"/>
            <w:vAlign w:val="bottom"/>
          </w:tcPr>
          <w:p>
            <w:pPr>
              <w:spacing w:after="0"/>
              <w:rPr>
                <w:sz w:val="1"/>
                <w:szCs w:val="1"/>
                <w:color w:val="auto"/>
              </w:rPr>
            </w:pPr>
          </w:p>
        </w:tc>
      </w:tr>
      <w:tr>
        <w:trPr>
          <w:trHeight w:val="168"/>
        </w:trPr>
        <w:tc>
          <w:tcPr>
            <w:tcW w:w="3680" w:type="dxa"/>
            <w:vAlign w:val="bottom"/>
            <w:gridSpan w:val="2"/>
          </w:tcPr>
          <w:p>
            <w:pPr>
              <w:ind w:left="20"/>
              <w:spacing w:after="0"/>
              <w:rPr>
                <w:sz w:val="20"/>
                <w:szCs w:val="20"/>
                <w:color w:val="auto"/>
              </w:rPr>
            </w:pPr>
            <w:r>
              <w:rPr>
                <w:rFonts w:ascii="Times New Roman" w:cs="Times New Roman" w:eastAsia="Times New Roman" w:hAnsi="Times New Roman"/>
                <w:sz w:val="13"/>
                <w:szCs w:val="13"/>
                <w:color w:val="auto"/>
              </w:rPr>
              <w:t>Russell 2000 Index</w:t>
            </w:r>
          </w:p>
        </w:tc>
        <w:tc>
          <w:tcPr>
            <w:tcW w:w="220" w:type="dxa"/>
            <w:vAlign w:val="bottom"/>
          </w:tcPr>
          <w:p>
            <w:pPr>
              <w:spacing w:after="0"/>
              <w:rPr>
                <w:sz w:val="14"/>
                <w:szCs w:val="14"/>
                <w:color w:val="auto"/>
              </w:rPr>
            </w:pPr>
          </w:p>
        </w:tc>
        <w:tc>
          <w:tcPr>
            <w:tcW w:w="70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100.00</w:t>
            </w:r>
          </w:p>
        </w:tc>
        <w:tc>
          <w:tcPr>
            <w:tcW w:w="10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70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114.82</w:t>
            </w:r>
          </w:p>
        </w:tc>
        <w:tc>
          <w:tcPr>
            <w:tcW w:w="10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72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91.35</w:t>
            </w:r>
          </w:p>
        </w:tc>
        <w:tc>
          <w:tcPr>
            <w:tcW w:w="10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70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106.82</w:t>
            </w:r>
          </w:p>
        </w:tc>
        <w:tc>
          <w:tcPr>
            <w:tcW w:w="10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70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119.14</w:t>
            </w:r>
          </w:p>
        </w:tc>
        <w:tc>
          <w:tcPr>
            <w:tcW w:w="10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72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134.40</w:t>
            </w:r>
          </w:p>
        </w:tc>
        <w:tc>
          <w:tcPr>
            <w:tcW w:w="1560" w:type="dxa"/>
            <w:vAlign w:val="bottom"/>
            <w:gridSpan w:val="2"/>
          </w:tcPr>
          <w:p>
            <w:pPr>
              <w:jc w:val="right"/>
              <w:spacing w:after="0"/>
              <w:rPr>
                <w:sz w:val="20"/>
                <w:szCs w:val="20"/>
                <w:color w:val="auto"/>
              </w:rPr>
            </w:pPr>
            <w:r>
              <w:rPr>
                <w:rFonts w:ascii="Times New Roman" w:cs="Times New Roman" w:eastAsia="Times New Roman" w:hAnsi="Times New Roman"/>
                <w:sz w:val="13"/>
                <w:szCs w:val="13"/>
                <w:color w:val="auto"/>
              </w:rPr>
              <w:t>34.40 %</w:t>
            </w:r>
          </w:p>
        </w:tc>
        <w:tc>
          <w:tcPr>
            <w:tcW w:w="0" w:type="dxa"/>
            <w:vAlign w:val="bottom"/>
          </w:tcPr>
          <w:p>
            <w:pPr>
              <w:spacing w:after="0"/>
              <w:rPr>
                <w:sz w:val="1"/>
                <w:szCs w:val="1"/>
                <w:color w:val="auto"/>
              </w:rPr>
            </w:pPr>
          </w:p>
        </w:tc>
      </w:tr>
      <w:tr>
        <w:trPr>
          <w:trHeight w:val="172"/>
        </w:trPr>
        <w:tc>
          <w:tcPr>
            <w:tcW w:w="3680" w:type="dxa"/>
            <w:vAlign w:val="bottom"/>
            <w:gridSpan w:val="2"/>
            <w:shd w:val="clear" w:color="auto" w:fill="CCEEFF"/>
          </w:tcPr>
          <w:p>
            <w:pPr>
              <w:ind w:left="20"/>
              <w:spacing w:after="0"/>
              <w:rPr>
                <w:sz w:val="20"/>
                <w:szCs w:val="20"/>
                <w:color w:val="auto"/>
              </w:rPr>
            </w:pPr>
            <w:r>
              <w:rPr>
                <w:rFonts w:ascii="Times New Roman" w:cs="Times New Roman" w:eastAsia="Times New Roman" w:hAnsi="Times New Roman"/>
                <w:sz w:val="13"/>
                <w:szCs w:val="13"/>
                <w:color w:val="auto"/>
              </w:rPr>
              <w:t>S&amp;P U.S. BMI Asset Management &amp; Custody Banks Index</w:t>
            </w:r>
          </w:p>
        </w:tc>
        <w:tc>
          <w:tcPr>
            <w:tcW w:w="220" w:type="dxa"/>
            <w:vAlign w:val="bottom"/>
            <w:shd w:val="clear" w:color="auto" w:fill="CCEEFF"/>
          </w:tcPr>
          <w:p>
            <w:pPr>
              <w:spacing w:after="0"/>
              <w:rPr>
                <w:sz w:val="14"/>
                <w:szCs w:val="14"/>
                <w:color w:val="auto"/>
              </w:rPr>
            </w:pPr>
          </w:p>
        </w:tc>
        <w:tc>
          <w:tcPr>
            <w:tcW w:w="7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100.00</w:t>
            </w:r>
          </w:p>
        </w:tc>
        <w:tc>
          <w:tcPr>
            <w:tcW w:w="100" w:type="dxa"/>
            <w:vAlign w:val="bottom"/>
            <w:shd w:val="clear" w:color="auto" w:fill="CCEEFF"/>
          </w:tcPr>
          <w:p>
            <w:pPr>
              <w:spacing w:after="0"/>
              <w:rPr>
                <w:sz w:val="14"/>
                <w:szCs w:val="14"/>
                <w:color w:val="auto"/>
              </w:rPr>
            </w:pPr>
          </w:p>
        </w:tc>
        <w:tc>
          <w:tcPr>
            <w:tcW w:w="220" w:type="dxa"/>
            <w:vAlign w:val="bottom"/>
            <w:shd w:val="clear" w:color="auto" w:fill="CCEEFF"/>
          </w:tcPr>
          <w:p>
            <w:pPr>
              <w:spacing w:after="0"/>
              <w:rPr>
                <w:sz w:val="14"/>
                <w:szCs w:val="14"/>
                <w:color w:val="auto"/>
              </w:rPr>
            </w:pPr>
          </w:p>
        </w:tc>
        <w:tc>
          <w:tcPr>
            <w:tcW w:w="7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147.62</w:t>
            </w:r>
          </w:p>
        </w:tc>
        <w:tc>
          <w:tcPr>
            <w:tcW w:w="100" w:type="dxa"/>
            <w:vAlign w:val="bottom"/>
            <w:shd w:val="clear" w:color="auto" w:fill="CCEEFF"/>
          </w:tcPr>
          <w:p>
            <w:pPr>
              <w:spacing w:after="0"/>
              <w:rPr>
                <w:sz w:val="14"/>
                <w:szCs w:val="14"/>
                <w:color w:val="auto"/>
              </w:rPr>
            </w:pPr>
          </w:p>
        </w:tc>
        <w:tc>
          <w:tcPr>
            <w:tcW w:w="200" w:type="dxa"/>
            <w:vAlign w:val="bottom"/>
            <w:shd w:val="clear" w:color="auto" w:fill="CCEEFF"/>
          </w:tcPr>
          <w:p>
            <w:pPr>
              <w:spacing w:after="0"/>
              <w:rPr>
                <w:sz w:val="14"/>
                <w:szCs w:val="14"/>
                <w:color w:val="auto"/>
              </w:rPr>
            </w:pPr>
          </w:p>
        </w:tc>
        <w:tc>
          <w:tcPr>
            <w:tcW w:w="7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110.59</w:t>
            </w:r>
          </w:p>
        </w:tc>
        <w:tc>
          <w:tcPr>
            <w:tcW w:w="100" w:type="dxa"/>
            <w:vAlign w:val="bottom"/>
            <w:shd w:val="clear" w:color="auto" w:fill="CCEEFF"/>
          </w:tcPr>
          <w:p>
            <w:pPr>
              <w:spacing w:after="0"/>
              <w:rPr>
                <w:sz w:val="14"/>
                <w:szCs w:val="14"/>
                <w:color w:val="auto"/>
              </w:rPr>
            </w:pPr>
          </w:p>
        </w:tc>
        <w:tc>
          <w:tcPr>
            <w:tcW w:w="220" w:type="dxa"/>
            <w:vAlign w:val="bottom"/>
            <w:shd w:val="clear" w:color="auto" w:fill="CCEEFF"/>
          </w:tcPr>
          <w:p>
            <w:pPr>
              <w:spacing w:after="0"/>
              <w:rPr>
                <w:sz w:val="14"/>
                <w:szCs w:val="14"/>
                <w:color w:val="auto"/>
              </w:rPr>
            </w:pPr>
          </w:p>
        </w:tc>
        <w:tc>
          <w:tcPr>
            <w:tcW w:w="7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145.36</w:t>
            </w:r>
          </w:p>
        </w:tc>
        <w:tc>
          <w:tcPr>
            <w:tcW w:w="100" w:type="dxa"/>
            <w:vAlign w:val="bottom"/>
            <w:shd w:val="clear" w:color="auto" w:fill="CCEEFF"/>
          </w:tcPr>
          <w:p>
            <w:pPr>
              <w:spacing w:after="0"/>
              <w:rPr>
                <w:sz w:val="14"/>
                <w:szCs w:val="14"/>
                <w:color w:val="auto"/>
              </w:rPr>
            </w:pPr>
          </w:p>
        </w:tc>
        <w:tc>
          <w:tcPr>
            <w:tcW w:w="220" w:type="dxa"/>
            <w:vAlign w:val="bottom"/>
            <w:shd w:val="clear" w:color="auto" w:fill="CCEEFF"/>
          </w:tcPr>
          <w:p>
            <w:pPr>
              <w:spacing w:after="0"/>
              <w:rPr>
                <w:sz w:val="14"/>
                <w:szCs w:val="14"/>
                <w:color w:val="auto"/>
              </w:rPr>
            </w:pPr>
          </w:p>
        </w:tc>
        <w:tc>
          <w:tcPr>
            <w:tcW w:w="7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200.58</w:t>
            </w:r>
          </w:p>
        </w:tc>
        <w:tc>
          <w:tcPr>
            <w:tcW w:w="100" w:type="dxa"/>
            <w:vAlign w:val="bottom"/>
            <w:shd w:val="clear" w:color="auto" w:fill="CCEEFF"/>
          </w:tcPr>
          <w:p>
            <w:pPr>
              <w:spacing w:after="0"/>
              <w:rPr>
                <w:sz w:val="14"/>
                <w:szCs w:val="14"/>
                <w:color w:val="auto"/>
              </w:rPr>
            </w:pPr>
          </w:p>
        </w:tc>
        <w:tc>
          <w:tcPr>
            <w:tcW w:w="220" w:type="dxa"/>
            <w:vAlign w:val="bottom"/>
            <w:shd w:val="clear" w:color="auto" w:fill="CCEEFF"/>
          </w:tcPr>
          <w:p>
            <w:pPr>
              <w:spacing w:after="0"/>
              <w:rPr>
                <w:sz w:val="14"/>
                <w:szCs w:val="14"/>
                <w:color w:val="auto"/>
              </w:rPr>
            </w:pPr>
          </w:p>
        </w:tc>
        <w:tc>
          <w:tcPr>
            <w:tcW w:w="7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211.25</w:t>
            </w:r>
          </w:p>
        </w:tc>
        <w:tc>
          <w:tcPr>
            <w:tcW w:w="156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111.25 %</w:t>
            </w:r>
          </w:p>
        </w:tc>
        <w:tc>
          <w:tcPr>
            <w:tcW w:w="0" w:type="dxa"/>
            <w:vAlign w:val="bottom"/>
          </w:tcPr>
          <w:p>
            <w:pPr>
              <w:spacing w:after="0"/>
              <w:rPr>
                <w:sz w:val="1"/>
                <w:szCs w:val="1"/>
                <w:color w:val="auto"/>
              </w:rPr>
            </w:pPr>
          </w:p>
        </w:tc>
      </w:tr>
    </w:tbl>
    <w:p>
      <w:pPr>
        <w:spacing w:after="0" w:line="134" w:lineRule="exact"/>
        <w:rPr>
          <w:sz w:val="20"/>
          <w:szCs w:val="20"/>
          <w:color w:val="auto"/>
        </w:rPr>
      </w:pPr>
    </w:p>
    <w:p>
      <w:pPr>
        <w:ind w:right="260" w:firstLine="382"/>
        <w:spacing w:after="0" w:line="287" w:lineRule="auto"/>
        <w:rPr>
          <w:sz w:val="20"/>
          <w:szCs w:val="20"/>
          <w:color w:val="auto"/>
        </w:rPr>
      </w:pPr>
      <w:r>
        <w:rPr>
          <w:rFonts w:ascii="Times New Roman" w:cs="Times New Roman" w:eastAsia="Times New Roman" w:hAnsi="Times New Roman"/>
          <w:sz w:val="14"/>
          <w:szCs w:val="14"/>
          <w:color w:val="auto"/>
        </w:rPr>
        <w:t>The total return for our stock and for each index assumes $100 invested on December 31, 2020 in our common stock, the Russell 2000 Index, and the S&amp;P U.S. BMI Asset Management &amp; Custody Banks Index, including reinvestment of dividends.</w:t>
      </w:r>
    </w:p>
    <w:p>
      <w:pPr>
        <w:spacing w:after="0" w:line="39" w:lineRule="exact"/>
        <w:rPr>
          <w:sz w:val="20"/>
          <w:szCs w:val="20"/>
          <w:color w:val="auto"/>
        </w:rPr>
      </w:pPr>
    </w:p>
    <w:p>
      <w:pPr>
        <w:ind w:right="200" w:firstLine="382"/>
        <w:spacing w:after="0" w:line="287" w:lineRule="auto"/>
        <w:rPr>
          <w:sz w:val="20"/>
          <w:szCs w:val="20"/>
          <w:color w:val="auto"/>
        </w:rPr>
      </w:pPr>
      <w:r>
        <w:rPr>
          <w:rFonts w:ascii="Times New Roman" w:cs="Times New Roman" w:eastAsia="Times New Roman" w:hAnsi="Times New Roman"/>
          <w:sz w:val="14"/>
          <w:szCs w:val="14"/>
          <w:color w:val="auto"/>
        </w:rPr>
        <w:t>The closing price of our common stock on the last trading day of the year ended December 31, 2025 was $17.21 per share. Historical stock price performance is not necessarily indicative of future price performance.</w:t>
      </w:r>
    </w:p>
    <w:p>
      <w:pPr>
        <w:spacing w:after="0" w:line="165" w:lineRule="exact"/>
        <w:rPr>
          <w:sz w:val="20"/>
          <w:szCs w:val="20"/>
          <w:color w:val="auto"/>
        </w:rPr>
      </w:pPr>
    </w:p>
    <w:p>
      <w:pPr>
        <w:spacing w:after="0"/>
        <w:tabs>
          <w:tab w:leader="none" w:pos="560" w:val="left"/>
        </w:tabs>
        <w:rPr>
          <w:sz w:val="20"/>
          <w:szCs w:val="20"/>
          <w:color w:val="auto"/>
        </w:rPr>
      </w:pPr>
      <w:r>
        <w:rPr>
          <w:rFonts w:ascii="Times New Roman" w:cs="Times New Roman" w:eastAsia="Times New Roman" w:hAnsi="Times New Roman"/>
          <w:sz w:val="14"/>
          <w:szCs w:val="14"/>
          <w:b w:val="1"/>
          <w:bCs w:val="1"/>
          <w:color w:val="auto"/>
        </w:rPr>
        <w:t>Item 6.</w:t>
      </w:r>
      <w:r>
        <w:rPr>
          <w:sz w:val="20"/>
          <w:szCs w:val="20"/>
          <w:color w:val="auto"/>
        </w:rPr>
        <w:tab/>
      </w:r>
      <w:r>
        <w:rPr>
          <w:rFonts w:ascii="Times New Roman" w:cs="Times New Roman" w:eastAsia="Times New Roman" w:hAnsi="Times New Roman"/>
          <w:sz w:val="13"/>
          <w:szCs w:val="13"/>
          <w:b w:val="1"/>
          <w:bCs w:val="1"/>
          <w:color w:val="auto"/>
        </w:rPr>
        <w:t>Reserved.</w:t>
      </w:r>
    </w:p>
    <w:p>
      <w:pPr>
        <w:spacing w:after="0" w:line="200" w:lineRule="exact"/>
        <w:rPr>
          <w:sz w:val="20"/>
          <w:szCs w:val="20"/>
          <w:color w:val="auto"/>
        </w:rPr>
      </w:pPr>
    </w:p>
    <w:p>
      <w:pPr>
        <w:spacing w:after="0" w:line="24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4"/>
          <w:szCs w:val="14"/>
          <w:color w:val="auto"/>
        </w:rPr>
        <w:t>23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-8890</wp:posOffset>
            </wp:positionH>
            <wp:positionV relativeFrom="paragraph">
              <wp:posOffset>55880</wp:posOffset>
            </wp:positionV>
            <wp:extent cx="7186930" cy="38735"/>
            <wp:wrapNone/>
            <wp:docPr id="31" name="Picture 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
                    <pic:cNvPicPr>
                      <a:picLocks noChangeAspect="1" noChangeArrowheads="1"/>
                    </pic:cNvPicPr>
                  </pic:nvPicPr>
                  <pic:blipFill>
                    <a:blip r:embed="rId38">
                      <a:extLst>
                        <a:ext uri="{28A0092B-C50C-407E-A947-70E740481C1C}"/>
                      </a:extLst>
                    </a:blip>
                    <a:srcRect/>
                    <a:stretch>
                      <a:fillRect/>
                    </a:stretch>
                  </pic:blipFill>
                  <pic:spPr bwMode="auto">
                    <a:xfrm>
                      <a:off x="0" y="0"/>
                      <a:ext cx="7186930" cy="38735"/>
                    </a:xfrm>
                    <a:prstGeom prst="rect">
                      <a:avLst/>
                    </a:prstGeom>
                    <a:noFill/>
                  </pic:spPr>
                </pic:pic>
              </a:graphicData>
            </a:graphic>
          </wp:anchor>
        </w:drawing>
      </w:r>
    </w:p>
    <w:p>
      <w:pPr>
        <w:sectPr>
          <w:pgSz w:w="11900" w:h="16838" w:orient="portrait"/>
          <w:cols w:equalWidth="0" w:num="1">
            <w:col w:w="11280"/>
          </w:cols>
          <w:pgMar w:left="300" w:top="855" w:right="319" w:bottom="1440" w:gutter="0" w:footer="0" w:header="0"/>
        </w:sectPr>
      </w:pPr>
    </w:p>
    <w:bookmarkStart w:id="25" w:name="page26"/>
    <w:bookmarkEnd w:id="25"/>
    <w:p>
      <w:pPr>
        <w:spacing w:after="0"/>
        <w:tabs>
          <w:tab w:leader="none" w:pos="560" w:val="left"/>
        </w:tabs>
        <w:rPr>
          <w:sz w:val="20"/>
          <w:szCs w:val="20"/>
          <w:color w:val="auto"/>
        </w:rPr>
      </w:pPr>
      <w:r>
        <w:rPr>
          <w:rFonts w:ascii="Times New Roman" w:cs="Times New Roman" w:eastAsia="Times New Roman" w:hAnsi="Times New Roman"/>
          <w:sz w:val="14"/>
          <w:szCs w:val="14"/>
          <w:b w:val="1"/>
          <w:bCs w:val="1"/>
          <w:color w:val="auto"/>
        </w:rPr>
        <w:t>Item 7.</w:t>
        <w:tab/>
        <w:t>Management’s Discussion and Analysis of Financial Condition and Results of Operations.</w:t>
      </w:r>
    </w:p>
    <w:p>
      <w:pPr>
        <w:spacing w:after="0" w:line="94" w:lineRule="exact"/>
        <w:rPr>
          <w:sz w:val="20"/>
          <w:szCs w:val="20"/>
          <w:color w:val="auto"/>
        </w:rPr>
      </w:pPr>
    </w:p>
    <w:p>
      <w:pPr>
        <w:ind w:left="380"/>
        <w:spacing w:after="0"/>
        <w:rPr>
          <w:sz w:val="20"/>
          <w:szCs w:val="20"/>
          <w:color w:val="auto"/>
        </w:rPr>
      </w:pPr>
      <w:r>
        <w:rPr>
          <w:rFonts w:ascii="Times New Roman" w:cs="Times New Roman" w:eastAsia="Times New Roman" w:hAnsi="Times New Roman"/>
          <w:sz w:val="14"/>
          <w:szCs w:val="14"/>
          <w:i w:val="1"/>
          <w:iCs w:val="1"/>
          <w:color w:val="auto"/>
        </w:rPr>
        <w:t>You should read the following discussion and analysis in conjunction with our Consolidated Financial Statements and related notes thereto appearing elsewhere in this Report.</w:t>
      </w:r>
    </w:p>
    <w:p>
      <w:pPr>
        <w:spacing w:after="0" w:line="94" w:lineRule="exact"/>
        <w:rPr>
          <w:sz w:val="20"/>
          <w:szCs w:val="20"/>
          <w:color w:val="auto"/>
        </w:rPr>
      </w:pPr>
    </w:p>
    <w:p>
      <w:pPr>
        <w:ind w:left="380"/>
        <w:spacing w:after="0"/>
        <w:rPr>
          <w:sz w:val="20"/>
          <w:szCs w:val="20"/>
          <w:color w:val="auto"/>
        </w:rPr>
      </w:pPr>
      <w:r>
        <w:rPr>
          <w:rFonts w:ascii="Times New Roman" w:cs="Times New Roman" w:eastAsia="Times New Roman" w:hAnsi="Times New Roman"/>
          <w:sz w:val="14"/>
          <w:szCs w:val="14"/>
          <w:i w:val="1"/>
          <w:iCs w:val="1"/>
          <w:color w:val="auto"/>
        </w:rPr>
        <w:t>Forward-Looking Statements</w:t>
      </w:r>
    </w:p>
    <w:p>
      <w:pPr>
        <w:spacing w:after="0" w:line="96" w:lineRule="exact"/>
        <w:rPr>
          <w:sz w:val="20"/>
          <w:szCs w:val="20"/>
          <w:color w:val="auto"/>
        </w:rPr>
      </w:pPr>
    </w:p>
    <w:p>
      <w:pPr>
        <w:ind w:right="20" w:firstLine="382"/>
        <w:spacing w:after="0" w:line="258" w:lineRule="auto"/>
        <w:rPr>
          <w:sz w:val="20"/>
          <w:szCs w:val="20"/>
          <w:color w:val="auto"/>
        </w:rPr>
      </w:pPr>
      <w:r>
        <w:rPr>
          <w:rFonts w:ascii="Times New Roman" w:cs="Times New Roman" w:eastAsia="Times New Roman" w:hAnsi="Times New Roman"/>
          <w:sz w:val="14"/>
          <w:szCs w:val="14"/>
          <w:color w:val="auto"/>
        </w:rPr>
        <w:t>Statements in this Report and the Annual Report to Stockholders that are not purely historical facts, including, without limitation, statements about our expected future financial position, results of operations or cash flows, as well as other statements including, without limitation, words such as “anticipate,” “forecast”, “explore,” “believe,” “plan,” “estimate,” “expect,” “intend,” “should,” "potentially," “could,” “goal,” “may,” “target,” “designed” and other similar expressions, constitute forward-looking statements within the meaning of Section 27A of the Securities Act of 1933, as amended, and Section 21E of the Exchange Act. Because forward-looking statements relate to the future, they are subject to inherent uncertainties, risks and changes in circumstances that are difficult to predict and many of which are outside of our control. Actual results, our financial condition, and the timing of some events could differ materially from those projected in or contemplated by the forward-looking statements. Therefore, you should not rely on any of these forward-looking statements. Important factors that could cause our actual results and financial condition to differ materially from those indicated in the forward-looking statements include, among others:</w:t>
      </w:r>
    </w:p>
    <w:p>
      <w:pPr>
        <w:spacing w:after="0" w:line="62" w:lineRule="exact"/>
        <w:rPr>
          <w:sz w:val="20"/>
          <w:szCs w:val="20"/>
          <w:color w:val="auto"/>
        </w:rPr>
      </w:pPr>
    </w:p>
    <w:p>
      <w:pPr>
        <w:ind w:left="760" w:hanging="246"/>
        <w:spacing w:after="0"/>
        <w:tabs>
          <w:tab w:leader="none" w:pos="760" w:val="left"/>
        </w:tabs>
        <w:numPr>
          <w:ilvl w:val="0"/>
          <w:numId w:val="12"/>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the composition and market value of our AUM and AUA;</w:t>
      </w:r>
    </w:p>
    <w:p>
      <w:pPr>
        <w:spacing w:after="0" w:line="93" w:lineRule="exact"/>
        <w:rPr>
          <w:rFonts w:ascii="Times New Roman" w:cs="Times New Roman" w:eastAsia="Times New Roman" w:hAnsi="Times New Roman"/>
          <w:sz w:val="14"/>
          <w:szCs w:val="14"/>
          <w:color w:val="auto"/>
        </w:rPr>
      </w:pPr>
    </w:p>
    <w:p>
      <w:pPr>
        <w:ind w:left="760" w:hanging="246"/>
        <w:spacing w:after="0"/>
        <w:tabs>
          <w:tab w:leader="none" w:pos="760" w:val="left"/>
        </w:tabs>
        <w:numPr>
          <w:ilvl w:val="0"/>
          <w:numId w:val="12"/>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our ability to maintain our fee structure in light of competitive fee pressures;</w:t>
      </w:r>
    </w:p>
    <w:p>
      <w:pPr>
        <w:spacing w:after="0" w:line="93" w:lineRule="exact"/>
        <w:rPr>
          <w:rFonts w:ascii="Times New Roman" w:cs="Times New Roman" w:eastAsia="Times New Roman" w:hAnsi="Times New Roman"/>
          <w:sz w:val="14"/>
          <w:szCs w:val="14"/>
          <w:color w:val="auto"/>
        </w:rPr>
      </w:pPr>
    </w:p>
    <w:p>
      <w:pPr>
        <w:ind w:left="760" w:hanging="246"/>
        <w:spacing w:after="0"/>
        <w:tabs>
          <w:tab w:leader="none" w:pos="760" w:val="left"/>
        </w:tabs>
        <w:numPr>
          <w:ilvl w:val="0"/>
          <w:numId w:val="12"/>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risks associated with actions of activist stockholders;</w:t>
      </w:r>
    </w:p>
    <w:p>
      <w:pPr>
        <w:spacing w:after="0" w:line="93" w:lineRule="exact"/>
        <w:rPr>
          <w:rFonts w:ascii="Times New Roman" w:cs="Times New Roman" w:eastAsia="Times New Roman" w:hAnsi="Times New Roman"/>
          <w:sz w:val="14"/>
          <w:szCs w:val="14"/>
          <w:color w:val="auto"/>
        </w:rPr>
      </w:pPr>
    </w:p>
    <w:p>
      <w:pPr>
        <w:ind w:left="760" w:hanging="246"/>
        <w:spacing w:after="0"/>
        <w:tabs>
          <w:tab w:leader="none" w:pos="760" w:val="left"/>
        </w:tabs>
        <w:numPr>
          <w:ilvl w:val="0"/>
          <w:numId w:val="12"/>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distributions to our common stockholders have included and may in the future include a return of capital;</w:t>
      </w:r>
    </w:p>
    <w:p>
      <w:pPr>
        <w:spacing w:after="0" w:line="93" w:lineRule="exact"/>
        <w:rPr>
          <w:rFonts w:ascii="Times New Roman" w:cs="Times New Roman" w:eastAsia="Times New Roman" w:hAnsi="Times New Roman"/>
          <w:sz w:val="14"/>
          <w:szCs w:val="14"/>
          <w:color w:val="auto"/>
        </w:rPr>
      </w:pPr>
    </w:p>
    <w:p>
      <w:pPr>
        <w:ind w:left="760" w:hanging="246"/>
        <w:spacing w:after="0"/>
        <w:tabs>
          <w:tab w:leader="none" w:pos="760" w:val="left"/>
        </w:tabs>
        <w:numPr>
          <w:ilvl w:val="0"/>
          <w:numId w:val="12"/>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inclusion of foreign company investments in our AUM;</w:t>
      </w:r>
    </w:p>
    <w:p>
      <w:pPr>
        <w:spacing w:after="0" w:line="93" w:lineRule="exact"/>
        <w:rPr>
          <w:rFonts w:ascii="Times New Roman" w:cs="Times New Roman" w:eastAsia="Times New Roman" w:hAnsi="Times New Roman"/>
          <w:sz w:val="14"/>
          <w:szCs w:val="14"/>
          <w:color w:val="auto"/>
        </w:rPr>
      </w:pPr>
    </w:p>
    <w:p>
      <w:pPr>
        <w:ind w:left="760" w:hanging="246"/>
        <w:spacing w:after="0"/>
        <w:tabs>
          <w:tab w:leader="none" w:pos="760" w:val="left"/>
        </w:tabs>
        <w:numPr>
          <w:ilvl w:val="0"/>
          <w:numId w:val="12"/>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regulations adversely affecting the financial services industry;</w:t>
      </w:r>
    </w:p>
    <w:p>
      <w:pPr>
        <w:spacing w:after="0" w:line="93" w:lineRule="exact"/>
        <w:rPr>
          <w:rFonts w:ascii="Times New Roman" w:cs="Times New Roman" w:eastAsia="Times New Roman" w:hAnsi="Times New Roman"/>
          <w:sz w:val="14"/>
          <w:szCs w:val="14"/>
          <w:color w:val="auto"/>
        </w:rPr>
      </w:pPr>
    </w:p>
    <w:p>
      <w:pPr>
        <w:ind w:left="760" w:hanging="246"/>
        <w:spacing w:after="0"/>
        <w:tabs>
          <w:tab w:leader="none" w:pos="760" w:val="left"/>
        </w:tabs>
        <w:numPr>
          <w:ilvl w:val="0"/>
          <w:numId w:val="12"/>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our ability to maintain effective cybersecurity;</w:t>
      </w:r>
    </w:p>
    <w:p>
      <w:pPr>
        <w:spacing w:after="0" w:line="93" w:lineRule="exact"/>
        <w:rPr>
          <w:rFonts w:ascii="Times New Roman" w:cs="Times New Roman" w:eastAsia="Times New Roman" w:hAnsi="Times New Roman"/>
          <w:sz w:val="14"/>
          <w:szCs w:val="14"/>
          <w:color w:val="auto"/>
        </w:rPr>
      </w:pPr>
    </w:p>
    <w:p>
      <w:pPr>
        <w:ind w:left="760" w:hanging="246"/>
        <w:spacing w:after="0"/>
        <w:tabs>
          <w:tab w:leader="none" w:pos="760" w:val="left"/>
        </w:tabs>
        <w:numPr>
          <w:ilvl w:val="0"/>
          <w:numId w:val="12"/>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litigation risks;</w:t>
      </w:r>
    </w:p>
    <w:p>
      <w:pPr>
        <w:spacing w:after="0" w:line="93" w:lineRule="exact"/>
        <w:rPr>
          <w:rFonts w:ascii="Times New Roman" w:cs="Times New Roman" w:eastAsia="Times New Roman" w:hAnsi="Times New Roman"/>
          <w:sz w:val="14"/>
          <w:szCs w:val="14"/>
          <w:color w:val="auto"/>
        </w:rPr>
      </w:pPr>
    </w:p>
    <w:p>
      <w:pPr>
        <w:ind w:left="760" w:hanging="246"/>
        <w:spacing w:after="0"/>
        <w:tabs>
          <w:tab w:leader="none" w:pos="760" w:val="left"/>
        </w:tabs>
        <w:numPr>
          <w:ilvl w:val="0"/>
          <w:numId w:val="12"/>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our ability to develop and market new investment strategies successfully;</w:t>
      </w:r>
    </w:p>
    <w:p>
      <w:pPr>
        <w:spacing w:after="0" w:line="93" w:lineRule="exact"/>
        <w:rPr>
          <w:rFonts w:ascii="Times New Roman" w:cs="Times New Roman" w:eastAsia="Times New Roman" w:hAnsi="Times New Roman"/>
          <w:sz w:val="14"/>
          <w:szCs w:val="14"/>
          <w:color w:val="auto"/>
        </w:rPr>
      </w:pPr>
    </w:p>
    <w:p>
      <w:pPr>
        <w:ind w:left="760" w:hanging="246"/>
        <w:spacing w:after="0"/>
        <w:tabs>
          <w:tab w:leader="none" w:pos="760" w:val="left"/>
        </w:tabs>
        <w:numPr>
          <w:ilvl w:val="0"/>
          <w:numId w:val="12"/>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our reputation and our relationships with current and potential customers;</w:t>
      </w:r>
    </w:p>
    <w:p>
      <w:pPr>
        <w:spacing w:after="0" w:line="93" w:lineRule="exact"/>
        <w:rPr>
          <w:rFonts w:ascii="Times New Roman" w:cs="Times New Roman" w:eastAsia="Times New Roman" w:hAnsi="Times New Roman"/>
          <w:sz w:val="14"/>
          <w:szCs w:val="14"/>
          <w:color w:val="auto"/>
        </w:rPr>
      </w:pPr>
    </w:p>
    <w:p>
      <w:pPr>
        <w:ind w:left="760" w:hanging="246"/>
        <w:spacing w:after="0"/>
        <w:tabs>
          <w:tab w:leader="none" w:pos="760" w:val="left"/>
        </w:tabs>
        <w:numPr>
          <w:ilvl w:val="0"/>
          <w:numId w:val="12"/>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our ability to attract and retain qualified personnel;</w:t>
      </w:r>
    </w:p>
    <w:p>
      <w:pPr>
        <w:spacing w:after="0" w:line="93" w:lineRule="exact"/>
        <w:rPr>
          <w:rFonts w:ascii="Times New Roman" w:cs="Times New Roman" w:eastAsia="Times New Roman" w:hAnsi="Times New Roman"/>
          <w:sz w:val="14"/>
          <w:szCs w:val="14"/>
          <w:color w:val="auto"/>
        </w:rPr>
      </w:pPr>
    </w:p>
    <w:p>
      <w:pPr>
        <w:ind w:left="760" w:hanging="246"/>
        <w:spacing w:after="0"/>
        <w:tabs>
          <w:tab w:leader="none" w:pos="760" w:val="left"/>
        </w:tabs>
        <w:numPr>
          <w:ilvl w:val="0"/>
          <w:numId w:val="12"/>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our ability to perform operational tasks;</w:t>
      </w:r>
    </w:p>
    <w:p>
      <w:pPr>
        <w:spacing w:after="0" w:line="93" w:lineRule="exact"/>
        <w:rPr>
          <w:rFonts w:ascii="Times New Roman" w:cs="Times New Roman" w:eastAsia="Times New Roman" w:hAnsi="Times New Roman"/>
          <w:sz w:val="14"/>
          <w:szCs w:val="14"/>
          <w:color w:val="auto"/>
        </w:rPr>
      </w:pPr>
    </w:p>
    <w:p>
      <w:pPr>
        <w:ind w:left="760" w:hanging="246"/>
        <w:spacing w:after="0"/>
        <w:tabs>
          <w:tab w:leader="none" w:pos="760" w:val="left"/>
        </w:tabs>
        <w:numPr>
          <w:ilvl w:val="0"/>
          <w:numId w:val="12"/>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our ability to select and oversee third-party vendors;</w:t>
      </w:r>
    </w:p>
    <w:p>
      <w:pPr>
        <w:spacing w:after="0" w:line="93" w:lineRule="exact"/>
        <w:rPr>
          <w:rFonts w:ascii="Times New Roman" w:cs="Times New Roman" w:eastAsia="Times New Roman" w:hAnsi="Times New Roman"/>
          <w:sz w:val="14"/>
          <w:szCs w:val="14"/>
          <w:color w:val="auto"/>
        </w:rPr>
      </w:pPr>
    </w:p>
    <w:p>
      <w:pPr>
        <w:ind w:left="760" w:hanging="246"/>
        <w:spacing w:after="0"/>
        <w:tabs>
          <w:tab w:leader="none" w:pos="760" w:val="left"/>
        </w:tabs>
        <w:numPr>
          <w:ilvl w:val="0"/>
          <w:numId w:val="12"/>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our dependence on the operations and funds of our subsidiaries;</w:t>
      </w:r>
    </w:p>
    <w:p>
      <w:pPr>
        <w:spacing w:after="0" w:line="93" w:lineRule="exact"/>
        <w:rPr>
          <w:rFonts w:ascii="Times New Roman" w:cs="Times New Roman" w:eastAsia="Times New Roman" w:hAnsi="Times New Roman"/>
          <w:sz w:val="14"/>
          <w:szCs w:val="14"/>
          <w:color w:val="auto"/>
        </w:rPr>
      </w:pPr>
    </w:p>
    <w:p>
      <w:pPr>
        <w:ind w:left="760" w:hanging="246"/>
        <w:spacing w:after="0"/>
        <w:tabs>
          <w:tab w:leader="none" w:pos="760" w:val="left"/>
        </w:tabs>
        <w:numPr>
          <w:ilvl w:val="0"/>
          <w:numId w:val="12"/>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our ability to maintain effective information systems;</w:t>
      </w:r>
    </w:p>
    <w:p>
      <w:pPr>
        <w:spacing w:after="0" w:line="93" w:lineRule="exact"/>
        <w:rPr>
          <w:rFonts w:ascii="Times New Roman" w:cs="Times New Roman" w:eastAsia="Times New Roman" w:hAnsi="Times New Roman"/>
          <w:sz w:val="14"/>
          <w:szCs w:val="14"/>
          <w:color w:val="auto"/>
        </w:rPr>
      </w:pPr>
    </w:p>
    <w:p>
      <w:pPr>
        <w:ind w:left="760" w:hanging="246"/>
        <w:spacing w:after="0" w:line="287" w:lineRule="auto"/>
        <w:tabs>
          <w:tab w:leader="none" w:pos="756" w:val="left"/>
        </w:tabs>
        <w:numPr>
          <w:ilvl w:val="0"/>
          <w:numId w:val="12"/>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our ability to prevent misuse of assets and information in the possession of our employees and third-party vendors, which could damage our reputation and result in costly litigation and liability for our clients and us;</w:t>
      </w:r>
    </w:p>
    <w:p>
      <w:pPr>
        <w:spacing w:after="0" w:line="39" w:lineRule="exact"/>
        <w:rPr>
          <w:rFonts w:ascii="Times New Roman" w:cs="Times New Roman" w:eastAsia="Times New Roman" w:hAnsi="Times New Roman"/>
          <w:sz w:val="14"/>
          <w:szCs w:val="14"/>
          <w:color w:val="auto"/>
        </w:rPr>
      </w:pPr>
    </w:p>
    <w:p>
      <w:pPr>
        <w:ind w:left="760" w:hanging="246"/>
        <w:spacing w:after="0"/>
        <w:tabs>
          <w:tab w:leader="none" w:pos="760" w:val="left"/>
        </w:tabs>
        <w:numPr>
          <w:ilvl w:val="0"/>
          <w:numId w:val="12"/>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our stock is thinly traded and may be subject to volatility;</w:t>
      </w:r>
    </w:p>
    <w:p>
      <w:pPr>
        <w:spacing w:after="0" w:line="93" w:lineRule="exact"/>
        <w:rPr>
          <w:rFonts w:ascii="Times New Roman" w:cs="Times New Roman" w:eastAsia="Times New Roman" w:hAnsi="Times New Roman"/>
          <w:sz w:val="14"/>
          <w:szCs w:val="14"/>
          <w:color w:val="auto"/>
        </w:rPr>
      </w:pPr>
    </w:p>
    <w:p>
      <w:pPr>
        <w:ind w:left="760" w:hanging="246"/>
        <w:spacing w:after="0"/>
        <w:tabs>
          <w:tab w:leader="none" w:pos="760" w:val="left"/>
        </w:tabs>
        <w:numPr>
          <w:ilvl w:val="0"/>
          <w:numId w:val="12"/>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competition in the investment management industry;</w:t>
      </w:r>
    </w:p>
    <w:p>
      <w:pPr>
        <w:spacing w:after="0" w:line="93" w:lineRule="exact"/>
        <w:rPr>
          <w:rFonts w:ascii="Times New Roman" w:cs="Times New Roman" w:eastAsia="Times New Roman" w:hAnsi="Times New Roman"/>
          <w:sz w:val="14"/>
          <w:szCs w:val="14"/>
          <w:color w:val="auto"/>
        </w:rPr>
      </w:pPr>
    </w:p>
    <w:p>
      <w:pPr>
        <w:ind w:left="760" w:hanging="246"/>
        <w:spacing w:after="0"/>
        <w:tabs>
          <w:tab w:leader="none" w:pos="760" w:val="left"/>
        </w:tabs>
        <w:numPr>
          <w:ilvl w:val="0"/>
          <w:numId w:val="12"/>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our ability to avoid termination of client agreements and the related investment redemptions;</w:t>
      </w:r>
    </w:p>
    <w:p>
      <w:pPr>
        <w:spacing w:after="0" w:line="93" w:lineRule="exact"/>
        <w:rPr>
          <w:rFonts w:ascii="Times New Roman" w:cs="Times New Roman" w:eastAsia="Times New Roman" w:hAnsi="Times New Roman"/>
          <w:sz w:val="14"/>
          <w:szCs w:val="14"/>
          <w:color w:val="auto"/>
        </w:rPr>
      </w:pPr>
    </w:p>
    <w:p>
      <w:pPr>
        <w:ind w:left="760" w:hanging="246"/>
        <w:spacing w:after="0"/>
        <w:tabs>
          <w:tab w:leader="none" w:pos="760" w:val="left"/>
        </w:tabs>
        <w:numPr>
          <w:ilvl w:val="0"/>
          <w:numId w:val="12"/>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the significant concentration of our revenues in a small number of customers;</w:t>
      </w:r>
    </w:p>
    <w:p>
      <w:pPr>
        <w:spacing w:after="0" w:line="93" w:lineRule="exact"/>
        <w:rPr>
          <w:rFonts w:ascii="Times New Roman" w:cs="Times New Roman" w:eastAsia="Times New Roman" w:hAnsi="Times New Roman"/>
          <w:sz w:val="14"/>
          <w:szCs w:val="14"/>
          <w:color w:val="auto"/>
        </w:rPr>
      </w:pPr>
    </w:p>
    <w:p>
      <w:pPr>
        <w:ind w:left="760" w:hanging="246"/>
        <w:spacing w:after="0"/>
        <w:tabs>
          <w:tab w:leader="none" w:pos="760" w:val="left"/>
        </w:tabs>
        <w:numPr>
          <w:ilvl w:val="0"/>
          <w:numId w:val="12"/>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we have made and may continue to make business combinations as a part of our business strategy, which may present certain risks and uncertainties;</w:t>
      </w:r>
    </w:p>
    <w:p>
      <w:pPr>
        <w:spacing w:after="0" w:line="93" w:lineRule="exact"/>
        <w:rPr>
          <w:rFonts w:ascii="Times New Roman" w:cs="Times New Roman" w:eastAsia="Times New Roman" w:hAnsi="Times New Roman"/>
          <w:sz w:val="14"/>
          <w:szCs w:val="14"/>
          <w:color w:val="auto"/>
        </w:rPr>
      </w:pPr>
    </w:p>
    <w:p>
      <w:pPr>
        <w:ind w:left="760" w:hanging="246"/>
        <w:spacing w:after="0"/>
        <w:tabs>
          <w:tab w:leader="none" w:pos="760" w:val="left"/>
        </w:tabs>
        <w:numPr>
          <w:ilvl w:val="0"/>
          <w:numId w:val="12"/>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our relationships with investment consulting firms;</w:t>
      </w:r>
    </w:p>
    <w:p>
      <w:pPr>
        <w:spacing w:after="0" w:line="93" w:lineRule="exact"/>
        <w:rPr>
          <w:rFonts w:ascii="Times New Roman" w:cs="Times New Roman" w:eastAsia="Times New Roman" w:hAnsi="Times New Roman"/>
          <w:sz w:val="14"/>
          <w:szCs w:val="14"/>
          <w:color w:val="auto"/>
        </w:rPr>
      </w:pPr>
    </w:p>
    <w:p>
      <w:pPr>
        <w:ind w:left="760" w:hanging="246"/>
        <w:spacing w:after="0"/>
        <w:tabs>
          <w:tab w:leader="none" w:pos="760" w:val="left"/>
        </w:tabs>
        <w:numPr>
          <w:ilvl w:val="0"/>
          <w:numId w:val="12"/>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our ability to identify and execute on our strategic initiatives;</w:t>
      </w:r>
    </w:p>
    <w:p>
      <w:pPr>
        <w:spacing w:after="0" w:line="93" w:lineRule="exact"/>
        <w:rPr>
          <w:rFonts w:ascii="Times New Roman" w:cs="Times New Roman" w:eastAsia="Times New Roman" w:hAnsi="Times New Roman"/>
          <w:sz w:val="14"/>
          <w:szCs w:val="14"/>
          <w:color w:val="auto"/>
        </w:rPr>
      </w:pPr>
    </w:p>
    <w:p>
      <w:pPr>
        <w:ind w:left="760" w:hanging="246"/>
        <w:spacing w:after="0"/>
        <w:tabs>
          <w:tab w:leader="none" w:pos="760" w:val="left"/>
        </w:tabs>
        <w:numPr>
          <w:ilvl w:val="0"/>
          <w:numId w:val="12"/>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our ability to declare and pay dividends;</w:t>
      </w:r>
    </w:p>
    <w:p>
      <w:pPr>
        <w:spacing w:after="0" w:line="93" w:lineRule="exact"/>
        <w:rPr>
          <w:rFonts w:ascii="Times New Roman" w:cs="Times New Roman" w:eastAsia="Times New Roman" w:hAnsi="Times New Roman"/>
          <w:sz w:val="14"/>
          <w:szCs w:val="14"/>
          <w:color w:val="auto"/>
        </w:rPr>
      </w:pPr>
    </w:p>
    <w:p>
      <w:pPr>
        <w:ind w:left="760" w:hanging="246"/>
        <w:spacing w:after="0"/>
        <w:tabs>
          <w:tab w:leader="none" w:pos="760" w:val="left"/>
        </w:tabs>
        <w:numPr>
          <w:ilvl w:val="0"/>
          <w:numId w:val="12"/>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our ability to fund future capital requirements on favorable terms;</w:t>
      </w:r>
    </w:p>
    <w:p>
      <w:pPr>
        <w:spacing w:after="0" w:line="93" w:lineRule="exact"/>
        <w:rPr>
          <w:rFonts w:ascii="Times New Roman" w:cs="Times New Roman" w:eastAsia="Times New Roman" w:hAnsi="Times New Roman"/>
          <w:sz w:val="14"/>
          <w:szCs w:val="14"/>
          <w:color w:val="auto"/>
        </w:rPr>
      </w:pPr>
    </w:p>
    <w:p>
      <w:pPr>
        <w:ind w:left="760" w:hanging="246"/>
        <w:spacing w:after="0"/>
        <w:tabs>
          <w:tab w:leader="none" w:pos="760" w:val="left"/>
        </w:tabs>
        <w:numPr>
          <w:ilvl w:val="0"/>
          <w:numId w:val="12"/>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our ability to properly address conflicts of interest;</w:t>
      </w:r>
    </w:p>
    <w:p>
      <w:pPr>
        <w:spacing w:after="0" w:line="93" w:lineRule="exact"/>
        <w:rPr>
          <w:rFonts w:ascii="Times New Roman" w:cs="Times New Roman" w:eastAsia="Times New Roman" w:hAnsi="Times New Roman"/>
          <w:sz w:val="14"/>
          <w:szCs w:val="14"/>
          <w:color w:val="auto"/>
        </w:rPr>
      </w:pPr>
    </w:p>
    <w:p>
      <w:pPr>
        <w:ind w:left="760" w:hanging="246"/>
        <w:spacing w:after="0"/>
        <w:tabs>
          <w:tab w:leader="none" w:pos="760" w:val="left"/>
        </w:tabs>
        <w:numPr>
          <w:ilvl w:val="0"/>
          <w:numId w:val="12"/>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our ability to maintain adequate insurance coverage; and</w:t>
      </w:r>
    </w:p>
    <w:p>
      <w:pPr>
        <w:spacing w:after="0" w:line="200" w:lineRule="exact"/>
        <w:rPr>
          <w:sz w:val="20"/>
          <w:szCs w:val="20"/>
          <w:color w:val="auto"/>
        </w:rPr>
      </w:pPr>
    </w:p>
    <w:p>
      <w:pPr>
        <w:spacing w:after="0" w:line="244" w:lineRule="exact"/>
        <w:rPr>
          <w:sz w:val="20"/>
          <w:szCs w:val="20"/>
          <w:color w:val="auto"/>
        </w:rPr>
      </w:pPr>
    </w:p>
    <w:p>
      <w:pPr>
        <w:jc w:val="center"/>
        <w:ind w:right="-99"/>
        <w:spacing w:after="0"/>
        <w:rPr>
          <w:sz w:val="20"/>
          <w:szCs w:val="20"/>
          <w:color w:val="auto"/>
        </w:rPr>
      </w:pPr>
      <w:r>
        <w:rPr>
          <w:rFonts w:ascii="Times New Roman" w:cs="Times New Roman" w:eastAsia="Times New Roman" w:hAnsi="Times New Roman"/>
          <w:sz w:val="14"/>
          <w:szCs w:val="14"/>
          <w:color w:val="auto"/>
        </w:rPr>
        <w:t>24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-8890</wp:posOffset>
            </wp:positionH>
            <wp:positionV relativeFrom="paragraph">
              <wp:posOffset>55880</wp:posOffset>
            </wp:positionV>
            <wp:extent cx="7186930" cy="38735"/>
            <wp:wrapNone/>
            <wp:docPr id="32" name="Picture 3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
                    <pic:cNvPicPr>
                      <a:picLocks noChangeAspect="1" noChangeArrowheads="1"/>
                    </pic:cNvPicPr>
                  </pic:nvPicPr>
                  <pic:blipFill>
                    <a:blip r:embed="rId39">
                      <a:extLst>
                        <a:ext uri="{28A0092B-C50C-407E-A947-70E740481C1C}"/>
                      </a:extLst>
                    </a:blip>
                    <a:srcRect/>
                    <a:stretch>
                      <a:fillRect/>
                    </a:stretch>
                  </pic:blipFill>
                  <pic:spPr bwMode="auto">
                    <a:xfrm>
                      <a:off x="0" y="0"/>
                      <a:ext cx="7186930" cy="38735"/>
                    </a:xfrm>
                    <a:prstGeom prst="rect">
                      <a:avLst/>
                    </a:prstGeom>
                    <a:noFill/>
                  </pic:spPr>
                </pic:pic>
              </a:graphicData>
            </a:graphic>
          </wp:anchor>
        </w:drawing>
      </w:r>
    </w:p>
    <w:p>
      <w:pPr>
        <w:sectPr>
          <w:pgSz w:w="11900" w:h="16838" w:orient="portrait"/>
          <w:cols w:equalWidth="0" w:num="1">
            <w:col w:w="11180"/>
          </w:cols>
          <w:pgMar w:left="300" w:top="940" w:right="419" w:bottom="1440" w:gutter="0" w:footer="0" w:header="0"/>
        </w:sectPr>
      </w:pPr>
    </w:p>
    <w:bookmarkStart w:id="26" w:name="page27"/>
    <w:bookmarkEnd w:id="26"/>
    <w:p>
      <w:pPr>
        <w:ind w:left="760" w:hanging="246"/>
        <w:spacing w:after="0"/>
        <w:tabs>
          <w:tab w:leader="none" w:pos="760" w:val="left"/>
        </w:tabs>
        <w:numPr>
          <w:ilvl w:val="0"/>
          <w:numId w:val="13"/>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our ability to maintain an effective system of internal controls.</w:t>
      </w:r>
    </w:p>
    <w:p>
      <w:pPr>
        <w:spacing w:after="0" w:line="94" w:lineRule="exact"/>
        <w:rPr>
          <w:sz w:val="20"/>
          <w:szCs w:val="20"/>
          <w:color w:val="auto"/>
        </w:rPr>
      </w:pPr>
    </w:p>
    <w:p>
      <w:pPr>
        <w:ind w:right="20" w:firstLine="382"/>
        <w:spacing w:after="0" w:line="264" w:lineRule="auto"/>
        <w:rPr>
          <w:sz w:val="20"/>
          <w:szCs w:val="20"/>
          <w:color w:val="auto"/>
        </w:rPr>
      </w:pPr>
      <w:r>
        <w:rPr>
          <w:rFonts w:ascii="Times New Roman" w:cs="Times New Roman" w:eastAsia="Times New Roman" w:hAnsi="Times New Roman"/>
          <w:sz w:val="14"/>
          <w:szCs w:val="14"/>
          <w:color w:val="auto"/>
        </w:rPr>
        <w:t>Additional factors that could cause our actual results and financial condition to differ materially from those indicated in the forward-looking statements are discussed under the section entitled “Item 1A. Risk Factors” and elsewhere in this Report. The forward-looking statements are based only on currently available information and speak only as of the date of this Report. We are not obligated and do not undertake an obligation to publicly release any revisions to these forward-looking statements to reflect events or circumstances occurring after the date of this Report or to reflect the occurrence of unanticipated events or otherwise.</w:t>
      </w:r>
    </w:p>
    <w:p>
      <w:pPr>
        <w:spacing w:after="0" w:line="54"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b w:val="1"/>
          <w:bCs w:val="1"/>
          <w:color w:val="auto"/>
        </w:rPr>
        <w:t>Overview</w:t>
      </w:r>
    </w:p>
    <w:p>
      <w:pPr>
        <w:spacing w:after="0" w:line="96" w:lineRule="exact"/>
        <w:rPr>
          <w:sz w:val="20"/>
          <w:szCs w:val="20"/>
          <w:color w:val="auto"/>
        </w:rPr>
      </w:pPr>
    </w:p>
    <w:p>
      <w:pPr>
        <w:ind w:right="60" w:firstLine="382"/>
        <w:spacing w:after="0" w:line="264" w:lineRule="auto"/>
        <w:rPr>
          <w:sz w:val="20"/>
          <w:szCs w:val="20"/>
          <w:color w:val="auto"/>
        </w:rPr>
      </w:pPr>
      <w:r>
        <w:rPr>
          <w:rFonts w:ascii="Times New Roman" w:cs="Times New Roman" w:eastAsia="Times New Roman" w:hAnsi="Times New Roman"/>
          <w:sz w:val="14"/>
          <w:szCs w:val="14"/>
          <w:color w:val="auto"/>
        </w:rPr>
        <w:t>We manage investment assets and provide services for our clients through our subsidiaries, Westwood Management Corp., Westwood Advisors, L.L.C., Salient Advisors, L.P. ("Salient Advisors") and Broadmark Asset Management LLC ("Broadmark"), (each of which is a registered investment adviser ("RIA") registered with the Securities and Exchange Commission ("SEC"), and Salient Capital, L.P., ("SCLP") an SEC-registered broker-dealer and Financial Industry Regulatory Authority ("FINRA") member, collectively referred to hereinafter together as "Westwood Management") and Westwood Trust.</w:t>
      </w:r>
    </w:p>
    <w:p>
      <w:pPr>
        <w:spacing w:after="0" w:line="56" w:lineRule="exact"/>
        <w:rPr>
          <w:sz w:val="20"/>
          <w:szCs w:val="20"/>
          <w:color w:val="auto"/>
        </w:rPr>
      </w:pPr>
    </w:p>
    <w:p>
      <w:pPr>
        <w:ind w:right="560" w:firstLine="382"/>
        <w:spacing w:after="0" w:line="287" w:lineRule="auto"/>
        <w:rPr>
          <w:sz w:val="20"/>
          <w:szCs w:val="20"/>
          <w:color w:val="auto"/>
        </w:rPr>
      </w:pPr>
      <w:r>
        <w:rPr>
          <w:rFonts w:ascii="Times New Roman" w:cs="Times New Roman" w:eastAsia="Times New Roman" w:hAnsi="Times New Roman"/>
          <w:sz w:val="14"/>
          <w:szCs w:val="14"/>
          <w:color w:val="auto"/>
        </w:rPr>
        <w:t>Westwood Management provides investment advisory services to institutional investors, a family of mutual funds called the Westwood Funds®, Westwood ETFs, other mutual funds, individuals, private capital funds and clients of Westwood Trust.</w:t>
      </w:r>
    </w:p>
    <w:p>
      <w:pPr>
        <w:spacing w:after="0" w:line="39" w:lineRule="exact"/>
        <w:rPr>
          <w:sz w:val="20"/>
          <w:szCs w:val="20"/>
          <w:color w:val="auto"/>
        </w:rPr>
      </w:pPr>
    </w:p>
    <w:p>
      <w:pPr>
        <w:ind w:right="160" w:firstLine="382"/>
        <w:spacing w:after="0" w:line="287" w:lineRule="auto"/>
        <w:rPr>
          <w:sz w:val="20"/>
          <w:szCs w:val="20"/>
          <w:color w:val="auto"/>
        </w:rPr>
      </w:pPr>
      <w:r>
        <w:rPr>
          <w:rFonts w:ascii="Times New Roman" w:cs="Times New Roman" w:eastAsia="Times New Roman" w:hAnsi="Times New Roman"/>
          <w:sz w:val="14"/>
          <w:szCs w:val="14"/>
          <w:color w:val="auto"/>
        </w:rPr>
        <w:t>Westwood Trust provides trust and custodial services and participation in common trust funds to high net worth individuals and families, and institutions. Our revenues are generally derived from fees based on a percentage of AUM.</w:t>
      </w:r>
    </w:p>
    <w:p>
      <w:pPr>
        <w:spacing w:after="0" w:line="39" w:lineRule="exact"/>
        <w:rPr>
          <w:sz w:val="20"/>
          <w:szCs w:val="20"/>
          <w:color w:val="auto"/>
        </w:rPr>
      </w:pPr>
    </w:p>
    <w:p>
      <w:pPr>
        <w:ind w:left="380"/>
        <w:spacing w:after="0"/>
        <w:rPr>
          <w:sz w:val="20"/>
          <w:szCs w:val="20"/>
          <w:color w:val="auto"/>
        </w:rPr>
      </w:pPr>
      <w:r>
        <w:rPr>
          <w:rFonts w:ascii="Times New Roman" w:cs="Times New Roman" w:eastAsia="Times New Roman" w:hAnsi="Times New Roman"/>
          <w:sz w:val="14"/>
          <w:szCs w:val="14"/>
          <w:color w:val="auto"/>
        </w:rPr>
        <w:t>SCLP serves as a sub-placement agent for private placements.</w:t>
      </w:r>
    </w:p>
    <w:p>
      <w:pPr>
        <w:spacing w:after="0" w:line="94" w:lineRule="exact"/>
        <w:rPr>
          <w:sz w:val="20"/>
          <w:szCs w:val="20"/>
          <w:color w:val="auto"/>
        </w:rPr>
      </w:pPr>
    </w:p>
    <w:p>
      <w:pPr>
        <w:ind w:firstLine="382"/>
        <w:spacing w:after="0" w:line="287" w:lineRule="auto"/>
        <w:rPr>
          <w:sz w:val="20"/>
          <w:szCs w:val="20"/>
          <w:color w:val="auto"/>
        </w:rPr>
      </w:pPr>
      <w:r>
        <w:rPr>
          <w:rFonts w:ascii="Times New Roman" w:cs="Times New Roman" w:eastAsia="Times New Roman" w:hAnsi="Times New Roman"/>
          <w:sz w:val="14"/>
          <w:szCs w:val="14"/>
          <w:color w:val="auto"/>
        </w:rPr>
        <w:t>Our revenues are generally derived from fees based on a percentage of AUM and AUA, and Westwood Management and Westwood Trust collectively had AUM of approximately $16.5 billion and AUA of approximately $0.9 billion at December 31, 2025. We have established a track record of delivering competitive, risk-adjusted returns for our clients.</w:t>
      </w:r>
    </w:p>
    <w:p>
      <w:pPr>
        <w:spacing w:after="0" w:line="39" w:lineRule="exact"/>
        <w:rPr>
          <w:sz w:val="20"/>
          <w:szCs w:val="20"/>
          <w:color w:val="auto"/>
        </w:rPr>
      </w:pPr>
    </w:p>
    <w:p>
      <w:pPr>
        <w:ind w:firstLine="382"/>
        <w:spacing w:after="0" w:line="264" w:lineRule="auto"/>
        <w:rPr>
          <w:sz w:val="20"/>
          <w:szCs w:val="20"/>
          <w:color w:val="auto"/>
        </w:rPr>
      </w:pPr>
      <w:r>
        <w:rPr>
          <w:rFonts w:ascii="Times New Roman" w:cs="Times New Roman" w:eastAsia="Times New Roman" w:hAnsi="Times New Roman"/>
          <w:sz w:val="14"/>
          <w:szCs w:val="14"/>
          <w:color w:val="auto"/>
        </w:rPr>
        <w:t>With respect to most of our AUM, we utilize a “value” investment style focused on achieving superior long-term, risk-adjusted returns by investing in companies with high levels of free cash flow, improving returns on equity and strengthening balance sheets that are well positioned for growth but whose value is not fully recognized in the marketplace. This investment approach is designed to limit downside during unfavorable periods and provide superior real returns over the long term. Our investment teams have significant industry experience. Our investment team members have average investment experience of over twenty years.</w:t>
      </w:r>
    </w:p>
    <w:p>
      <w:pPr>
        <w:spacing w:after="0" w:line="56" w:lineRule="exact"/>
        <w:rPr>
          <w:sz w:val="20"/>
          <w:szCs w:val="20"/>
          <w:color w:val="auto"/>
        </w:rPr>
      </w:pPr>
    </w:p>
    <w:p>
      <w:pPr>
        <w:ind w:right="60" w:firstLine="382"/>
        <w:spacing w:after="0" w:line="264" w:lineRule="auto"/>
        <w:rPr>
          <w:sz w:val="20"/>
          <w:szCs w:val="20"/>
          <w:color w:val="auto"/>
        </w:rPr>
      </w:pPr>
      <w:r>
        <w:rPr>
          <w:rFonts w:ascii="Times New Roman" w:cs="Times New Roman" w:eastAsia="Times New Roman" w:hAnsi="Times New Roman"/>
          <w:sz w:val="14"/>
          <w:szCs w:val="14"/>
          <w:color w:val="auto"/>
        </w:rPr>
        <w:t>We have built a foundation in terms of personnel and infrastructure to support a much larger business and we have developed investment strategies that we believe will be sought after within our target institutional, wealth management and intermediary markets. Developing new products and growing the organization has resulted in our incurring expenses that, in some cases, have not yet generated significant offsetting revenues. We develop new products that we believe will be in demand by clients and investors, thereby generating new revenue streams for us; however, there is no guarantee that new products will be successful in generating demand and incremental revenues.</w:t>
      </w:r>
    </w:p>
    <w:p>
      <w:pPr>
        <w:spacing w:after="0" w:line="54"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b w:val="1"/>
          <w:bCs w:val="1"/>
          <w:i w:val="1"/>
          <w:iCs w:val="1"/>
          <w:color w:val="auto"/>
        </w:rPr>
        <w:t>2025 Highlights</w:t>
      </w:r>
    </w:p>
    <w:p>
      <w:pPr>
        <w:spacing w:after="0" w:line="96" w:lineRule="exact"/>
        <w:rPr>
          <w:sz w:val="20"/>
          <w:szCs w:val="20"/>
          <w:color w:val="auto"/>
        </w:rPr>
      </w:pPr>
    </w:p>
    <w:p>
      <w:pPr>
        <w:ind w:left="380"/>
        <w:spacing w:after="0"/>
        <w:rPr>
          <w:sz w:val="20"/>
          <w:szCs w:val="20"/>
          <w:color w:val="auto"/>
        </w:rPr>
      </w:pPr>
      <w:r>
        <w:rPr>
          <w:rFonts w:ascii="Times New Roman" w:cs="Times New Roman" w:eastAsia="Times New Roman" w:hAnsi="Times New Roman"/>
          <w:sz w:val="14"/>
          <w:szCs w:val="14"/>
          <w:color w:val="auto"/>
        </w:rPr>
        <w:t>The following items were reported for the year ended December 31, 2025:</w:t>
      </w:r>
    </w:p>
    <w:p>
      <w:pPr>
        <w:spacing w:after="0" w:line="94" w:lineRule="exact"/>
        <w:rPr>
          <w:sz w:val="20"/>
          <w:szCs w:val="20"/>
          <w:color w:val="auto"/>
        </w:rPr>
      </w:pPr>
    </w:p>
    <w:p>
      <w:pPr>
        <w:ind w:left="760" w:hanging="373"/>
        <w:spacing w:after="0"/>
        <w:tabs>
          <w:tab w:leader="none" w:pos="760" w:val="left"/>
        </w:tabs>
        <w:numPr>
          <w:ilvl w:val="0"/>
          <w:numId w:val="14"/>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Launched Westwood Enhanced Income Opportunity ETF (YLDW).</w:t>
      </w:r>
    </w:p>
    <w:p>
      <w:pPr>
        <w:spacing w:after="0" w:line="93" w:lineRule="exact"/>
        <w:rPr>
          <w:rFonts w:ascii="Times New Roman" w:cs="Times New Roman" w:eastAsia="Times New Roman" w:hAnsi="Times New Roman"/>
          <w:sz w:val="14"/>
          <w:szCs w:val="14"/>
          <w:color w:val="auto"/>
        </w:rPr>
      </w:pPr>
    </w:p>
    <w:p>
      <w:pPr>
        <w:ind w:left="760" w:right="160" w:hanging="373"/>
        <w:spacing w:after="0" w:line="287" w:lineRule="auto"/>
        <w:tabs>
          <w:tab w:leader="none" w:pos="756" w:val="left"/>
        </w:tabs>
        <w:numPr>
          <w:ilvl w:val="0"/>
          <w:numId w:val="14"/>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AUM as of December 31, 2025 was $16.5 billion, consistent with December 31, 2024. Quarterly average AUM increased 5% to $17.1 billion for 2025 versus 2024, which, along with higher revenues from our ETFs and private energy secondaries funds, contributed to a 3% increase in total revenue from 2024.</w:t>
      </w:r>
    </w:p>
    <w:p>
      <w:pPr>
        <w:spacing w:after="0" w:line="39" w:lineRule="exact"/>
        <w:rPr>
          <w:rFonts w:ascii="Times New Roman" w:cs="Times New Roman" w:eastAsia="Times New Roman" w:hAnsi="Times New Roman"/>
          <w:sz w:val="14"/>
          <w:szCs w:val="14"/>
          <w:color w:val="auto"/>
        </w:rPr>
      </w:pPr>
    </w:p>
    <w:p>
      <w:pPr>
        <w:ind w:left="760" w:hanging="373"/>
        <w:spacing w:after="0" w:line="287" w:lineRule="auto"/>
        <w:tabs>
          <w:tab w:leader="none" w:pos="756" w:val="left"/>
        </w:tabs>
        <w:numPr>
          <w:ilvl w:val="0"/>
          <w:numId w:val="14"/>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Our MLP Total Return, Income Opportunity, Multi-Asset Income, Alternative Income, Credit Opportunities, Westwood Salient Enhanced Midstream Income ETF and Westwood Salient Enhanced Energy Income ETF strategies performed strongly by beating their primary benchmarks for the year.</w:t>
      </w:r>
    </w:p>
    <w:p>
      <w:pPr>
        <w:spacing w:after="0" w:line="39" w:lineRule="exact"/>
        <w:rPr>
          <w:rFonts w:ascii="Times New Roman" w:cs="Times New Roman" w:eastAsia="Times New Roman" w:hAnsi="Times New Roman"/>
          <w:sz w:val="14"/>
          <w:szCs w:val="14"/>
          <w:color w:val="auto"/>
        </w:rPr>
      </w:pPr>
    </w:p>
    <w:p>
      <w:pPr>
        <w:ind w:left="760" w:hanging="373"/>
        <w:spacing w:after="0"/>
        <w:tabs>
          <w:tab w:leader="none" w:pos="760" w:val="left"/>
        </w:tabs>
        <w:numPr>
          <w:ilvl w:val="0"/>
          <w:numId w:val="14"/>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We paid $5.4 million of dividends to our common stockholders.</w:t>
      </w:r>
    </w:p>
    <w:p>
      <w:pPr>
        <w:spacing w:after="0" w:line="91" w:lineRule="exact"/>
        <w:rPr>
          <w:rFonts w:ascii="Times New Roman" w:cs="Times New Roman" w:eastAsia="Times New Roman" w:hAnsi="Times New Roman"/>
          <w:sz w:val="14"/>
          <w:szCs w:val="14"/>
          <w:color w:val="auto"/>
        </w:rPr>
      </w:pPr>
    </w:p>
    <w:p>
      <w:pPr>
        <w:ind w:left="760" w:hanging="373"/>
        <w:spacing w:after="0"/>
        <w:tabs>
          <w:tab w:leader="none" w:pos="760" w:val="left"/>
        </w:tabs>
        <w:numPr>
          <w:ilvl w:val="0"/>
          <w:numId w:val="14"/>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Our financial position remains strong with liquid cash and investments of $44.1 million and no debt as of December 31, 2025</w:t>
      </w:r>
      <w:r>
        <w:rPr>
          <w:rFonts w:ascii="Times New Roman" w:cs="Times New Roman" w:eastAsia="Times New Roman" w:hAnsi="Times New Roman"/>
          <w:sz w:val="14"/>
          <w:szCs w:val="14"/>
          <w:i w:val="1"/>
          <w:iCs w:val="1"/>
          <w:color w:val="auto"/>
        </w:rPr>
        <w:t>.</w:t>
      </w:r>
    </w:p>
    <w:p>
      <w:pPr>
        <w:spacing w:after="0" w:line="94"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i w:val="1"/>
          <w:iCs w:val="1"/>
          <w:color w:val="auto"/>
        </w:rPr>
        <w:t>Revenues</w:t>
      </w:r>
    </w:p>
    <w:p>
      <w:pPr>
        <w:spacing w:after="0" w:line="96" w:lineRule="exact"/>
        <w:rPr>
          <w:sz w:val="20"/>
          <w:szCs w:val="20"/>
          <w:color w:val="auto"/>
        </w:rPr>
      </w:pPr>
    </w:p>
    <w:p>
      <w:pPr>
        <w:ind w:right="380" w:firstLine="382"/>
        <w:spacing w:after="0" w:line="270" w:lineRule="auto"/>
        <w:rPr>
          <w:sz w:val="20"/>
          <w:szCs w:val="20"/>
          <w:color w:val="auto"/>
        </w:rPr>
      </w:pPr>
      <w:r>
        <w:rPr>
          <w:rFonts w:ascii="Times New Roman" w:cs="Times New Roman" w:eastAsia="Times New Roman" w:hAnsi="Times New Roman"/>
          <w:sz w:val="14"/>
          <w:szCs w:val="14"/>
          <w:color w:val="auto"/>
        </w:rPr>
        <w:t>We derive our revenues from investment advisory fees, trust fees and other revenues. Our advisory fees are generated by Westwood Management, which manages client accounts under investment advisory and sub-advisory agreements. Advisory fees are typically calculated based on a percentage of AUM and AUA and are paid in accordance with the terms of the agreements. Advisory fees are paid quarterly in advance based on AUM on the last day of the preceding quarter, quarterly in</w:t>
      </w:r>
    </w:p>
    <w:p>
      <w:pPr>
        <w:spacing w:after="0" w:line="200" w:lineRule="exact"/>
        <w:rPr>
          <w:sz w:val="20"/>
          <w:szCs w:val="20"/>
          <w:color w:val="auto"/>
        </w:rPr>
      </w:pPr>
    </w:p>
    <w:p>
      <w:pPr>
        <w:spacing w:after="0" w:line="201"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4"/>
          <w:szCs w:val="14"/>
          <w:color w:val="auto"/>
        </w:rPr>
        <w:t>25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-8890</wp:posOffset>
            </wp:positionH>
            <wp:positionV relativeFrom="paragraph">
              <wp:posOffset>55880</wp:posOffset>
            </wp:positionV>
            <wp:extent cx="7186930" cy="38735"/>
            <wp:wrapNone/>
            <wp:docPr id="33" name="Picture 3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
                    <pic:cNvPicPr>
                      <a:picLocks noChangeAspect="1" noChangeArrowheads="1"/>
                    </pic:cNvPicPr>
                  </pic:nvPicPr>
                  <pic:blipFill>
                    <a:blip r:embed="rId40">
                      <a:extLst>
                        <a:ext uri="{28A0092B-C50C-407E-A947-70E740481C1C}"/>
                      </a:extLst>
                    </a:blip>
                    <a:srcRect/>
                    <a:stretch>
                      <a:fillRect/>
                    </a:stretch>
                  </pic:blipFill>
                  <pic:spPr bwMode="auto">
                    <a:xfrm>
                      <a:off x="0" y="0"/>
                      <a:ext cx="7186930" cy="38735"/>
                    </a:xfrm>
                    <a:prstGeom prst="rect">
                      <a:avLst/>
                    </a:prstGeom>
                    <a:noFill/>
                  </pic:spPr>
                </pic:pic>
              </a:graphicData>
            </a:graphic>
          </wp:anchor>
        </w:drawing>
      </w:r>
    </w:p>
    <w:p>
      <w:pPr>
        <w:sectPr>
          <w:pgSz w:w="11900" w:h="16838" w:orient="portrait"/>
          <w:cols w:equalWidth="0" w:num="1">
            <w:col w:w="11260"/>
          </w:cols>
          <w:pgMar w:left="300" w:top="814" w:right="339" w:bottom="1440" w:gutter="0" w:footer="0" w:header="0"/>
        </w:sectPr>
      </w:pPr>
    </w:p>
    <w:bookmarkStart w:id="27" w:name="page28"/>
    <w:bookmarkEnd w:id="27"/>
    <w:p>
      <w:pPr>
        <w:ind w:right="20"/>
        <w:spacing w:after="0" w:line="264" w:lineRule="auto"/>
        <w:rPr>
          <w:sz w:val="20"/>
          <w:szCs w:val="20"/>
          <w:color w:val="auto"/>
        </w:rPr>
      </w:pPr>
      <w:r>
        <w:rPr>
          <w:rFonts w:ascii="Times New Roman" w:cs="Times New Roman" w:eastAsia="Times New Roman" w:hAnsi="Times New Roman"/>
          <w:sz w:val="14"/>
          <w:szCs w:val="14"/>
          <w:color w:val="auto"/>
        </w:rPr>
        <w:t>arrears based on AUM on the last day of the quarter just ended or are based on a daily or monthly analysis of AUM for the stated period. We recognize advisory fee revenues as services are rendered. Certain of our clients have a contractual performance-based fee component in their contracts, which generates additional revenues if we outperform a specified index over a specific period of time. We record revenue for performance-based fees at the end of the measurement period. Since our advance paying clients’ billing periods coincide with the calendar quarter to which such payments relate, revenue is recognized within the quarter, and our Consolidated Financial Statements contain no deferred advisory fee revenues.</w:t>
      </w:r>
    </w:p>
    <w:p>
      <w:pPr>
        <w:spacing w:after="0" w:line="56" w:lineRule="exact"/>
        <w:rPr>
          <w:sz w:val="20"/>
          <w:szCs w:val="20"/>
          <w:color w:val="auto"/>
        </w:rPr>
      </w:pPr>
    </w:p>
    <w:p>
      <w:pPr>
        <w:ind w:firstLine="382"/>
        <w:spacing w:after="0" w:line="264" w:lineRule="auto"/>
        <w:rPr>
          <w:sz w:val="20"/>
          <w:szCs w:val="20"/>
          <w:color w:val="auto"/>
        </w:rPr>
      </w:pPr>
      <w:r>
        <w:rPr>
          <w:rFonts w:ascii="Times New Roman" w:cs="Times New Roman" w:eastAsia="Times New Roman" w:hAnsi="Times New Roman"/>
          <w:sz w:val="14"/>
          <w:szCs w:val="14"/>
          <w:color w:val="auto"/>
        </w:rPr>
        <w:t>Our trust fees are generated by Westwood Trust pursuant to trust or custodial agreements. Trust fees are separately negotiated with each client and are generally based on a percentage of AUM. Westwood Trust also provides trust services to a small number of clients on a fixed fee basis. Trust fees are primarily calculated quarterly in arrears based on a daily average of AUM for the quarter. Since billing periods for most of Westwood Trust's clients coincide with the calendar quarter, revenue is fully recognized within the quarter, and our Consolidated Financial Statements contain no deferred advisory fee revenues.</w:t>
      </w:r>
    </w:p>
    <w:p>
      <w:pPr>
        <w:spacing w:after="0" w:line="56" w:lineRule="exact"/>
        <w:rPr>
          <w:sz w:val="20"/>
          <w:szCs w:val="20"/>
          <w:color w:val="auto"/>
        </w:rPr>
      </w:pPr>
    </w:p>
    <w:p>
      <w:pPr>
        <w:ind w:left="380"/>
        <w:spacing w:after="0"/>
        <w:rPr>
          <w:sz w:val="20"/>
          <w:szCs w:val="20"/>
          <w:color w:val="auto"/>
        </w:rPr>
      </w:pPr>
      <w:r>
        <w:rPr>
          <w:rFonts w:ascii="Times New Roman" w:cs="Times New Roman" w:eastAsia="Times New Roman" w:hAnsi="Times New Roman"/>
          <w:sz w:val="14"/>
          <w:szCs w:val="14"/>
          <w:color w:val="auto"/>
        </w:rPr>
        <w:t>Our other revenues primarily consist of investment income from seed money investments into new investment strategies.</w:t>
      </w:r>
    </w:p>
    <w:p>
      <w:pPr>
        <w:spacing w:after="0" w:line="92"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i w:val="1"/>
          <w:iCs w:val="1"/>
          <w:color w:val="auto"/>
        </w:rPr>
        <w:t>Employee Compensation and Benefits</w:t>
      </w:r>
    </w:p>
    <w:p>
      <w:pPr>
        <w:spacing w:after="0" w:line="96" w:lineRule="exact"/>
        <w:rPr>
          <w:sz w:val="20"/>
          <w:szCs w:val="20"/>
          <w:color w:val="auto"/>
        </w:rPr>
      </w:pPr>
    </w:p>
    <w:p>
      <w:pPr>
        <w:ind w:left="380"/>
        <w:spacing w:after="0"/>
        <w:rPr>
          <w:sz w:val="20"/>
          <w:szCs w:val="20"/>
          <w:color w:val="auto"/>
        </w:rPr>
      </w:pPr>
      <w:r>
        <w:rPr>
          <w:rFonts w:ascii="Times New Roman" w:cs="Times New Roman" w:eastAsia="Times New Roman" w:hAnsi="Times New Roman"/>
          <w:sz w:val="14"/>
          <w:szCs w:val="14"/>
          <w:color w:val="auto"/>
        </w:rPr>
        <w:t>Employee compensation and benefits costs generally consist of salaries, sales commissions, incentive compensation, stock-based compensation expense and benefits.</w:t>
      </w:r>
    </w:p>
    <w:p>
      <w:pPr>
        <w:spacing w:after="0" w:line="92"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i w:val="1"/>
          <w:iCs w:val="1"/>
          <w:color w:val="auto"/>
        </w:rPr>
        <w:t>Sales and Marketing</w:t>
      </w:r>
    </w:p>
    <w:p>
      <w:pPr>
        <w:spacing w:after="0" w:line="96" w:lineRule="exact"/>
        <w:rPr>
          <w:sz w:val="20"/>
          <w:szCs w:val="20"/>
          <w:color w:val="auto"/>
        </w:rPr>
      </w:pPr>
    </w:p>
    <w:p>
      <w:pPr>
        <w:ind w:left="380"/>
        <w:spacing w:after="0"/>
        <w:rPr>
          <w:sz w:val="20"/>
          <w:szCs w:val="20"/>
          <w:color w:val="auto"/>
        </w:rPr>
      </w:pPr>
      <w:r>
        <w:rPr>
          <w:rFonts w:ascii="Times New Roman" w:cs="Times New Roman" w:eastAsia="Times New Roman" w:hAnsi="Times New Roman"/>
          <w:sz w:val="14"/>
          <w:szCs w:val="14"/>
          <w:color w:val="auto"/>
        </w:rPr>
        <w:t>Sales and marketing costs relate to our marketing efforts, including travel and entertainment, direct marketing and advertising costs.</w:t>
      </w:r>
    </w:p>
    <w:p>
      <w:pPr>
        <w:spacing w:after="0" w:line="92"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i w:val="1"/>
          <w:iCs w:val="1"/>
          <w:color w:val="auto"/>
        </w:rPr>
        <w:t>Westwood Funds</w:t>
      </w:r>
    </w:p>
    <w:p>
      <w:pPr>
        <w:spacing w:after="0" w:line="94" w:lineRule="exact"/>
        <w:rPr>
          <w:sz w:val="20"/>
          <w:szCs w:val="20"/>
          <w:color w:val="auto"/>
        </w:rPr>
      </w:pPr>
    </w:p>
    <w:p>
      <w:pPr>
        <w:ind w:left="380"/>
        <w:spacing w:after="0"/>
        <w:rPr>
          <w:sz w:val="20"/>
          <w:szCs w:val="20"/>
          <w:color w:val="auto"/>
        </w:rPr>
      </w:pPr>
      <w:r>
        <w:rPr>
          <w:rFonts w:ascii="Times New Roman" w:cs="Times New Roman" w:eastAsia="Times New Roman" w:hAnsi="Times New Roman"/>
          <w:sz w:val="14"/>
          <w:szCs w:val="14"/>
          <w:color w:val="auto"/>
        </w:rPr>
        <w:t>Expenses for Westwood funds relate to our marketing, distribution and administration of the Westwood Funds</w:t>
      </w:r>
      <w:r>
        <w:rPr>
          <w:rFonts w:ascii="Times New Roman" w:cs="Times New Roman" w:eastAsia="Times New Roman" w:hAnsi="Times New Roman"/>
          <w:sz w:val="14"/>
          <w:szCs w:val="14"/>
          <w:b w:val="1"/>
          <w:bCs w:val="1"/>
          <w:i w:val="1"/>
          <w:iCs w:val="1"/>
          <w:color w:val="auto"/>
        </w:rPr>
        <w:t>®</w:t>
      </w:r>
      <w:r>
        <w:rPr>
          <w:rFonts w:ascii="Times New Roman" w:cs="Times New Roman" w:eastAsia="Times New Roman" w:hAnsi="Times New Roman"/>
          <w:sz w:val="14"/>
          <w:szCs w:val="14"/>
          <w:color w:val="auto"/>
        </w:rPr>
        <w:t xml:space="preserve"> mutual funds and Westwood ETFs.</w:t>
      </w:r>
    </w:p>
    <w:p>
      <w:pPr>
        <w:spacing w:after="0" w:line="94"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i w:val="1"/>
          <w:iCs w:val="1"/>
          <w:color w:val="auto"/>
        </w:rPr>
        <w:t>Information Technology</w:t>
      </w:r>
    </w:p>
    <w:p>
      <w:pPr>
        <w:spacing w:after="0" w:line="96" w:lineRule="exact"/>
        <w:rPr>
          <w:sz w:val="20"/>
          <w:szCs w:val="20"/>
          <w:color w:val="auto"/>
        </w:rPr>
      </w:pPr>
    </w:p>
    <w:p>
      <w:pPr>
        <w:ind w:right="200" w:firstLine="382"/>
        <w:spacing w:after="0" w:line="287" w:lineRule="auto"/>
        <w:rPr>
          <w:sz w:val="20"/>
          <w:szCs w:val="20"/>
          <w:color w:val="auto"/>
        </w:rPr>
      </w:pPr>
      <w:r>
        <w:rPr>
          <w:rFonts w:ascii="Times New Roman" w:cs="Times New Roman" w:eastAsia="Times New Roman" w:hAnsi="Times New Roman"/>
          <w:sz w:val="14"/>
          <w:szCs w:val="14"/>
          <w:color w:val="auto"/>
        </w:rPr>
        <w:t>Information technology expenses include costs associated with proprietary investment research tools, maintenance and support, computing hardware, software licenses, telecommunications and other related costs.</w:t>
      </w:r>
    </w:p>
    <w:p>
      <w:pPr>
        <w:spacing w:after="0" w:line="37"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i w:val="1"/>
          <w:iCs w:val="1"/>
          <w:color w:val="auto"/>
        </w:rPr>
        <w:t>Professional Services</w:t>
      </w:r>
    </w:p>
    <w:p>
      <w:pPr>
        <w:spacing w:after="0" w:line="96" w:lineRule="exact"/>
        <w:rPr>
          <w:sz w:val="20"/>
          <w:szCs w:val="20"/>
          <w:color w:val="auto"/>
        </w:rPr>
      </w:pPr>
    </w:p>
    <w:p>
      <w:pPr>
        <w:ind w:left="380"/>
        <w:spacing w:after="0"/>
        <w:rPr>
          <w:sz w:val="20"/>
          <w:szCs w:val="20"/>
          <w:color w:val="auto"/>
        </w:rPr>
      </w:pPr>
      <w:r>
        <w:rPr>
          <w:rFonts w:ascii="Times New Roman" w:cs="Times New Roman" w:eastAsia="Times New Roman" w:hAnsi="Times New Roman"/>
          <w:sz w:val="14"/>
          <w:szCs w:val="14"/>
          <w:color w:val="auto"/>
        </w:rPr>
        <w:t>Professional services expenses generally consist of costs associated with sub-advisory fees, audit, legal and other professional services.</w:t>
      </w:r>
    </w:p>
    <w:p>
      <w:pPr>
        <w:spacing w:after="0" w:line="92"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i w:val="1"/>
          <w:iCs w:val="1"/>
          <w:color w:val="auto"/>
        </w:rPr>
        <w:t>General and Administrative</w:t>
      </w:r>
    </w:p>
    <w:p>
      <w:pPr>
        <w:spacing w:after="0" w:line="96" w:lineRule="exact"/>
        <w:rPr>
          <w:sz w:val="20"/>
          <w:szCs w:val="20"/>
          <w:color w:val="auto"/>
        </w:rPr>
      </w:pPr>
    </w:p>
    <w:p>
      <w:pPr>
        <w:ind w:right="460" w:firstLine="382"/>
        <w:spacing w:after="0" w:line="287" w:lineRule="auto"/>
        <w:rPr>
          <w:sz w:val="20"/>
          <w:szCs w:val="20"/>
          <w:color w:val="auto"/>
        </w:rPr>
      </w:pPr>
      <w:r>
        <w:rPr>
          <w:rFonts w:ascii="Times New Roman" w:cs="Times New Roman" w:eastAsia="Times New Roman" w:hAnsi="Times New Roman"/>
          <w:sz w:val="14"/>
          <w:szCs w:val="14"/>
          <w:color w:val="auto"/>
        </w:rPr>
        <w:t>General and administrative expenses generally consist of costs associated with the lease of office space, amortization, depreciation, insurance, custody expense, Directors' fees, investor relations, licenses and fees, office supplies and other miscellaneous expenses.</w:t>
      </w:r>
    </w:p>
    <w:p>
      <w:pPr>
        <w:spacing w:after="0" w:line="37"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i w:val="1"/>
          <w:iCs w:val="1"/>
          <w:color w:val="auto"/>
        </w:rPr>
        <w:t>(Gain) loss from change in fair value of contingent consideration</w:t>
      </w:r>
    </w:p>
    <w:p>
      <w:pPr>
        <w:spacing w:after="0" w:line="96" w:lineRule="exact"/>
        <w:rPr>
          <w:sz w:val="20"/>
          <w:szCs w:val="20"/>
          <w:color w:val="auto"/>
        </w:rPr>
      </w:pPr>
    </w:p>
    <w:p>
      <w:pPr>
        <w:ind w:right="120" w:firstLine="509"/>
        <w:spacing w:after="0" w:line="287" w:lineRule="auto"/>
        <w:rPr>
          <w:sz w:val="20"/>
          <w:szCs w:val="20"/>
          <w:color w:val="auto"/>
        </w:rPr>
      </w:pPr>
      <w:r>
        <w:rPr>
          <w:rFonts w:ascii="Times New Roman" w:cs="Times New Roman" w:eastAsia="Times New Roman" w:hAnsi="Times New Roman"/>
          <w:sz w:val="14"/>
          <w:szCs w:val="14"/>
          <w:color w:val="auto"/>
        </w:rPr>
        <w:t>(Gain) loss from change in fair value of contingent consideration consists of fair value adjustments related to contingent consideration from the Salient Acquisition, with gains representing reductions in value and losses representing increases in value.</w:t>
      </w:r>
    </w:p>
    <w:p>
      <w:pPr>
        <w:spacing w:after="0" w:line="37"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i w:val="1"/>
          <w:iCs w:val="1"/>
          <w:color w:val="auto"/>
        </w:rPr>
        <w:t>Acquisition expenses</w:t>
      </w:r>
    </w:p>
    <w:p>
      <w:pPr>
        <w:spacing w:after="0" w:line="96" w:lineRule="exact"/>
        <w:rPr>
          <w:sz w:val="20"/>
          <w:szCs w:val="20"/>
          <w:color w:val="auto"/>
        </w:rPr>
      </w:pPr>
    </w:p>
    <w:p>
      <w:pPr>
        <w:ind w:left="380"/>
        <w:spacing w:after="0"/>
        <w:rPr>
          <w:sz w:val="20"/>
          <w:szCs w:val="20"/>
          <w:color w:val="auto"/>
        </w:rPr>
      </w:pPr>
      <w:r>
        <w:rPr>
          <w:rFonts w:ascii="Times New Roman" w:cs="Times New Roman" w:eastAsia="Times New Roman" w:hAnsi="Times New Roman"/>
          <w:sz w:val="14"/>
          <w:szCs w:val="14"/>
          <w:color w:val="auto"/>
        </w:rPr>
        <w:t>Acquisition expenses consist of costs related to the Salient Acquisition.</w:t>
      </w:r>
    </w:p>
    <w:p>
      <w:pPr>
        <w:spacing w:after="0" w:line="92"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i w:val="1"/>
          <w:iCs w:val="1"/>
          <w:color w:val="auto"/>
        </w:rPr>
        <w:t>Net Change in Unrealized Appreciation on Private Investments</w:t>
      </w:r>
    </w:p>
    <w:p>
      <w:pPr>
        <w:spacing w:after="0" w:line="96" w:lineRule="exact"/>
        <w:rPr>
          <w:sz w:val="20"/>
          <w:szCs w:val="20"/>
          <w:color w:val="auto"/>
        </w:rPr>
      </w:pPr>
    </w:p>
    <w:p>
      <w:pPr>
        <w:ind w:left="380"/>
        <w:spacing w:after="0"/>
        <w:rPr>
          <w:sz w:val="20"/>
          <w:szCs w:val="20"/>
          <w:color w:val="auto"/>
        </w:rPr>
      </w:pPr>
      <w:r>
        <w:rPr>
          <w:rFonts w:ascii="Times New Roman" w:cs="Times New Roman" w:eastAsia="Times New Roman" w:hAnsi="Times New Roman"/>
          <w:sz w:val="14"/>
          <w:szCs w:val="14"/>
          <w:color w:val="auto"/>
        </w:rPr>
        <w:t>Net change in unrealized appreciation on private investments includes changes in the value of our private equity investments.</w:t>
      </w:r>
    </w:p>
    <w:p>
      <w:pPr>
        <w:spacing w:after="0" w:line="92"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i w:val="1"/>
          <w:iCs w:val="1"/>
          <w:color w:val="auto"/>
        </w:rPr>
        <w:t>Net Investment Income</w:t>
      </w:r>
    </w:p>
    <w:p>
      <w:pPr>
        <w:spacing w:after="0" w:line="96" w:lineRule="exact"/>
        <w:rPr>
          <w:sz w:val="20"/>
          <w:szCs w:val="20"/>
          <w:color w:val="auto"/>
        </w:rPr>
      </w:pPr>
    </w:p>
    <w:p>
      <w:pPr>
        <w:ind w:left="380"/>
        <w:spacing w:after="0"/>
        <w:rPr>
          <w:sz w:val="20"/>
          <w:szCs w:val="20"/>
          <w:color w:val="auto"/>
        </w:rPr>
      </w:pPr>
      <w:r>
        <w:rPr>
          <w:rFonts w:ascii="Times New Roman" w:cs="Times New Roman" w:eastAsia="Times New Roman" w:hAnsi="Times New Roman"/>
          <w:sz w:val="14"/>
          <w:szCs w:val="14"/>
          <w:color w:val="auto"/>
        </w:rPr>
        <w:t>Net investment income primarily includes interest and dividend income on fixed income securities and money market funds.</w:t>
      </w:r>
    </w:p>
    <w:p>
      <w:pPr>
        <w:spacing w:after="0" w:line="92"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i w:val="1"/>
          <w:iCs w:val="1"/>
          <w:color w:val="auto"/>
        </w:rPr>
        <w:t>Other Income</w:t>
      </w:r>
    </w:p>
    <w:p>
      <w:pPr>
        <w:spacing w:after="0" w:line="96" w:lineRule="exact"/>
        <w:rPr>
          <w:sz w:val="20"/>
          <w:szCs w:val="20"/>
          <w:color w:val="auto"/>
        </w:rPr>
      </w:pPr>
    </w:p>
    <w:p>
      <w:pPr>
        <w:ind w:left="380"/>
        <w:spacing w:after="0"/>
        <w:rPr>
          <w:sz w:val="20"/>
          <w:szCs w:val="20"/>
          <w:color w:val="auto"/>
        </w:rPr>
      </w:pPr>
      <w:r>
        <w:rPr>
          <w:rFonts w:ascii="Times New Roman" w:cs="Times New Roman" w:eastAsia="Times New Roman" w:hAnsi="Times New Roman"/>
          <w:sz w:val="14"/>
          <w:szCs w:val="14"/>
          <w:color w:val="auto"/>
        </w:rPr>
        <w:t>Other income primarily consists of income from the sublease of a portion of our corporate offices and the receipt of life insurance proceeds.</w:t>
      </w:r>
    </w:p>
    <w:p>
      <w:pPr>
        <w:spacing w:after="0" w:line="200" w:lineRule="exact"/>
        <w:rPr>
          <w:sz w:val="20"/>
          <w:szCs w:val="20"/>
          <w:color w:val="auto"/>
        </w:rPr>
      </w:pPr>
    </w:p>
    <w:p>
      <w:pPr>
        <w:spacing w:after="0" w:line="244" w:lineRule="exact"/>
        <w:rPr>
          <w:sz w:val="20"/>
          <w:szCs w:val="20"/>
          <w:color w:val="auto"/>
        </w:rPr>
      </w:pPr>
    </w:p>
    <w:p>
      <w:pPr>
        <w:jc w:val="center"/>
        <w:ind w:right="-39"/>
        <w:spacing w:after="0"/>
        <w:rPr>
          <w:sz w:val="20"/>
          <w:szCs w:val="20"/>
          <w:color w:val="auto"/>
        </w:rPr>
      </w:pPr>
      <w:r>
        <w:rPr>
          <w:rFonts w:ascii="Times New Roman" w:cs="Times New Roman" w:eastAsia="Times New Roman" w:hAnsi="Times New Roman"/>
          <w:sz w:val="14"/>
          <w:szCs w:val="14"/>
          <w:color w:val="auto"/>
        </w:rPr>
        <w:t>26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-8890</wp:posOffset>
            </wp:positionH>
            <wp:positionV relativeFrom="paragraph">
              <wp:posOffset>55880</wp:posOffset>
            </wp:positionV>
            <wp:extent cx="7186930" cy="38735"/>
            <wp:wrapNone/>
            <wp:docPr id="34" name="Picture 3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
                    <pic:cNvPicPr>
                      <a:picLocks noChangeAspect="1" noChangeArrowheads="1"/>
                    </pic:cNvPicPr>
                  </pic:nvPicPr>
                  <pic:blipFill>
                    <a:blip r:embed="rId41">
                      <a:extLst>
                        <a:ext uri="{28A0092B-C50C-407E-A947-70E740481C1C}"/>
                      </a:extLst>
                    </a:blip>
                    <a:srcRect/>
                    <a:stretch>
                      <a:fillRect/>
                    </a:stretch>
                  </pic:blipFill>
                  <pic:spPr bwMode="auto">
                    <a:xfrm>
                      <a:off x="0" y="0"/>
                      <a:ext cx="7186930" cy="38735"/>
                    </a:xfrm>
                    <a:prstGeom prst="rect">
                      <a:avLst/>
                    </a:prstGeom>
                    <a:noFill/>
                  </pic:spPr>
                </pic:pic>
              </a:graphicData>
            </a:graphic>
          </wp:anchor>
        </w:drawing>
      </w:r>
    </w:p>
    <w:p>
      <w:pPr>
        <w:sectPr>
          <w:pgSz w:w="11900" w:h="16838" w:orient="portrait"/>
          <w:cols w:equalWidth="0" w:num="1">
            <w:col w:w="11260"/>
          </w:cols>
          <w:pgMar w:left="300" w:top="814" w:right="339" w:bottom="1440" w:gutter="0" w:footer="0" w:header="0"/>
        </w:sectPr>
      </w:pPr>
    </w:p>
    <w:bookmarkStart w:id="28" w:name="page29"/>
    <w:bookmarkEnd w:id="28"/>
    <w:p>
      <w:pPr>
        <w:spacing w:after="0"/>
        <w:rPr>
          <w:sz w:val="20"/>
          <w:szCs w:val="20"/>
          <w:color w:val="auto"/>
        </w:rPr>
      </w:pPr>
      <w:r>
        <w:rPr>
          <w:rFonts w:ascii="Times New Roman" w:cs="Times New Roman" w:eastAsia="Times New Roman" w:hAnsi="Times New Roman"/>
          <w:sz w:val="14"/>
          <w:szCs w:val="14"/>
          <w:b w:val="1"/>
          <w:bCs w:val="1"/>
          <w:color w:val="auto"/>
        </w:rPr>
        <w:t>Firm-wide Assets Under Management</w:t>
      </w:r>
    </w:p>
    <w:p>
      <w:pPr>
        <w:spacing w:after="0" w:line="138" w:lineRule="exact"/>
        <w:rPr>
          <w:sz w:val="20"/>
          <w:szCs w:val="20"/>
          <w:color w:val="auto"/>
        </w:rPr>
      </w:pPr>
    </w:p>
    <w:p>
      <w:pPr>
        <w:ind w:left="380"/>
        <w:spacing w:after="0"/>
        <w:rPr>
          <w:sz w:val="20"/>
          <w:szCs w:val="20"/>
          <w:color w:val="auto"/>
        </w:rPr>
      </w:pPr>
      <w:r>
        <w:rPr>
          <w:rFonts w:ascii="Times New Roman" w:cs="Times New Roman" w:eastAsia="Times New Roman" w:hAnsi="Times New Roman"/>
          <w:sz w:val="14"/>
          <w:szCs w:val="14"/>
          <w:color w:val="auto"/>
        </w:rPr>
        <w:t>Firm-wide assets under management of $17.4 billion at December 31, 2025 consisted of $16.5 billion of AUM and $0.9 billion of AUA.</w:t>
      </w:r>
    </w:p>
    <w:p>
      <w:pPr>
        <w:spacing w:after="0" w:line="136" w:lineRule="exact"/>
        <w:rPr>
          <w:sz w:val="20"/>
          <w:szCs w:val="20"/>
          <w:color w:val="auto"/>
        </w:rPr>
      </w:pPr>
    </w:p>
    <w:p>
      <w:pPr>
        <w:ind w:right="220" w:firstLine="382"/>
        <w:spacing w:after="0" w:line="287" w:lineRule="auto"/>
        <w:rPr>
          <w:sz w:val="20"/>
          <w:szCs w:val="20"/>
          <w:color w:val="auto"/>
        </w:rPr>
      </w:pPr>
      <w:r>
        <w:rPr>
          <w:rFonts w:ascii="Times New Roman" w:cs="Times New Roman" w:eastAsia="Times New Roman" w:hAnsi="Times New Roman"/>
          <w:sz w:val="14"/>
          <w:szCs w:val="14"/>
          <w:color w:val="auto"/>
        </w:rPr>
        <w:t>AUM of $16.5 billion at December 31, 2025 was consistent with $16.6 billion at December 31, 2024. Quarterly average AUM increased $0.7 billion, up 5%, to $17.1 billion compared with $16.3 billion for 2024. The increase in average AUM was primarily due to the timing of both $1.0 billion of market appreciation in 2025 and inflows.</w:t>
      </w:r>
    </w:p>
    <w:p>
      <w:pPr>
        <w:spacing w:after="0" w:line="82" w:lineRule="exact"/>
        <w:rPr>
          <w:sz w:val="20"/>
          <w:szCs w:val="20"/>
          <w:color w:val="auto"/>
        </w:rPr>
      </w:pPr>
    </w:p>
    <w:p>
      <w:pPr>
        <w:ind w:right="220" w:firstLine="382"/>
        <w:spacing w:after="0" w:line="287" w:lineRule="auto"/>
        <w:rPr>
          <w:sz w:val="20"/>
          <w:szCs w:val="20"/>
          <w:color w:val="auto"/>
        </w:rPr>
      </w:pPr>
      <w:r>
        <w:rPr>
          <w:rFonts w:ascii="Times New Roman" w:cs="Times New Roman" w:eastAsia="Times New Roman" w:hAnsi="Times New Roman"/>
          <w:sz w:val="14"/>
          <w:szCs w:val="14"/>
          <w:color w:val="auto"/>
        </w:rPr>
        <w:t>AUM increased $1.1 billion, or 7%, to $16.6 billion at December 31, 2024 compared to $15.5 billion at December 31, 2023. Quarterly average AUM increased $1.4 billion, up 9%, to $16.3 billion compared with $15.0 billion for 2023. The increase in average AUM was primarily due to $1.9 billion of market appreciation in 2024.</w:t>
      </w:r>
    </w:p>
    <w:p>
      <w:pPr>
        <w:spacing w:after="0" w:line="39" w:lineRule="exact"/>
        <w:rPr>
          <w:sz w:val="20"/>
          <w:szCs w:val="20"/>
          <w:color w:val="auto"/>
        </w:rPr>
      </w:pPr>
    </w:p>
    <w:p>
      <w:pPr>
        <w:ind w:left="380"/>
        <w:spacing w:after="0"/>
        <w:rPr>
          <w:sz w:val="20"/>
          <w:szCs w:val="20"/>
          <w:color w:val="auto"/>
        </w:rPr>
      </w:pPr>
      <w:r>
        <w:rPr>
          <w:rFonts w:ascii="Times New Roman" w:cs="Times New Roman" w:eastAsia="Times New Roman" w:hAnsi="Times New Roman"/>
          <w:sz w:val="14"/>
          <w:szCs w:val="14"/>
          <w:color w:val="auto"/>
        </w:rPr>
        <w:t>The following table presents our AUM (in millions, except percentages):</w:t>
      </w:r>
    </w:p>
    <w:p>
      <w:pPr>
        <w:spacing w:after="0" w:line="43" w:lineRule="exact"/>
        <w:rPr>
          <w:sz w:val="20"/>
          <w:szCs w:val="20"/>
          <w:color w:val="auto"/>
        </w:rPr>
      </w:pPr>
    </w:p>
    <w:tbl>
      <w:tblPr>
        <w:tblLayout w:type="fixed"/>
        <w:tblInd w:w="0" w:type="dxa"/>
        <w:tblCellMar>
          <w:top w:w="0" w:type="dxa"/>
          <w:left w:w="0" w:type="dxa"/>
          <w:bottom w:w="0" w:type="dxa"/>
          <w:right w:w="0" w:type="dxa"/>
        </w:tblCellMar>
      </w:tblPr>
      <w:tr>
        <w:trPr>
          <w:trHeight w:val="170"/>
        </w:trPr>
        <w:tc>
          <w:tcPr>
            <w:tcW w:w="4920" w:type="dxa"/>
            <w:vAlign w:val="bottom"/>
          </w:tcPr>
          <w:p>
            <w:pPr>
              <w:spacing w:after="0"/>
              <w:rPr>
                <w:sz w:val="14"/>
                <w:szCs w:val="14"/>
                <w:color w:val="auto"/>
              </w:rPr>
            </w:pPr>
          </w:p>
        </w:tc>
        <w:tc>
          <w:tcPr>
            <w:tcW w:w="700" w:type="dxa"/>
            <w:vAlign w:val="bottom"/>
            <w:tcBorders>
              <w:bottom w:val="single" w:sz="8" w:color="auto"/>
            </w:tcBorders>
          </w:tcPr>
          <w:p>
            <w:pPr>
              <w:spacing w:after="0"/>
              <w:rPr>
                <w:sz w:val="14"/>
                <w:szCs w:val="14"/>
                <w:color w:val="auto"/>
              </w:rPr>
            </w:pPr>
          </w:p>
        </w:tc>
        <w:tc>
          <w:tcPr>
            <w:tcW w:w="440" w:type="dxa"/>
            <w:vAlign w:val="bottom"/>
            <w:tcBorders>
              <w:bottom w:val="single" w:sz="8" w:color="auto"/>
            </w:tcBorders>
          </w:tcPr>
          <w:p>
            <w:pPr>
              <w:spacing w:after="0"/>
              <w:rPr>
                <w:sz w:val="14"/>
                <w:szCs w:val="14"/>
                <w:color w:val="auto"/>
              </w:rPr>
            </w:pPr>
          </w:p>
        </w:tc>
        <w:tc>
          <w:tcPr>
            <w:tcW w:w="80" w:type="dxa"/>
            <w:vAlign w:val="bottom"/>
            <w:tcBorders>
              <w:bottom w:val="single" w:sz="8" w:color="auto"/>
            </w:tcBorders>
          </w:tcPr>
          <w:p>
            <w:pPr>
              <w:spacing w:after="0"/>
              <w:rPr>
                <w:sz w:val="14"/>
                <w:szCs w:val="14"/>
                <w:color w:val="auto"/>
              </w:rPr>
            </w:pPr>
          </w:p>
        </w:tc>
        <w:tc>
          <w:tcPr>
            <w:tcW w:w="900" w:type="dxa"/>
            <w:vAlign w:val="bottom"/>
            <w:tcBorders>
              <w:bottom w:val="single" w:sz="8" w:color="auto"/>
            </w:tcBorders>
          </w:tcPr>
          <w:p>
            <w:pPr>
              <w:spacing w:after="0"/>
              <w:rPr>
                <w:sz w:val="14"/>
                <w:szCs w:val="14"/>
                <w:color w:val="auto"/>
              </w:rPr>
            </w:pPr>
          </w:p>
        </w:tc>
        <w:tc>
          <w:tcPr>
            <w:tcW w:w="360" w:type="dxa"/>
            <w:vAlign w:val="bottom"/>
            <w:tcBorders>
              <w:bottom w:val="single" w:sz="8" w:color="auto"/>
            </w:tcBorders>
          </w:tcPr>
          <w:p>
            <w:pPr>
              <w:spacing w:after="0"/>
              <w:rPr>
                <w:sz w:val="14"/>
                <w:szCs w:val="14"/>
                <w:color w:val="auto"/>
              </w:rPr>
            </w:pPr>
          </w:p>
        </w:tc>
        <w:tc>
          <w:tcPr>
            <w:tcW w:w="80" w:type="dxa"/>
            <w:vAlign w:val="bottom"/>
            <w:tcBorders>
              <w:bottom w:val="single" w:sz="8" w:color="auto"/>
            </w:tcBorders>
          </w:tcPr>
          <w:p>
            <w:pPr>
              <w:spacing w:after="0"/>
              <w:rPr>
                <w:sz w:val="14"/>
                <w:szCs w:val="14"/>
                <w:color w:val="auto"/>
              </w:rPr>
            </w:pPr>
          </w:p>
        </w:tc>
        <w:tc>
          <w:tcPr>
            <w:tcW w:w="1240" w:type="dxa"/>
            <w:vAlign w:val="bottom"/>
            <w:tcBorders>
              <w:bottom w:val="single" w:sz="8" w:color="auto"/>
            </w:tcBorders>
            <w:gridSpan w:val="3"/>
          </w:tcPr>
          <w:p>
            <w:pPr>
              <w:ind w:left="60"/>
              <w:spacing w:after="0"/>
              <w:rPr>
                <w:sz w:val="20"/>
                <w:szCs w:val="20"/>
                <w:color w:val="auto"/>
              </w:rPr>
            </w:pPr>
            <w:r>
              <w:rPr>
                <w:rFonts w:ascii="Times New Roman" w:cs="Times New Roman" w:eastAsia="Times New Roman" w:hAnsi="Times New Roman"/>
                <w:sz w:val="13"/>
                <w:szCs w:val="13"/>
                <w:b w:val="1"/>
                <w:bCs w:val="1"/>
                <w:color w:val="auto"/>
              </w:rPr>
              <w:t>As of December 31,</w:t>
            </w:r>
          </w:p>
        </w:tc>
        <w:tc>
          <w:tcPr>
            <w:tcW w:w="1240" w:type="dxa"/>
            <w:vAlign w:val="bottom"/>
            <w:tcBorders>
              <w:bottom w:val="single" w:sz="8" w:color="auto"/>
            </w:tcBorders>
          </w:tcPr>
          <w:p>
            <w:pPr>
              <w:spacing w:after="0"/>
              <w:rPr>
                <w:sz w:val="14"/>
                <w:szCs w:val="14"/>
                <w:color w:val="auto"/>
              </w:rPr>
            </w:pPr>
          </w:p>
        </w:tc>
        <w:tc>
          <w:tcPr>
            <w:tcW w:w="100" w:type="dxa"/>
            <w:vAlign w:val="bottom"/>
            <w:tcBorders>
              <w:bottom w:val="single" w:sz="8" w:color="auto"/>
            </w:tcBorders>
          </w:tcPr>
          <w:p>
            <w:pPr>
              <w:spacing w:after="0"/>
              <w:rPr>
                <w:sz w:val="14"/>
                <w:szCs w:val="14"/>
                <w:color w:val="auto"/>
              </w:rPr>
            </w:pPr>
          </w:p>
        </w:tc>
        <w:tc>
          <w:tcPr>
            <w:tcW w:w="260" w:type="dxa"/>
            <w:vAlign w:val="bottom"/>
            <w:tcBorders>
              <w:bottom w:val="single" w:sz="8" w:color="auto"/>
            </w:tcBorders>
          </w:tcPr>
          <w:p>
            <w:pPr>
              <w:spacing w:after="0"/>
              <w:rPr>
                <w:sz w:val="14"/>
                <w:szCs w:val="14"/>
                <w:color w:val="auto"/>
              </w:rPr>
            </w:pPr>
          </w:p>
        </w:tc>
        <w:tc>
          <w:tcPr>
            <w:tcW w:w="880" w:type="dxa"/>
            <w:vAlign w:val="bottom"/>
            <w:tcBorders>
              <w:bottom w:val="single" w:sz="8" w:color="auto"/>
            </w:tcBorders>
          </w:tcPr>
          <w:p>
            <w:pPr>
              <w:spacing w:after="0"/>
              <w:rPr>
                <w:sz w:val="14"/>
                <w:szCs w:val="14"/>
                <w:color w:val="auto"/>
              </w:rPr>
            </w:pPr>
          </w:p>
        </w:tc>
      </w:tr>
      <w:tr>
        <w:trPr>
          <w:trHeight w:val="161"/>
        </w:trPr>
        <w:tc>
          <w:tcPr>
            <w:tcW w:w="4920" w:type="dxa"/>
            <w:vAlign w:val="bottom"/>
          </w:tcPr>
          <w:p>
            <w:pPr>
              <w:spacing w:after="0"/>
              <w:rPr>
                <w:sz w:val="14"/>
                <w:szCs w:val="14"/>
                <w:color w:val="auto"/>
              </w:rPr>
            </w:pPr>
          </w:p>
        </w:tc>
        <w:tc>
          <w:tcPr>
            <w:tcW w:w="700" w:type="dxa"/>
            <w:vAlign w:val="bottom"/>
          </w:tcPr>
          <w:p>
            <w:pPr>
              <w:jc w:val="right"/>
              <w:spacing w:after="0"/>
              <w:rPr>
                <w:sz w:val="20"/>
                <w:szCs w:val="20"/>
                <w:color w:val="auto"/>
              </w:rPr>
            </w:pPr>
            <w:r>
              <w:rPr>
                <w:rFonts w:ascii="Times New Roman" w:cs="Times New Roman" w:eastAsia="Times New Roman" w:hAnsi="Times New Roman"/>
                <w:sz w:val="13"/>
                <w:szCs w:val="13"/>
                <w:b w:val="1"/>
                <w:bCs w:val="1"/>
                <w:color w:val="auto"/>
              </w:rPr>
              <w:t>2025</w:t>
            </w:r>
          </w:p>
        </w:tc>
        <w:tc>
          <w:tcPr>
            <w:tcW w:w="44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900" w:type="dxa"/>
            <w:vAlign w:val="bottom"/>
          </w:tcPr>
          <w:p>
            <w:pPr>
              <w:ind w:left="440"/>
              <w:spacing w:after="0"/>
              <w:rPr>
                <w:sz w:val="20"/>
                <w:szCs w:val="20"/>
                <w:color w:val="auto"/>
              </w:rPr>
            </w:pPr>
            <w:r>
              <w:rPr>
                <w:rFonts w:ascii="Times New Roman" w:cs="Times New Roman" w:eastAsia="Times New Roman" w:hAnsi="Times New Roman"/>
                <w:sz w:val="11"/>
                <w:szCs w:val="11"/>
                <w:b w:val="1"/>
                <w:bCs w:val="1"/>
                <w:color w:val="auto"/>
              </w:rPr>
              <w:t>Change</w:t>
            </w:r>
          </w:p>
        </w:tc>
        <w:tc>
          <w:tcPr>
            <w:tcW w:w="36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900" w:type="dxa"/>
            <w:vAlign w:val="bottom"/>
          </w:tcPr>
          <w:p>
            <w:pPr>
              <w:jc w:val="right"/>
              <w:ind w:right="394"/>
              <w:spacing w:after="0"/>
              <w:rPr>
                <w:sz w:val="20"/>
                <w:szCs w:val="20"/>
                <w:color w:val="auto"/>
              </w:rPr>
            </w:pPr>
            <w:r>
              <w:rPr>
                <w:rFonts w:ascii="Times New Roman" w:cs="Times New Roman" w:eastAsia="Times New Roman" w:hAnsi="Times New Roman"/>
                <w:sz w:val="13"/>
                <w:szCs w:val="13"/>
                <w:b w:val="1"/>
                <w:bCs w:val="1"/>
                <w:color w:val="auto"/>
              </w:rPr>
              <w:t>2024</w:t>
            </w:r>
          </w:p>
        </w:tc>
        <w:tc>
          <w:tcPr>
            <w:tcW w:w="80" w:type="dxa"/>
            <w:vAlign w:val="bottom"/>
          </w:tcPr>
          <w:p>
            <w:pPr>
              <w:spacing w:after="0"/>
              <w:rPr>
                <w:sz w:val="14"/>
                <w:szCs w:val="14"/>
                <w:color w:val="auto"/>
              </w:rPr>
            </w:pPr>
          </w:p>
        </w:tc>
        <w:tc>
          <w:tcPr>
            <w:tcW w:w="1340" w:type="dxa"/>
            <w:vAlign w:val="bottom"/>
            <w:gridSpan w:val="2"/>
          </w:tcPr>
          <w:p>
            <w:pPr>
              <w:ind w:left="440"/>
              <w:spacing w:after="0"/>
              <w:rPr>
                <w:sz w:val="20"/>
                <w:szCs w:val="20"/>
                <w:color w:val="auto"/>
              </w:rPr>
            </w:pPr>
            <w:r>
              <w:rPr>
                <w:rFonts w:ascii="Times New Roman" w:cs="Times New Roman" w:eastAsia="Times New Roman" w:hAnsi="Times New Roman"/>
                <w:sz w:val="11"/>
                <w:szCs w:val="11"/>
                <w:b w:val="1"/>
                <w:bCs w:val="1"/>
                <w:color w:val="auto"/>
              </w:rPr>
              <w:t>Change</w:t>
            </w:r>
          </w:p>
        </w:tc>
        <w:tc>
          <w:tcPr>
            <w:tcW w:w="260" w:type="dxa"/>
            <w:vAlign w:val="bottom"/>
          </w:tcPr>
          <w:p>
            <w:pPr>
              <w:spacing w:after="0"/>
              <w:rPr>
                <w:sz w:val="14"/>
                <w:szCs w:val="14"/>
                <w:color w:val="auto"/>
              </w:rPr>
            </w:pPr>
          </w:p>
        </w:tc>
        <w:tc>
          <w:tcPr>
            <w:tcW w:w="880" w:type="dxa"/>
            <w:vAlign w:val="bottom"/>
          </w:tcPr>
          <w:p>
            <w:pPr>
              <w:jc w:val="right"/>
              <w:ind w:right="374"/>
              <w:spacing w:after="0"/>
              <w:rPr>
                <w:sz w:val="20"/>
                <w:szCs w:val="20"/>
                <w:color w:val="auto"/>
              </w:rPr>
            </w:pPr>
            <w:r>
              <w:rPr>
                <w:rFonts w:ascii="Times New Roman" w:cs="Times New Roman" w:eastAsia="Times New Roman" w:hAnsi="Times New Roman"/>
                <w:sz w:val="13"/>
                <w:szCs w:val="13"/>
                <w:b w:val="1"/>
                <w:bCs w:val="1"/>
                <w:color w:val="auto"/>
              </w:rPr>
              <w:t>2023</w:t>
            </w:r>
          </w:p>
        </w:tc>
      </w:tr>
      <w:tr>
        <w:trPr>
          <w:trHeight w:val="172"/>
        </w:trPr>
        <w:tc>
          <w:tcPr>
            <w:tcW w:w="4920" w:type="dxa"/>
            <w:vAlign w:val="bottom"/>
            <w:tcBorders>
              <w:top w:val="single" w:sz="8" w:color="CCEEFF"/>
            </w:tcBorders>
            <w:shd w:val="clear" w:color="auto" w:fill="CCEEFF"/>
          </w:tcPr>
          <w:p>
            <w:pPr>
              <w:ind w:left="20"/>
              <w:spacing w:after="0" w:line="172" w:lineRule="exact"/>
              <w:rPr>
                <w:sz w:val="20"/>
                <w:szCs w:val="20"/>
                <w:color w:val="auto"/>
              </w:rPr>
            </w:pPr>
            <w:r>
              <w:rPr>
                <w:rFonts w:ascii="Times New Roman" w:cs="Times New Roman" w:eastAsia="Times New Roman" w:hAnsi="Times New Roman"/>
                <w:sz w:val="14"/>
                <w:szCs w:val="14"/>
                <w:color w:val="auto"/>
              </w:rPr>
              <w:t>Institutional</w:t>
            </w:r>
            <w:r>
              <w:rPr>
                <w:rFonts w:ascii="Times New Roman" w:cs="Times New Roman" w:eastAsia="Times New Roman" w:hAnsi="Times New Roman"/>
                <w:sz w:val="18"/>
                <w:szCs w:val="18"/>
                <w:color w:val="auto"/>
                <w:vertAlign w:val="superscript"/>
              </w:rPr>
              <w:t>(1)</w:t>
            </w:r>
          </w:p>
        </w:tc>
        <w:tc>
          <w:tcPr>
            <w:tcW w:w="700" w:type="dxa"/>
            <w:vAlign w:val="bottom"/>
            <w:tcBorders>
              <w:top w:val="single" w:sz="8" w:color="auto"/>
            </w:tcBorders>
            <w:shd w:val="clear" w:color="auto" w:fill="CCEEFF"/>
          </w:tcPr>
          <w:p>
            <w:pPr>
              <w:jc w:val="right"/>
              <w:ind w:right="554"/>
              <w:spacing w:after="0"/>
              <w:rPr>
                <w:sz w:val="20"/>
                <w:szCs w:val="20"/>
                <w:color w:val="auto"/>
              </w:rPr>
            </w:pPr>
            <w:r>
              <w:rPr>
                <w:rFonts w:ascii="Times New Roman" w:cs="Times New Roman" w:eastAsia="Times New Roman" w:hAnsi="Times New Roman"/>
                <w:sz w:val="13"/>
                <w:szCs w:val="13"/>
                <w:color w:val="auto"/>
                <w:w w:val="91"/>
              </w:rPr>
              <w:t>$</w:t>
            </w:r>
          </w:p>
        </w:tc>
        <w:tc>
          <w:tcPr>
            <w:tcW w:w="44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8,332</w:t>
            </w:r>
          </w:p>
        </w:tc>
        <w:tc>
          <w:tcPr>
            <w:tcW w:w="80" w:type="dxa"/>
            <w:vAlign w:val="bottom"/>
            <w:tcBorders>
              <w:top w:val="single" w:sz="8" w:color="CCEEFF"/>
            </w:tcBorders>
            <w:shd w:val="clear" w:color="auto" w:fill="CCEEFF"/>
          </w:tcPr>
          <w:p>
            <w:pPr>
              <w:spacing w:after="0"/>
              <w:rPr>
                <w:sz w:val="14"/>
                <w:szCs w:val="14"/>
                <w:color w:val="auto"/>
              </w:rPr>
            </w:pPr>
          </w:p>
        </w:tc>
        <w:tc>
          <w:tcPr>
            <w:tcW w:w="900" w:type="dxa"/>
            <w:vAlign w:val="bottom"/>
            <w:tcBorders>
              <w:top w:val="single" w:sz="8" w:color="auto"/>
            </w:tcBorders>
            <w:shd w:val="clear" w:color="auto" w:fill="CCEEFF"/>
          </w:tcPr>
          <w:p>
            <w:pPr>
              <w:spacing w:after="0"/>
              <w:rPr>
                <w:sz w:val="14"/>
                <w:szCs w:val="14"/>
                <w:color w:val="auto"/>
              </w:rPr>
            </w:pPr>
          </w:p>
        </w:tc>
        <w:tc>
          <w:tcPr>
            <w:tcW w:w="36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 %</w:t>
            </w:r>
          </w:p>
        </w:tc>
        <w:tc>
          <w:tcPr>
            <w:tcW w:w="80" w:type="dxa"/>
            <w:vAlign w:val="bottom"/>
            <w:tcBorders>
              <w:top w:val="single" w:sz="8" w:color="CCEEFF"/>
            </w:tcBorders>
            <w:shd w:val="clear" w:color="auto" w:fill="CCEEFF"/>
          </w:tcPr>
          <w:p>
            <w:pPr>
              <w:spacing w:after="0"/>
              <w:rPr>
                <w:sz w:val="14"/>
                <w:szCs w:val="14"/>
                <w:color w:val="auto"/>
              </w:rPr>
            </w:pPr>
          </w:p>
        </w:tc>
        <w:tc>
          <w:tcPr>
            <w:tcW w:w="260" w:type="dxa"/>
            <w:vAlign w:val="bottom"/>
            <w:tcBorders>
              <w:top w:val="single" w:sz="8" w:color="auto"/>
            </w:tcBorders>
            <w:shd w:val="clear" w:color="auto" w:fill="CCEEFF"/>
          </w:tcPr>
          <w:p>
            <w:pPr>
              <w:jc w:val="right"/>
              <w:ind w:right="114"/>
              <w:spacing w:after="0"/>
              <w:rPr>
                <w:sz w:val="20"/>
                <w:szCs w:val="20"/>
                <w:color w:val="auto"/>
              </w:rPr>
            </w:pPr>
            <w:r>
              <w:rPr>
                <w:rFonts w:ascii="Times New Roman" w:cs="Times New Roman" w:eastAsia="Times New Roman" w:hAnsi="Times New Roman"/>
                <w:sz w:val="13"/>
                <w:szCs w:val="13"/>
                <w:color w:val="auto"/>
                <w:w w:val="91"/>
              </w:rPr>
              <w:t>$</w:t>
            </w:r>
          </w:p>
        </w:tc>
        <w:tc>
          <w:tcPr>
            <w:tcW w:w="90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8,301</w:t>
            </w:r>
          </w:p>
        </w:tc>
        <w:tc>
          <w:tcPr>
            <w:tcW w:w="80" w:type="dxa"/>
            <w:vAlign w:val="bottom"/>
            <w:tcBorders>
              <w:top w:val="single" w:sz="8" w:color="CCEEFF"/>
            </w:tcBorders>
            <w:shd w:val="clear" w:color="auto" w:fill="CCEEFF"/>
          </w:tcPr>
          <w:p>
            <w:pPr>
              <w:spacing w:after="0"/>
              <w:rPr>
                <w:sz w:val="14"/>
                <w:szCs w:val="14"/>
                <w:color w:val="auto"/>
              </w:rPr>
            </w:pPr>
          </w:p>
        </w:tc>
        <w:tc>
          <w:tcPr>
            <w:tcW w:w="124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15 %</w:t>
            </w:r>
          </w:p>
        </w:tc>
        <w:tc>
          <w:tcPr>
            <w:tcW w:w="100" w:type="dxa"/>
            <w:vAlign w:val="bottom"/>
            <w:tcBorders>
              <w:top w:val="single" w:sz="8" w:color="CCEEFF"/>
            </w:tcBorders>
            <w:shd w:val="clear" w:color="auto" w:fill="CCEEFF"/>
          </w:tcPr>
          <w:p>
            <w:pPr>
              <w:spacing w:after="0"/>
              <w:rPr>
                <w:sz w:val="14"/>
                <w:szCs w:val="14"/>
                <w:color w:val="auto"/>
              </w:rPr>
            </w:pPr>
          </w:p>
        </w:tc>
        <w:tc>
          <w:tcPr>
            <w:tcW w:w="260" w:type="dxa"/>
            <w:vAlign w:val="bottom"/>
            <w:tcBorders>
              <w:top w:val="single" w:sz="8" w:color="auto"/>
            </w:tcBorders>
            <w:shd w:val="clear" w:color="auto" w:fill="CCEEFF"/>
          </w:tcPr>
          <w:p>
            <w:pPr>
              <w:jc w:val="right"/>
              <w:ind w:right="113"/>
              <w:spacing w:after="0"/>
              <w:rPr>
                <w:sz w:val="20"/>
                <w:szCs w:val="20"/>
                <w:color w:val="auto"/>
              </w:rPr>
            </w:pPr>
            <w:r>
              <w:rPr>
                <w:rFonts w:ascii="Times New Roman" w:cs="Times New Roman" w:eastAsia="Times New Roman" w:hAnsi="Times New Roman"/>
                <w:sz w:val="13"/>
                <w:szCs w:val="13"/>
                <w:color w:val="auto"/>
                <w:w w:val="91"/>
              </w:rPr>
              <w:t>$</w:t>
            </w:r>
          </w:p>
        </w:tc>
        <w:tc>
          <w:tcPr>
            <w:tcW w:w="88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7,215</w:t>
            </w:r>
          </w:p>
        </w:tc>
      </w:tr>
      <w:tr>
        <w:trPr>
          <w:trHeight w:val="180"/>
        </w:trPr>
        <w:tc>
          <w:tcPr>
            <w:tcW w:w="4920" w:type="dxa"/>
            <w:vAlign w:val="bottom"/>
          </w:tcPr>
          <w:p>
            <w:pPr>
              <w:ind w:left="20"/>
              <w:spacing w:after="0" w:line="181" w:lineRule="exact"/>
              <w:rPr>
                <w:sz w:val="20"/>
                <w:szCs w:val="20"/>
                <w:color w:val="auto"/>
              </w:rPr>
            </w:pPr>
            <w:r>
              <w:rPr>
                <w:rFonts w:ascii="Times New Roman" w:cs="Times New Roman" w:eastAsia="Times New Roman" w:hAnsi="Times New Roman"/>
                <w:sz w:val="14"/>
                <w:szCs w:val="14"/>
                <w:color w:val="auto"/>
              </w:rPr>
              <w:t>Wealth Management</w:t>
            </w:r>
            <w:r>
              <w:rPr>
                <w:rFonts w:ascii="Times New Roman" w:cs="Times New Roman" w:eastAsia="Times New Roman" w:hAnsi="Times New Roman"/>
                <w:sz w:val="18"/>
                <w:szCs w:val="18"/>
                <w:color w:val="auto"/>
                <w:vertAlign w:val="superscript"/>
              </w:rPr>
              <w:t>(2)</w:t>
            </w:r>
          </w:p>
        </w:tc>
        <w:tc>
          <w:tcPr>
            <w:tcW w:w="700" w:type="dxa"/>
            <w:vAlign w:val="bottom"/>
          </w:tcPr>
          <w:p>
            <w:pPr>
              <w:spacing w:after="0"/>
              <w:rPr>
                <w:sz w:val="15"/>
                <w:szCs w:val="15"/>
                <w:color w:val="auto"/>
              </w:rPr>
            </w:pPr>
          </w:p>
        </w:tc>
        <w:tc>
          <w:tcPr>
            <w:tcW w:w="44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4,317</w:t>
            </w:r>
          </w:p>
        </w:tc>
        <w:tc>
          <w:tcPr>
            <w:tcW w:w="80" w:type="dxa"/>
            <w:vAlign w:val="bottom"/>
          </w:tcPr>
          <w:p>
            <w:pPr>
              <w:spacing w:after="0"/>
              <w:rPr>
                <w:sz w:val="15"/>
                <w:szCs w:val="15"/>
                <w:color w:val="auto"/>
              </w:rPr>
            </w:pPr>
          </w:p>
        </w:tc>
        <w:tc>
          <w:tcPr>
            <w:tcW w:w="900" w:type="dxa"/>
            <w:vAlign w:val="bottom"/>
          </w:tcPr>
          <w:p>
            <w:pPr>
              <w:spacing w:after="0"/>
              <w:rPr>
                <w:sz w:val="15"/>
                <w:szCs w:val="15"/>
                <w:color w:val="auto"/>
              </w:rPr>
            </w:pPr>
          </w:p>
        </w:tc>
        <w:tc>
          <w:tcPr>
            <w:tcW w:w="36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(2)%</w:t>
            </w:r>
          </w:p>
        </w:tc>
        <w:tc>
          <w:tcPr>
            <w:tcW w:w="80" w:type="dxa"/>
            <w:vAlign w:val="bottom"/>
          </w:tcPr>
          <w:p>
            <w:pPr>
              <w:spacing w:after="0"/>
              <w:rPr>
                <w:sz w:val="15"/>
                <w:szCs w:val="15"/>
                <w:color w:val="auto"/>
              </w:rPr>
            </w:pPr>
          </w:p>
        </w:tc>
        <w:tc>
          <w:tcPr>
            <w:tcW w:w="260" w:type="dxa"/>
            <w:vAlign w:val="bottom"/>
          </w:tcPr>
          <w:p>
            <w:pPr>
              <w:spacing w:after="0"/>
              <w:rPr>
                <w:sz w:val="15"/>
                <w:szCs w:val="15"/>
                <w:color w:val="auto"/>
              </w:rPr>
            </w:pPr>
          </w:p>
        </w:tc>
        <w:tc>
          <w:tcPr>
            <w:tcW w:w="90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4,391</w:t>
            </w:r>
          </w:p>
        </w:tc>
        <w:tc>
          <w:tcPr>
            <w:tcW w:w="80" w:type="dxa"/>
            <w:vAlign w:val="bottom"/>
          </w:tcPr>
          <w:p>
            <w:pPr>
              <w:spacing w:after="0"/>
              <w:rPr>
                <w:sz w:val="15"/>
                <w:szCs w:val="15"/>
                <w:color w:val="auto"/>
              </w:rPr>
            </w:pPr>
          </w:p>
        </w:tc>
        <w:tc>
          <w:tcPr>
            <w:tcW w:w="124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6 %</w:t>
            </w:r>
          </w:p>
        </w:tc>
        <w:tc>
          <w:tcPr>
            <w:tcW w:w="100" w:type="dxa"/>
            <w:vAlign w:val="bottom"/>
          </w:tcPr>
          <w:p>
            <w:pPr>
              <w:spacing w:after="0"/>
              <w:rPr>
                <w:sz w:val="15"/>
                <w:szCs w:val="15"/>
                <w:color w:val="auto"/>
              </w:rPr>
            </w:pPr>
          </w:p>
        </w:tc>
        <w:tc>
          <w:tcPr>
            <w:tcW w:w="260" w:type="dxa"/>
            <w:vAlign w:val="bottom"/>
          </w:tcPr>
          <w:p>
            <w:pPr>
              <w:spacing w:after="0"/>
              <w:rPr>
                <w:sz w:val="15"/>
                <w:szCs w:val="15"/>
                <w:color w:val="auto"/>
              </w:rPr>
            </w:pPr>
          </w:p>
        </w:tc>
        <w:tc>
          <w:tcPr>
            <w:tcW w:w="88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4,140</w:t>
            </w:r>
          </w:p>
        </w:tc>
      </w:tr>
      <w:tr>
        <w:trPr>
          <w:trHeight w:val="180"/>
        </w:trPr>
        <w:tc>
          <w:tcPr>
            <w:tcW w:w="4920" w:type="dxa"/>
            <w:vAlign w:val="bottom"/>
            <w:shd w:val="clear" w:color="auto" w:fill="CCEEFF"/>
          </w:tcPr>
          <w:p>
            <w:pPr>
              <w:ind w:left="20"/>
              <w:spacing w:after="0" w:line="181" w:lineRule="exact"/>
              <w:rPr>
                <w:sz w:val="20"/>
                <w:szCs w:val="20"/>
                <w:color w:val="auto"/>
              </w:rPr>
            </w:pPr>
            <w:r>
              <w:rPr>
                <w:rFonts w:ascii="Times New Roman" w:cs="Times New Roman" w:eastAsia="Times New Roman" w:hAnsi="Times New Roman"/>
                <w:sz w:val="14"/>
                <w:szCs w:val="14"/>
                <w:color w:val="auto"/>
              </w:rPr>
              <w:t>Mutual Funds &amp; ETFs</w:t>
            </w:r>
            <w:r>
              <w:rPr>
                <w:rFonts w:ascii="Times New Roman" w:cs="Times New Roman" w:eastAsia="Times New Roman" w:hAnsi="Times New Roman"/>
                <w:sz w:val="18"/>
                <w:szCs w:val="18"/>
                <w:color w:val="auto"/>
                <w:vertAlign w:val="superscript"/>
              </w:rPr>
              <w:t>(3)</w:t>
            </w:r>
          </w:p>
        </w:tc>
        <w:tc>
          <w:tcPr>
            <w:tcW w:w="700" w:type="dxa"/>
            <w:vAlign w:val="bottom"/>
            <w:tcBorders>
              <w:bottom w:val="single" w:sz="8" w:color="auto"/>
            </w:tcBorders>
            <w:shd w:val="clear" w:color="auto" w:fill="CCEEFF"/>
          </w:tcPr>
          <w:p>
            <w:pPr>
              <w:spacing w:after="0"/>
              <w:rPr>
                <w:sz w:val="15"/>
                <w:szCs w:val="15"/>
                <w:color w:val="auto"/>
              </w:rPr>
            </w:pPr>
          </w:p>
        </w:tc>
        <w:tc>
          <w:tcPr>
            <w:tcW w:w="4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3,890</w:t>
            </w:r>
          </w:p>
        </w:tc>
        <w:tc>
          <w:tcPr>
            <w:tcW w:w="80" w:type="dxa"/>
            <w:vAlign w:val="bottom"/>
            <w:shd w:val="clear" w:color="auto" w:fill="CCEEFF"/>
          </w:tcPr>
          <w:p>
            <w:pPr>
              <w:spacing w:after="0"/>
              <w:rPr>
                <w:sz w:val="15"/>
                <w:szCs w:val="15"/>
                <w:color w:val="auto"/>
              </w:rPr>
            </w:pPr>
          </w:p>
        </w:tc>
        <w:tc>
          <w:tcPr>
            <w:tcW w:w="900" w:type="dxa"/>
            <w:vAlign w:val="bottom"/>
            <w:tcBorders>
              <w:bottom w:val="single" w:sz="8" w:color="auto"/>
            </w:tcBorders>
            <w:shd w:val="clear" w:color="auto" w:fill="CCEEFF"/>
          </w:tcPr>
          <w:p>
            <w:pPr>
              <w:spacing w:after="0"/>
              <w:rPr>
                <w:sz w:val="15"/>
                <w:szCs w:val="15"/>
                <w:color w:val="auto"/>
              </w:rPr>
            </w:pPr>
          </w:p>
        </w:tc>
        <w:tc>
          <w:tcPr>
            <w:tcW w:w="3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(1)%</w:t>
            </w:r>
          </w:p>
        </w:tc>
        <w:tc>
          <w:tcPr>
            <w:tcW w:w="80" w:type="dxa"/>
            <w:vAlign w:val="bottom"/>
            <w:shd w:val="clear" w:color="auto" w:fill="CCEEFF"/>
          </w:tcPr>
          <w:p>
            <w:pPr>
              <w:spacing w:after="0"/>
              <w:rPr>
                <w:sz w:val="15"/>
                <w:szCs w:val="15"/>
                <w:color w:val="auto"/>
              </w:rPr>
            </w:pPr>
          </w:p>
        </w:tc>
        <w:tc>
          <w:tcPr>
            <w:tcW w:w="260" w:type="dxa"/>
            <w:vAlign w:val="bottom"/>
            <w:tcBorders>
              <w:bottom w:val="single" w:sz="8" w:color="auto"/>
            </w:tcBorders>
            <w:shd w:val="clear" w:color="auto" w:fill="CCEEFF"/>
          </w:tcPr>
          <w:p>
            <w:pPr>
              <w:spacing w:after="0"/>
              <w:rPr>
                <w:sz w:val="15"/>
                <w:szCs w:val="15"/>
                <w:color w:val="auto"/>
              </w:rPr>
            </w:pPr>
          </w:p>
        </w:tc>
        <w:tc>
          <w:tcPr>
            <w:tcW w:w="9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3,915</w:t>
            </w:r>
          </w:p>
        </w:tc>
        <w:tc>
          <w:tcPr>
            <w:tcW w:w="80" w:type="dxa"/>
            <w:vAlign w:val="bottom"/>
            <w:shd w:val="clear" w:color="auto" w:fill="CCEEFF"/>
          </w:tcPr>
          <w:p>
            <w:pPr>
              <w:spacing w:after="0"/>
              <w:rPr>
                <w:sz w:val="15"/>
                <w:szCs w:val="15"/>
                <w:color w:val="auto"/>
              </w:rPr>
            </w:pPr>
          </w:p>
        </w:tc>
        <w:tc>
          <w:tcPr>
            <w:tcW w:w="12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(5)%</w:t>
            </w:r>
          </w:p>
        </w:tc>
        <w:tc>
          <w:tcPr>
            <w:tcW w:w="100" w:type="dxa"/>
            <w:vAlign w:val="bottom"/>
            <w:shd w:val="clear" w:color="auto" w:fill="CCEEFF"/>
          </w:tcPr>
          <w:p>
            <w:pPr>
              <w:spacing w:after="0"/>
              <w:rPr>
                <w:sz w:val="15"/>
                <w:szCs w:val="15"/>
                <w:color w:val="auto"/>
              </w:rPr>
            </w:pPr>
          </w:p>
        </w:tc>
        <w:tc>
          <w:tcPr>
            <w:tcW w:w="260" w:type="dxa"/>
            <w:vAlign w:val="bottom"/>
            <w:tcBorders>
              <w:bottom w:val="single" w:sz="8" w:color="auto"/>
            </w:tcBorders>
            <w:shd w:val="clear" w:color="auto" w:fill="CCEEFF"/>
          </w:tcPr>
          <w:p>
            <w:pPr>
              <w:spacing w:after="0"/>
              <w:rPr>
                <w:sz w:val="15"/>
                <w:szCs w:val="15"/>
                <w:color w:val="auto"/>
              </w:rPr>
            </w:pPr>
          </w:p>
        </w:tc>
        <w:tc>
          <w:tcPr>
            <w:tcW w:w="8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4,104</w:t>
            </w:r>
          </w:p>
        </w:tc>
      </w:tr>
      <w:tr>
        <w:trPr>
          <w:trHeight w:val="171"/>
        </w:trPr>
        <w:tc>
          <w:tcPr>
            <w:tcW w:w="4920" w:type="dxa"/>
            <w:vAlign w:val="bottom"/>
          </w:tcPr>
          <w:p>
            <w:pPr>
              <w:ind w:left="20"/>
              <w:spacing w:after="0"/>
              <w:rPr>
                <w:sz w:val="20"/>
                <w:szCs w:val="20"/>
                <w:color w:val="auto"/>
              </w:rPr>
            </w:pPr>
            <w:r>
              <w:rPr>
                <w:rFonts w:ascii="Times New Roman" w:cs="Times New Roman" w:eastAsia="Times New Roman" w:hAnsi="Times New Roman"/>
                <w:sz w:val="14"/>
                <w:szCs w:val="14"/>
                <w:b w:val="1"/>
                <w:bCs w:val="1"/>
                <w:color w:val="auto"/>
              </w:rPr>
              <w:t>Total AUM</w:t>
            </w:r>
          </w:p>
        </w:tc>
        <w:tc>
          <w:tcPr>
            <w:tcW w:w="700" w:type="dxa"/>
            <w:vAlign w:val="bottom"/>
            <w:tcBorders>
              <w:bottom w:val="single" w:sz="8" w:color="auto"/>
            </w:tcBorders>
          </w:tcPr>
          <w:p>
            <w:pPr>
              <w:jc w:val="right"/>
              <w:ind w:right="554"/>
              <w:spacing w:after="0"/>
              <w:rPr>
                <w:sz w:val="20"/>
                <w:szCs w:val="20"/>
                <w:color w:val="auto"/>
              </w:rPr>
            </w:pPr>
            <w:r>
              <w:rPr>
                <w:rFonts w:ascii="Times New Roman" w:cs="Times New Roman" w:eastAsia="Times New Roman" w:hAnsi="Times New Roman"/>
                <w:sz w:val="13"/>
                <w:szCs w:val="13"/>
                <w:color w:val="auto"/>
                <w:w w:val="91"/>
              </w:rPr>
              <w:t>$</w:t>
            </w:r>
          </w:p>
        </w:tc>
        <w:tc>
          <w:tcPr>
            <w:tcW w:w="4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3"/>
                <w:szCs w:val="13"/>
                <w:color w:val="auto"/>
              </w:rPr>
              <w:t>16,539</w:t>
            </w:r>
          </w:p>
        </w:tc>
        <w:tc>
          <w:tcPr>
            <w:tcW w:w="80" w:type="dxa"/>
            <w:vAlign w:val="bottom"/>
          </w:tcPr>
          <w:p>
            <w:pPr>
              <w:spacing w:after="0"/>
              <w:rPr>
                <w:sz w:val="14"/>
                <w:szCs w:val="14"/>
                <w:color w:val="auto"/>
              </w:rPr>
            </w:pPr>
          </w:p>
        </w:tc>
        <w:tc>
          <w:tcPr>
            <w:tcW w:w="900" w:type="dxa"/>
            <w:vAlign w:val="bottom"/>
            <w:tcBorders>
              <w:bottom w:val="single" w:sz="8" w:color="auto"/>
            </w:tcBorders>
          </w:tcPr>
          <w:p>
            <w:pPr>
              <w:spacing w:after="0"/>
              <w:rPr>
                <w:sz w:val="14"/>
                <w:szCs w:val="14"/>
                <w:color w:val="auto"/>
              </w:rPr>
            </w:pPr>
          </w:p>
        </w:tc>
        <w:tc>
          <w:tcPr>
            <w:tcW w:w="3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3"/>
                <w:szCs w:val="13"/>
                <w:color w:val="auto"/>
              </w:rPr>
              <w:t>— %</w:t>
            </w:r>
          </w:p>
        </w:tc>
        <w:tc>
          <w:tcPr>
            <w:tcW w:w="80" w:type="dxa"/>
            <w:vAlign w:val="bottom"/>
          </w:tcPr>
          <w:p>
            <w:pPr>
              <w:spacing w:after="0"/>
              <w:rPr>
                <w:sz w:val="14"/>
                <w:szCs w:val="14"/>
                <w:color w:val="auto"/>
              </w:rPr>
            </w:pPr>
          </w:p>
        </w:tc>
        <w:tc>
          <w:tcPr>
            <w:tcW w:w="260" w:type="dxa"/>
            <w:vAlign w:val="bottom"/>
            <w:tcBorders>
              <w:bottom w:val="single" w:sz="8" w:color="auto"/>
            </w:tcBorders>
          </w:tcPr>
          <w:p>
            <w:pPr>
              <w:jc w:val="right"/>
              <w:ind w:right="114"/>
              <w:spacing w:after="0"/>
              <w:rPr>
                <w:sz w:val="20"/>
                <w:szCs w:val="20"/>
                <w:color w:val="auto"/>
              </w:rPr>
            </w:pPr>
            <w:r>
              <w:rPr>
                <w:rFonts w:ascii="Times New Roman" w:cs="Times New Roman" w:eastAsia="Times New Roman" w:hAnsi="Times New Roman"/>
                <w:sz w:val="13"/>
                <w:szCs w:val="13"/>
                <w:color w:val="auto"/>
                <w:w w:val="91"/>
              </w:rPr>
              <w:t>$</w:t>
            </w:r>
          </w:p>
        </w:tc>
        <w:tc>
          <w:tcPr>
            <w:tcW w:w="9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3"/>
                <w:szCs w:val="13"/>
                <w:color w:val="auto"/>
              </w:rPr>
              <w:t>16,607</w:t>
            </w:r>
          </w:p>
        </w:tc>
        <w:tc>
          <w:tcPr>
            <w:tcW w:w="80" w:type="dxa"/>
            <w:vAlign w:val="bottom"/>
          </w:tcPr>
          <w:p>
            <w:pPr>
              <w:spacing w:after="0"/>
              <w:rPr>
                <w:sz w:val="14"/>
                <w:szCs w:val="14"/>
                <w:color w:val="auto"/>
              </w:rPr>
            </w:pPr>
          </w:p>
        </w:tc>
        <w:tc>
          <w:tcPr>
            <w:tcW w:w="12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3"/>
                <w:szCs w:val="13"/>
                <w:color w:val="auto"/>
              </w:rPr>
              <w:t>7 %</w:t>
            </w:r>
          </w:p>
        </w:tc>
        <w:tc>
          <w:tcPr>
            <w:tcW w:w="100" w:type="dxa"/>
            <w:vAlign w:val="bottom"/>
          </w:tcPr>
          <w:p>
            <w:pPr>
              <w:spacing w:after="0"/>
              <w:rPr>
                <w:sz w:val="14"/>
                <w:szCs w:val="14"/>
                <w:color w:val="auto"/>
              </w:rPr>
            </w:pPr>
          </w:p>
        </w:tc>
        <w:tc>
          <w:tcPr>
            <w:tcW w:w="260" w:type="dxa"/>
            <w:vAlign w:val="bottom"/>
            <w:tcBorders>
              <w:bottom w:val="single" w:sz="8" w:color="auto"/>
            </w:tcBorders>
          </w:tcPr>
          <w:p>
            <w:pPr>
              <w:jc w:val="right"/>
              <w:ind w:right="113"/>
              <w:spacing w:after="0"/>
              <w:rPr>
                <w:sz w:val="20"/>
                <w:szCs w:val="20"/>
                <w:color w:val="auto"/>
              </w:rPr>
            </w:pPr>
            <w:r>
              <w:rPr>
                <w:rFonts w:ascii="Times New Roman" w:cs="Times New Roman" w:eastAsia="Times New Roman" w:hAnsi="Times New Roman"/>
                <w:sz w:val="13"/>
                <w:szCs w:val="13"/>
                <w:color w:val="auto"/>
                <w:w w:val="91"/>
              </w:rPr>
              <w:t>$</w:t>
            </w:r>
          </w:p>
        </w:tc>
        <w:tc>
          <w:tcPr>
            <w:tcW w:w="8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3"/>
                <w:szCs w:val="13"/>
                <w:color w:val="auto"/>
              </w:rPr>
              <w:t>15,459</w:t>
            </w:r>
          </w:p>
        </w:tc>
      </w:tr>
      <w:tr>
        <w:trPr>
          <w:trHeight w:val="20"/>
        </w:trPr>
        <w:tc>
          <w:tcPr>
            <w:tcW w:w="4920" w:type="dxa"/>
            <w:vAlign w:val="bottom"/>
          </w:tcPr>
          <w:p>
            <w:pPr>
              <w:spacing w:after="0" w:line="20" w:lineRule="exact"/>
              <w:rPr>
                <w:sz w:val="1"/>
                <w:szCs w:val="1"/>
                <w:color w:val="auto"/>
              </w:rPr>
            </w:pPr>
          </w:p>
        </w:tc>
        <w:tc>
          <w:tcPr>
            <w:tcW w:w="700" w:type="dxa"/>
            <w:vAlign w:val="bottom"/>
            <w:tcBorders>
              <w:bottom w:val="single" w:sz="8" w:color="auto"/>
            </w:tcBorders>
          </w:tcPr>
          <w:p>
            <w:pPr>
              <w:spacing w:after="0" w:line="20" w:lineRule="exact"/>
              <w:rPr>
                <w:sz w:val="1"/>
                <w:szCs w:val="1"/>
                <w:color w:val="auto"/>
              </w:rPr>
            </w:pPr>
          </w:p>
        </w:tc>
        <w:tc>
          <w:tcPr>
            <w:tcW w:w="44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900" w:type="dxa"/>
            <w:vAlign w:val="bottom"/>
            <w:tcBorders>
              <w:bottom w:val="single" w:sz="8" w:color="auto"/>
            </w:tcBorders>
          </w:tcPr>
          <w:p>
            <w:pPr>
              <w:spacing w:after="0" w:line="20" w:lineRule="exact"/>
              <w:rPr>
                <w:sz w:val="1"/>
                <w:szCs w:val="1"/>
                <w:color w:val="auto"/>
              </w:rPr>
            </w:pPr>
          </w:p>
        </w:tc>
        <w:tc>
          <w:tcPr>
            <w:tcW w:w="36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c>
          <w:tcPr>
            <w:tcW w:w="90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24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c>
          <w:tcPr>
            <w:tcW w:w="880" w:type="dxa"/>
            <w:vAlign w:val="bottom"/>
            <w:tcBorders>
              <w:bottom w:val="single" w:sz="8" w:color="auto"/>
            </w:tcBorders>
          </w:tcPr>
          <w:p>
            <w:pPr>
              <w:spacing w:after="0" w:line="20" w:lineRule="exact"/>
              <w:rPr>
                <w:sz w:val="1"/>
                <w:szCs w:val="1"/>
                <w:color w:val="auto"/>
              </w:rPr>
            </w:pPr>
          </w:p>
        </w:tc>
      </w:tr>
    </w:tbl>
    <w:p>
      <w:pPr>
        <w:spacing w:after="0" w:line="333" w:lineRule="exact"/>
        <w:rPr>
          <w:sz w:val="20"/>
          <w:szCs w:val="20"/>
          <w:color w:val="auto"/>
        </w:rPr>
      </w:pPr>
    </w:p>
    <w:p>
      <w:pPr>
        <w:jc w:val="both"/>
        <w:ind w:left="380" w:right="320" w:hanging="248"/>
        <w:spacing w:after="0" w:line="249" w:lineRule="auto"/>
        <w:tabs>
          <w:tab w:leader="none" w:pos="374" w:val="left"/>
        </w:tabs>
        <w:numPr>
          <w:ilvl w:val="0"/>
          <w:numId w:val="15"/>
        </w:numPr>
        <w:rPr>
          <w:rFonts w:ascii="Times New Roman" w:cs="Times New Roman" w:eastAsia="Times New Roman" w:hAnsi="Times New Roman"/>
          <w:sz w:val="11"/>
          <w:szCs w:val="11"/>
          <w:color w:val="auto"/>
        </w:rPr>
      </w:pPr>
      <w:r>
        <w:rPr>
          <w:rFonts w:ascii="Times New Roman" w:cs="Times New Roman" w:eastAsia="Times New Roman" w:hAnsi="Times New Roman"/>
          <w:sz w:val="11"/>
          <w:szCs w:val="11"/>
          <w:color w:val="auto"/>
        </w:rPr>
        <w:t>Institutional includes (i) separate accounts of corporate pension and profit sharing plans, public employee retirement funds, Taft-Hartley plans, endowments, foundations and individuals; (ii) sub-advisory relationships where Westwood provides investment management services for funds offered by other financial institutions; (iii) pooled investment vehicles, including collective investment trusts; and (iv) managed account relationships with brokerage firms and other registered investment advisors that offer Westwood products to their customers.</w:t>
      </w:r>
    </w:p>
    <w:p>
      <w:pPr>
        <w:ind w:left="380" w:right="60" w:hanging="248"/>
        <w:spacing w:after="0" w:line="248" w:lineRule="auto"/>
        <w:tabs>
          <w:tab w:leader="none" w:pos="374" w:val="left"/>
        </w:tabs>
        <w:numPr>
          <w:ilvl w:val="0"/>
          <w:numId w:val="15"/>
        </w:numPr>
        <w:rPr>
          <w:rFonts w:ascii="Times New Roman" w:cs="Times New Roman" w:eastAsia="Times New Roman" w:hAnsi="Times New Roman"/>
          <w:sz w:val="11"/>
          <w:szCs w:val="11"/>
          <w:color w:val="auto"/>
        </w:rPr>
      </w:pPr>
      <w:r>
        <w:rPr>
          <w:rFonts w:ascii="Times New Roman" w:cs="Times New Roman" w:eastAsia="Times New Roman" w:hAnsi="Times New Roman"/>
          <w:sz w:val="11"/>
          <w:szCs w:val="11"/>
          <w:color w:val="auto"/>
        </w:rPr>
        <w:t>Wealth Management includes assets for which Westwood Trust provides trust and custodial services and participation in common trust funds that it sponsors to institutions and high net worth individuals pursuant to trust or agency agreements and assets for which Westwood Advisors, L.L.C. provides advisory services to high net worth individuals. Investment sub-advisory services are provided for the common trust funds by Westwood Management. For certain assets in this category Westwood Trust provides limited custodial services for a minimal or no fee, viewing these assets as potentially converting to fee-generating managed assets in the future.</w:t>
      </w:r>
    </w:p>
    <w:p>
      <w:pPr>
        <w:ind w:left="380" w:right="160" w:hanging="248"/>
        <w:spacing w:after="0" w:line="277" w:lineRule="auto"/>
        <w:tabs>
          <w:tab w:leader="none" w:pos="374" w:val="left"/>
        </w:tabs>
        <w:numPr>
          <w:ilvl w:val="0"/>
          <w:numId w:val="15"/>
        </w:numPr>
        <w:rPr>
          <w:rFonts w:ascii="Times New Roman" w:cs="Times New Roman" w:eastAsia="Times New Roman" w:hAnsi="Times New Roman"/>
          <w:sz w:val="11"/>
          <w:szCs w:val="11"/>
          <w:color w:val="auto"/>
        </w:rPr>
      </w:pPr>
      <w:r>
        <w:rPr>
          <w:rFonts w:ascii="Times New Roman" w:cs="Times New Roman" w:eastAsia="Times New Roman" w:hAnsi="Times New Roman"/>
          <w:sz w:val="11"/>
          <w:szCs w:val="11"/>
          <w:color w:val="auto"/>
        </w:rPr>
        <w:t>Mutual Funds &amp; ETFs include the Westwood Funds®, a family of mutual funds and Westwood ETFs, for which Westwood Management or Salient Advisors serves as advisor. These funds are available to individual investors, institutional investors and wealth management accounts.</w:t>
      </w:r>
    </w:p>
    <w:p>
      <w:pPr>
        <w:spacing w:after="0" w:line="238" w:lineRule="exact"/>
        <w:rPr>
          <w:sz w:val="20"/>
          <w:szCs w:val="20"/>
          <w:color w:val="auto"/>
        </w:rPr>
      </w:pPr>
    </w:p>
    <w:p>
      <w:pPr>
        <w:ind w:left="380"/>
        <w:spacing w:after="0"/>
        <w:rPr>
          <w:sz w:val="20"/>
          <w:szCs w:val="20"/>
          <w:color w:val="auto"/>
        </w:rPr>
      </w:pPr>
      <w:r>
        <w:rPr>
          <w:rFonts w:ascii="Times New Roman" w:cs="Times New Roman" w:eastAsia="Times New Roman" w:hAnsi="Times New Roman"/>
          <w:sz w:val="14"/>
          <w:szCs w:val="14"/>
          <w:b w:val="1"/>
          <w:bCs w:val="1"/>
          <w:i w:val="1"/>
          <w:iCs w:val="1"/>
          <w:color w:val="auto"/>
        </w:rPr>
        <w:t>Roll-Forward of Assets Under Management</w:t>
      </w:r>
    </w:p>
    <w:p>
      <w:pPr>
        <w:spacing w:after="0" w:line="45" w:lineRule="exact"/>
        <w:rPr>
          <w:sz w:val="20"/>
          <w:szCs w:val="20"/>
          <w:color w:val="auto"/>
        </w:rPr>
      </w:pPr>
    </w:p>
    <w:tbl>
      <w:tblPr>
        <w:tblLayout w:type="fixed"/>
        <w:tblInd w:w="0" w:type="dxa"/>
        <w:tblCellMar>
          <w:top w:w="0" w:type="dxa"/>
          <w:left w:w="0" w:type="dxa"/>
          <w:bottom w:w="0" w:type="dxa"/>
          <w:right w:w="0" w:type="dxa"/>
        </w:tblCellMar>
      </w:tblPr>
      <w:tr>
        <w:trPr>
          <w:trHeight w:val="170"/>
        </w:trPr>
        <w:tc>
          <w:tcPr>
            <w:tcW w:w="5680" w:type="dxa"/>
            <w:vAlign w:val="bottom"/>
          </w:tcPr>
          <w:p>
            <w:pPr>
              <w:spacing w:after="0"/>
              <w:rPr>
                <w:sz w:val="14"/>
                <w:szCs w:val="14"/>
                <w:color w:val="auto"/>
              </w:rPr>
            </w:pPr>
          </w:p>
        </w:tc>
        <w:tc>
          <w:tcPr>
            <w:tcW w:w="200" w:type="dxa"/>
            <w:vAlign w:val="bottom"/>
            <w:tcBorders>
              <w:bottom w:val="single" w:sz="8" w:color="auto"/>
            </w:tcBorders>
          </w:tcPr>
          <w:p>
            <w:pPr>
              <w:spacing w:after="0"/>
              <w:rPr>
                <w:sz w:val="14"/>
                <w:szCs w:val="14"/>
                <w:color w:val="auto"/>
              </w:rPr>
            </w:pPr>
          </w:p>
        </w:tc>
        <w:tc>
          <w:tcPr>
            <w:tcW w:w="1100" w:type="dxa"/>
            <w:vAlign w:val="bottom"/>
            <w:tcBorders>
              <w:bottom w:val="single" w:sz="8" w:color="auto"/>
            </w:tcBorders>
          </w:tcPr>
          <w:p>
            <w:pPr>
              <w:spacing w:after="0"/>
              <w:rPr>
                <w:sz w:val="14"/>
                <w:szCs w:val="14"/>
                <w:color w:val="auto"/>
              </w:rPr>
            </w:pPr>
          </w:p>
        </w:tc>
        <w:tc>
          <w:tcPr>
            <w:tcW w:w="100" w:type="dxa"/>
            <w:vAlign w:val="bottom"/>
            <w:tcBorders>
              <w:bottom w:val="single" w:sz="8" w:color="auto"/>
            </w:tcBorders>
          </w:tcPr>
          <w:p>
            <w:pPr>
              <w:spacing w:after="0"/>
              <w:rPr>
                <w:sz w:val="14"/>
                <w:szCs w:val="14"/>
                <w:color w:val="auto"/>
              </w:rPr>
            </w:pPr>
          </w:p>
        </w:tc>
        <w:tc>
          <w:tcPr>
            <w:tcW w:w="80" w:type="dxa"/>
            <w:vAlign w:val="bottom"/>
            <w:tcBorders>
              <w:bottom w:val="single" w:sz="8" w:color="auto"/>
            </w:tcBorders>
          </w:tcPr>
          <w:p>
            <w:pPr>
              <w:spacing w:after="0"/>
              <w:rPr>
                <w:sz w:val="14"/>
                <w:szCs w:val="14"/>
                <w:color w:val="auto"/>
              </w:rPr>
            </w:pPr>
          </w:p>
        </w:tc>
        <w:tc>
          <w:tcPr>
            <w:tcW w:w="2820" w:type="dxa"/>
            <w:vAlign w:val="bottom"/>
            <w:tcBorders>
              <w:bottom w:val="single" w:sz="8" w:color="auto"/>
            </w:tcBorders>
            <w:gridSpan w:val="5"/>
          </w:tcPr>
          <w:p>
            <w:pPr>
              <w:ind w:left="480"/>
              <w:spacing w:after="0"/>
              <w:rPr>
                <w:sz w:val="20"/>
                <w:szCs w:val="20"/>
                <w:color w:val="auto"/>
              </w:rPr>
            </w:pPr>
            <w:r>
              <w:rPr>
                <w:rFonts w:ascii="Times New Roman" w:cs="Times New Roman" w:eastAsia="Times New Roman" w:hAnsi="Times New Roman"/>
                <w:sz w:val="13"/>
                <w:szCs w:val="13"/>
                <w:b w:val="1"/>
                <w:bCs w:val="1"/>
                <w:color w:val="auto"/>
              </w:rPr>
              <w:t>Year Ended December 31, 2025</w:t>
            </w:r>
          </w:p>
        </w:tc>
        <w:tc>
          <w:tcPr>
            <w:tcW w:w="300" w:type="dxa"/>
            <w:vAlign w:val="bottom"/>
            <w:tcBorders>
              <w:bottom w:val="single" w:sz="8" w:color="auto"/>
            </w:tcBorders>
          </w:tcPr>
          <w:p>
            <w:pPr>
              <w:spacing w:after="0"/>
              <w:rPr>
                <w:sz w:val="14"/>
                <w:szCs w:val="14"/>
                <w:color w:val="auto"/>
              </w:rPr>
            </w:pPr>
          </w:p>
        </w:tc>
        <w:tc>
          <w:tcPr>
            <w:tcW w:w="1000" w:type="dxa"/>
            <w:vAlign w:val="bottom"/>
            <w:tcBorders>
              <w:bottom w:val="single" w:sz="8" w:color="auto"/>
            </w:tcBorders>
          </w:tcPr>
          <w:p>
            <w:pPr>
              <w:spacing w:after="0"/>
              <w:rPr>
                <w:sz w:val="14"/>
                <w:szCs w:val="14"/>
                <w:color w:val="auto"/>
              </w:rPr>
            </w:pPr>
          </w:p>
        </w:tc>
        <w:tc>
          <w:tcPr>
            <w:tcW w:w="0" w:type="dxa"/>
            <w:vAlign w:val="bottom"/>
          </w:tcPr>
          <w:p>
            <w:pPr>
              <w:spacing w:after="0"/>
              <w:rPr>
                <w:sz w:val="1"/>
                <w:szCs w:val="1"/>
                <w:color w:val="auto"/>
              </w:rPr>
            </w:pPr>
          </w:p>
        </w:tc>
      </w:tr>
      <w:tr>
        <w:trPr>
          <w:trHeight w:val="120"/>
        </w:trPr>
        <w:tc>
          <w:tcPr>
            <w:tcW w:w="5680" w:type="dxa"/>
            <w:vAlign w:val="bottom"/>
            <w:vMerge w:val="restart"/>
          </w:tcPr>
          <w:p>
            <w:pPr>
              <w:ind w:left="20"/>
              <w:spacing w:after="0"/>
              <w:rPr>
                <w:sz w:val="20"/>
                <w:szCs w:val="20"/>
                <w:color w:val="auto"/>
              </w:rPr>
            </w:pPr>
            <w:r>
              <w:rPr>
                <w:rFonts w:ascii="Times New Roman" w:cs="Times New Roman" w:eastAsia="Times New Roman" w:hAnsi="Times New Roman"/>
                <w:sz w:val="13"/>
                <w:szCs w:val="13"/>
                <w:b w:val="1"/>
                <w:bCs w:val="1"/>
                <w:color w:val="auto"/>
              </w:rPr>
              <w:t>AUM (in millions)</w:t>
            </w:r>
          </w:p>
        </w:tc>
        <w:tc>
          <w:tcPr>
            <w:tcW w:w="200" w:type="dxa"/>
            <w:vAlign w:val="bottom"/>
          </w:tcPr>
          <w:p>
            <w:pPr>
              <w:spacing w:after="0"/>
              <w:rPr>
                <w:sz w:val="10"/>
                <w:szCs w:val="10"/>
                <w:color w:val="auto"/>
              </w:rPr>
            </w:pPr>
          </w:p>
        </w:tc>
        <w:tc>
          <w:tcPr>
            <w:tcW w:w="1200" w:type="dxa"/>
            <w:vAlign w:val="bottom"/>
            <w:gridSpan w:val="2"/>
            <w:vMerge w:val="restart"/>
          </w:tcPr>
          <w:p>
            <w:pPr>
              <w:ind w:left="120"/>
              <w:spacing w:after="0"/>
              <w:rPr>
                <w:sz w:val="20"/>
                <w:szCs w:val="20"/>
                <w:color w:val="auto"/>
              </w:rPr>
            </w:pPr>
            <w:r>
              <w:rPr>
                <w:rFonts w:ascii="Times New Roman" w:cs="Times New Roman" w:eastAsia="Times New Roman" w:hAnsi="Times New Roman"/>
                <w:sz w:val="13"/>
                <w:szCs w:val="13"/>
                <w:b w:val="1"/>
                <w:bCs w:val="1"/>
                <w:color w:val="auto"/>
              </w:rPr>
              <w:t>Institutional</w:t>
            </w:r>
          </w:p>
        </w:tc>
        <w:tc>
          <w:tcPr>
            <w:tcW w:w="80" w:type="dxa"/>
            <w:vAlign w:val="bottom"/>
          </w:tcPr>
          <w:p>
            <w:pPr>
              <w:spacing w:after="0"/>
              <w:rPr>
                <w:sz w:val="10"/>
                <w:szCs w:val="10"/>
                <w:color w:val="auto"/>
              </w:rPr>
            </w:pPr>
          </w:p>
        </w:tc>
        <w:tc>
          <w:tcPr>
            <w:tcW w:w="1300" w:type="dxa"/>
            <w:vAlign w:val="bottom"/>
            <w:gridSpan w:val="2"/>
            <w:vMerge w:val="restart"/>
          </w:tcPr>
          <w:p>
            <w:pPr>
              <w:spacing w:after="0"/>
              <w:rPr>
                <w:sz w:val="20"/>
                <w:szCs w:val="20"/>
                <w:color w:val="auto"/>
              </w:rPr>
            </w:pPr>
            <w:r>
              <w:rPr>
                <w:rFonts w:ascii="Times New Roman" w:cs="Times New Roman" w:eastAsia="Times New Roman" w:hAnsi="Times New Roman"/>
                <w:sz w:val="13"/>
                <w:szCs w:val="13"/>
                <w:b w:val="1"/>
                <w:bCs w:val="1"/>
                <w:color w:val="auto"/>
              </w:rPr>
              <w:t>Wealth Management</w:t>
            </w:r>
          </w:p>
        </w:tc>
        <w:tc>
          <w:tcPr>
            <w:tcW w:w="200" w:type="dxa"/>
            <w:vAlign w:val="bottom"/>
          </w:tcPr>
          <w:p>
            <w:pPr>
              <w:spacing w:after="0"/>
              <w:rPr>
                <w:sz w:val="10"/>
                <w:szCs w:val="10"/>
                <w:color w:val="auto"/>
              </w:rPr>
            </w:pPr>
          </w:p>
        </w:tc>
        <w:tc>
          <w:tcPr>
            <w:tcW w:w="1320" w:type="dxa"/>
            <w:vAlign w:val="bottom"/>
            <w:gridSpan w:val="2"/>
          </w:tcPr>
          <w:p>
            <w:pPr>
              <w:jc w:val="center"/>
              <w:ind w:right="280"/>
              <w:spacing w:after="0" w:line="120" w:lineRule="exact"/>
              <w:rPr>
                <w:sz w:val="20"/>
                <w:szCs w:val="20"/>
                <w:color w:val="auto"/>
              </w:rPr>
            </w:pPr>
            <w:r>
              <w:rPr>
                <w:rFonts w:ascii="Times New Roman" w:cs="Times New Roman" w:eastAsia="Times New Roman" w:hAnsi="Times New Roman"/>
                <w:sz w:val="13"/>
                <w:szCs w:val="13"/>
                <w:b w:val="1"/>
                <w:bCs w:val="1"/>
                <w:color w:val="auto"/>
                <w:w w:val="97"/>
              </w:rPr>
              <w:t>Mutual</w:t>
            </w:r>
          </w:p>
        </w:tc>
        <w:tc>
          <w:tcPr>
            <w:tcW w:w="300" w:type="dxa"/>
            <w:vAlign w:val="bottom"/>
          </w:tcPr>
          <w:p>
            <w:pPr>
              <w:spacing w:after="0"/>
              <w:rPr>
                <w:sz w:val="10"/>
                <w:szCs w:val="10"/>
                <w:color w:val="auto"/>
              </w:rPr>
            </w:pPr>
          </w:p>
        </w:tc>
        <w:tc>
          <w:tcPr>
            <w:tcW w:w="1000" w:type="dxa"/>
            <w:vAlign w:val="bottom"/>
            <w:vMerge w:val="restart"/>
          </w:tcPr>
          <w:p>
            <w:pPr>
              <w:jc w:val="right"/>
              <w:ind w:right="453"/>
              <w:spacing w:after="0"/>
              <w:rPr>
                <w:sz w:val="20"/>
                <w:szCs w:val="20"/>
                <w:color w:val="auto"/>
              </w:rPr>
            </w:pPr>
            <w:r>
              <w:rPr>
                <w:rFonts w:ascii="Times New Roman" w:cs="Times New Roman" w:eastAsia="Times New Roman" w:hAnsi="Times New Roman"/>
                <w:sz w:val="13"/>
                <w:szCs w:val="13"/>
                <w:b w:val="1"/>
                <w:bCs w:val="1"/>
                <w:color w:val="auto"/>
              </w:rPr>
              <w:t>Total</w:t>
            </w:r>
          </w:p>
        </w:tc>
        <w:tc>
          <w:tcPr>
            <w:tcW w:w="0" w:type="dxa"/>
            <w:vAlign w:val="bottom"/>
          </w:tcPr>
          <w:p>
            <w:pPr>
              <w:spacing w:after="0"/>
              <w:rPr>
                <w:sz w:val="1"/>
                <w:szCs w:val="1"/>
                <w:color w:val="auto"/>
              </w:rPr>
            </w:pPr>
          </w:p>
        </w:tc>
      </w:tr>
      <w:tr>
        <w:trPr>
          <w:trHeight w:val="169"/>
        </w:trPr>
        <w:tc>
          <w:tcPr>
            <w:tcW w:w="5680" w:type="dxa"/>
            <w:vAlign w:val="bottom"/>
            <w:vMerge w:val="continue"/>
          </w:tcPr>
          <w:p>
            <w:pPr>
              <w:spacing w:after="0"/>
              <w:rPr>
                <w:sz w:val="14"/>
                <w:szCs w:val="14"/>
                <w:color w:val="auto"/>
              </w:rPr>
            </w:pPr>
          </w:p>
        </w:tc>
        <w:tc>
          <w:tcPr>
            <w:tcW w:w="200" w:type="dxa"/>
            <w:vAlign w:val="bottom"/>
          </w:tcPr>
          <w:p>
            <w:pPr>
              <w:spacing w:after="0"/>
              <w:rPr>
                <w:sz w:val="14"/>
                <w:szCs w:val="14"/>
                <w:color w:val="auto"/>
              </w:rPr>
            </w:pPr>
          </w:p>
        </w:tc>
        <w:tc>
          <w:tcPr>
            <w:tcW w:w="1200" w:type="dxa"/>
            <w:vAlign w:val="bottom"/>
            <w:gridSpan w:val="2"/>
            <w:vMerge w:val="continue"/>
          </w:tcPr>
          <w:p>
            <w:pPr>
              <w:spacing w:after="0"/>
              <w:rPr>
                <w:sz w:val="14"/>
                <w:szCs w:val="14"/>
                <w:color w:val="auto"/>
              </w:rPr>
            </w:pPr>
          </w:p>
        </w:tc>
        <w:tc>
          <w:tcPr>
            <w:tcW w:w="80" w:type="dxa"/>
            <w:vAlign w:val="bottom"/>
          </w:tcPr>
          <w:p>
            <w:pPr>
              <w:spacing w:after="0"/>
              <w:rPr>
                <w:sz w:val="14"/>
                <w:szCs w:val="14"/>
                <w:color w:val="auto"/>
              </w:rPr>
            </w:pPr>
          </w:p>
        </w:tc>
        <w:tc>
          <w:tcPr>
            <w:tcW w:w="1300" w:type="dxa"/>
            <w:vAlign w:val="bottom"/>
            <w:gridSpan w:val="2"/>
            <w:vMerge w:val="continue"/>
          </w:tcPr>
          <w:p>
            <w:pPr>
              <w:spacing w:after="0"/>
              <w:rPr>
                <w:sz w:val="14"/>
                <w:szCs w:val="14"/>
                <w:color w:val="auto"/>
              </w:rPr>
            </w:pPr>
          </w:p>
        </w:tc>
        <w:tc>
          <w:tcPr>
            <w:tcW w:w="200" w:type="dxa"/>
            <w:vAlign w:val="bottom"/>
          </w:tcPr>
          <w:p>
            <w:pPr>
              <w:spacing w:after="0"/>
              <w:rPr>
                <w:sz w:val="14"/>
                <w:szCs w:val="14"/>
                <w:color w:val="auto"/>
              </w:rPr>
            </w:pPr>
          </w:p>
        </w:tc>
        <w:tc>
          <w:tcPr>
            <w:tcW w:w="1320" w:type="dxa"/>
            <w:vAlign w:val="bottom"/>
            <w:gridSpan w:val="2"/>
          </w:tcPr>
          <w:p>
            <w:pPr>
              <w:jc w:val="center"/>
              <w:ind w:right="280"/>
              <w:spacing w:after="0"/>
              <w:rPr>
                <w:sz w:val="20"/>
                <w:szCs w:val="20"/>
                <w:color w:val="auto"/>
              </w:rPr>
            </w:pPr>
            <w:r>
              <w:rPr>
                <w:rFonts w:ascii="Times New Roman" w:cs="Times New Roman" w:eastAsia="Times New Roman" w:hAnsi="Times New Roman"/>
                <w:sz w:val="13"/>
                <w:szCs w:val="13"/>
                <w:b w:val="1"/>
                <w:bCs w:val="1"/>
                <w:color w:val="auto"/>
                <w:w w:val="97"/>
              </w:rPr>
              <w:t>Funds &amp; ETFs</w:t>
            </w:r>
          </w:p>
        </w:tc>
        <w:tc>
          <w:tcPr>
            <w:tcW w:w="300" w:type="dxa"/>
            <w:vAlign w:val="bottom"/>
          </w:tcPr>
          <w:p>
            <w:pPr>
              <w:spacing w:after="0"/>
              <w:rPr>
                <w:sz w:val="14"/>
                <w:szCs w:val="14"/>
                <w:color w:val="auto"/>
              </w:rPr>
            </w:pPr>
          </w:p>
        </w:tc>
        <w:tc>
          <w:tcPr>
            <w:tcW w:w="1000" w:type="dxa"/>
            <w:vAlign w:val="bottom"/>
            <w:vMerge w:val="continue"/>
          </w:tcPr>
          <w:p>
            <w:pPr>
              <w:spacing w:after="0"/>
              <w:rPr>
                <w:sz w:val="14"/>
                <w:szCs w:val="14"/>
                <w:color w:val="auto"/>
              </w:rPr>
            </w:pPr>
          </w:p>
        </w:tc>
        <w:tc>
          <w:tcPr>
            <w:tcW w:w="0" w:type="dxa"/>
            <w:vAlign w:val="bottom"/>
          </w:tcPr>
          <w:p>
            <w:pPr>
              <w:spacing w:after="0"/>
              <w:rPr>
                <w:sz w:val="1"/>
                <w:szCs w:val="1"/>
                <w:color w:val="auto"/>
              </w:rPr>
            </w:pPr>
          </w:p>
        </w:tc>
      </w:tr>
      <w:tr>
        <w:trPr>
          <w:trHeight w:val="172"/>
        </w:trPr>
        <w:tc>
          <w:tcPr>
            <w:tcW w:w="5680" w:type="dxa"/>
            <w:vAlign w:val="bottom"/>
            <w:tcBorders>
              <w:top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4"/>
                <w:szCs w:val="14"/>
                <w:color w:val="auto"/>
              </w:rPr>
              <w:t>Beginning of period assets</w:t>
            </w:r>
          </w:p>
        </w:tc>
        <w:tc>
          <w:tcPr>
            <w:tcW w:w="200" w:type="dxa"/>
            <w:vAlign w:val="bottom"/>
            <w:tcBorders>
              <w:top w:val="single" w:sz="8" w:color="auto"/>
            </w:tcBorders>
            <w:shd w:val="clear" w:color="auto" w:fill="CCEEFF"/>
          </w:tcPr>
          <w:p>
            <w:pPr>
              <w:jc w:val="right"/>
              <w:ind w:right="53"/>
              <w:spacing w:after="0"/>
              <w:rPr>
                <w:sz w:val="20"/>
                <w:szCs w:val="20"/>
                <w:color w:val="auto"/>
              </w:rPr>
            </w:pPr>
            <w:r>
              <w:rPr>
                <w:rFonts w:ascii="Times New Roman" w:cs="Times New Roman" w:eastAsia="Times New Roman" w:hAnsi="Times New Roman"/>
                <w:sz w:val="13"/>
                <w:szCs w:val="13"/>
                <w:color w:val="auto"/>
                <w:w w:val="91"/>
              </w:rPr>
              <w:t>$</w:t>
            </w:r>
          </w:p>
        </w:tc>
        <w:tc>
          <w:tcPr>
            <w:tcW w:w="110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8,301</w:t>
            </w:r>
          </w:p>
        </w:tc>
        <w:tc>
          <w:tcPr>
            <w:tcW w:w="100" w:type="dxa"/>
            <w:vAlign w:val="bottom"/>
            <w:tcBorders>
              <w:top w:val="single" w:sz="8" w:color="CCEEFF"/>
            </w:tcBorders>
            <w:shd w:val="clear" w:color="auto" w:fill="CCEEFF"/>
          </w:tcPr>
          <w:p>
            <w:pPr>
              <w:spacing w:after="0"/>
              <w:rPr>
                <w:sz w:val="14"/>
                <w:szCs w:val="14"/>
                <w:color w:val="auto"/>
              </w:rPr>
            </w:pPr>
          </w:p>
        </w:tc>
        <w:tc>
          <w:tcPr>
            <w:tcW w:w="8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w w:val="91"/>
              </w:rPr>
              <w:t>$</w:t>
            </w:r>
          </w:p>
        </w:tc>
        <w:tc>
          <w:tcPr>
            <w:tcW w:w="122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4,391</w:t>
            </w:r>
          </w:p>
        </w:tc>
        <w:tc>
          <w:tcPr>
            <w:tcW w:w="80" w:type="dxa"/>
            <w:vAlign w:val="bottom"/>
            <w:tcBorders>
              <w:top w:val="single" w:sz="8" w:color="CCEEFF"/>
            </w:tcBorders>
            <w:shd w:val="clear" w:color="auto" w:fill="CCEEFF"/>
          </w:tcPr>
          <w:p>
            <w:pPr>
              <w:spacing w:after="0"/>
              <w:rPr>
                <w:sz w:val="14"/>
                <w:szCs w:val="14"/>
                <w:color w:val="auto"/>
              </w:rPr>
            </w:pPr>
          </w:p>
        </w:tc>
        <w:tc>
          <w:tcPr>
            <w:tcW w:w="200" w:type="dxa"/>
            <w:vAlign w:val="bottom"/>
            <w:tcBorders>
              <w:top w:val="single" w:sz="8" w:color="auto"/>
            </w:tcBorders>
            <w:shd w:val="clear" w:color="auto" w:fill="CCEEFF"/>
          </w:tcPr>
          <w:p>
            <w:pPr>
              <w:jc w:val="right"/>
              <w:ind w:right="53"/>
              <w:spacing w:after="0"/>
              <w:rPr>
                <w:sz w:val="20"/>
                <w:szCs w:val="20"/>
                <w:color w:val="auto"/>
              </w:rPr>
            </w:pPr>
            <w:r>
              <w:rPr>
                <w:rFonts w:ascii="Times New Roman" w:cs="Times New Roman" w:eastAsia="Times New Roman" w:hAnsi="Times New Roman"/>
                <w:sz w:val="13"/>
                <w:szCs w:val="13"/>
                <w:color w:val="auto"/>
                <w:w w:val="91"/>
              </w:rPr>
              <w:t>$</w:t>
            </w:r>
          </w:p>
        </w:tc>
        <w:tc>
          <w:tcPr>
            <w:tcW w:w="124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3,915</w:t>
            </w:r>
          </w:p>
        </w:tc>
        <w:tc>
          <w:tcPr>
            <w:tcW w:w="80" w:type="dxa"/>
            <w:vAlign w:val="bottom"/>
            <w:tcBorders>
              <w:top w:val="single" w:sz="8" w:color="CCEEFF"/>
            </w:tcBorders>
            <w:shd w:val="clear" w:color="auto" w:fill="CCEEFF"/>
          </w:tcPr>
          <w:p>
            <w:pPr>
              <w:spacing w:after="0"/>
              <w:rPr>
                <w:sz w:val="14"/>
                <w:szCs w:val="14"/>
                <w:color w:val="auto"/>
              </w:rPr>
            </w:pPr>
          </w:p>
        </w:tc>
        <w:tc>
          <w:tcPr>
            <w:tcW w:w="300" w:type="dxa"/>
            <w:vAlign w:val="bottom"/>
            <w:tcBorders>
              <w:top w:val="single" w:sz="8" w:color="auto"/>
            </w:tcBorders>
            <w:shd w:val="clear" w:color="auto" w:fill="CCEEFF"/>
          </w:tcPr>
          <w:p>
            <w:pPr>
              <w:jc w:val="right"/>
              <w:ind w:right="153"/>
              <w:spacing w:after="0"/>
              <w:rPr>
                <w:sz w:val="20"/>
                <w:szCs w:val="20"/>
                <w:color w:val="auto"/>
              </w:rPr>
            </w:pPr>
            <w:r>
              <w:rPr>
                <w:rFonts w:ascii="Times New Roman" w:cs="Times New Roman" w:eastAsia="Times New Roman" w:hAnsi="Times New Roman"/>
                <w:sz w:val="13"/>
                <w:szCs w:val="13"/>
                <w:color w:val="auto"/>
                <w:w w:val="91"/>
              </w:rPr>
              <w:t>$</w:t>
            </w:r>
          </w:p>
        </w:tc>
        <w:tc>
          <w:tcPr>
            <w:tcW w:w="100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16,607</w:t>
            </w:r>
          </w:p>
        </w:tc>
        <w:tc>
          <w:tcPr>
            <w:tcW w:w="0" w:type="dxa"/>
            <w:vAlign w:val="bottom"/>
          </w:tcPr>
          <w:p>
            <w:pPr>
              <w:spacing w:after="0"/>
              <w:rPr>
                <w:sz w:val="1"/>
                <w:szCs w:val="1"/>
                <w:color w:val="auto"/>
              </w:rPr>
            </w:pPr>
          </w:p>
        </w:tc>
      </w:tr>
      <w:tr>
        <w:trPr>
          <w:trHeight w:val="180"/>
        </w:trPr>
        <w:tc>
          <w:tcPr>
            <w:tcW w:w="5680" w:type="dxa"/>
            <w:vAlign w:val="bottom"/>
          </w:tcPr>
          <w:p>
            <w:pPr>
              <w:ind w:left="20"/>
              <w:spacing w:after="0"/>
              <w:rPr>
                <w:sz w:val="20"/>
                <w:szCs w:val="20"/>
                <w:color w:val="auto"/>
              </w:rPr>
            </w:pPr>
            <w:r>
              <w:rPr>
                <w:rFonts w:ascii="Times New Roman" w:cs="Times New Roman" w:eastAsia="Times New Roman" w:hAnsi="Times New Roman"/>
                <w:sz w:val="14"/>
                <w:szCs w:val="14"/>
                <w:color w:val="auto"/>
              </w:rPr>
              <w:t>Client flows:</w:t>
            </w:r>
          </w:p>
        </w:tc>
        <w:tc>
          <w:tcPr>
            <w:tcW w:w="200" w:type="dxa"/>
            <w:vAlign w:val="bottom"/>
          </w:tcPr>
          <w:p>
            <w:pPr>
              <w:spacing w:after="0"/>
              <w:rPr>
                <w:sz w:val="15"/>
                <w:szCs w:val="15"/>
                <w:color w:val="auto"/>
              </w:rPr>
            </w:pPr>
          </w:p>
        </w:tc>
        <w:tc>
          <w:tcPr>
            <w:tcW w:w="110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122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124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300" w:type="dxa"/>
            <w:vAlign w:val="bottom"/>
          </w:tcPr>
          <w:p>
            <w:pPr>
              <w:spacing w:after="0"/>
              <w:rPr>
                <w:sz w:val="15"/>
                <w:szCs w:val="15"/>
                <w:color w:val="auto"/>
              </w:rPr>
            </w:pPr>
          </w:p>
        </w:tc>
        <w:tc>
          <w:tcPr>
            <w:tcW w:w="100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80"/>
        </w:trPr>
        <w:tc>
          <w:tcPr>
            <w:tcW w:w="5680" w:type="dxa"/>
            <w:vAlign w:val="bottom"/>
            <w:shd w:val="clear" w:color="auto" w:fill="CCEEFF"/>
          </w:tcPr>
          <w:p>
            <w:pPr>
              <w:ind w:left="280"/>
              <w:spacing w:after="0"/>
              <w:rPr>
                <w:sz w:val="20"/>
                <w:szCs w:val="20"/>
                <w:color w:val="auto"/>
              </w:rPr>
            </w:pPr>
            <w:r>
              <w:rPr>
                <w:rFonts w:ascii="Times New Roman" w:cs="Times New Roman" w:eastAsia="Times New Roman" w:hAnsi="Times New Roman"/>
                <w:sz w:val="14"/>
                <w:szCs w:val="14"/>
                <w:color w:val="auto"/>
              </w:rPr>
              <w:t>Inflows</w:t>
            </w:r>
          </w:p>
        </w:tc>
        <w:tc>
          <w:tcPr>
            <w:tcW w:w="200" w:type="dxa"/>
            <w:vAlign w:val="bottom"/>
            <w:shd w:val="clear" w:color="auto" w:fill="CCEEFF"/>
          </w:tcPr>
          <w:p>
            <w:pPr>
              <w:spacing w:after="0"/>
              <w:rPr>
                <w:sz w:val="15"/>
                <w:szCs w:val="15"/>
                <w:color w:val="auto"/>
              </w:rPr>
            </w:pPr>
          </w:p>
        </w:tc>
        <w:tc>
          <w:tcPr>
            <w:tcW w:w="11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1,457</w:t>
            </w:r>
          </w:p>
        </w:tc>
        <w:tc>
          <w:tcPr>
            <w:tcW w:w="100" w:type="dxa"/>
            <w:vAlign w:val="bottom"/>
            <w:shd w:val="clear" w:color="auto" w:fill="CCEEFF"/>
          </w:tcPr>
          <w:p>
            <w:pPr>
              <w:spacing w:after="0"/>
              <w:rPr>
                <w:sz w:val="15"/>
                <w:szCs w:val="15"/>
                <w:color w:val="auto"/>
              </w:rPr>
            </w:pPr>
          </w:p>
        </w:tc>
        <w:tc>
          <w:tcPr>
            <w:tcW w:w="80" w:type="dxa"/>
            <w:vAlign w:val="bottom"/>
            <w:shd w:val="clear" w:color="auto" w:fill="CCEEFF"/>
          </w:tcPr>
          <w:p>
            <w:pPr>
              <w:spacing w:after="0"/>
              <w:rPr>
                <w:sz w:val="15"/>
                <w:szCs w:val="15"/>
                <w:color w:val="auto"/>
              </w:rPr>
            </w:pPr>
          </w:p>
        </w:tc>
        <w:tc>
          <w:tcPr>
            <w:tcW w:w="12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329</w:t>
            </w:r>
          </w:p>
        </w:tc>
        <w:tc>
          <w:tcPr>
            <w:tcW w:w="80" w:type="dxa"/>
            <w:vAlign w:val="bottom"/>
            <w:shd w:val="clear" w:color="auto" w:fill="CCEEFF"/>
          </w:tcPr>
          <w:p>
            <w:pPr>
              <w:spacing w:after="0"/>
              <w:rPr>
                <w:sz w:val="15"/>
                <w:szCs w:val="15"/>
                <w:color w:val="auto"/>
              </w:rPr>
            </w:pPr>
          </w:p>
        </w:tc>
        <w:tc>
          <w:tcPr>
            <w:tcW w:w="200" w:type="dxa"/>
            <w:vAlign w:val="bottom"/>
            <w:shd w:val="clear" w:color="auto" w:fill="CCEEFF"/>
          </w:tcPr>
          <w:p>
            <w:pPr>
              <w:spacing w:after="0"/>
              <w:rPr>
                <w:sz w:val="15"/>
                <w:szCs w:val="15"/>
                <w:color w:val="auto"/>
              </w:rPr>
            </w:pPr>
          </w:p>
        </w:tc>
        <w:tc>
          <w:tcPr>
            <w:tcW w:w="12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696</w:t>
            </w:r>
          </w:p>
        </w:tc>
        <w:tc>
          <w:tcPr>
            <w:tcW w:w="80" w:type="dxa"/>
            <w:vAlign w:val="bottom"/>
            <w:shd w:val="clear" w:color="auto" w:fill="CCEEFF"/>
          </w:tcPr>
          <w:p>
            <w:pPr>
              <w:spacing w:after="0"/>
              <w:rPr>
                <w:sz w:val="15"/>
                <w:szCs w:val="15"/>
                <w:color w:val="auto"/>
              </w:rPr>
            </w:pPr>
          </w:p>
        </w:tc>
        <w:tc>
          <w:tcPr>
            <w:tcW w:w="300" w:type="dxa"/>
            <w:vAlign w:val="bottom"/>
            <w:shd w:val="clear" w:color="auto" w:fill="CCEEFF"/>
          </w:tcPr>
          <w:p>
            <w:pPr>
              <w:spacing w:after="0"/>
              <w:rPr>
                <w:sz w:val="15"/>
                <w:szCs w:val="15"/>
                <w:color w:val="auto"/>
              </w:rPr>
            </w:pPr>
          </w:p>
        </w:tc>
        <w:tc>
          <w:tcPr>
            <w:tcW w:w="10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2,482</w:t>
            </w:r>
          </w:p>
        </w:tc>
        <w:tc>
          <w:tcPr>
            <w:tcW w:w="0" w:type="dxa"/>
            <w:vAlign w:val="bottom"/>
          </w:tcPr>
          <w:p>
            <w:pPr>
              <w:spacing w:after="0"/>
              <w:rPr>
                <w:sz w:val="1"/>
                <w:szCs w:val="1"/>
                <w:color w:val="auto"/>
              </w:rPr>
            </w:pPr>
          </w:p>
        </w:tc>
      </w:tr>
      <w:tr>
        <w:trPr>
          <w:trHeight w:val="180"/>
        </w:trPr>
        <w:tc>
          <w:tcPr>
            <w:tcW w:w="5680" w:type="dxa"/>
            <w:vAlign w:val="bottom"/>
            <w:tcBorders>
              <w:bottom w:val="single" w:sz="8" w:color="CCEEFF"/>
            </w:tcBorders>
          </w:tcPr>
          <w:p>
            <w:pPr>
              <w:ind w:left="280"/>
              <w:spacing w:after="0"/>
              <w:rPr>
                <w:sz w:val="20"/>
                <w:szCs w:val="20"/>
                <w:color w:val="auto"/>
              </w:rPr>
            </w:pPr>
            <w:r>
              <w:rPr>
                <w:rFonts w:ascii="Times New Roman" w:cs="Times New Roman" w:eastAsia="Times New Roman" w:hAnsi="Times New Roman"/>
                <w:sz w:val="14"/>
                <w:szCs w:val="14"/>
                <w:color w:val="auto"/>
              </w:rPr>
              <w:t>Outflows</w:t>
            </w:r>
          </w:p>
        </w:tc>
        <w:tc>
          <w:tcPr>
            <w:tcW w:w="200" w:type="dxa"/>
            <w:vAlign w:val="bottom"/>
            <w:tcBorders>
              <w:bottom w:val="single" w:sz="8" w:color="auto"/>
            </w:tcBorders>
          </w:tcPr>
          <w:p>
            <w:pPr>
              <w:spacing w:after="0"/>
              <w:rPr>
                <w:sz w:val="15"/>
                <w:szCs w:val="15"/>
                <w:color w:val="auto"/>
              </w:rPr>
            </w:pPr>
          </w:p>
        </w:tc>
        <w:tc>
          <w:tcPr>
            <w:tcW w:w="11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3"/>
                <w:szCs w:val="13"/>
                <w:color w:val="auto"/>
              </w:rPr>
              <w:t>(1,929)</w:t>
            </w:r>
          </w:p>
        </w:tc>
        <w:tc>
          <w:tcPr>
            <w:tcW w:w="100" w:type="dxa"/>
            <w:vAlign w:val="bottom"/>
            <w:tcBorders>
              <w:bottom w:val="single" w:sz="8" w:color="CCEEFF"/>
            </w:tcBorders>
          </w:tcPr>
          <w:p>
            <w:pPr>
              <w:spacing w:after="0"/>
              <w:rPr>
                <w:sz w:val="15"/>
                <w:szCs w:val="15"/>
                <w:color w:val="auto"/>
              </w:rPr>
            </w:pPr>
          </w:p>
        </w:tc>
        <w:tc>
          <w:tcPr>
            <w:tcW w:w="80" w:type="dxa"/>
            <w:vAlign w:val="bottom"/>
            <w:tcBorders>
              <w:bottom w:val="single" w:sz="8" w:color="auto"/>
            </w:tcBorders>
          </w:tcPr>
          <w:p>
            <w:pPr>
              <w:spacing w:after="0"/>
              <w:rPr>
                <w:sz w:val="15"/>
                <w:szCs w:val="15"/>
                <w:color w:val="auto"/>
              </w:rPr>
            </w:pPr>
          </w:p>
        </w:tc>
        <w:tc>
          <w:tcPr>
            <w:tcW w:w="12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3"/>
                <w:szCs w:val="13"/>
                <w:color w:val="auto"/>
              </w:rPr>
              <w:t>(729)</w:t>
            </w:r>
          </w:p>
        </w:tc>
        <w:tc>
          <w:tcPr>
            <w:tcW w:w="80" w:type="dxa"/>
            <w:vAlign w:val="bottom"/>
            <w:tcBorders>
              <w:bottom w:val="single" w:sz="8" w:color="CCEEFF"/>
            </w:tcBorders>
          </w:tcPr>
          <w:p>
            <w:pPr>
              <w:spacing w:after="0"/>
              <w:rPr>
                <w:sz w:val="15"/>
                <w:szCs w:val="15"/>
                <w:color w:val="auto"/>
              </w:rPr>
            </w:pPr>
          </w:p>
        </w:tc>
        <w:tc>
          <w:tcPr>
            <w:tcW w:w="200" w:type="dxa"/>
            <w:vAlign w:val="bottom"/>
            <w:tcBorders>
              <w:bottom w:val="single" w:sz="8" w:color="auto"/>
            </w:tcBorders>
          </w:tcPr>
          <w:p>
            <w:pPr>
              <w:spacing w:after="0"/>
              <w:rPr>
                <w:sz w:val="15"/>
                <w:szCs w:val="15"/>
                <w:color w:val="auto"/>
              </w:rPr>
            </w:pPr>
          </w:p>
        </w:tc>
        <w:tc>
          <w:tcPr>
            <w:tcW w:w="12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3"/>
                <w:szCs w:val="13"/>
                <w:color w:val="auto"/>
              </w:rPr>
              <w:t>(864)</w:t>
            </w:r>
          </w:p>
        </w:tc>
        <w:tc>
          <w:tcPr>
            <w:tcW w:w="80" w:type="dxa"/>
            <w:vAlign w:val="bottom"/>
            <w:tcBorders>
              <w:bottom w:val="single" w:sz="8" w:color="CCEEFF"/>
            </w:tcBorders>
          </w:tcPr>
          <w:p>
            <w:pPr>
              <w:spacing w:after="0"/>
              <w:rPr>
                <w:sz w:val="15"/>
                <w:szCs w:val="15"/>
                <w:color w:val="auto"/>
              </w:rPr>
            </w:pPr>
          </w:p>
        </w:tc>
        <w:tc>
          <w:tcPr>
            <w:tcW w:w="300" w:type="dxa"/>
            <w:vAlign w:val="bottom"/>
            <w:tcBorders>
              <w:bottom w:val="single" w:sz="8" w:color="auto"/>
            </w:tcBorders>
          </w:tcPr>
          <w:p>
            <w:pPr>
              <w:spacing w:after="0"/>
              <w:rPr>
                <w:sz w:val="15"/>
                <w:szCs w:val="15"/>
                <w:color w:val="auto"/>
              </w:rPr>
            </w:pPr>
          </w:p>
        </w:tc>
        <w:tc>
          <w:tcPr>
            <w:tcW w:w="10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3"/>
                <w:szCs w:val="13"/>
                <w:color w:val="auto"/>
              </w:rPr>
              <w:t>(3,522)</w:t>
            </w:r>
          </w:p>
        </w:tc>
        <w:tc>
          <w:tcPr>
            <w:tcW w:w="0" w:type="dxa"/>
            <w:vAlign w:val="bottom"/>
          </w:tcPr>
          <w:p>
            <w:pPr>
              <w:spacing w:after="0"/>
              <w:rPr>
                <w:sz w:val="1"/>
                <w:szCs w:val="1"/>
                <w:color w:val="auto"/>
              </w:rPr>
            </w:pPr>
          </w:p>
        </w:tc>
      </w:tr>
      <w:tr>
        <w:trPr>
          <w:trHeight w:val="171"/>
        </w:trPr>
        <w:tc>
          <w:tcPr>
            <w:tcW w:w="568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4"/>
                <w:szCs w:val="14"/>
                <w:color w:val="auto"/>
              </w:rPr>
              <w:t>Net client flows</w:t>
            </w:r>
          </w:p>
        </w:tc>
        <w:tc>
          <w:tcPr>
            <w:tcW w:w="200" w:type="dxa"/>
            <w:vAlign w:val="bottom"/>
            <w:shd w:val="clear" w:color="auto" w:fill="CCEEFF"/>
          </w:tcPr>
          <w:p>
            <w:pPr>
              <w:spacing w:after="0"/>
              <w:rPr>
                <w:sz w:val="14"/>
                <w:szCs w:val="14"/>
                <w:color w:val="auto"/>
              </w:rPr>
            </w:pPr>
          </w:p>
        </w:tc>
        <w:tc>
          <w:tcPr>
            <w:tcW w:w="11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(472)</w:t>
            </w:r>
          </w:p>
        </w:tc>
        <w:tc>
          <w:tcPr>
            <w:tcW w:w="100" w:type="dxa"/>
            <w:vAlign w:val="bottom"/>
            <w:shd w:val="clear" w:color="auto" w:fill="CCEEFF"/>
          </w:tcPr>
          <w:p>
            <w:pPr>
              <w:spacing w:after="0"/>
              <w:rPr>
                <w:sz w:val="14"/>
                <w:szCs w:val="14"/>
                <w:color w:val="auto"/>
              </w:rPr>
            </w:pPr>
          </w:p>
        </w:tc>
        <w:tc>
          <w:tcPr>
            <w:tcW w:w="80" w:type="dxa"/>
            <w:vAlign w:val="bottom"/>
            <w:shd w:val="clear" w:color="auto" w:fill="CCEEFF"/>
          </w:tcPr>
          <w:p>
            <w:pPr>
              <w:spacing w:after="0"/>
              <w:rPr>
                <w:sz w:val="14"/>
                <w:szCs w:val="14"/>
                <w:color w:val="auto"/>
              </w:rPr>
            </w:pPr>
          </w:p>
        </w:tc>
        <w:tc>
          <w:tcPr>
            <w:tcW w:w="12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(400)</w:t>
            </w:r>
          </w:p>
        </w:tc>
        <w:tc>
          <w:tcPr>
            <w:tcW w:w="80" w:type="dxa"/>
            <w:vAlign w:val="bottom"/>
            <w:shd w:val="clear" w:color="auto" w:fill="CCEEFF"/>
          </w:tcPr>
          <w:p>
            <w:pPr>
              <w:spacing w:after="0"/>
              <w:rPr>
                <w:sz w:val="14"/>
                <w:szCs w:val="14"/>
                <w:color w:val="auto"/>
              </w:rPr>
            </w:pPr>
          </w:p>
        </w:tc>
        <w:tc>
          <w:tcPr>
            <w:tcW w:w="200" w:type="dxa"/>
            <w:vAlign w:val="bottom"/>
            <w:shd w:val="clear" w:color="auto" w:fill="CCEEFF"/>
          </w:tcPr>
          <w:p>
            <w:pPr>
              <w:spacing w:after="0"/>
              <w:rPr>
                <w:sz w:val="14"/>
                <w:szCs w:val="14"/>
                <w:color w:val="auto"/>
              </w:rPr>
            </w:pPr>
          </w:p>
        </w:tc>
        <w:tc>
          <w:tcPr>
            <w:tcW w:w="12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(168)</w:t>
            </w:r>
          </w:p>
        </w:tc>
        <w:tc>
          <w:tcPr>
            <w:tcW w:w="80" w:type="dxa"/>
            <w:vAlign w:val="bottom"/>
            <w:shd w:val="clear" w:color="auto" w:fill="CCEEFF"/>
          </w:tcPr>
          <w:p>
            <w:pPr>
              <w:spacing w:after="0"/>
              <w:rPr>
                <w:sz w:val="14"/>
                <w:szCs w:val="14"/>
                <w:color w:val="auto"/>
              </w:rPr>
            </w:pPr>
          </w:p>
        </w:tc>
        <w:tc>
          <w:tcPr>
            <w:tcW w:w="300" w:type="dxa"/>
            <w:vAlign w:val="bottom"/>
            <w:shd w:val="clear" w:color="auto" w:fill="CCEEFF"/>
          </w:tcPr>
          <w:p>
            <w:pPr>
              <w:spacing w:after="0"/>
              <w:rPr>
                <w:sz w:val="14"/>
                <w:szCs w:val="14"/>
                <w:color w:val="auto"/>
              </w:rPr>
            </w:pPr>
          </w:p>
        </w:tc>
        <w:tc>
          <w:tcPr>
            <w:tcW w:w="10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(1,040)</w:t>
            </w:r>
          </w:p>
        </w:tc>
        <w:tc>
          <w:tcPr>
            <w:tcW w:w="0" w:type="dxa"/>
            <w:vAlign w:val="bottom"/>
          </w:tcPr>
          <w:p>
            <w:pPr>
              <w:spacing w:after="0"/>
              <w:rPr>
                <w:sz w:val="1"/>
                <w:szCs w:val="1"/>
                <w:color w:val="auto"/>
              </w:rPr>
            </w:pPr>
          </w:p>
        </w:tc>
      </w:tr>
      <w:tr>
        <w:trPr>
          <w:trHeight w:val="180"/>
        </w:trPr>
        <w:tc>
          <w:tcPr>
            <w:tcW w:w="5680" w:type="dxa"/>
            <w:vAlign w:val="bottom"/>
            <w:tcBorders>
              <w:bottom w:val="single" w:sz="8" w:color="CCEEFF"/>
            </w:tcBorders>
          </w:tcPr>
          <w:p>
            <w:pPr>
              <w:ind w:left="20"/>
              <w:spacing w:after="0"/>
              <w:rPr>
                <w:sz w:val="20"/>
                <w:szCs w:val="20"/>
                <w:color w:val="auto"/>
              </w:rPr>
            </w:pPr>
            <w:r>
              <w:rPr>
                <w:rFonts w:ascii="Times New Roman" w:cs="Times New Roman" w:eastAsia="Times New Roman" w:hAnsi="Times New Roman"/>
                <w:sz w:val="14"/>
                <w:szCs w:val="14"/>
                <w:color w:val="auto"/>
              </w:rPr>
              <w:t>Market appreciation (depreciation)</w:t>
            </w:r>
          </w:p>
        </w:tc>
        <w:tc>
          <w:tcPr>
            <w:tcW w:w="200" w:type="dxa"/>
            <w:vAlign w:val="bottom"/>
            <w:tcBorders>
              <w:bottom w:val="single" w:sz="8" w:color="auto"/>
            </w:tcBorders>
          </w:tcPr>
          <w:p>
            <w:pPr>
              <w:spacing w:after="0"/>
              <w:rPr>
                <w:sz w:val="15"/>
                <w:szCs w:val="15"/>
                <w:color w:val="auto"/>
              </w:rPr>
            </w:pPr>
          </w:p>
        </w:tc>
        <w:tc>
          <w:tcPr>
            <w:tcW w:w="11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3"/>
                <w:szCs w:val="13"/>
                <w:color w:val="auto"/>
              </w:rPr>
              <w:t>503</w:t>
            </w:r>
          </w:p>
        </w:tc>
        <w:tc>
          <w:tcPr>
            <w:tcW w:w="100" w:type="dxa"/>
            <w:vAlign w:val="bottom"/>
            <w:tcBorders>
              <w:bottom w:val="single" w:sz="8" w:color="CCEEFF"/>
            </w:tcBorders>
          </w:tcPr>
          <w:p>
            <w:pPr>
              <w:spacing w:after="0"/>
              <w:rPr>
                <w:sz w:val="15"/>
                <w:szCs w:val="15"/>
                <w:color w:val="auto"/>
              </w:rPr>
            </w:pPr>
          </w:p>
        </w:tc>
        <w:tc>
          <w:tcPr>
            <w:tcW w:w="80" w:type="dxa"/>
            <w:vAlign w:val="bottom"/>
            <w:tcBorders>
              <w:bottom w:val="single" w:sz="8" w:color="auto"/>
            </w:tcBorders>
          </w:tcPr>
          <w:p>
            <w:pPr>
              <w:spacing w:after="0"/>
              <w:rPr>
                <w:sz w:val="15"/>
                <w:szCs w:val="15"/>
                <w:color w:val="auto"/>
              </w:rPr>
            </w:pPr>
          </w:p>
        </w:tc>
        <w:tc>
          <w:tcPr>
            <w:tcW w:w="12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3"/>
                <w:szCs w:val="13"/>
                <w:color w:val="auto"/>
              </w:rPr>
              <w:t>326</w:t>
            </w:r>
          </w:p>
        </w:tc>
        <w:tc>
          <w:tcPr>
            <w:tcW w:w="80" w:type="dxa"/>
            <w:vAlign w:val="bottom"/>
            <w:tcBorders>
              <w:bottom w:val="single" w:sz="8" w:color="CCEEFF"/>
            </w:tcBorders>
          </w:tcPr>
          <w:p>
            <w:pPr>
              <w:spacing w:after="0"/>
              <w:rPr>
                <w:sz w:val="15"/>
                <w:szCs w:val="15"/>
                <w:color w:val="auto"/>
              </w:rPr>
            </w:pPr>
          </w:p>
        </w:tc>
        <w:tc>
          <w:tcPr>
            <w:tcW w:w="200" w:type="dxa"/>
            <w:vAlign w:val="bottom"/>
            <w:tcBorders>
              <w:bottom w:val="single" w:sz="8" w:color="auto"/>
            </w:tcBorders>
          </w:tcPr>
          <w:p>
            <w:pPr>
              <w:spacing w:after="0"/>
              <w:rPr>
                <w:sz w:val="15"/>
                <w:szCs w:val="15"/>
                <w:color w:val="auto"/>
              </w:rPr>
            </w:pPr>
          </w:p>
        </w:tc>
        <w:tc>
          <w:tcPr>
            <w:tcW w:w="12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3"/>
                <w:szCs w:val="13"/>
                <w:color w:val="auto"/>
              </w:rPr>
              <w:t>143</w:t>
            </w:r>
          </w:p>
        </w:tc>
        <w:tc>
          <w:tcPr>
            <w:tcW w:w="80" w:type="dxa"/>
            <w:vAlign w:val="bottom"/>
            <w:tcBorders>
              <w:bottom w:val="single" w:sz="8" w:color="CCEEFF"/>
            </w:tcBorders>
          </w:tcPr>
          <w:p>
            <w:pPr>
              <w:spacing w:after="0"/>
              <w:rPr>
                <w:sz w:val="15"/>
                <w:szCs w:val="15"/>
                <w:color w:val="auto"/>
              </w:rPr>
            </w:pPr>
          </w:p>
        </w:tc>
        <w:tc>
          <w:tcPr>
            <w:tcW w:w="300" w:type="dxa"/>
            <w:vAlign w:val="bottom"/>
            <w:tcBorders>
              <w:bottom w:val="single" w:sz="8" w:color="auto"/>
            </w:tcBorders>
          </w:tcPr>
          <w:p>
            <w:pPr>
              <w:spacing w:after="0"/>
              <w:rPr>
                <w:sz w:val="15"/>
                <w:szCs w:val="15"/>
                <w:color w:val="auto"/>
              </w:rPr>
            </w:pPr>
          </w:p>
        </w:tc>
        <w:tc>
          <w:tcPr>
            <w:tcW w:w="10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3"/>
                <w:szCs w:val="13"/>
                <w:color w:val="auto"/>
              </w:rPr>
              <w:t>972</w:t>
            </w:r>
          </w:p>
        </w:tc>
        <w:tc>
          <w:tcPr>
            <w:tcW w:w="0" w:type="dxa"/>
            <w:vAlign w:val="bottom"/>
          </w:tcPr>
          <w:p>
            <w:pPr>
              <w:spacing w:after="0"/>
              <w:rPr>
                <w:sz w:val="1"/>
                <w:szCs w:val="1"/>
                <w:color w:val="auto"/>
              </w:rPr>
            </w:pPr>
          </w:p>
        </w:tc>
      </w:tr>
      <w:tr>
        <w:trPr>
          <w:trHeight w:val="171"/>
        </w:trPr>
        <w:tc>
          <w:tcPr>
            <w:tcW w:w="568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4"/>
                <w:szCs w:val="14"/>
                <w:color w:val="auto"/>
              </w:rPr>
              <w:t>Net change</w:t>
            </w:r>
          </w:p>
        </w:tc>
        <w:tc>
          <w:tcPr>
            <w:tcW w:w="200" w:type="dxa"/>
            <w:vAlign w:val="bottom"/>
            <w:tcBorders>
              <w:bottom w:val="single" w:sz="8" w:color="auto"/>
            </w:tcBorders>
            <w:shd w:val="clear" w:color="auto" w:fill="CCEEFF"/>
          </w:tcPr>
          <w:p>
            <w:pPr>
              <w:spacing w:after="0"/>
              <w:rPr>
                <w:sz w:val="14"/>
                <w:szCs w:val="14"/>
                <w:color w:val="auto"/>
              </w:rPr>
            </w:pPr>
          </w:p>
        </w:tc>
        <w:tc>
          <w:tcPr>
            <w:tcW w:w="11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31</w:t>
            </w:r>
          </w:p>
        </w:tc>
        <w:tc>
          <w:tcPr>
            <w:tcW w:w="100" w:type="dxa"/>
            <w:vAlign w:val="bottom"/>
            <w:shd w:val="clear" w:color="auto" w:fill="CCEEFF"/>
          </w:tcPr>
          <w:p>
            <w:pPr>
              <w:spacing w:after="0"/>
              <w:rPr>
                <w:sz w:val="14"/>
                <w:szCs w:val="14"/>
                <w:color w:val="auto"/>
              </w:rPr>
            </w:pPr>
          </w:p>
        </w:tc>
        <w:tc>
          <w:tcPr>
            <w:tcW w:w="80" w:type="dxa"/>
            <w:vAlign w:val="bottom"/>
            <w:tcBorders>
              <w:bottom w:val="single" w:sz="8" w:color="auto"/>
            </w:tcBorders>
            <w:shd w:val="clear" w:color="auto" w:fill="CCEEFF"/>
          </w:tcPr>
          <w:p>
            <w:pPr>
              <w:spacing w:after="0"/>
              <w:rPr>
                <w:sz w:val="14"/>
                <w:szCs w:val="14"/>
                <w:color w:val="auto"/>
              </w:rPr>
            </w:pPr>
          </w:p>
        </w:tc>
        <w:tc>
          <w:tcPr>
            <w:tcW w:w="12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(74)</w:t>
            </w:r>
          </w:p>
        </w:tc>
        <w:tc>
          <w:tcPr>
            <w:tcW w:w="80" w:type="dxa"/>
            <w:vAlign w:val="bottom"/>
            <w:shd w:val="clear" w:color="auto" w:fill="CCEEFF"/>
          </w:tcPr>
          <w:p>
            <w:pPr>
              <w:spacing w:after="0"/>
              <w:rPr>
                <w:sz w:val="14"/>
                <w:szCs w:val="14"/>
                <w:color w:val="auto"/>
              </w:rPr>
            </w:pPr>
          </w:p>
        </w:tc>
        <w:tc>
          <w:tcPr>
            <w:tcW w:w="200" w:type="dxa"/>
            <w:vAlign w:val="bottom"/>
            <w:tcBorders>
              <w:bottom w:val="single" w:sz="8" w:color="auto"/>
            </w:tcBorders>
            <w:shd w:val="clear" w:color="auto" w:fill="CCEEFF"/>
          </w:tcPr>
          <w:p>
            <w:pPr>
              <w:spacing w:after="0"/>
              <w:rPr>
                <w:sz w:val="14"/>
                <w:szCs w:val="14"/>
                <w:color w:val="auto"/>
              </w:rPr>
            </w:pPr>
          </w:p>
        </w:tc>
        <w:tc>
          <w:tcPr>
            <w:tcW w:w="12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(25)</w:t>
            </w:r>
          </w:p>
        </w:tc>
        <w:tc>
          <w:tcPr>
            <w:tcW w:w="80" w:type="dxa"/>
            <w:vAlign w:val="bottom"/>
            <w:shd w:val="clear" w:color="auto" w:fill="CCEEFF"/>
          </w:tcPr>
          <w:p>
            <w:pPr>
              <w:spacing w:after="0"/>
              <w:rPr>
                <w:sz w:val="14"/>
                <w:szCs w:val="14"/>
                <w:color w:val="auto"/>
              </w:rPr>
            </w:pPr>
          </w:p>
        </w:tc>
        <w:tc>
          <w:tcPr>
            <w:tcW w:w="300" w:type="dxa"/>
            <w:vAlign w:val="bottom"/>
            <w:tcBorders>
              <w:bottom w:val="single" w:sz="8" w:color="auto"/>
            </w:tcBorders>
            <w:shd w:val="clear" w:color="auto" w:fill="CCEEFF"/>
          </w:tcPr>
          <w:p>
            <w:pPr>
              <w:spacing w:after="0"/>
              <w:rPr>
                <w:sz w:val="14"/>
                <w:szCs w:val="14"/>
                <w:color w:val="auto"/>
              </w:rPr>
            </w:pPr>
          </w:p>
        </w:tc>
        <w:tc>
          <w:tcPr>
            <w:tcW w:w="10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(68)</w:t>
            </w:r>
          </w:p>
        </w:tc>
        <w:tc>
          <w:tcPr>
            <w:tcW w:w="0" w:type="dxa"/>
            <w:vAlign w:val="bottom"/>
          </w:tcPr>
          <w:p>
            <w:pPr>
              <w:spacing w:after="0"/>
              <w:rPr>
                <w:sz w:val="1"/>
                <w:szCs w:val="1"/>
                <w:color w:val="auto"/>
              </w:rPr>
            </w:pPr>
          </w:p>
        </w:tc>
      </w:tr>
      <w:tr>
        <w:trPr>
          <w:trHeight w:val="171"/>
        </w:trPr>
        <w:tc>
          <w:tcPr>
            <w:tcW w:w="5680" w:type="dxa"/>
            <w:vAlign w:val="bottom"/>
          </w:tcPr>
          <w:p>
            <w:pPr>
              <w:ind w:left="20"/>
              <w:spacing w:after="0"/>
              <w:rPr>
                <w:sz w:val="20"/>
                <w:szCs w:val="20"/>
                <w:color w:val="auto"/>
              </w:rPr>
            </w:pPr>
            <w:r>
              <w:rPr>
                <w:rFonts w:ascii="Times New Roman" w:cs="Times New Roman" w:eastAsia="Times New Roman" w:hAnsi="Times New Roman"/>
                <w:sz w:val="14"/>
                <w:szCs w:val="14"/>
                <w:color w:val="auto"/>
              </w:rPr>
              <w:t>End of period assets</w:t>
            </w:r>
          </w:p>
        </w:tc>
        <w:tc>
          <w:tcPr>
            <w:tcW w:w="200" w:type="dxa"/>
            <w:vAlign w:val="bottom"/>
            <w:tcBorders>
              <w:bottom w:val="single" w:sz="8" w:color="auto"/>
            </w:tcBorders>
          </w:tcPr>
          <w:p>
            <w:pPr>
              <w:jc w:val="right"/>
              <w:ind w:right="53"/>
              <w:spacing w:after="0"/>
              <w:rPr>
                <w:sz w:val="20"/>
                <w:szCs w:val="20"/>
                <w:color w:val="auto"/>
              </w:rPr>
            </w:pPr>
            <w:r>
              <w:rPr>
                <w:rFonts w:ascii="Times New Roman" w:cs="Times New Roman" w:eastAsia="Times New Roman" w:hAnsi="Times New Roman"/>
                <w:sz w:val="13"/>
                <w:szCs w:val="13"/>
                <w:color w:val="auto"/>
                <w:w w:val="91"/>
              </w:rPr>
              <w:t>$</w:t>
            </w:r>
          </w:p>
        </w:tc>
        <w:tc>
          <w:tcPr>
            <w:tcW w:w="11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3"/>
                <w:szCs w:val="13"/>
                <w:color w:val="auto"/>
              </w:rPr>
              <w:t>8,332</w:t>
            </w:r>
          </w:p>
        </w:tc>
        <w:tc>
          <w:tcPr>
            <w:tcW w:w="100" w:type="dxa"/>
            <w:vAlign w:val="bottom"/>
          </w:tcPr>
          <w:p>
            <w:pPr>
              <w:spacing w:after="0"/>
              <w:rPr>
                <w:sz w:val="14"/>
                <w:szCs w:val="14"/>
                <w:color w:val="auto"/>
              </w:rPr>
            </w:pPr>
          </w:p>
        </w:tc>
        <w:tc>
          <w:tcPr>
            <w:tcW w:w="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3"/>
                <w:szCs w:val="13"/>
                <w:color w:val="auto"/>
                <w:w w:val="91"/>
              </w:rPr>
              <w:t>$</w:t>
            </w:r>
          </w:p>
        </w:tc>
        <w:tc>
          <w:tcPr>
            <w:tcW w:w="12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3"/>
                <w:szCs w:val="13"/>
                <w:color w:val="auto"/>
              </w:rPr>
              <w:t>4,317</w:t>
            </w:r>
          </w:p>
        </w:tc>
        <w:tc>
          <w:tcPr>
            <w:tcW w:w="80" w:type="dxa"/>
            <w:vAlign w:val="bottom"/>
          </w:tcPr>
          <w:p>
            <w:pPr>
              <w:spacing w:after="0"/>
              <w:rPr>
                <w:sz w:val="14"/>
                <w:szCs w:val="14"/>
                <w:color w:val="auto"/>
              </w:rPr>
            </w:pPr>
          </w:p>
        </w:tc>
        <w:tc>
          <w:tcPr>
            <w:tcW w:w="200" w:type="dxa"/>
            <w:vAlign w:val="bottom"/>
            <w:tcBorders>
              <w:bottom w:val="single" w:sz="8" w:color="auto"/>
            </w:tcBorders>
          </w:tcPr>
          <w:p>
            <w:pPr>
              <w:jc w:val="right"/>
              <w:ind w:right="53"/>
              <w:spacing w:after="0"/>
              <w:rPr>
                <w:sz w:val="20"/>
                <w:szCs w:val="20"/>
                <w:color w:val="auto"/>
              </w:rPr>
            </w:pPr>
            <w:r>
              <w:rPr>
                <w:rFonts w:ascii="Times New Roman" w:cs="Times New Roman" w:eastAsia="Times New Roman" w:hAnsi="Times New Roman"/>
                <w:sz w:val="13"/>
                <w:szCs w:val="13"/>
                <w:color w:val="auto"/>
                <w:w w:val="91"/>
              </w:rPr>
              <w:t>$</w:t>
            </w:r>
          </w:p>
        </w:tc>
        <w:tc>
          <w:tcPr>
            <w:tcW w:w="12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3"/>
                <w:szCs w:val="13"/>
                <w:color w:val="auto"/>
              </w:rPr>
              <w:t>3,890</w:t>
            </w:r>
          </w:p>
        </w:tc>
        <w:tc>
          <w:tcPr>
            <w:tcW w:w="80" w:type="dxa"/>
            <w:vAlign w:val="bottom"/>
          </w:tcPr>
          <w:p>
            <w:pPr>
              <w:spacing w:after="0"/>
              <w:rPr>
                <w:sz w:val="14"/>
                <w:szCs w:val="14"/>
                <w:color w:val="auto"/>
              </w:rPr>
            </w:pPr>
          </w:p>
        </w:tc>
        <w:tc>
          <w:tcPr>
            <w:tcW w:w="300" w:type="dxa"/>
            <w:vAlign w:val="bottom"/>
            <w:tcBorders>
              <w:bottom w:val="single" w:sz="8" w:color="auto"/>
            </w:tcBorders>
          </w:tcPr>
          <w:p>
            <w:pPr>
              <w:jc w:val="right"/>
              <w:ind w:right="153"/>
              <w:spacing w:after="0"/>
              <w:rPr>
                <w:sz w:val="20"/>
                <w:szCs w:val="20"/>
                <w:color w:val="auto"/>
              </w:rPr>
            </w:pPr>
            <w:r>
              <w:rPr>
                <w:rFonts w:ascii="Times New Roman" w:cs="Times New Roman" w:eastAsia="Times New Roman" w:hAnsi="Times New Roman"/>
                <w:sz w:val="13"/>
                <w:szCs w:val="13"/>
                <w:color w:val="auto"/>
                <w:w w:val="91"/>
              </w:rPr>
              <w:t>$</w:t>
            </w:r>
          </w:p>
        </w:tc>
        <w:tc>
          <w:tcPr>
            <w:tcW w:w="10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3"/>
                <w:szCs w:val="13"/>
                <w:color w:val="auto"/>
              </w:rPr>
              <w:t>16,539</w:t>
            </w:r>
          </w:p>
        </w:tc>
        <w:tc>
          <w:tcPr>
            <w:tcW w:w="0" w:type="dxa"/>
            <w:vAlign w:val="bottom"/>
          </w:tcPr>
          <w:p>
            <w:pPr>
              <w:spacing w:after="0"/>
              <w:rPr>
                <w:sz w:val="1"/>
                <w:szCs w:val="1"/>
                <w:color w:val="auto"/>
              </w:rPr>
            </w:pPr>
          </w:p>
        </w:tc>
      </w:tr>
      <w:tr>
        <w:trPr>
          <w:trHeight w:val="20"/>
        </w:trPr>
        <w:tc>
          <w:tcPr>
            <w:tcW w:w="5680" w:type="dxa"/>
            <w:vAlign w:val="bottom"/>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110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80" w:type="dxa"/>
            <w:vAlign w:val="bottom"/>
            <w:tcBorders>
              <w:bottom w:val="single" w:sz="8" w:color="auto"/>
            </w:tcBorders>
          </w:tcPr>
          <w:p>
            <w:pPr>
              <w:spacing w:after="0" w:line="20" w:lineRule="exact"/>
              <w:rPr>
                <w:sz w:val="1"/>
                <w:szCs w:val="1"/>
                <w:color w:val="auto"/>
              </w:rPr>
            </w:pPr>
          </w:p>
        </w:tc>
        <w:tc>
          <w:tcPr>
            <w:tcW w:w="122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124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300" w:type="dxa"/>
            <w:vAlign w:val="bottom"/>
            <w:tcBorders>
              <w:bottom w:val="single" w:sz="8" w:color="auto"/>
            </w:tcBorders>
          </w:tcPr>
          <w:p>
            <w:pPr>
              <w:spacing w:after="0" w:line="20" w:lineRule="exact"/>
              <w:rPr>
                <w:sz w:val="1"/>
                <w:szCs w:val="1"/>
                <w:color w:val="auto"/>
              </w:rPr>
            </w:pPr>
          </w:p>
        </w:tc>
        <w:tc>
          <w:tcPr>
            <w:tcW w:w="100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176" w:lineRule="exact"/>
        <w:rPr>
          <w:sz w:val="20"/>
          <w:szCs w:val="20"/>
          <w:color w:val="auto"/>
        </w:rPr>
      </w:pPr>
    </w:p>
    <w:p>
      <w:pPr>
        <w:ind w:right="220" w:firstLine="382"/>
        <w:spacing w:after="0" w:line="287" w:lineRule="auto"/>
        <w:rPr>
          <w:sz w:val="20"/>
          <w:szCs w:val="20"/>
          <w:color w:val="auto"/>
        </w:rPr>
      </w:pPr>
      <w:r>
        <w:rPr>
          <w:rFonts w:ascii="Times New Roman" w:cs="Times New Roman" w:eastAsia="Times New Roman" w:hAnsi="Times New Roman"/>
          <w:sz w:val="14"/>
          <w:szCs w:val="14"/>
          <w:color w:val="auto"/>
        </w:rPr>
        <w:t>The decrease in AUM for the year ended December 31, 2025 was due to net outflows of $1.0 billion offset by market appreciation of $1.0 billion. Net outflows were primarily related to our LargeCap Value strategy.</w:t>
      </w:r>
    </w:p>
    <w:p>
      <w:pPr>
        <w:spacing w:after="0" w:line="38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4"/>
          <w:szCs w:val="14"/>
          <w:color w:val="auto"/>
        </w:rPr>
        <w:t>27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-8890</wp:posOffset>
            </wp:positionH>
            <wp:positionV relativeFrom="paragraph">
              <wp:posOffset>55880</wp:posOffset>
            </wp:positionV>
            <wp:extent cx="7186930" cy="38735"/>
            <wp:wrapNone/>
            <wp:docPr id="35" name="Picture 3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5"/>
                    <pic:cNvPicPr>
                      <a:picLocks noChangeAspect="1" noChangeArrowheads="1"/>
                    </pic:cNvPicPr>
                  </pic:nvPicPr>
                  <pic:blipFill>
                    <a:blip r:embed="rId42">
                      <a:extLst>
                        <a:ext uri="{28A0092B-C50C-407E-A947-70E740481C1C}"/>
                      </a:extLst>
                    </a:blip>
                    <a:srcRect/>
                    <a:stretch>
                      <a:fillRect/>
                    </a:stretch>
                  </pic:blipFill>
                  <pic:spPr bwMode="auto">
                    <a:xfrm>
                      <a:off x="0" y="0"/>
                      <a:ext cx="7186930" cy="38735"/>
                    </a:xfrm>
                    <a:prstGeom prst="rect">
                      <a:avLst/>
                    </a:prstGeom>
                    <a:noFill/>
                  </pic:spPr>
                </pic:pic>
              </a:graphicData>
            </a:graphic>
          </wp:anchor>
        </w:drawing>
      </w:r>
    </w:p>
    <w:p>
      <w:pPr>
        <w:sectPr>
          <w:pgSz w:w="11900" w:h="16838" w:orient="portrait"/>
          <w:cols w:equalWidth="0" w:num="1">
            <w:col w:w="11280"/>
          </w:cols>
          <w:pgMar w:left="300" w:top="982" w:right="319" w:bottom="1440" w:gutter="0" w:footer="0" w:header="0"/>
        </w:sectPr>
      </w:pPr>
    </w:p>
    <w:bookmarkStart w:id="29" w:name="page30"/>
    <w:bookmarkEnd w:id="29"/>
    <w:tbl>
      <w:tblPr>
        <w:tblLayout w:type="fixed"/>
        <w:tblInd w:w="0" w:type="dxa"/>
        <w:tblCellMar>
          <w:top w:w="0" w:type="dxa"/>
          <w:left w:w="0" w:type="dxa"/>
          <w:bottom w:w="0" w:type="dxa"/>
          <w:right w:w="0" w:type="dxa"/>
        </w:tblCellMar>
      </w:tblPr>
      <w:tr>
        <w:trPr>
          <w:trHeight w:val="170"/>
        </w:trPr>
        <w:tc>
          <w:tcPr>
            <w:tcW w:w="5640" w:type="dxa"/>
            <w:vAlign w:val="bottom"/>
          </w:tcPr>
          <w:p>
            <w:pPr>
              <w:spacing w:after="0"/>
              <w:rPr>
                <w:sz w:val="14"/>
                <w:szCs w:val="14"/>
                <w:color w:val="auto"/>
              </w:rPr>
            </w:pPr>
          </w:p>
        </w:tc>
        <w:tc>
          <w:tcPr>
            <w:tcW w:w="200" w:type="dxa"/>
            <w:vAlign w:val="bottom"/>
            <w:tcBorders>
              <w:bottom w:val="single" w:sz="8" w:color="auto"/>
            </w:tcBorders>
          </w:tcPr>
          <w:p>
            <w:pPr>
              <w:spacing w:after="0"/>
              <w:rPr>
                <w:sz w:val="14"/>
                <w:szCs w:val="14"/>
                <w:color w:val="auto"/>
              </w:rPr>
            </w:pPr>
          </w:p>
        </w:tc>
        <w:tc>
          <w:tcPr>
            <w:tcW w:w="1120" w:type="dxa"/>
            <w:vAlign w:val="bottom"/>
            <w:tcBorders>
              <w:bottom w:val="single" w:sz="8" w:color="auto"/>
            </w:tcBorders>
          </w:tcPr>
          <w:p>
            <w:pPr>
              <w:spacing w:after="0"/>
              <w:rPr>
                <w:sz w:val="14"/>
                <w:szCs w:val="14"/>
                <w:color w:val="auto"/>
              </w:rPr>
            </w:pPr>
          </w:p>
        </w:tc>
        <w:tc>
          <w:tcPr>
            <w:tcW w:w="80" w:type="dxa"/>
            <w:vAlign w:val="bottom"/>
            <w:tcBorders>
              <w:bottom w:val="single" w:sz="8" w:color="auto"/>
            </w:tcBorders>
          </w:tcPr>
          <w:p>
            <w:pPr>
              <w:spacing w:after="0"/>
              <w:rPr>
                <w:sz w:val="14"/>
                <w:szCs w:val="14"/>
                <w:color w:val="auto"/>
              </w:rPr>
            </w:pPr>
          </w:p>
        </w:tc>
        <w:tc>
          <w:tcPr>
            <w:tcW w:w="100" w:type="dxa"/>
            <w:vAlign w:val="bottom"/>
            <w:tcBorders>
              <w:bottom w:val="single" w:sz="8" w:color="auto"/>
            </w:tcBorders>
          </w:tcPr>
          <w:p>
            <w:pPr>
              <w:spacing w:after="0"/>
              <w:rPr>
                <w:sz w:val="14"/>
                <w:szCs w:val="14"/>
                <w:color w:val="auto"/>
              </w:rPr>
            </w:pPr>
          </w:p>
        </w:tc>
        <w:tc>
          <w:tcPr>
            <w:tcW w:w="2840" w:type="dxa"/>
            <w:vAlign w:val="bottom"/>
            <w:tcBorders>
              <w:bottom w:val="single" w:sz="8" w:color="auto"/>
            </w:tcBorders>
            <w:gridSpan w:val="5"/>
          </w:tcPr>
          <w:p>
            <w:pPr>
              <w:ind w:left="480"/>
              <w:spacing w:after="0"/>
              <w:rPr>
                <w:sz w:val="20"/>
                <w:szCs w:val="20"/>
                <w:color w:val="auto"/>
              </w:rPr>
            </w:pPr>
            <w:r>
              <w:rPr>
                <w:rFonts w:ascii="Times New Roman" w:cs="Times New Roman" w:eastAsia="Times New Roman" w:hAnsi="Times New Roman"/>
                <w:sz w:val="13"/>
                <w:szCs w:val="13"/>
                <w:b w:val="1"/>
                <w:bCs w:val="1"/>
                <w:color w:val="auto"/>
              </w:rPr>
              <w:t>Year Ended December 31, 2024</w:t>
            </w:r>
          </w:p>
        </w:tc>
        <w:tc>
          <w:tcPr>
            <w:tcW w:w="300" w:type="dxa"/>
            <w:vAlign w:val="bottom"/>
            <w:tcBorders>
              <w:bottom w:val="single" w:sz="8" w:color="auto"/>
            </w:tcBorders>
          </w:tcPr>
          <w:p>
            <w:pPr>
              <w:spacing w:after="0"/>
              <w:rPr>
                <w:sz w:val="14"/>
                <w:szCs w:val="14"/>
                <w:color w:val="auto"/>
              </w:rPr>
            </w:pPr>
          </w:p>
        </w:tc>
        <w:tc>
          <w:tcPr>
            <w:tcW w:w="1000" w:type="dxa"/>
            <w:vAlign w:val="bottom"/>
            <w:tcBorders>
              <w:bottom w:val="single" w:sz="8" w:color="auto"/>
            </w:tcBorders>
          </w:tcPr>
          <w:p>
            <w:pPr>
              <w:spacing w:after="0"/>
              <w:rPr>
                <w:sz w:val="14"/>
                <w:szCs w:val="14"/>
                <w:color w:val="auto"/>
              </w:rPr>
            </w:pPr>
          </w:p>
        </w:tc>
        <w:tc>
          <w:tcPr>
            <w:tcW w:w="0" w:type="dxa"/>
            <w:vAlign w:val="bottom"/>
          </w:tcPr>
          <w:p>
            <w:pPr>
              <w:spacing w:after="0"/>
              <w:rPr>
                <w:sz w:val="1"/>
                <w:szCs w:val="1"/>
                <w:color w:val="auto"/>
              </w:rPr>
            </w:pPr>
          </w:p>
        </w:tc>
      </w:tr>
      <w:tr>
        <w:trPr>
          <w:trHeight w:val="120"/>
        </w:trPr>
        <w:tc>
          <w:tcPr>
            <w:tcW w:w="5640" w:type="dxa"/>
            <w:vAlign w:val="bottom"/>
            <w:vMerge w:val="restart"/>
          </w:tcPr>
          <w:p>
            <w:pPr>
              <w:ind w:left="20"/>
              <w:spacing w:after="0"/>
              <w:rPr>
                <w:sz w:val="20"/>
                <w:szCs w:val="20"/>
                <w:color w:val="auto"/>
              </w:rPr>
            </w:pPr>
            <w:r>
              <w:rPr>
                <w:rFonts w:ascii="Times New Roman" w:cs="Times New Roman" w:eastAsia="Times New Roman" w:hAnsi="Times New Roman"/>
                <w:sz w:val="13"/>
                <w:szCs w:val="13"/>
                <w:b w:val="1"/>
                <w:bCs w:val="1"/>
                <w:color w:val="auto"/>
              </w:rPr>
              <w:t>AUM (in millions)</w:t>
            </w:r>
          </w:p>
        </w:tc>
        <w:tc>
          <w:tcPr>
            <w:tcW w:w="200" w:type="dxa"/>
            <w:vAlign w:val="bottom"/>
          </w:tcPr>
          <w:p>
            <w:pPr>
              <w:spacing w:after="0"/>
              <w:rPr>
                <w:sz w:val="10"/>
                <w:szCs w:val="10"/>
                <w:color w:val="auto"/>
              </w:rPr>
            </w:pPr>
          </w:p>
        </w:tc>
        <w:tc>
          <w:tcPr>
            <w:tcW w:w="1200" w:type="dxa"/>
            <w:vAlign w:val="bottom"/>
            <w:gridSpan w:val="2"/>
            <w:vMerge w:val="restart"/>
          </w:tcPr>
          <w:p>
            <w:pPr>
              <w:ind w:left="120"/>
              <w:spacing w:after="0"/>
              <w:rPr>
                <w:sz w:val="20"/>
                <w:szCs w:val="20"/>
                <w:color w:val="auto"/>
              </w:rPr>
            </w:pPr>
            <w:r>
              <w:rPr>
                <w:rFonts w:ascii="Times New Roman" w:cs="Times New Roman" w:eastAsia="Times New Roman" w:hAnsi="Times New Roman"/>
                <w:sz w:val="13"/>
                <w:szCs w:val="13"/>
                <w:b w:val="1"/>
                <w:bCs w:val="1"/>
                <w:color w:val="auto"/>
              </w:rPr>
              <w:t>Institutional</w:t>
            </w:r>
          </w:p>
        </w:tc>
        <w:tc>
          <w:tcPr>
            <w:tcW w:w="100" w:type="dxa"/>
            <w:vAlign w:val="bottom"/>
          </w:tcPr>
          <w:p>
            <w:pPr>
              <w:spacing w:after="0"/>
              <w:rPr>
                <w:sz w:val="10"/>
                <w:szCs w:val="10"/>
                <w:color w:val="auto"/>
              </w:rPr>
            </w:pPr>
          </w:p>
        </w:tc>
        <w:tc>
          <w:tcPr>
            <w:tcW w:w="1320" w:type="dxa"/>
            <w:vAlign w:val="bottom"/>
            <w:gridSpan w:val="2"/>
            <w:vMerge w:val="restart"/>
          </w:tcPr>
          <w:p>
            <w:pPr>
              <w:spacing w:after="0"/>
              <w:rPr>
                <w:sz w:val="20"/>
                <w:szCs w:val="20"/>
                <w:color w:val="auto"/>
              </w:rPr>
            </w:pPr>
            <w:r>
              <w:rPr>
                <w:rFonts w:ascii="Times New Roman" w:cs="Times New Roman" w:eastAsia="Times New Roman" w:hAnsi="Times New Roman"/>
                <w:sz w:val="13"/>
                <w:szCs w:val="13"/>
                <w:b w:val="1"/>
                <w:bCs w:val="1"/>
                <w:color w:val="auto"/>
              </w:rPr>
              <w:t>Wealth Management</w:t>
            </w:r>
          </w:p>
        </w:tc>
        <w:tc>
          <w:tcPr>
            <w:tcW w:w="180" w:type="dxa"/>
            <w:vAlign w:val="bottom"/>
          </w:tcPr>
          <w:p>
            <w:pPr>
              <w:spacing w:after="0"/>
              <w:rPr>
                <w:sz w:val="10"/>
                <w:szCs w:val="10"/>
                <w:color w:val="auto"/>
              </w:rPr>
            </w:pPr>
          </w:p>
        </w:tc>
        <w:tc>
          <w:tcPr>
            <w:tcW w:w="1340" w:type="dxa"/>
            <w:vAlign w:val="bottom"/>
            <w:gridSpan w:val="2"/>
          </w:tcPr>
          <w:p>
            <w:pPr>
              <w:jc w:val="center"/>
              <w:ind w:right="300"/>
              <w:spacing w:after="0" w:line="120" w:lineRule="exact"/>
              <w:rPr>
                <w:sz w:val="20"/>
                <w:szCs w:val="20"/>
                <w:color w:val="auto"/>
              </w:rPr>
            </w:pPr>
            <w:r>
              <w:rPr>
                <w:rFonts w:ascii="Times New Roman" w:cs="Times New Roman" w:eastAsia="Times New Roman" w:hAnsi="Times New Roman"/>
                <w:sz w:val="13"/>
                <w:szCs w:val="13"/>
                <w:b w:val="1"/>
                <w:bCs w:val="1"/>
                <w:color w:val="auto"/>
                <w:w w:val="97"/>
              </w:rPr>
              <w:t>Mutual</w:t>
            </w:r>
          </w:p>
        </w:tc>
        <w:tc>
          <w:tcPr>
            <w:tcW w:w="300" w:type="dxa"/>
            <w:vAlign w:val="bottom"/>
          </w:tcPr>
          <w:p>
            <w:pPr>
              <w:spacing w:after="0"/>
              <w:rPr>
                <w:sz w:val="10"/>
                <w:szCs w:val="10"/>
                <w:color w:val="auto"/>
              </w:rPr>
            </w:pPr>
          </w:p>
        </w:tc>
        <w:tc>
          <w:tcPr>
            <w:tcW w:w="1000" w:type="dxa"/>
            <w:vAlign w:val="bottom"/>
            <w:vMerge w:val="restart"/>
          </w:tcPr>
          <w:p>
            <w:pPr>
              <w:jc w:val="right"/>
              <w:ind w:right="453"/>
              <w:spacing w:after="0"/>
              <w:rPr>
                <w:sz w:val="20"/>
                <w:szCs w:val="20"/>
                <w:color w:val="auto"/>
              </w:rPr>
            </w:pPr>
            <w:r>
              <w:rPr>
                <w:rFonts w:ascii="Times New Roman" w:cs="Times New Roman" w:eastAsia="Times New Roman" w:hAnsi="Times New Roman"/>
                <w:sz w:val="13"/>
                <w:szCs w:val="13"/>
                <w:b w:val="1"/>
                <w:bCs w:val="1"/>
                <w:color w:val="auto"/>
              </w:rPr>
              <w:t>Total</w:t>
            </w:r>
          </w:p>
        </w:tc>
        <w:tc>
          <w:tcPr>
            <w:tcW w:w="0" w:type="dxa"/>
            <w:vAlign w:val="bottom"/>
          </w:tcPr>
          <w:p>
            <w:pPr>
              <w:spacing w:after="0"/>
              <w:rPr>
                <w:sz w:val="1"/>
                <w:szCs w:val="1"/>
                <w:color w:val="auto"/>
              </w:rPr>
            </w:pPr>
          </w:p>
        </w:tc>
      </w:tr>
      <w:tr>
        <w:trPr>
          <w:trHeight w:val="169"/>
        </w:trPr>
        <w:tc>
          <w:tcPr>
            <w:tcW w:w="5640" w:type="dxa"/>
            <w:vAlign w:val="bottom"/>
            <w:vMerge w:val="continue"/>
          </w:tcPr>
          <w:p>
            <w:pPr>
              <w:spacing w:after="0"/>
              <w:rPr>
                <w:sz w:val="14"/>
                <w:szCs w:val="14"/>
                <w:color w:val="auto"/>
              </w:rPr>
            </w:pPr>
          </w:p>
        </w:tc>
        <w:tc>
          <w:tcPr>
            <w:tcW w:w="200" w:type="dxa"/>
            <w:vAlign w:val="bottom"/>
          </w:tcPr>
          <w:p>
            <w:pPr>
              <w:spacing w:after="0"/>
              <w:rPr>
                <w:sz w:val="14"/>
                <w:szCs w:val="14"/>
                <w:color w:val="auto"/>
              </w:rPr>
            </w:pPr>
          </w:p>
        </w:tc>
        <w:tc>
          <w:tcPr>
            <w:tcW w:w="1200" w:type="dxa"/>
            <w:vAlign w:val="bottom"/>
            <w:gridSpan w:val="2"/>
            <w:vMerge w:val="continue"/>
          </w:tcPr>
          <w:p>
            <w:pPr>
              <w:spacing w:after="0"/>
              <w:rPr>
                <w:sz w:val="14"/>
                <w:szCs w:val="14"/>
                <w:color w:val="auto"/>
              </w:rPr>
            </w:pPr>
          </w:p>
        </w:tc>
        <w:tc>
          <w:tcPr>
            <w:tcW w:w="100" w:type="dxa"/>
            <w:vAlign w:val="bottom"/>
          </w:tcPr>
          <w:p>
            <w:pPr>
              <w:spacing w:after="0"/>
              <w:rPr>
                <w:sz w:val="14"/>
                <w:szCs w:val="14"/>
                <w:color w:val="auto"/>
              </w:rPr>
            </w:pPr>
          </w:p>
        </w:tc>
        <w:tc>
          <w:tcPr>
            <w:tcW w:w="1320" w:type="dxa"/>
            <w:vAlign w:val="bottom"/>
            <w:gridSpan w:val="2"/>
            <w:vMerge w:val="continue"/>
          </w:tcPr>
          <w:p>
            <w:pPr>
              <w:spacing w:after="0"/>
              <w:rPr>
                <w:sz w:val="14"/>
                <w:szCs w:val="14"/>
                <w:color w:val="auto"/>
              </w:rPr>
            </w:pPr>
          </w:p>
        </w:tc>
        <w:tc>
          <w:tcPr>
            <w:tcW w:w="180" w:type="dxa"/>
            <w:vAlign w:val="bottom"/>
          </w:tcPr>
          <w:p>
            <w:pPr>
              <w:spacing w:after="0"/>
              <w:rPr>
                <w:sz w:val="14"/>
                <w:szCs w:val="14"/>
                <w:color w:val="auto"/>
              </w:rPr>
            </w:pPr>
          </w:p>
        </w:tc>
        <w:tc>
          <w:tcPr>
            <w:tcW w:w="1340" w:type="dxa"/>
            <w:vAlign w:val="bottom"/>
            <w:gridSpan w:val="2"/>
          </w:tcPr>
          <w:p>
            <w:pPr>
              <w:jc w:val="center"/>
              <w:ind w:right="300"/>
              <w:spacing w:after="0"/>
              <w:rPr>
                <w:sz w:val="20"/>
                <w:szCs w:val="20"/>
                <w:color w:val="auto"/>
              </w:rPr>
            </w:pPr>
            <w:r>
              <w:rPr>
                <w:rFonts w:ascii="Times New Roman" w:cs="Times New Roman" w:eastAsia="Times New Roman" w:hAnsi="Times New Roman"/>
                <w:sz w:val="13"/>
                <w:szCs w:val="13"/>
                <w:b w:val="1"/>
                <w:bCs w:val="1"/>
                <w:color w:val="auto"/>
                <w:w w:val="97"/>
              </w:rPr>
              <w:t>Funds &amp; ETFs</w:t>
            </w:r>
          </w:p>
        </w:tc>
        <w:tc>
          <w:tcPr>
            <w:tcW w:w="300" w:type="dxa"/>
            <w:vAlign w:val="bottom"/>
          </w:tcPr>
          <w:p>
            <w:pPr>
              <w:spacing w:after="0"/>
              <w:rPr>
                <w:sz w:val="14"/>
                <w:szCs w:val="14"/>
                <w:color w:val="auto"/>
              </w:rPr>
            </w:pPr>
          </w:p>
        </w:tc>
        <w:tc>
          <w:tcPr>
            <w:tcW w:w="1000" w:type="dxa"/>
            <w:vAlign w:val="bottom"/>
            <w:vMerge w:val="continue"/>
          </w:tcPr>
          <w:p>
            <w:pPr>
              <w:spacing w:after="0"/>
              <w:rPr>
                <w:sz w:val="14"/>
                <w:szCs w:val="14"/>
                <w:color w:val="auto"/>
              </w:rPr>
            </w:pPr>
          </w:p>
        </w:tc>
        <w:tc>
          <w:tcPr>
            <w:tcW w:w="0" w:type="dxa"/>
            <w:vAlign w:val="bottom"/>
          </w:tcPr>
          <w:p>
            <w:pPr>
              <w:spacing w:after="0"/>
              <w:rPr>
                <w:sz w:val="1"/>
                <w:szCs w:val="1"/>
                <w:color w:val="auto"/>
              </w:rPr>
            </w:pPr>
          </w:p>
        </w:tc>
      </w:tr>
      <w:tr>
        <w:trPr>
          <w:trHeight w:val="172"/>
        </w:trPr>
        <w:tc>
          <w:tcPr>
            <w:tcW w:w="5640" w:type="dxa"/>
            <w:vAlign w:val="bottom"/>
            <w:tcBorders>
              <w:top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4"/>
                <w:szCs w:val="14"/>
                <w:color w:val="auto"/>
              </w:rPr>
              <w:t>Beginning of period assets</w:t>
            </w:r>
          </w:p>
        </w:tc>
        <w:tc>
          <w:tcPr>
            <w:tcW w:w="200" w:type="dxa"/>
            <w:vAlign w:val="bottom"/>
            <w:tcBorders>
              <w:top w:val="single" w:sz="8" w:color="auto"/>
            </w:tcBorders>
            <w:shd w:val="clear" w:color="auto" w:fill="CCEEFF"/>
          </w:tcPr>
          <w:p>
            <w:pPr>
              <w:jc w:val="right"/>
              <w:ind w:right="33"/>
              <w:spacing w:after="0"/>
              <w:rPr>
                <w:sz w:val="20"/>
                <w:szCs w:val="20"/>
                <w:color w:val="auto"/>
              </w:rPr>
            </w:pPr>
            <w:r>
              <w:rPr>
                <w:rFonts w:ascii="Times New Roman" w:cs="Times New Roman" w:eastAsia="Times New Roman" w:hAnsi="Times New Roman"/>
                <w:sz w:val="13"/>
                <w:szCs w:val="13"/>
                <w:color w:val="auto"/>
              </w:rPr>
              <w:t>$</w:t>
            </w:r>
          </w:p>
        </w:tc>
        <w:tc>
          <w:tcPr>
            <w:tcW w:w="112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7,215</w:t>
            </w:r>
          </w:p>
        </w:tc>
        <w:tc>
          <w:tcPr>
            <w:tcW w:w="80" w:type="dxa"/>
            <w:vAlign w:val="bottom"/>
            <w:tcBorders>
              <w:top w:val="single" w:sz="8" w:color="CCEEFF"/>
            </w:tcBorders>
            <w:shd w:val="clear" w:color="auto" w:fill="CCEEFF"/>
          </w:tcPr>
          <w:p>
            <w:pPr>
              <w:spacing w:after="0"/>
              <w:rPr>
                <w:sz w:val="14"/>
                <w:szCs w:val="14"/>
                <w:color w:val="auto"/>
              </w:rPr>
            </w:pPr>
          </w:p>
        </w:tc>
        <w:tc>
          <w:tcPr>
            <w:tcW w:w="10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w:t>
            </w:r>
          </w:p>
        </w:tc>
        <w:tc>
          <w:tcPr>
            <w:tcW w:w="122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4,140</w:t>
            </w:r>
          </w:p>
        </w:tc>
        <w:tc>
          <w:tcPr>
            <w:tcW w:w="100" w:type="dxa"/>
            <w:vAlign w:val="bottom"/>
            <w:tcBorders>
              <w:top w:val="single" w:sz="8" w:color="CCEEFF"/>
            </w:tcBorders>
            <w:shd w:val="clear" w:color="auto" w:fill="CCEEFF"/>
          </w:tcPr>
          <w:p>
            <w:pPr>
              <w:spacing w:after="0"/>
              <w:rPr>
                <w:sz w:val="14"/>
                <w:szCs w:val="14"/>
                <w:color w:val="auto"/>
              </w:rPr>
            </w:pPr>
          </w:p>
        </w:tc>
        <w:tc>
          <w:tcPr>
            <w:tcW w:w="180" w:type="dxa"/>
            <w:vAlign w:val="bottom"/>
            <w:tcBorders>
              <w:top w:val="single" w:sz="8" w:color="auto"/>
            </w:tcBorders>
            <w:shd w:val="clear" w:color="auto" w:fill="CCEEFF"/>
          </w:tcPr>
          <w:p>
            <w:pPr>
              <w:jc w:val="right"/>
              <w:ind w:right="33"/>
              <w:spacing w:after="0"/>
              <w:rPr>
                <w:sz w:val="20"/>
                <w:szCs w:val="20"/>
                <w:color w:val="auto"/>
              </w:rPr>
            </w:pPr>
            <w:r>
              <w:rPr>
                <w:rFonts w:ascii="Times New Roman" w:cs="Times New Roman" w:eastAsia="Times New Roman" w:hAnsi="Times New Roman"/>
                <w:sz w:val="13"/>
                <w:szCs w:val="13"/>
                <w:color w:val="auto"/>
                <w:w w:val="91"/>
              </w:rPr>
              <w:t>$</w:t>
            </w:r>
          </w:p>
        </w:tc>
        <w:tc>
          <w:tcPr>
            <w:tcW w:w="124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4,104</w:t>
            </w:r>
          </w:p>
        </w:tc>
        <w:tc>
          <w:tcPr>
            <w:tcW w:w="100" w:type="dxa"/>
            <w:vAlign w:val="bottom"/>
            <w:tcBorders>
              <w:top w:val="single" w:sz="8" w:color="CCEEFF"/>
            </w:tcBorders>
            <w:shd w:val="clear" w:color="auto" w:fill="CCEEFF"/>
          </w:tcPr>
          <w:p>
            <w:pPr>
              <w:spacing w:after="0"/>
              <w:rPr>
                <w:sz w:val="14"/>
                <w:szCs w:val="14"/>
                <w:color w:val="auto"/>
              </w:rPr>
            </w:pPr>
          </w:p>
        </w:tc>
        <w:tc>
          <w:tcPr>
            <w:tcW w:w="300" w:type="dxa"/>
            <w:vAlign w:val="bottom"/>
            <w:tcBorders>
              <w:top w:val="single" w:sz="8" w:color="auto"/>
            </w:tcBorders>
            <w:shd w:val="clear" w:color="auto" w:fill="CCEEFF"/>
          </w:tcPr>
          <w:p>
            <w:pPr>
              <w:jc w:val="right"/>
              <w:ind w:right="153"/>
              <w:spacing w:after="0"/>
              <w:rPr>
                <w:sz w:val="20"/>
                <w:szCs w:val="20"/>
                <w:color w:val="auto"/>
              </w:rPr>
            </w:pPr>
            <w:r>
              <w:rPr>
                <w:rFonts w:ascii="Times New Roman" w:cs="Times New Roman" w:eastAsia="Times New Roman" w:hAnsi="Times New Roman"/>
                <w:sz w:val="13"/>
                <w:szCs w:val="13"/>
                <w:color w:val="auto"/>
                <w:w w:val="91"/>
              </w:rPr>
              <w:t>$</w:t>
            </w:r>
          </w:p>
        </w:tc>
        <w:tc>
          <w:tcPr>
            <w:tcW w:w="100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15,459</w:t>
            </w:r>
          </w:p>
        </w:tc>
        <w:tc>
          <w:tcPr>
            <w:tcW w:w="0" w:type="dxa"/>
            <w:vAlign w:val="bottom"/>
          </w:tcPr>
          <w:p>
            <w:pPr>
              <w:spacing w:after="0"/>
              <w:rPr>
                <w:sz w:val="1"/>
                <w:szCs w:val="1"/>
                <w:color w:val="auto"/>
              </w:rPr>
            </w:pPr>
          </w:p>
        </w:tc>
      </w:tr>
      <w:tr>
        <w:trPr>
          <w:trHeight w:val="180"/>
        </w:trPr>
        <w:tc>
          <w:tcPr>
            <w:tcW w:w="5640" w:type="dxa"/>
            <w:vAlign w:val="bottom"/>
          </w:tcPr>
          <w:p>
            <w:pPr>
              <w:ind w:left="20"/>
              <w:spacing w:after="0"/>
              <w:rPr>
                <w:sz w:val="20"/>
                <w:szCs w:val="20"/>
                <w:color w:val="auto"/>
              </w:rPr>
            </w:pPr>
            <w:r>
              <w:rPr>
                <w:rFonts w:ascii="Times New Roman" w:cs="Times New Roman" w:eastAsia="Times New Roman" w:hAnsi="Times New Roman"/>
                <w:sz w:val="14"/>
                <w:szCs w:val="14"/>
                <w:color w:val="auto"/>
              </w:rPr>
              <w:t>Client flows:</w:t>
            </w:r>
          </w:p>
        </w:tc>
        <w:tc>
          <w:tcPr>
            <w:tcW w:w="200" w:type="dxa"/>
            <w:vAlign w:val="bottom"/>
          </w:tcPr>
          <w:p>
            <w:pPr>
              <w:spacing w:after="0"/>
              <w:rPr>
                <w:sz w:val="15"/>
                <w:szCs w:val="15"/>
                <w:color w:val="auto"/>
              </w:rPr>
            </w:pPr>
          </w:p>
        </w:tc>
        <w:tc>
          <w:tcPr>
            <w:tcW w:w="112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22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124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300" w:type="dxa"/>
            <w:vAlign w:val="bottom"/>
          </w:tcPr>
          <w:p>
            <w:pPr>
              <w:spacing w:after="0"/>
              <w:rPr>
                <w:sz w:val="15"/>
                <w:szCs w:val="15"/>
                <w:color w:val="auto"/>
              </w:rPr>
            </w:pPr>
          </w:p>
        </w:tc>
        <w:tc>
          <w:tcPr>
            <w:tcW w:w="100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80"/>
        </w:trPr>
        <w:tc>
          <w:tcPr>
            <w:tcW w:w="5640" w:type="dxa"/>
            <w:vAlign w:val="bottom"/>
            <w:shd w:val="clear" w:color="auto" w:fill="CCEEFF"/>
          </w:tcPr>
          <w:p>
            <w:pPr>
              <w:ind w:left="280"/>
              <w:spacing w:after="0"/>
              <w:rPr>
                <w:sz w:val="20"/>
                <w:szCs w:val="20"/>
                <w:color w:val="auto"/>
              </w:rPr>
            </w:pPr>
            <w:r>
              <w:rPr>
                <w:rFonts w:ascii="Times New Roman" w:cs="Times New Roman" w:eastAsia="Times New Roman" w:hAnsi="Times New Roman"/>
                <w:sz w:val="14"/>
                <w:szCs w:val="14"/>
                <w:color w:val="auto"/>
              </w:rPr>
              <w:t>Inflows</w:t>
            </w:r>
          </w:p>
        </w:tc>
        <w:tc>
          <w:tcPr>
            <w:tcW w:w="200" w:type="dxa"/>
            <w:vAlign w:val="bottom"/>
            <w:shd w:val="clear" w:color="auto" w:fill="CCEEFF"/>
          </w:tcPr>
          <w:p>
            <w:pPr>
              <w:spacing w:after="0"/>
              <w:rPr>
                <w:sz w:val="15"/>
                <w:szCs w:val="15"/>
                <w:color w:val="auto"/>
              </w:rPr>
            </w:pPr>
          </w:p>
        </w:tc>
        <w:tc>
          <w:tcPr>
            <w:tcW w:w="11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1,070</w:t>
            </w:r>
          </w:p>
        </w:tc>
        <w:tc>
          <w:tcPr>
            <w:tcW w:w="8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12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338</w:t>
            </w:r>
          </w:p>
        </w:tc>
        <w:tc>
          <w:tcPr>
            <w:tcW w:w="100" w:type="dxa"/>
            <w:vAlign w:val="bottom"/>
            <w:shd w:val="clear" w:color="auto" w:fill="CCEEFF"/>
          </w:tcPr>
          <w:p>
            <w:pPr>
              <w:spacing w:after="0"/>
              <w:rPr>
                <w:sz w:val="15"/>
                <w:szCs w:val="15"/>
                <w:color w:val="auto"/>
              </w:rPr>
            </w:pPr>
          </w:p>
        </w:tc>
        <w:tc>
          <w:tcPr>
            <w:tcW w:w="180" w:type="dxa"/>
            <w:vAlign w:val="bottom"/>
            <w:shd w:val="clear" w:color="auto" w:fill="CCEEFF"/>
          </w:tcPr>
          <w:p>
            <w:pPr>
              <w:spacing w:after="0"/>
              <w:rPr>
                <w:sz w:val="15"/>
                <w:szCs w:val="15"/>
                <w:color w:val="auto"/>
              </w:rPr>
            </w:pPr>
          </w:p>
        </w:tc>
        <w:tc>
          <w:tcPr>
            <w:tcW w:w="12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663</w:t>
            </w:r>
          </w:p>
        </w:tc>
        <w:tc>
          <w:tcPr>
            <w:tcW w:w="100" w:type="dxa"/>
            <w:vAlign w:val="bottom"/>
            <w:shd w:val="clear" w:color="auto" w:fill="CCEEFF"/>
          </w:tcPr>
          <w:p>
            <w:pPr>
              <w:spacing w:after="0"/>
              <w:rPr>
                <w:sz w:val="15"/>
                <w:szCs w:val="15"/>
                <w:color w:val="auto"/>
              </w:rPr>
            </w:pPr>
          </w:p>
        </w:tc>
        <w:tc>
          <w:tcPr>
            <w:tcW w:w="300" w:type="dxa"/>
            <w:vAlign w:val="bottom"/>
            <w:shd w:val="clear" w:color="auto" w:fill="CCEEFF"/>
          </w:tcPr>
          <w:p>
            <w:pPr>
              <w:spacing w:after="0"/>
              <w:rPr>
                <w:sz w:val="15"/>
                <w:szCs w:val="15"/>
                <w:color w:val="auto"/>
              </w:rPr>
            </w:pPr>
          </w:p>
        </w:tc>
        <w:tc>
          <w:tcPr>
            <w:tcW w:w="10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2,071</w:t>
            </w:r>
          </w:p>
        </w:tc>
        <w:tc>
          <w:tcPr>
            <w:tcW w:w="0" w:type="dxa"/>
            <w:vAlign w:val="bottom"/>
          </w:tcPr>
          <w:p>
            <w:pPr>
              <w:spacing w:after="0"/>
              <w:rPr>
                <w:sz w:val="1"/>
                <w:szCs w:val="1"/>
                <w:color w:val="auto"/>
              </w:rPr>
            </w:pPr>
          </w:p>
        </w:tc>
      </w:tr>
      <w:tr>
        <w:trPr>
          <w:trHeight w:val="180"/>
        </w:trPr>
        <w:tc>
          <w:tcPr>
            <w:tcW w:w="5640" w:type="dxa"/>
            <w:vAlign w:val="bottom"/>
            <w:tcBorders>
              <w:bottom w:val="single" w:sz="8" w:color="CCEEFF"/>
            </w:tcBorders>
          </w:tcPr>
          <w:p>
            <w:pPr>
              <w:ind w:left="280"/>
              <w:spacing w:after="0"/>
              <w:rPr>
                <w:sz w:val="20"/>
                <w:szCs w:val="20"/>
                <w:color w:val="auto"/>
              </w:rPr>
            </w:pPr>
            <w:r>
              <w:rPr>
                <w:rFonts w:ascii="Times New Roman" w:cs="Times New Roman" w:eastAsia="Times New Roman" w:hAnsi="Times New Roman"/>
                <w:sz w:val="14"/>
                <w:szCs w:val="14"/>
                <w:color w:val="auto"/>
              </w:rPr>
              <w:t>Outflows</w:t>
            </w:r>
          </w:p>
        </w:tc>
        <w:tc>
          <w:tcPr>
            <w:tcW w:w="200" w:type="dxa"/>
            <w:vAlign w:val="bottom"/>
            <w:tcBorders>
              <w:bottom w:val="single" w:sz="8" w:color="auto"/>
            </w:tcBorders>
          </w:tcPr>
          <w:p>
            <w:pPr>
              <w:spacing w:after="0"/>
              <w:rPr>
                <w:sz w:val="15"/>
                <w:szCs w:val="15"/>
                <w:color w:val="auto"/>
              </w:rPr>
            </w:pPr>
          </w:p>
        </w:tc>
        <w:tc>
          <w:tcPr>
            <w:tcW w:w="11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3"/>
                <w:szCs w:val="13"/>
                <w:color w:val="auto"/>
              </w:rPr>
              <w:t>(966)</w:t>
            </w:r>
          </w:p>
        </w:tc>
        <w:tc>
          <w:tcPr>
            <w:tcW w:w="80" w:type="dxa"/>
            <w:vAlign w:val="bottom"/>
            <w:tcBorders>
              <w:bottom w:val="single" w:sz="8" w:color="CCEEFF"/>
            </w:tcBorders>
          </w:tcPr>
          <w:p>
            <w:pPr>
              <w:spacing w:after="0"/>
              <w:rPr>
                <w:sz w:val="15"/>
                <w:szCs w:val="15"/>
                <w:color w:val="auto"/>
              </w:rPr>
            </w:pPr>
          </w:p>
        </w:tc>
        <w:tc>
          <w:tcPr>
            <w:tcW w:w="100" w:type="dxa"/>
            <w:vAlign w:val="bottom"/>
            <w:tcBorders>
              <w:bottom w:val="single" w:sz="8" w:color="auto"/>
            </w:tcBorders>
          </w:tcPr>
          <w:p>
            <w:pPr>
              <w:spacing w:after="0"/>
              <w:rPr>
                <w:sz w:val="15"/>
                <w:szCs w:val="15"/>
                <w:color w:val="auto"/>
              </w:rPr>
            </w:pPr>
          </w:p>
        </w:tc>
        <w:tc>
          <w:tcPr>
            <w:tcW w:w="12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3"/>
                <w:szCs w:val="13"/>
                <w:color w:val="auto"/>
              </w:rPr>
              <w:t>(524)</w:t>
            </w:r>
          </w:p>
        </w:tc>
        <w:tc>
          <w:tcPr>
            <w:tcW w:w="100" w:type="dxa"/>
            <w:vAlign w:val="bottom"/>
            <w:tcBorders>
              <w:bottom w:val="single" w:sz="8" w:color="CCEEFF"/>
            </w:tcBorders>
          </w:tcPr>
          <w:p>
            <w:pPr>
              <w:spacing w:after="0"/>
              <w:rPr>
                <w:sz w:val="15"/>
                <w:szCs w:val="15"/>
                <w:color w:val="auto"/>
              </w:rPr>
            </w:pPr>
          </w:p>
        </w:tc>
        <w:tc>
          <w:tcPr>
            <w:tcW w:w="180" w:type="dxa"/>
            <w:vAlign w:val="bottom"/>
            <w:tcBorders>
              <w:bottom w:val="single" w:sz="8" w:color="auto"/>
            </w:tcBorders>
          </w:tcPr>
          <w:p>
            <w:pPr>
              <w:spacing w:after="0"/>
              <w:rPr>
                <w:sz w:val="15"/>
                <w:szCs w:val="15"/>
                <w:color w:val="auto"/>
              </w:rPr>
            </w:pPr>
          </w:p>
        </w:tc>
        <w:tc>
          <w:tcPr>
            <w:tcW w:w="12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3"/>
                <w:szCs w:val="13"/>
                <w:color w:val="auto"/>
              </w:rPr>
              <w:t>(1,353)</w:t>
            </w:r>
          </w:p>
        </w:tc>
        <w:tc>
          <w:tcPr>
            <w:tcW w:w="100" w:type="dxa"/>
            <w:vAlign w:val="bottom"/>
            <w:tcBorders>
              <w:bottom w:val="single" w:sz="8" w:color="CCEEFF"/>
            </w:tcBorders>
          </w:tcPr>
          <w:p>
            <w:pPr>
              <w:spacing w:after="0"/>
              <w:rPr>
                <w:sz w:val="15"/>
                <w:szCs w:val="15"/>
                <w:color w:val="auto"/>
              </w:rPr>
            </w:pPr>
          </w:p>
        </w:tc>
        <w:tc>
          <w:tcPr>
            <w:tcW w:w="300" w:type="dxa"/>
            <w:vAlign w:val="bottom"/>
            <w:tcBorders>
              <w:bottom w:val="single" w:sz="8" w:color="auto"/>
            </w:tcBorders>
          </w:tcPr>
          <w:p>
            <w:pPr>
              <w:spacing w:after="0"/>
              <w:rPr>
                <w:sz w:val="15"/>
                <w:szCs w:val="15"/>
                <w:color w:val="auto"/>
              </w:rPr>
            </w:pPr>
          </w:p>
        </w:tc>
        <w:tc>
          <w:tcPr>
            <w:tcW w:w="10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3"/>
                <w:szCs w:val="13"/>
                <w:color w:val="auto"/>
              </w:rPr>
              <w:t>(2,843)</w:t>
            </w:r>
          </w:p>
        </w:tc>
        <w:tc>
          <w:tcPr>
            <w:tcW w:w="0" w:type="dxa"/>
            <w:vAlign w:val="bottom"/>
          </w:tcPr>
          <w:p>
            <w:pPr>
              <w:spacing w:after="0"/>
              <w:rPr>
                <w:sz w:val="1"/>
                <w:szCs w:val="1"/>
                <w:color w:val="auto"/>
              </w:rPr>
            </w:pPr>
          </w:p>
        </w:tc>
      </w:tr>
      <w:tr>
        <w:trPr>
          <w:trHeight w:val="171"/>
        </w:trPr>
        <w:tc>
          <w:tcPr>
            <w:tcW w:w="564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4"/>
                <w:szCs w:val="14"/>
                <w:color w:val="auto"/>
              </w:rPr>
              <w:t>Net client flows</w:t>
            </w:r>
          </w:p>
        </w:tc>
        <w:tc>
          <w:tcPr>
            <w:tcW w:w="200" w:type="dxa"/>
            <w:vAlign w:val="bottom"/>
            <w:shd w:val="clear" w:color="auto" w:fill="CCEEFF"/>
          </w:tcPr>
          <w:p>
            <w:pPr>
              <w:spacing w:after="0"/>
              <w:rPr>
                <w:sz w:val="14"/>
                <w:szCs w:val="14"/>
                <w:color w:val="auto"/>
              </w:rPr>
            </w:pPr>
          </w:p>
        </w:tc>
        <w:tc>
          <w:tcPr>
            <w:tcW w:w="11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104</w:t>
            </w:r>
          </w:p>
        </w:tc>
        <w:tc>
          <w:tcPr>
            <w:tcW w:w="8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12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(186)</w:t>
            </w:r>
          </w:p>
        </w:tc>
        <w:tc>
          <w:tcPr>
            <w:tcW w:w="100" w:type="dxa"/>
            <w:vAlign w:val="bottom"/>
            <w:shd w:val="clear" w:color="auto" w:fill="CCEEFF"/>
          </w:tcPr>
          <w:p>
            <w:pPr>
              <w:spacing w:after="0"/>
              <w:rPr>
                <w:sz w:val="14"/>
                <w:szCs w:val="14"/>
                <w:color w:val="auto"/>
              </w:rPr>
            </w:pPr>
          </w:p>
        </w:tc>
        <w:tc>
          <w:tcPr>
            <w:tcW w:w="180" w:type="dxa"/>
            <w:vAlign w:val="bottom"/>
            <w:shd w:val="clear" w:color="auto" w:fill="CCEEFF"/>
          </w:tcPr>
          <w:p>
            <w:pPr>
              <w:spacing w:after="0"/>
              <w:rPr>
                <w:sz w:val="14"/>
                <w:szCs w:val="14"/>
                <w:color w:val="auto"/>
              </w:rPr>
            </w:pPr>
          </w:p>
        </w:tc>
        <w:tc>
          <w:tcPr>
            <w:tcW w:w="12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(690)</w:t>
            </w:r>
          </w:p>
        </w:tc>
        <w:tc>
          <w:tcPr>
            <w:tcW w:w="100" w:type="dxa"/>
            <w:vAlign w:val="bottom"/>
            <w:shd w:val="clear" w:color="auto" w:fill="CCEEFF"/>
          </w:tcPr>
          <w:p>
            <w:pPr>
              <w:spacing w:after="0"/>
              <w:rPr>
                <w:sz w:val="14"/>
                <w:szCs w:val="14"/>
                <w:color w:val="auto"/>
              </w:rPr>
            </w:pPr>
          </w:p>
        </w:tc>
        <w:tc>
          <w:tcPr>
            <w:tcW w:w="300" w:type="dxa"/>
            <w:vAlign w:val="bottom"/>
            <w:shd w:val="clear" w:color="auto" w:fill="CCEEFF"/>
          </w:tcPr>
          <w:p>
            <w:pPr>
              <w:spacing w:after="0"/>
              <w:rPr>
                <w:sz w:val="14"/>
                <w:szCs w:val="14"/>
                <w:color w:val="auto"/>
              </w:rPr>
            </w:pPr>
          </w:p>
        </w:tc>
        <w:tc>
          <w:tcPr>
            <w:tcW w:w="10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(772)</w:t>
            </w:r>
          </w:p>
        </w:tc>
        <w:tc>
          <w:tcPr>
            <w:tcW w:w="0" w:type="dxa"/>
            <w:vAlign w:val="bottom"/>
          </w:tcPr>
          <w:p>
            <w:pPr>
              <w:spacing w:after="0"/>
              <w:rPr>
                <w:sz w:val="1"/>
                <w:szCs w:val="1"/>
                <w:color w:val="auto"/>
              </w:rPr>
            </w:pPr>
          </w:p>
        </w:tc>
      </w:tr>
      <w:tr>
        <w:trPr>
          <w:trHeight w:val="180"/>
        </w:trPr>
        <w:tc>
          <w:tcPr>
            <w:tcW w:w="5640" w:type="dxa"/>
            <w:vAlign w:val="bottom"/>
            <w:tcBorders>
              <w:bottom w:val="single" w:sz="8" w:color="CCEEFF"/>
            </w:tcBorders>
          </w:tcPr>
          <w:p>
            <w:pPr>
              <w:ind w:left="20"/>
              <w:spacing w:after="0"/>
              <w:rPr>
                <w:sz w:val="20"/>
                <w:szCs w:val="20"/>
                <w:color w:val="auto"/>
              </w:rPr>
            </w:pPr>
            <w:r>
              <w:rPr>
                <w:rFonts w:ascii="Times New Roman" w:cs="Times New Roman" w:eastAsia="Times New Roman" w:hAnsi="Times New Roman"/>
                <w:sz w:val="14"/>
                <w:szCs w:val="14"/>
                <w:color w:val="auto"/>
              </w:rPr>
              <w:t>Market appreciation (depreciation)</w:t>
            </w:r>
          </w:p>
        </w:tc>
        <w:tc>
          <w:tcPr>
            <w:tcW w:w="200" w:type="dxa"/>
            <w:vAlign w:val="bottom"/>
            <w:tcBorders>
              <w:bottom w:val="single" w:sz="8" w:color="auto"/>
            </w:tcBorders>
          </w:tcPr>
          <w:p>
            <w:pPr>
              <w:spacing w:after="0"/>
              <w:rPr>
                <w:sz w:val="15"/>
                <w:szCs w:val="15"/>
                <w:color w:val="auto"/>
              </w:rPr>
            </w:pPr>
          </w:p>
        </w:tc>
        <w:tc>
          <w:tcPr>
            <w:tcW w:w="11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3"/>
                <w:szCs w:val="13"/>
                <w:color w:val="auto"/>
              </w:rPr>
              <w:t>982</w:t>
            </w:r>
          </w:p>
        </w:tc>
        <w:tc>
          <w:tcPr>
            <w:tcW w:w="80" w:type="dxa"/>
            <w:vAlign w:val="bottom"/>
            <w:tcBorders>
              <w:bottom w:val="single" w:sz="8" w:color="CCEEFF"/>
            </w:tcBorders>
          </w:tcPr>
          <w:p>
            <w:pPr>
              <w:spacing w:after="0"/>
              <w:rPr>
                <w:sz w:val="15"/>
                <w:szCs w:val="15"/>
                <w:color w:val="auto"/>
              </w:rPr>
            </w:pPr>
          </w:p>
        </w:tc>
        <w:tc>
          <w:tcPr>
            <w:tcW w:w="100" w:type="dxa"/>
            <w:vAlign w:val="bottom"/>
            <w:tcBorders>
              <w:bottom w:val="single" w:sz="8" w:color="auto"/>
            </w:tcBorders>
          </w:tcPr>
          <w:p>
            <w:pPr>
              <w:spacing w:after="0"/>
              <w:rPr>
                <w:sz w:val="15"/>
                <w:szCs w:val="15"/>
                <w:color w:val="auto"/>
              </w:rPr>
            </w:pPr>
          </w:p>
        </w:tc>
        <w:tc>
          <w:tcPr>
            <w:tcW w:w="12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3"/>
                <w:szCs w:val="13"/>
                <w:color w:val="auto"/>
              </w:rPr>
              <w:t>437</w:t>
            </w:r>
          </w:p>
        </w:tc>
        <w:tc>
          <w:tcPr>
            <w:tcW w:w="100" w:type="dxa"/>
            <w:vAlign w:val="bottom"/>
            <w:tcBorders>
              <w:bottom w:val="single" w:sz="8" w:color="CCEEFF"/>
            </w:tcBorders>
          </w:tcPr>
          <w:p>
            <w:pPr>
              <w:spacing w:after="0"/>
              <w:rPr>
                <w:sz w:val="15"/>
                <w:szCs w:val="15"/>
                <w:color w:val="auto"/>
              </w:rPr>
            </w:pPr>
          </w:p>
        </w:tc>
        <w:tc>
          <w:tcPr>
            <w:tcW w:w="180" w:type="dxa"/>
            <w:vAlign w:val="bottom"/>
            <w:tcBorders>
              <w:bottom w:val="single" w:sz="8" w:color="auto"/>
            </w:tcBorders>
          </w:tcPr>
          <w:p>
            <w:pPr>
              <w:spacing w:after="0"/>
              <w:rPr>
                <w:sz w:val="15"/>
                <w:szCs w:val="15"/>
                <w:color w:val="auto"/>
              </w:rPr>
            </w:pPr>
          </w:p>
        </w:tc>
        <w:tc>
          <w:tcPr>
            <w:tcW w:w="12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3"/>
                <w:szCs w:val="13"/>
                <w:color w:val="auto"/>
              </w:rPr>
              <w:t>501</w:t>
            </w:r>
          </w:p>
        </w:tc>
        <w:tc>
          <w:tcPr>
            <w:tcW w:w="100" w:type="dxa"/>
            <w:vAlign w:val="bottom"/>
            <w:tcBorders>
              <w:bottom w:val="single" w:sz="8" w:color="CCEEFF"/>
            </w:tcBorders>
          </w:tcPr>
          <w:p>
            <w:pPr>
              <w:spacing w:after="0"/>
              <w:rPr>
                <w:sz w:val="15"/>
                <w:szCs w:val="15"/>
                <w:color w:val="auto"/>
              </w:rPr>
            </w:pPr>
          </w:p>
        </w:tc>
        <w:tc>
          <w:tcPr>
            <w:tcW w:w="300" w:type="dxa"/>
            <w:vAlign w:val="bottom"/>
            <w:tcBorders>
              <w:bottom w:val="single" w:sz="8" w:color="auto"/>
            </w:tcBorders>
          </w:tcPr>
          <w:p>
            <w:pPr>
              <w:spacing w:after="0"/>
              <w:rPr>
                <w:sz w:val="15"/>
                <w:szCs w:val="15"/>
                <w:color w:val="auto"/>
              </w:rPr>
            </w:pPr>
          </w:p>
        </w:tc>
        <w:tc>
          <w:tcPr>
            <w:tcW w:w="10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3"/>
                <w:szCs w:val="13"/>
                <w:color w:val="auto"/>
              </w:rPr>
              <w:t>1,920</w:t>
            </w:r>
          </w:p>
        </w:tc>
        <w:tc>
          <w:tcPr>
            <w:tcW w:w="0" w:type="dxa"/>
            <w:vAlign w:val="bottom"/>
          </w:tcPr>
          <w:p>
            <w:pPr>
              <w:spacing w:after="0"/>
              <w:rPr>
                <w:sz w:val="1"/>
                <w:szCs w:val="1"/>
                <w:color w:val="auto"/>
              </w:rPr>
            </w:pPr>
          </w:p>
        </w:tc>
      </w:tr>
      <w:tr>
        <w:trPr>
          <w:trHeight w:val="171"/>
        </w:trPr>
        <w:tc>
          <w:tcPr>
            <w:tcW w:w="564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4"/>
                <w:szCs w:val="14"/>
                <w:color w:val="auto"/>
              </w:rPr>
              <w:t>Net change</w:t>
            </w:r>
          </w:p>
        </w:tc>
        <w:tc>
          <w:tcPr>
            <w:tcW w:w="200" w:type="dxa"/>
            <w:vAlign w:val="bottom"/>
            <w:tcBorders>
              <w:bottom w:val="single" w:sz="8" w:color="auto"/>
            </w:tcBorders>
            <w:shd w:val="clear" w:color="auto" w:fill="CCEEFF"/>
          </w:tcPr>
          <w:p>
            <w:pPr>
              <w:spacing w:after="0"/>
              <w:rPr>
                <w:sz w:val="14"/>
                <w:szCs w:val="14"/>
                <w:color w:val="auto"/>
              </w:rPr>
            </w:pPr>
          </w:p>
        </w:tc>
        <w:tc>
          <w:tcPr>
            <w:tcW w:w="11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1,086</w:t>
            </w:r>
          </w:p>
        </w:tc>
        <w:tc>
          <w:tcPr>
            <w:tcW w:w="80" w:type="dxa"/>
            <w:vAlign w:val="bottom"/>
            <w:shd w:val="clear" w:color="auto" w:fill="CCEEFF"/>
          </w:tcPr>
          <w:p>
            <w:pPr>
              <w:spacing w:after="0"/>
              <w:rPr>
                <w:sz w:val="14"/>
                <w:szCs w:val="14"/>
                <w:color w:val="auto"/>
              </w:rPr>
            </w:pPr>
          </w:p>
        </w:tc>
        <w:tc>
          <w:tcPr>
            <w:tcW w:w="100" w:type="dxa"/>
            <w:vAlign w:val="bottom"/>
            <w:tcBorders>
              <w:bottom w:val="single" w:sz="8" w:color="auto"/>
            </w:tcBorders>
            <w:shd w:val="clear" w:color="auto" w:fill="CCEEFF"/>
          </w:tcPr>
          <w:p>
            <w:pPr>
              <w:spacing w:after="0"/>
              <w:rPr>
                <w:sz w:val="14"/>
                <w:szCs w:val="14"/>
                <w:color w:val="auto"/>
              </w:rPr>
            </w:pPr>
          </w:p>
        </w:tc>
        <w:tc>
          <w:tcPr>
            <w:tcW w:w="12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251</w:t>
            </w:r>
          </w:p>
        </w:tc>
        <w:tc>
          <w:tcPr>
            <w:tcW w:w="100" w:type="dxa"/>
            <w:vAlign w:val="bottom"/>
            <w:shd w:val="clear" w:color="auto" w:fill="CCEEFF"/>
          </w:tcPr>
          <w:p>
            <w:pPr>
              <w:spacing w:after="0"/>
              <w:rPr>
                <w:sz w:val="14"/>
                <w:szCs w:val="14"/>
                <w:color w:val="auto"/>
              </w:rPr>
            </w:pPr>
          </w:p>
        </w:tc>
        <w:tc>
          <w:tcPr>
            <w:tcW w:w="180" w:type="dxa"/>
            <w:vAlign w:val="bottom"/>
            <w:tcBorders>
              <w:bottom w:val="single" w:sz="8" w:color="auto"/>
            </w:tcBorders>
            <w:shd w:val="clear" w:color="auto" w:fill="CCEEFF"/>
          </w:tcPr>
          <w:p>
            <w:pPr>
              <w:spacing w:after="0"/>
              <w:rPr>
                <w:sz w:val="14"/>
                <w:szCs w:val="14"/>
                <w:color w:val="auto"/>
              </w:rPr>
            </w:pPr>
          </w:p>
        </w:tc>
        <w:tc>
          <w:tcPr>
            <w:tcW w:w="12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(189)</w:t>
            </w:r>
          </w:p>
        </w:tc>
        <w:tc>
          <w:tcPr>
            <w:tcW w:w="100" w:type="dxa"/>
            <w:vAlign w:val="bottom"/>
            <w:shd w:val="clear" w:color="auto" w:fill="CCEEFF"/>
          </w:tcPr>
          <w:p>
            <w:pPr>
              <w:spacing w:after="0"/>
              <w:rPr>
                <w:sz w:val="14"/>
                <w:szCs w:val="14"/>
                <w:color w:val="auto"/>
              </w:rPr>
            </w:pPr>
          </w:p>
        </w:tc>
        <w:tc>
          <w:tcPr>
            <w:tcW w:w="300" w:type="dxa"/>
            <w:vAlign w:val="bottom"/>
            <w:tcBorders>
              <w:bottom w:val="single" w:sz="8" w:color="auto"/>
            </w:tcBorders>
            <w:shd w:val="clear" w:color="auto" w:fill="CCEEFF"/>
          </w:tcPr>
          <w:p>
            <w:pPr>
              <w:spacing w:after="0"/>
              <w:rPr>
                <w:sz w:val="14"/>
                <w:szCs w:val="14"/>
                <w:color w:val="auto"/>
              </w:rPr>
            </w:pPr>
          </w:p>
        </w:tc>
        <w:tc>
          <w:tcPr>
            <w:tcW w:w="10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1,148</w:t>
            </w:r>
          </w:p>
        </w:tc>
        <w:tc>
          <w:tcPr>
            <w:tcW w:w="0" w:type="dxa"/>
            <w:vAlign w:val="bottom"/>
          </w:tcPr>
          <w:p>
            <w:pPr>
              <w:spacing w:after="0"/>
              <w:rPr>
                <w:sz w:val="1"/>
                <w:szCs w:val="1"/>
                <w:color w:val="auto"/>
              </w:rPr>
            </w:pPr>
          </w:p>
        </w:tc>
      </w:tr>
      <w:tr>
        <w:trPr>
          <w:trHeight w:val="171"/>
        </w:trPr>
        <w:tc>
          <w:tcPr>
            <w:tcW w:w="5640" w:type="dxa"/>
            <w:vAlign w:val="bottom"/>
          </w:tcPr>
          <w:p>
            <w:pPr>
              <w:ind w:left="20"/>
              <w:spacing w:after="0"/>
              <w:rPr>
                <w:sz w:val="20"/>
                <w:szCs w:val="20"/>
                <w:color w:val="auto"/>
              </w:rPr>
            </w:pPr>
            <w:r>
              <w:rPr>
                <w:rFonts w:ascii="Times New Roman" w:cs="Times New Roman" w:eastAsia="Times New Roman" w:hAnsi="Times New Roman"/>
                <w:sz w:val="14"/>
                <w:szCs w:val="14"/>
                <w:color w:val="auto"/>
              </w:rPr>
              <w:t>End of period assets</w:t>
            </w:r>
          </w:p>
        </w:tc>
        <w:tc>
          <w:tcPr>
            <w:tcW w:w="200" w:type="dxa"/>
            <w:vAlign w:val="bottom"/>
            <w:tcBorders>
              <w:bottom w:val="single" w:sz="8" w:color="auto"/>
            </w:tcBorders>
          </w:tcPr>
          <w:p>
            <w:pPr>
              <w:jc w:val="right"/>
              <w:ind w:right="33"/>
              <w:spacing w:after="0"/>
              <w:rPr>
                <w:sz w:val="20"/>
                <w:szCs w:val="20"/>
                <w:color w:val="auto"/>
              </w:rPr>
            </w:pPr>
            <w:r>
              <w:rPr>
                <w:rFonts w:ascii="Times New Roman" w:cs="Times New Roman" w:eastAsia="Times New Roman" w:hAnsi="Times New Roman"/>
                <w:sz w:val="13"/>
                <w:szCs w:val="13"/>
                <w:color w:val="auto"/>
              </w:rPr>
              <w:t>$</w:t>
            </w:r>
          </w:p>
        </w:tc>
        <w:tc>
          <w:tcPr>
            <w:tcW w:w="11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3"/>
                <w:szCs w:val="13"/>
                <w:color w:val="auto"/>
              </w:rPr>
              <w:t>8,301</w:t>
            </w:r>
          </w:p>
        </w:tc>
        <w:tc>
          <w:tcPr>
            <w:tcW w:w="80" w:type="dxa"/>
            <w:vAlign w:val="bottom"/>
          </w:tcPr>
          <w:p>
            <w:pPr>
              <w:spacing w:after="0"/>
              <w:rPr>
                <w:sz w:val="14"/>
                <w:szCs w:val="14"/>
                <w:color w:val="auto"/>
              </w:rPr>
            </w:pPr>
          </w:p>
        </w:tc>
        <w:tc>
          <w:tcPr>
            <w:tcW w:w="1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3"/>
                <w:szCs w:val="13"/>
                <w:color w:val="auto"/>
              </w:rPr>
              <w:t>$</w:t>
            </w:r>
          </w:p>
        </w:tc>
        <w:tc>
          <w:tcPr>
            <w:tcW w:w="12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3"/>
                <w:szCs w:val="13"/>
                <w:color w:val="auto"/>
              </w:rPr>
              <w:t>4,391</w:t>
            </w:r>
          </w:p>
        </w:tc>
        <w:tc>
          <w:tcPr>
            <w:tcW w:w="100" w:type="dxa"/>
            <w:vAlign w:val="bottom"/>
          </w:tcPr>
          <w:p>
            <w:pPr>
              <w:spacing w:after="0"/>
              <w:rPr>
                <w:sz w:val="14"/>
                <w:szCs w:val="14"/>
                <w:color w:val="auto"/>
              </w:rPr>
            </w:pPr>
          </w:p>
        </w:tc>
        <w:tc>
          <w:tcPr>
            <w:tcW w:w="180" w:type="dxa"/>
            <w:vAlign w:val="bottom"/>
            <w:tcBorders>
              <w:bottom w:val="single" w:sz="8" w:color="auto"/>
            </w:tcBorders>
          </w:tcPr>
          <w:p>
            <w:pPr>
              <w:jc w:val="right"/>
              <w:ind w:right="33"/>
              <w:spacing w:after="0"/>
              <w:rPr>
                <w:sz w:val="20"/>
                <w:szCs w:val="20"/>
                <w:color w:val="auto"/>
              </w:rPr>
            </w:pPr>
            <w:r>
              <w:rPr>
                <w:rFonts w:ascii="Times New Roman" w:cs="Times New Roman" w:eastAsia="Times New Roman" w:hAnsi="Times New Roman"/>
                <w:sz w:val="13"/>
                <w:szCs w:val="13"/>
                <w:color w:val="auto"/>
                <w:w w:val="91"/>
              </w:rPr>
              <w:t>$</w:t>
            </w:r>
          </w:p>
        </w:tc>
        <w:tc>
          <w:tcPr>
            <w:tcW w:w="12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3"/>
                <w:szCs w:val="13"/>
                <w:color w:val="auto"/>
              </w:rPr>
              <w:t>3,915</w:t>
            </w:r>
          </w:p>
        </w:tc>
        <w:tc>
          <w:tcPr>
            <w:tcW w:w="100" w:type="dxa"/>
            <w:vAlign w:val="bottom"/>
          </w:tcPr>
          <w:p>
            <w:pPr>
              <w:spacing w:after="0"/>
              <w:rPr>
                <w:sz w:val="14"/>
                <w:szCs w:val="14"/>
                <w:color w:val="auto"/>
              </w:rPr>
            </w:pPr>
          </w:p>
        </w:tc>
        <w:tc>
          <w:tcPr>
            <w:tcW w:w="300" w:type="dxa"/>
            <w:vAlign w:val="bottom"/>
            <w:tcBorders>
              <w:bottom w:val="single" w:sz="8" w:color="auto"/>
            </w:tcBorders>
          </w:tcPr>
          <w:p>
            <w:pPr>
              <w:jc w:val="right"/>
              <w:ind w:right="153"/>
              <w:spacing w:after="0"/>
              <w:rPr>
                <w:sz w:val="20"/>
                <w:szCs w:val="20"/>
                <w:color w:val="auto"/>
              </w:rPr>
            </w:pPr>
            <w:r>
              <w:rPr>
                <w:rFonts w:ascii="Times New Roman" w:cs="Times New Roman" w:eastAsia="Times New Roman" w:hAnsi="Times New Roman"/>
                <w:sz w:val="13"/>
                <w:szCs w:val="13"/>
                <w:color w:val="auto"/>
                <w:w w:val="91"/>
              </w:rPr>
              <w:t>$</w:t>
            </w:r>
          </w:p>
        </w:tc>
        <w:tc>
          <w:tcPr>
            <w:tcW w:w="10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3"/>
                <w:szCs w:val="13"/>
                <w:color w:val="auto"/>
              </w:rPr>
              <w:t>16,607</w:t>
            </w:r>
          </w:p>
        </w:tc>
        <w:tc>
          <w:tcPr>
            <w:tcW w:w="0" w:type="dxa"/>
            <w:vAlign w:val="bottom"/>
          </w:tcPr>
          <w:p>
            <w:pPr>
              <w:spacing w:after="0"/>
              <w:rPr>
                <w:sz w:val="1"/>
                <w:szCs w:val="1"/>
                <w:color w:val="auto"/>
              </w:rPr>
            </w:pPr>
          </w:p>
        </w:tc>
      </w:tr>
      <w:tr>
        <w:trPr>
          <w:trHeight w:val="20"/>
        </w:trPr>
        <w:tc>
          <w:tcPr>
            <w:tcW w:w="5640" w:type="dxa"/>
            <w:vAlign w:val="bottom"/>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112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122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124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00" w:type="dxa"/>
            <w:vAlign w:val="bottom"/>
            <w:tcBorders>
              <w:bottom w:val="single" w:sz="8" w:color="auto"/>
            </w:tcBorders>
          </w:tcPr>
          <w:p>
            <w:pPr>
              <w:spacing w:after="0" w:line="20" w:lineRule="exact"/>
              <w:rPr>
                <w:sz w:val="1"/>
                <w:szCs w:val="1"/>
                <w:color w:val="auto"/>
              </w:rPr>
            </w:pPr>
          </w:p>
        </w:tc>
        <w:tc>
          <w:tcPr>
            <w:tcW w:w="100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187" w:lineRule="exact"/>
        <w:rPr>
          <w:sz w:val="20"/>
          <w:szCs w:val="20"/>
          <w:color w:val="auto"/>
        </w:rPr>
      </w:pPr>
    </w:p>
    <w:p>
      <w:pPr>
        <w:ind w:right="240" w:firstLine="382"/>
        <w:spacing w:after="0" w:line="287" w:lineRule="auto"/>
        <w:rPr>
          <w:sz w:val="20"/>
          <w:szCs w:val="20"/>
          <w:color w:val="auto"/>
        </w:rPr>
      </w:pPr>
      <w:r>
        <w:rPr>
          <w:rFonts w:ascii="Times New Roman" w:cs="Times New Roman" w:eastAsia="Times New Roman" w:hAnsi="Times New Roman"/>
          <w:sz w:val="14"/>
          <w:szCs w:val="14"/>
          <w:color w:val="auto"/>
        </w:rPr>
        <w:t>The increase in AUM for the year ended December 31, 2024 was due to market appreciation of $1.9 billion offset by net outflows of $0.8 billion. Net outflows were primarily related to our LargeCap Value and SmallCap Value strategies.</w:t>
      </w:r>
    </w:p>
    <w:p>
      <w:pPr>
        <w:spacing w:after="0" w:line="73" w:lineRule="exact"/>
        <w:rPr>
          <w:sz w:val="20"/>
          <w:szCs w:val="20"/>
          <w:color w:val="auto"/>
        </w:rPr>
      </w:pPr>
    </w:p>
    <w:tbl>
      <w:tblPr>
        <w:tblLayout w:type="fixed"/>
        <w:tblInd w:w="0" w:type="dxa"/>
        <w:tblCellMar>
          <w:top w:w="0" w:type="dxa"/>
          <w:left w:w="0" w:type="dxa"/>
          <w:bottom w:w="0" w:type="dxa"/>
          <w:right w:w="0" w:type="dxa"/>
        </w:tblCellMar>
      </w:tblPr>
      <w:tr>
        <w:trPr>
          <w:trHeight w:val="170"/>
        </w:trPr>
        <w:tc>
          <w:tcPr>
            <w:tcW w:w="5760" w:type="dxa"/>
            <w:vAlign w:val="bottom"/>
          </w:tcPr>
          <w:p>
            <w:pPr>
              <w:spacing w:after="0"/>
              <w:rPr>
                <w:sz w:val="14"/>
                <w:szCs w:val="14"/>
                <w:color w:val="auto"/>
              </w:rPr>
            </w:pPr>
          </w:p>
        </w:tc>
        <w:tc>
          <w:tcPr>
            <w:tcW w:w="200" w:type="dxa"/>
            <w:vAlign w:val="bottom"/>
            <w:tcBorders>
              <w:bottom w:val="single" w:sz="8" w:color="auto"/>
            </w:tcBorders>
          </w:tcPr>
          <w:p>
            <w:pPr>
              <w:spacing w:after="0"/>
              <w:rPr>
                <w:sz w:val="14"/>
                <w:szCs w:val="14"/>
                <w:color w:val="auto"/>
              </w:rPr>
            </w:pPr>
          </w:p>
        </w:tc>
        <w:tc>
          <w:tcPr>
            <w:tcW w:w="1100" w:type="dxa"/>
            <w:vAlign w:val="bottom"/>
            <w:tcBorders>
              <w:bottom w:val="single" w:sz="8" w:color="auto"/>
            </w:tcBorders>
          </w:tcPr>
          <w:p>
            <w:pPr>
              <w:spacing w:after="0"/>
              <w:rPr>
                <w:sz w:val="14"/>
                <w:szCs w:val="14"/>
                <w:color w:val="auto"/>
              </w:rPr>
            </w:pPr>
          </w:p>
        </w:tc>
        <w:tc>
          <w:tcPr>
            <w:tcW w:w="100" w:type="dxa"/>
            <w:vAlign w:val="bottom"/>
            <w:tcBorders>
              <w:bottom w:val="single" w:sz="8" w:color="auto"/>
            </w:tcBorders>
          </w:tcPr>
          <w:p>
            <w:pPr>
              <w:spacing w:after="0"/>
              <w:rPr>
                <w:sz w:val="14"/>
                <w:szCs w:val="14"/>
                <w:color w:val="auto"/>
              </w:rPr>
            </w:pPr>
          </w:p>
        </w:tc>
        <w:tc>
          <w:tcPr>
            <w:tcW w:w="80" w:type="dxa"/>
            <w:vAlign w:val="bottom"/>
            <w:tcBorders>
              <w:bottom w:val="single" w:sz="8" w:color="auto"/>
            </w:tcBorders>
          </w:tcPr>
          <w:p>
            <w:pPr>
              <w:spacing w:after="0"/>
              <w:rPr>
                <w:sz w:val="14"/>
                <w:szCs w:val="14"/>
                <w:color w:val="auto"/>
              </w:rPr>
            </w:pPr>
          </w:p>
        </w:tc>
        <w:tc>
          <w:tcPr>
            <w:tcW w:w="2720" w:type="dxa"/>
            <w:vAlign w:val="bottom"/>
            <w:tcBorders>
              <w:bottom w:val="single" w:sz="8" w:color="auto"/>
            </w:tcBorders>
            <w:gridSpan w:val="5"/>
          </w:tcPr>
          <w:p>
            <w:pPr>
              <w:ind w:left="420"/>
              <w:spacing w:after="0"/>
              <w:rPr>
                <w:sz w:val="20"/>
                <w:szCs w:val="20"/>
                <w:color w:val="auto"/>
              </w:rPr>
            </w:pPr>
            <w:r>
              <w:rPr>
                <w:rFonts w:ascii="Times New Roman" w:cs="Times New Roman" w:eastAsia="Times New Roman" w:hAnsi="Times New Roman"/>
                <w:sz w:val="13"/>
                <w:szCs w:val="13"/>
                <w:b w:val="1"/>
                <w:bCs w:val="1"/>
                <w:color w:val="auto"/>
              </w:rPr>
              <w:t>Year Ended December 31, 2023</w:t>
            </w:r>
          </w:p>
        </w:tc>
        <w:tc>
          <w:tcPr>
            <w:tcW w:w="300" w:type="dxa"/>
            <w:vAlign w:val="bottom"/>
            <w:tcBorders>
              <w:bottom w:val="single" w:sz="8" w:color="auto"/>
            </w:tcBorders>
          </w:tcPr>
          <w:p>
            <w:pPr>
              <w:spacing w:after="0"/>
              <w:rPr>
                <w:sz w:val="14"/>
                <w:szCs w:val="14"/>
                <w:color w:val="auto"/>
              </w:rPr>
            </w:pPr>
          </w:p>
        </w:tc>
        <w:tc>
          <w:tcPr>
            <w:tcW w:w="1000" w:type="dxa"/>
            <w:vAlign w:val="bottom"/>
            <w:tcBorders>
              <w:bottom w:val="single" w:sz="8" w:color="auto"/>
            </w:tcBorders>
          </w:tcPr>
          <w:p>
            <w:pPr>
              <w:spacing w:after="0"/>
              <w:rPr>
                <w:sz w:val="14"/>
                <w:szCs w:val="14"/>
                <w:color w:val="auto"/>
              </w:rPr>
            </w:pPr>
          </w:p>
        </w:tc>
        <w:tc>
          <w:tcPr>
            <w:tcW w:w="0" w:type="dxa"/>
            <w:vAlign w:val="bottom"/>
          </w:tcPr>
          <w:p>
            <w:pPr>
              <w:spacing w:after="0"/>
              <w:rPr>
                <w:sz w:val="1"/>
                <w:szCs w:val="1"/>
                <w:color w:val="auto"/>
              </w:rPr>
            </w:pPr>
          </w:p>
        </w:tc>
      </w:tr>
      <w:tr>
        <w:trPr>
          <w:trHeight w:val="120"/>
        </w:trPr>
        <w:tc>
          <w:tcPr>
            <w:tcW w:w="5760" w:type="dxa"/>
            <w:vAlign w:val="bottom"/>
            <w:vMerge w:val="restart"/>
          </w:tcPr>
          <w:p>
            <w:pPr>
              <w:ind w:left="20"/>
              <w:spacing w:after="0"/>
              <w:rPr>
                <w:sz w:val="20"/>
                <w:szCs w:val="20"/>
                <w:color w:val="auto"/>
              </w:rPr>
            </w:pPr>
            <w:r>
              <w:rPr>
                <w:rFonts w:ascii="Times New Roman" w:cs="Times New Roman" w:eastAsia="Times New Roman" w:hAnsi="Times New Roman"/>
                <w:sz w:val="13"/>
                <w:szCs w:val="13"/>
                <w:b w:val="1"/>
                <w:bCs w:val="1"/>
                <w:color w:val="auto"/>
              </w:rPr>
              <w:t>AUM (in millions)</w:t>
            </w:r>
          </w:p>
        </w:tc>
        <w:tc>
          <w:tcPr>
            <w:tcW w:w="200" w:type="dxa"/>
            <w:vAlign w:val="bottom"/>
          </w:tcPr>
          <w:p>
            <w:pPr>
              <w:spacing w:after="0"/>
              <w:rPr>
                <w:sz w:val="10"/>
                <w:szCs w:val="10"/>
                <w:color w:val="auto"/>
              </w:rPr>
            </w:pPr>
          </w:p>
        </w:tc>
        <w:tc>
          <w:tcPr>
            <w:tcW w:w="1200" w:type="dxa"/>
            <w:vAlign w:val="bottom"/>
            <w:gridSpan w:val="2"/>
            <w:vMerge w:val="restart"/>
          </w:tcPr>
          <w:p>
            <w:pPr>
              <w:ind w:left="120"/>
              <w:spacing w:after="0"/>
              <w:rPr>
                <w:sz w:val="20"/>
                <w:szCs w:val="20"/>
                <w:color w:val="auto"/>
              </w:rPr>
            </w:pPr>
            <w:r>
              <w:rPr>
                <w:rFonts w:ascii="Times New Roman" w:cs="Times New Roman" w:eastAsia="Times New Roman" w:hAnsi="Times New Roman"/>
                <w:sz w:val="13"/>
                <w:szCs w:val="13"/>
                <w:b w:val="1"/>
                <w:bCs w:val="1"/>
                <w:color w:val="auto"/>
              </w:rPr>
              <w:t>Institutional</w:t>
            </w:r>
          </w:p>
        </w:tc>
        <w:tc>
          <w:tcPr>
            <w:tcW w:w="80" w:type="dxa"/>
            <w:vAlign w:val="bottom"/>
          </w:tcPr>
          <w:p>
            <w:pPr>
              <w:spacing w:after="0"/>
              <w:rPr>
                <w:sz w:val="10"/>
                <w:szCs w:val="10"/>
                <w:color w:val="auto"/>
              </w:rPr>
            </w:pPr>
          </w:p>
        </w:tc>
        <w:tc>
          <w:tcPr>
            <w:tcW w:w="1320" w:type="dxa"/>
            <w:vAlign w:val="bottom"/>
            <w:gridSpan w:val="2"/>
            <w:vMerge w:val="restart"/>
          </w:tcPr>
          <w:p>
            <w:pPr>
              <w:spacing w:after="0"/>
              <w:rPr>
                <w:sz w:val="20"/>
                <w:szCs w:val="20"/>
                <w:color w:val="auto"/>
              </w:rPr>
            </w:pPr>
            <w:r>
              <w:rPr>
                <w:rFonts w:ascii="Times New Roman" w:cs="Times New Roman" w:eastAsia="Times New Roman" w:hAnsi="Times New Roman"/>
                <w:sz w:val="13"/>
                <w:szCs w:val="13"/>
                <w:b w:val="1"/>
                <w:bCs w:val="1"/>
                <w:color w:val="auto"/>
              </w:rPr>
              <w:t>Wealth Management</w:t>
            </w:r>
          </w:p>
        </w:tc>
        <w:tc>
          <w:tcPr>
            <w:tcW w:w="260" w:type="dxa"/>
            <w:vAlign w:val="bottom"/>
          </w:tcPr>
          <w:p>
            <w:pPr>
              <w:spacing w:after="0"/>
              <w:rPr>
                <w:sz w:val="10"/>
                <w:szCs w:val="10"/>
                <w:color w:val="auto"/>
              </w:rPr>
            </w:pPr>
          </w:p>
        </w:tc>
        <w:tc>
          <w:tcPr>
            <w:tcW w:w="1140" w:type="dxa"/>
            <w:vAlign w:val="bottom"/>
            <w:gridSpan w:val="2"/>
          </w:tcPr>
          <w:p>
            <w:pPr>
              <w:jc w:val="center"/>
              <w:ind w:right="360"/>
              <w:spacing w:after="0" w:line="120" w:lineRule="exact"/>
              <w:rPr>
                <w:sz w:val="20"/>
                <w:szCs w:val="20"/>
                <w:color w:val="auto"/>
              </w:rPr>
            </w:pPr>
            <w:r>
              <w:rPr>
                <w:rFonts w:ascii="Times New Roman" w:cs="Times New Roman" w:eastAsia="Times New Roman" w:hAnsi="Times New Roman"/>
                <w:sz w:val="13"/>
                <w:szCs w:val="13"/>
                <w:b w:val="1"/>
                <w:bCs w:val="1"/>
                <w:color w:val="auto"/>
              </w:rPr>
              <w:t>Mutual</w:t>
            </w:r>
          </w:p>
        </w:tc>
        <w:tc>
          <w:tcPr>
            <w:tcW w:w="300" w:type="dxa"/>
            <w:vAlign w:val="bottom"/>
          </w:tcPr>
          <w:p>
            <w:pPr>
              <w:spacing w:after="0"/>
              <w:rPr>
                <w:sz w:val="10"/>
                <w:szCs w:val="10"/>
                <w:color w:val="auto"/>
              </w:rPr>
            </w:pPr>
          </w:p>
        </w:tc>
        <w:tc>
          <w:tcPr>
            <w:tcW w:w="1000" w:type="dxa"/>
            <w:vAlign w:val="bottom"/>
            <w:vMerge w:val="restart"/>
          </w:tcPr>
          <w:p>
            <w:pPr>
              <w:jc w:val="right"/>
              <w:ind w:right="453"/>
              <w:spacing w:after="0"/>
              <w:rPr>
                <w:sz w:val="20"/>
                <w:szCs w:val="20"/>
                <w:color w:val="auto"/>
              </w:rPr>
            </w:pPr>
            <w:r>
              <w:rPr>
                <w:rFonts w:ascii="Times New Roman" w:cs="Times New Roman" w:eastAsia="Times New Roman" w:hAnsi="Times New Roman"/>
                <w:sz w:val="13"/>
                <w:szCs w:val="13"/>
                <w:b w:val="1"/>
                <w:bCs w:val="1"/>
                <w:color w:val="auto"/>
              </w:rPr>
              <w:t>Total</w:t>
            </w:r>
          </w:p>
        </w:tc>
        <w:tc>
          <w:tcPr>
            <w:tcW w:w="0" w:type="dxa"/>
            <w:vAlign w:val="bottom"/>
          </w:tcPr>
          <w:p>
            <w:pPr>
              <w:spacing w:after="0"/>
              <w:rPr>
                <w:sz w:val="1"/>
                <w:szCs w:val="1"/>
                <w:color w:val="auto"/>
              </w:rPr>
            </w:pPr>
          </w:p>
        </w:tc>
      </w:tr>
      <w:tr>
        <w:trPr>
          <w:trHeight w:val="169"/>
        </w:trPr>
        <w:tc>
          <w:tcPr>
            <w:tcW w:w="5760" w:type="dxa"/>
            <w:vAlign w:val="bottom"/>
            <w:vMerge w:val="continue"/>
          </w:tcPr>
          <w:p>
            <w:pPr>
              <w:spacing w:after="0"/>
              <w:rPr>
                <w:sz w:val="14"/>
                <w:szCs w:val="14"/>
                <w:color w:val="auto"/>
              </w:rPr>
            </w:pPr>
          </w:p>
        </w:tc>
        <w:tc>
          <w:tcPr>
            <w:tcW w:w="200" w:type="dxa"/>
            <w:vAlign w:val="bottom"/>
          </w:tcPr>
          <w:p>
            <w:pPr>
              <w:spacing w:after="0"/>
              <w:rPr>
                <w:sz w:val="14"/>
                <w:szCs w:val="14"/>
                <w:color w:val="auto"/>
              </w:rPr>
            </w:pPr>
          </w:p>
        </w:tc>
        <w:tc>
          <w:tcPr>
            <w:tcW w:w="1200" w:type="dxa"/>
            <w:vAlign w:val="bottom"/>
            <w:gridSpan w:val="2"/>
            <w:vMerge w:val="continue"/>
          </w:tcPr>
          <w:p>
            <w:pPr>
              <w:spacing w:after="0"/>
              <w:rPr>
                <w:sz w:val="14"/>
                <w:szCs w:val="14"/>
                <w:color w:val="auto"/>
              </w:rPr>
            </w:pPr>
          </w:p>
        </w:tc>
        <w:tc>
          <w:tcPr>
            <w:tcW w:w="80" w:type="dxa"/>
            <w:vAlign w:val="bottom"/>
          </w:tcPr>
          <w:p>
            <w:pPr>
              <w:spacing w:after="0"/>
              <w:rPr>
                <w:sz w:val="14"/>
                <w:szCs w:val="14"/>
                <w:color w:val="auto"/>
              </w:rPr>
            </w:pPr>
          </w:p>
        </w:tc>
        <w:tc>
          <w:tcPr>
            <w:tcW w:w="1320" w:type="dxa"/>
            <w:vAlign w:val="bottom"/>
            <w:gridSpan w:val="2"/>
            <w:vMerge w:val="continue"/>
          </w:tcPr>
          <w:p>
            <w:pPr>
              <w:spacing w:after="0"/>
              <w:rPr>
                <w:sz w:val="14"/>
                <w:szCs w:val="14"/>
                <w:color w:val="auto"/>
              </w:rPr>
            </w:pPr>
          </w:p>
        </w:tc>
        <w:tc>
          <w:tcPr>
            <w:tcW w:w="260" w:type="dxa"/>
            <w:vAlign w:val="bottom"/>
          </w:tcPr>
          <w:p>
            <w:pPr>
              <w:spacing w:after="0"/>
              <w:rPr>
                <w:sz w:val="14"/>
                <w:szCs w:val="14"/>
                <w:color w:val="auto"/>
              </w:rPr>
            </w:pPr>
          </w:p>
        </w:tc>
        <w:tc>
          <w:tcPr>
            <w:tcW w:w="1140" w:type="dxa"/>
            <w:vAlign w:val="bottom"/>
            <w:gridSpan w:val="2"/>
          </w:tcPr>
          <w:p>
            <w:pPr>
              <w:jc w:val="center"/>
              <w:ind w:right="360"/>
              <w:spacing w:after="0"/>
              <w:rPr>
                <w:sz w:val="20"/>
                <w:szCs w:val="20"/>
                <w:color w:val="auto"/>
              </w:rPr>
            </w:pPr>
            <w:r>
              <w:rPr>
                <w:rFonts w:ascii="Times New Roman" w:cs="Times New Roman" w:eastAsia="Times New Roman" w:hAnsi="Times New Roman"/>
                <w:sz w:val="13"/>
                <w:szCs w:val="13"/>
                <w:b w:val="1"/>
                <w:bCs w:val="1"/>
                <w:color w:val="auto"/>
                <w:w w:val="97"/>
              </w:rPr>
              <w:t>Funds</w:t>
            </w:r>
          </w:p>
        </w:tc>
        <w:tc>
          <w:tcPr>
            <w:tcW w:w="300" w:type="dxa"/>
            <w:vAlign w:val="bottom"/>
          </w:tcPr>
          <w:p>
            <w:pPr>
              <w:spacing w:after="0"/>
              <w:rPr>
                <w:sz w:val="14"/>
                <w:szCs w:val="14"/>
                <w:color w:val="auto"/>
              </w:rPr>
            </w:pPr>
          </w:p>
        </w:tc>
        <w:tc>
          <w:tcPr>
            <w:tcW w:w="1000" w:type="dxa"/>
            <w:vAlign w:val="bottom"/>
            <w:vMerge w:val="continue"/>
          </w:tcPr>
          <w:p>
            <w:pPr>
              <w:spacing w:after="0"/>
              <w:rPr>
                <w:sz w:val="14"/>
                <w:szCs w:val="14"/>
                <w:color w:val="auto"/>
              </w:rPr>
            </w:pPr>
          </w:p>
        </w:tc>
        <w:tc>
          <w:tcPr>
            <w:tcW w:w="0" w:type="dxa"/>
            <w:vAlign w:val="bottom"/>
          </w:tcPr>
          <w:p>
            <w:pPr>
              <w:spacing w:after="0"/>
              <w:rPr>
                <w:sz w:val="1"/>
                <w:szCs w:val="1"/>
                <w:color w:val="auto"/>
              </w:rPr>
            </w:pPr>
          </w:p>
        </w:tc>
      </w:tr>
      <w:tr>
        <w:trPr>
          <w:trHeight w:val="172"/>
        </w:trPr>
        <w:tc>
          <w:tcPr>
            <w:tcW w:w="5760" w:type="dxa"/>
            <w:vAlign w:val="bottom"/>
            <w:tcBorders>
              <w:top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4"/>
                <w:szCs w:val="14"/>
                <w:color w:val="auto"/>
              </w:rPr>
              <w:t>Beginning of period assets*</w:t>
            </w:r>
          </w:p>
        </w:tc>
        <w:tc>
          <w:tcPr>
            <w:tcW w:w="200" w:type="dxa"/>
            <w:vAlign w:val="bottom"/>
            <w:tcBorders>
              <w:top w:val="single" w:sz="8" w:color="auto"/>
            </w:tcBorders>
            <w:shd w:val="clear" w:color="auto" w:fill="CCEEFF"/>
          </w:tcPr>
          <w:p>
            <w:pPr>
              <w:jc w:val="right"/>
              <w:ind w:right="53"/>
              <w:spacing w:after="0"/>
              <w:rPr>
                <w:sz w:val="20"/>
                <w:szCs w:val="20"/>
                <w:color w:val="auto"/>
              </w:rPr>
            </w:pPr>
            <w:r>
              <w:rPr>
                <w:rFonts w:ascii="Times New Roman" w:cs="Times New Roman" w:eastAsia="Times New Roman" w:hAnsi="Times New Roman"/>
                <w:sz w:val="13"/>
                <w:szCs w:val="13"/>
                <w:color w:val="auto"/>
                <w:w w:val="91"/>
              </w:rPr>
              <w:t>$</w:t>
            </w:r>
          </w:p>
        </w:tc>
        <w:tc>
          <w:tcPr>
            <w:tcW w:w="110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6,968</w:t>
            </w:r>
          </w:p>
        </w:tc>
        <w:tc>
          <w:tcPr>
            <w:tcW w:w="100" w:type="dxa"/>
            <w:vAlign w:val="bottom"/>
            <w:tcBorders>
              <w:top w:val="single" w:sz="8" w:color="CCEEFF"/>
            </w:tcBorders>
            <w:shd w:val="clear" w:color="auto" w:fill="CCEEFF"/>
          </w:tcPr>
          <w:p>
            <w:pPr>
              <w:spacing w:after="0"/>
              <w:rPr>
                <w:sz w:val="14"/>
                <w:szCs w:val="14"/>
                <w:color w:val="auto"/>
              </w:rPr>
            </w:pPr>
          </w:p>
        </w:tc>
        <w:tc>
          <w:tcPr>
            <w:tcW w:w="8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w w:val="91"/>
              </w:rPr>
              <w:t>$</w:t>
            </w:r>
          </w:p>
        </w:tc>
        <w:tc>
          <w:tcPr>
            <w:tcW w:w="122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3,666</w:t>
            </w:r>
          </w:p>
        </w:tc>
        <w:tc>
          <w:tcPr>
            <w:tcW w:w="100" w:type="dxa"/>
            <w:vAlign w:val="bottom"/>
            <w:tcBorders>
              <w:top w:val="single" w:sz="8" w:color="CCEEFF"/>
            </w:tcBorders>
            <w:shd w:val="clear" w:color="auto" w:fill="CCEEFF"/>
          </w:tcPr>
          <w:p>
            <w:pPr>
              <w:spacing w:after="0"/>
              <w:rPr>
                <w:sz w:val="14"/>
                <w:szCs w:val="14"/>
                <w:color w:val="auto"/>
              </w:rPr>
            </w:pPr>
          </w:p>
        </w:tc>
        <w:tc>
          <w:tcPr>
            <w:tcW w:w="260" w:type="dxa"/>
            <w:vAlign w:val="bottom"/>
            <w:tcBorders>
              <w:top w:val="single" w:sz="8" w:color="auto"/>
            </w:tcBorders>
            <w:shd w:val="clear" w:color="auto" w:fill="CCEEFF"/>
          </w:tcPr>
          <w:p>
            <w:pPr>
              <w:jc w:val="right"/>
              <w:ind w:right="113"/>
              <w:spacing w:after="0"/>
              <w:rPr>
                <w:sz w:val="20"/>
                <w:szCs w:val="20"/>
                <w:color w:val="auto"/>
              </w:rPr>
            </w:pPr>
            <w:r>
              <w:rPr>
                <w:rFonts w:ascii="Times New Roman" w:cs="Times New Roman" w:eastAsia="Times New Roman" w:hAnsi="Times New Roman"/>
                <w:sz w:val="13"/>
                <w:szCs w:val="13"/>
                <w:color w:val="auto"/>
                <w:w w:val="91"/>
              </w:rPr>
              <w:t>$</w:t>
            </w:r>
          </w:p>
        </w:tc>
        <w:tc>
          <w:tcPr>
            <w:tcW w:w="104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4,145</w:t>
            </w:r>
          </w:p>
        </w:tc>
        <w:tc>
          <w:tcPr>
            <w:tcW w:w="100" w:type="dxa"/>
            <w:vAlign w:val="bottom"/>
            <w:tcBorders>
              <w:top w:val="single" w:sz="8" w:color="CCEEFF"/>
            </w:tcBorders>
            <w:shd w:val="clear" w:color="auto" w:fill="CCEEFF"/>
          </w:tcPr>
          <w:p>
            <w:pPr>
              <w:spacing w:after="0"/>
              <w:rPr>
                <w:sz w:val="14"/>
                <w:szCs w:val="14"/>
                <w:color w:val="auto"/>
              </w:rPr>
            </w:pPr>
          </w:p>
        </w:tc>
        <w:tc>
          <w:tcPr>
            <w:tcW w:w="300" w:type="dxa"/>
            <w:vAlign w:val="bottom"/>
            <w:tcBorders>
              <w:top w:val="single" w:sz="8" w:color="auto"/>
            </w:tcBorders>
            <w:shd w:val="clear" w:color="auto" w:fill="CCEEFF"/>
          </w:tcPr>
          <w:p>
            <w:pPr>
              <w:jc w:val="right"/>
              <w:ind w:right="153"/>
              <w:spacing w:after="0"/>
              <w:rPr>
                <w:sz w:val="20"/>
                <w:szCs w:val="20"/>
                <w:color w:val="auto"/>
              </w:rPr>
            </w:pPr>
            <w:r>
              <w:rPr>
                <w:rFonts w:ascii="Times New Roman" w:cs="Times New Roman" w:eastAsia="Times New Roman" w:hAnsi="Times New Roman"/>
                <w:sz w:val="13"/>
                <w:szCs w:val="13"/>
                <w:color w:val="auto"/>
                <w:w w:val="91"/>
              </w:rPr>
              <w:t>$</w:t>
            </w:r>
          </w:p>
        </w:tc>
        <w:tc>
          <w:tcPr>
            <w:tcW w:w="100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14,779</w:t>
            </w:r>
          </w:p>
        </w:tc>
        <w:tc>
          <w:tcPr>
            <w:tcW w:w="0" w:type="dxa"/>
            <w:vAlign w:val="bottom"/>
          </w:tcPr>
          <w:p>
            <w:pPr>
              <w:spacing w:after="0"/>
              <w:rPr>
                <w:sz w:val="1"/>
                <w:szCs w:val="1"/>
                <w:color w:val="auto"/>
              </w:rPr>
            </w:pPr>
          </w:p>
        </w:tc>
      </w:tr>
      <w:tr>
        <w:trPr>
          <w:trHeight w:val="180"/>
        </w:trPr>
        <w:tc>
          <w:tcPr>
            <w:tcW w:w="5760" w:type="dxa"/>
            <w:vAlign w:val="bottom"/>
          </w:tcPr>
          <w:p>
            <w:pPr>
              <w:ind w:left="20"/>
              <w:spacing w:after="0"/>
              <w:rPr>
                <w:sz w:val="20"/>
                <w:szCs w:val="20"/>
                <w:color w:val="auto"/>
              </w:rPr>
            </w:pPr>
            <w:r>
              <w:rPr>
                <w:rFonts w:ascii="Times New Roman" w:cs="Times New Roman" w:eastAsia="Times New Roman" w:hAnsi="Times New Roman"/>
                <w:sz w:val="14"/>
                <w:szCs w:val="14"/>
                <w:color w:val="auto"/>
              </w:rPr>
              <w:t>Client flows:</w:t>
            </w:r>
          </w:p>
        </w:tc>
        <w:tc>
          <w:tcPr>
            <w:tcW w:w="200" w:type="dxa"/>
            <w:vAlign w:val="bottom"/>
          </w:tcPr>
          <w:p>
            <w:pPr>
              <w:spacing w:after="0"/>
              <w:rPr>
                <w:sz w:val="15"/>
                <w:szCs w:val="15"/>
                <w:color w:val="auto"/>
              </w:rPr>
            </w:pPr>
          </w:p>
        </w:tc>
        <w:tc>
          <w:tcPr>
            <w:tcW w:w="110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122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260" w:type="dxa"/>
            <w:vAlign w:val="bottom"/>
          </w:tcPr>
          <w:p>
            <w:pPr>
              <w:spacing w:after="0"/>
              <w:rPr>
                <w:sz w:val="15"/>
                <w:szCs w:val="15"/>
                <w:color w:val="auto"/>
              </w:rPr>
            </w:pPr>
          </w:p>
        </w:tc>
        <w:tc>
          <w:tcPr>
            <w:tcW w:w="104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300" w:type="dxa"/>
            <w:vAlign w:val="bottom"/>
          </w:tcPr>
          <w:p>
            <w:pPr>
              <w:spacing w:after="0"/>
              <w:rPr>
                <w:sz w:val="15"/>
                <w:szCs w:val="15"/>
                <w:color w:val="auto"/>
              </w:rPr>
            </w:pPr>
          </w:p>
        </w:tc>
        <w:tc>
          <w:tcPr>
            <w:tcW w:w="100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80"/>
        </w:trPr>
        <w:tc>
          <w:tcPr>
            <w:tcW w:w="5760" w:type="dxa"/>
            <w:vAlign w:val="bottom"/>
            <w:shd w:val="clear" w:color="auto" w:fill="CCEEFF"/>
          </w:tcPr>
          <w:p>
            <w:pPr>
              <w:ind w:left="360"/>
              <w:spacing w:after="0"/>
              <w:rPr>
                <w:sz w:val="20"/>
                <w:szCs w:val="20"/>
                <w:color w:val="auto"/>
              </w:rPr>
            </w:pPr>
            <w:r>
              <w:rPr>
                <w:rFonts w:ascii="Times New Roman" w:cs="Times New Roman" w:eastAsia="Times New Roman" w:hAnsi="Times New Roman"/>
                <w:sz w:val="14"/>
                <w:szCs w:val="14"/>
                <w:color w:val="auto"/>
              </w:rPr>
              <w:t>Inflows</w:t>
            </w:r>
          </w:p>
        </w:tc>
        <w:tc>
          <w:tcPr>
            <w:tcW w:w="200" w:type="dxa"/>
            <w:vAlign w:val="bottom"/>
            <w:shd w:val="clear" w:color="auto" w:fill="CCEEFF"/>
          </w:tcPr>
          <w:p>
            <w:pPr>
              <w:spacing w:after="0"/>
              <w:rPr>
                <w:sz w:val="15"/>
                <w:szCs w:val="15"/>
                <w:color w:val="auto"/>
              </w:rPr>
            </w:pPr>
          </w:p>
        </w:tc>
        <w:tc>
          <w:tcPr>
            <w:tcW w:w="11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360</w:t>
            </w:r>
          </w:p>
        </w:tc>
        <w:tc>
          <w:tcPr>
            <w:tcW w:w="100" w:type="dxa"/>
            <w:vAlign w:val="bottom"/>
            <w:shd w:val="clear" w:color="auto" w:fill="CCEEFF"/>
          </w:tcPr>
          <w:p>
            <w:pPr>
              <w:spacing w:after="0"/>
              <w:rPr>
                <w:sz w:val="15"/>
                <w:szCs w:val="15"/>
                <w:color w:val="auto"/>
              </w:rPr>
            </w:pPr>
          </w:p>
        </w:tc>
        <w:tc>
          <w:tcPr>
            <w:tcW w:w="80" w:type="dxa"/>
            <w:vAlign w:val="bottom"/>
            <w:shd w:val="clear" w:color="auto" w:fill="CCEEFF"/>
          </w:tcPr>
          <w:p>
            <w:pPr>
              <w:spacing w:after="0"/>
              <w:rPr>
                <w:sz w:val="15"/>
                <w:szCs w:val="15"/>
                <w:color w:val="auto"/>
              </w:rPr>
            </w:pPr>
          </w:p>
        </w:tc>
        <w:tc>
          <w:tcPr>
            <w:tcW w:w="12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446</w:t>
            </w:r>
          </w:p>
        </w:tc>
        <w:tc>
          <w:tcPr>
            <w:tcW w:w="100" w:type="dxa"/>
            <w:vAlign w:val="bottom"/>
            <w:shd w:val="clear" w:color="auto" w:fill="CCEEFF"/>
          </w:tcPr>
          <w:p>
            <w:pPr>
              <w:spacing w:after="0"/>
              <w:rPr>
                <w:sz w:val="15"/>
                <w:szCs w:val="15"/>
                <w:color w:val="auto"/>
              </w:rPr>
            </w:pPr>
          </w:p>
        </w:tc>
        <w:tc>
          <w:tcPr>
            <w:tcW w:w="260" w:type="dxa"/>
            <w:vAlign w:val="bottom"/>
            <w:shd w:val="clear" w:color="auto" w:fill="CCEEFF"/>
          </w:tcPr>
          <w:p>
            <w:pPr>
              <w:spacing w:after="0"/>
              <w:rPr>
                <w:sz w:val="15"/>
                <w:szCs w:val="15"/>
                <w:color w:val="auto"/>
              </w:rPr>
            </w:pPr>
          </w:p>
        </w:tc>
        <w:tc>
          <w:tcPr>
            <w:tcW w:w="10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814</w:t>
            </w:r>
          </w:p>
        </w:tc>
        <w:tc>
          <w:tcPr>
            <w:tcW w:w="100" w:type="dxa"/>
            <w:vAlign w:val="bottom"/>
            <w:shd w:val="clear" w:color="auto" w:fill="CCEEFF"/>
          </w:tcPr>
          <w:p>
            <w:pPr>
              <w:spacing w:after="0"/>
              <w:rPr>
                <w:sz w:val="15"/>
                <w:szCs w:val="15"/>
                <w:color w:val="auto"/>
              </w:rPr>
            </w:pPr>
          </w:p>
        </w:tc>
        <w:tc>
          <w:tcPr>
            <w:tcW w:w="300" w:type="dxa"/>
            <w:vAlign w:val="bottom"/>
            <w:shd w:val="clear" w:color="auto" w:fill="CCEEFF"/>
          </w:tcPr>
          <w:p>
            <w:pPr>
              <w:spacing w:after="0"/>
              <w:rPr>
                <w:sz w:val="15"/>
                <w:szCs w:val="15"/>
                <w:color w:val="auto"/>
              </w:rPr>
            </w:pPr>
          </w:p>
        </w:tc>
        <w:tc>
          <w:tcPr>
            <w:tcW w:w="10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1,620</w:t>
            </w:r>
          </w:p>
        </w:tc>
        <w:tc>
          <w:tcPr>
            <w:tcW w:w="0" w:type="dxa"/>
            <w:vAlign w:val="bottom"/>
          </w:tcPr>
          <w:p>
            <w:pPr>
              <w:spacing w:after="0"/>
              <w:rPr>
                <w:sz w:val="1"/>
                <w:szCs w:val="1"/>
                <w:color w:val="auto"/>
              </w:rPr>
            </w:pPr>
          </w:p>
        </w:tc>
      </w:tr>
      <w:tr>
        <w:trPr>
          <w:trHeight w:val="180"/>
        </w:trPr>
        <w:tc>
          <w:tcPr>
            <w:tcW w:w="5760" w:type="dxa"/>
            <w:vAlign w:val="bottom"/>
            <w:tcBorders>
              <w:bottom w:val="single" w:sz="8" w:color="CCEEFF"/>
            </w:tcBorders>
          </w:tcPr>
          <w:p>
            <w:pPr>
              <w:ind w:left="360"/>
              <w:spacing w:after="0"/>
              <w:rPr>
                <w:sz w:val="20"/>
                <w:szCs w:val="20"/>
                <w:color w:val="auto"/>
              </w:rPr>
            </w:pPr>
            <w:r>
              <w:rPr>
                <w:rFonts w:ascii="Times New Roman" w:cs="Times New Roman" w:eastAsia="Times New Roman" w:hAnsi="Times New Roman"/>
                <w:sz w:val="14"/>
                <w:szCs w:val="14"/>
                <w:color w:val="auto"/>
              </w:rPr>
              <w:t>Outflows</w:t>
            </w:r>
          </w:p>
        </w:tc>
        <w:tc>
          <w:tcPr>
            <w:tcW w:w="200" w:type="dxa"/>
            <w:vAlign w:val="bottom"/>
            <w:tcBorders>
              <w:bottom w:val="single" w:sz="8" w:color="auto"/>
            </w:tcBorders>
          </w:tcPr>
          <w:p>
            <w:pPr>
              <w:spacing w:after="0"/>
              <w:rPr>
                <w:sz w:val="15"/>
                <w:szCs w:val="15"/>
                <w:color w:val="auto"/>
              </w:rPr>
            </w:pPr>
          </w:p>
        </w:tc>
        <w:tc>
          <w:tcPr>
            <w:tcW w:w="11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3"/>
                <w:szCs w:val="13"/>
                <w:color w:val="auto"/>
              </w:rPr>
              <w:t>(936)</w:t>
            </w:r>
          </w:p>
        </w:tc>
        <w:tc>
          <w:tcPr>
            <w:tcW w:w="100" w:type="dxa"/>
            <w:vAlign w:val="bottom"/>
            <w:tcBorders>
              <w:bottom w:val="single" w:sz="8" w:color="CCEEFF"/>
            </w:tcBorders>
          </w:tcPr>
          <w:p>
            <w:pPr>
              <w:spacing w:after="0"/>
              <w:rPr>
                <w:sz w:val="15"/>
                <w:szCs w:val="15"/>
                <w:color w:val="auto"/>
              </w:rPr>
            </w:pPr>
          </w:p>
        </w:tc>
        <w:tc>
          <w:tcPr>
            <w:tcW w:w="80" w:type="dxa"/>
            <w:vAlign w:val="bottom"/>
            <w:tcBorders>
              <w:bottom w:val="single" w:sz="8" w:color="auto"/>
            </w:tcBorders>
          </w:tcPr>
          <w:p>
            <w:pPr>
              <w:spacing w:after="0"/>
              <w:rPr>
                <w:sz w:val="15"/>
                <w:szCs w:val="15"/>
                <w:color w:val="auto"/>
              </w:rPr>
            </w:pPr>
          </w:p>
        </w:tc>
        <w:tc>
          <w:tcPr>
            <w:tcW w:w="12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3"/>
                <w:szCs w:val="13"/>
                <w:color w:val="auto"/>
              </w:rPr>
              <w:t>(615)</w:t>
            </w:r>
          </w:p>
        </w:tc>
        <w:tc>
          <w:tcPr>
            <w:tcW w:w="100" w:type="dxa"/>
            <w:vAlign w:val="bottom"/>
            <w:tcBorders>
              <w:bottom w:val="single" w:sz="8" w:color="CCEEFF"/>
            </w:tcBorders>
          </w:tcPr>
          <w:p>
            <w:pPr>
              <w:spacing w:after="0"/>
              <w:rPr>
                <w:sz w:val="15"/>
                <w:szCs w:val="15"/>
                <w:color w:val="auto"/>
              </w:rPr>
            </w:pPr>
          </w:p>
        </w:tc>
        <w:tc>
          <w:tcPr>
            <w:tcW w:w="260" w:type="dxa"/>
            <w:vAlign w:val="bottom"/>
            <w:tcBorders>
              <w:bottom w:val="single" w:sz="8" w:color="auto"/>
            </w:tcBorders>
          </w:tcPr>
          <w:p>
            <w:pPr>
              <w:spacing w:after="0"/>
              <w:rPr>
                <w:sz w:val="15"/>
                <w:szCs w:val="15"/>
                <w:color w:val="auto"/>
              </w:rPr>
            </w:pPr>
          </w:p>
        </w:tc>
        <w:tc>
          <w:tcPr>
            <w:tcW w:w="10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3"/>
                <w:szCs w:val="13"/>
                <w:color w:val="auto"/>
              </w:rPr>
              <w:t>(1,347)</w:t>
            </w:r>
          </w:p>
        </w:tc>
        <w:tc>
          <w:tcPr>
            <w:tcW w:w="100" w:type="dxa"/>
            <w:vAlign w:val="bottom"/>
            <w:tcBorders>
              <w:bottom w:val="single" w:sz="8" w:color="CCEEFF"/>
            </w:tcBorders>
          </w:tcPr>
          <w:p>
            <w:pPr>
              <w:spacing w:after="0"/>
              <w:rPr>
                <w:sz w:val="15"/>
                <w:szCs w:val="15"/>
                <w:color w:val="auto"/>
              </w:rPr>
            </w:pPr>
          </w:p>
        </w:tc>
        <w:tc>
          <w:tcPr>
            <w:tcW w:w="300" w:type="dxa"/>
            <w:vAlign w:val="bottom"/>
            <w:tcBorders>
              <w:bottom w:val="single" w:sz="8" w:color="auto"/>
            </w:tcBorders>
          </w:tcPr>
          <w:p>
            <w:pPr>
              <w:spacing w:after="0"/>
              <w:rPr>
                <w:sz w:val="15"/>
                <w:szCs w:val="15"/>
                <w:color w:val="auto"/>
              </w:rPr>
            </w:pPr>
          </w:p>
        </w:tc>
        <w:tc>
          <w:tcPr>
            <w:tcW w:w="10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3"/>
                <w:szCs w:val="13"/>
                <w:color w:val="auto"/>
              </w:rPr>
              <w:t>(2,898)</w:t>
            </w:r>
          </w:p>
        </w:tc>
        <w:tc>
          <w:tcPr>
            <w:tcW w:w="0" w:type="dxa"/>
            <w:vAlign w:val="bottom"/>
          </w:tcPr>
          <w:p>
            <w:pPr>
              <w:spacing w:after="0"/>
              <w:rPr>
                <w:sz w:val="1"/>
                <w:szCs w:val="1"/>
                <w:color w:val="auto"/>
              </w:rPr>
            </w:pPr>
          </w:p>
        </w:tc>
      </w:tr>
      <w:tr>
        <w:trPr>
          <w:trHeight w:val="171"/>
        </w:trPr>
        <w:tc>
          <w:tcPr>
            <w:tcW w:w="576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4"/>
                <w:szCs w:val="14"/>
                <w:color w:val="auto"/>
              </w:rPr>
              <w:t>Net client flows</w:t>
            </w:r>
          </w:p>
        </w:tc>
        <w:tc>
          <w:tcPr>
            <w:tcW w:w="200" w:type="dxa"/>
            <w:vAlign w:val="bottom"/>
            <w:shd w:val="clear" w:color="auto" w:fill="CCEEFF"/>
          </w:tcPr>
          <w:p>
            <w:pPr>
              <w:spacing w:after="0"/>
              <w:rPr>
                <w:sz w:val="14"/>
                <w:szCs w:val="14"/>
                <w:color w:val="auto"/>
              </w:rPr>
            </w:pPr>
          </w:p>
        </w:tc>
        <w:tc>
          <w:tcPr>
            <w:tcW w:w="11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(576)</w:t>
            </w:r>
          </w:p>
        </w:tc>
        <w:tc>
          <w:tcPr>
            <w:tcW w:w="100" w:type="dxa"/>
            <w:vAlign w:val="bottom"/>
            <w:shd w:val="clear" w:color="auto" w:fill="CCEEFF"/>
          </w:tcPr>
          <w:p>
            <w:pPr>
              <w:spacing w:after="0"/>
              <w:rPr>
                <w:sz w:val="14"/>
                <w:szCs w:val="14"/>
                <w:color w:val="auto"/>
              </w:rPr>
            </w:pPr>
          </w:p>
        </w:tc>
        <w:tc>
          <w:tcPr>
            <w:tcW w:w="80" w:type="dxa"/>
            <w:vAlign w:val="bottom"/>
            <w:shd w:val="clear" w:color="auto" w:fill="CCEEFF"/>
          </w:tcPr>
          <w:p>
            <w:pPr>
              <w:spacing w:after="0"/>
              <w:rPr>
                <w:sz w:val="14"/>
                <w:szCs w:val="14"/>
                <w:color w:val="auto"/>
              </w:rPr>
            </w:pPr>
          </w:p>
        </w:tc>
        <w:tc>
          <w:tcPr>
            <w:tcW w:w="12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(169)</w:t>
            </w:r>
          </w:p>
        </w:tc>
        <w:tc>
          <w:tcPr>
            <w:tcW w:w="100" w:type="dxa"/>
            <w:vAlign w:val="bottom"/>
            <w:shd w:val="clear" w:color="auto" w:fill="CCEEFF"/>
          </w:tcPr>
          <w:p>
            <w:pPr>
              <w:spacing w:after="0"/>
              <w:rPr>
                <w:sz w:val="14"/>
                <w:szCs w:val="14"/>
                <w:color w:val="auto"/>
              </w:rPr>
            </w:pPr>
          </w:p>
        </w:tc>
        <w:tc>
          <w:tcPr>
            <w:tcW w:w="260" w:type="dxa"/>
            <w:vAlign w:val="bottom"/>
            <w:shd w:val="clear" w:color="auto" w:fill="CCEEFF"/>
          </w:tcPr>
          <w:p>
            <w:pPr>
              <w:spacing w:after="0"/>
              <w:rPr>
                <w:sz w:val="14"/>
                <w:szCs w:val="14"/>
                <w:color w:val="auto"/>
              </w:rPr>
            </w:pPr>
          </w:p>
        </w:tc>
        <w:tc>
          <w:tcPr>
            <w:tcW w:w="10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(533)</w:t>
            </w:r>
          </w:p>
        </w:tc>
        <w:tc>
          <w:tcPr>
            <w:tcW w:w="100" w:type="dxa"/>
            <w:vAlign w:val="bottom"/>
            <w:shd w:val="clear" w:color="auto" w:fill="CCEEFF"/>
          </w:tcPr>
          <w:p>
            <w:pPr>
              <w:spacing w:after="0"/>
              <w:rPr>
                <w:sz w:val="14"/>
                <w:szCs w:val="14"/>
                <w:color w:val="auto"/>
              </w:rPr>
            </w:pPr>
          </w:p>
        </w:tc>
        <w:tc>
          <w:tcPr>
            <w:tcW w:w="300" w:type="dxa"/>
            <w:vAlign w:val="bottom"/>
            <w:shd w:val="clear" w:color="auto" w:fill="CCEEFF"/>
          </w:tcPr>
          <w:p>
            <w:pPr>
              <w:spacing w:after="0"/>
              <w:rPr>
                <w:sz w:val="14"/>
                <w:szCs w:val="14"/>
                <w:color w:val="auto"/>
              </w:rPr>
            </w:pPr>
          </w:p>
        </w:tc>
        <w:tc>
          <w:tcPr>
            <w:tcW w:w="10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(1,278)</w:t>
            </w:r>
          </w:p>
        </w:tc>
        <w:tc>
          <w:tcPr>
            <w:tcW w:w="0" w:type="dxa"/>
            <w:vAlign w:val="bottom"/>
          </w:tcPr>
          <w:p>
            <w:pPr>
              <w:spacing w:after="0"/>
              <w:rPr>
                <w:sz w:val="1"/>
                <w:szCs w:val="1"/>
                <w:color w:val="auto"/>
              </w:rPr>
            </w:pPr>
          </w:p>
        </w:tc>
      </w:tr>
      <w:tr>
        <w:trPr>
          <w:trHeight w:val="180"/>
        </w:trPr>
        <w:tc>
          <w:tcPr>
            <w:tcW w:w="5760" w:type="dxa"/>
            <w:vAlign w:val="bottom"/>
            <w:tcBorders>
              <w:bottom w:val="single" w:sz="8" w:color="CCEEFF"/>
            </w:tcBorders>
          </w:tcPr>
          <w:p>
            <w:pPr>
              <w:ind w:left="20"/>
              <w:spacing w:after="0"/>
              <w:rPr>
                <w:sz w:val="20"/>
                <w:szCs w:val="20"/>
                <w:color w:val="auto"/>
              </w:rPr>
            </w:pPr>
            <w:r>
              <w:rPr>
                <w:rFonts w:ascii="Times New Roman" w:cs="Times New Roman" w:eastAsia="Times New Roman" w:hAnsi="Times New Roman"/>
                <w:sz w:val="14"/>
                <w:szCs w:val="14"/>
                <w:color w:val="auto"/>
              </w:rPr>
              <w:t>Market appreciation (depreciation)</w:t>
            </w:r>
          </w:p>
        </w:tc>
        <w:tc>
          <w:tcPr>
            <w:tcW w:w="200" w:type="dxa"/>
            <w:vAlign w:val="bottom"/>
            <w:tcBorders>
              <w:bottom w:val="single" w:sz="8" w:color="auto"/>
            </w:tcBorders>
          </w:tcPr>
          <w:p>
            <w:pPr>
              <w:spacing w:after="0"/>
              <w:rPr>
                <w:sz w:val="15"/>
                <w:szCs w:val="15"/>
                <w:color w:val="auto"/>
              </w:rPr>
            </w:pPr>
          </w:p>
        </w:tc>
        <w:tc>
          <w:tcPr>
            <w:tcW w:w="11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3"/>
                <w:szCs w:val="13"/>
                <w:color w:val="auto"/>
              </w:rPr>
              <w:t>823</w:t>
            </w:r>
          </w:p>
        </w:tc>
        <w:tc>
          <w:tcPr>
            <w:tcW w:w="100" w:type="dxa"/>
            <w:vAlign w:val="bottom"/>
            <w:tcBorders>
              <w:bottom w:val="single" w:sz="8" w:color="CCEEFF"/>
            </w:tcBorders>
          </w:tcPr>
          <w:p>
            <w:pPr>
              <w:spacing w:after="0"/>
              <w:rPr>
                <w:sz w:val="15"/>
                <w:szCs w:val="15"/>
                <w:color w:val="auto"/>
              </w:rPr>
            </w:pPr>
          </w:p>
        </w:tc>
        <w:tc>
          <w:tcPr>
            <w:tcW w:w="80" w:type="dxa"/>
            <w:vAlign w:val="bottom"/>
            <w:tcBorders>
              <w:bottom w:val="single" w:sz="8" w:color="auto"/>
            </w:tcBorders>
          </w:tcPr>
          <w:p>
            <w:pPr>
              <w:spacing w:after="0"/>
              <w:rPr>
                <w:sz w:val="15"/>
                <w:szCs w:val="15"/>
                <w:color w:val="auto"/>
              </w:rPr>
            </w:pPr>
          </w:p>
        </w:tc>
        <w:tc>
          <w:tcPr>
            <w:tcW w:w="12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3"/>
                <w:szCs w:val="13"/>
                <w:color w:val="auto"/>
              </w:rPr>
              <w:t>643</w:t>
            </w:r>
          </w:p>
        </w:tc>
        <w:tc>
          <w:tcPr>
            <w:tcW w:w="100" w:type="dxa"/>
            <w:vAlign w:val="bottom"/>
            <w:tcBorders>
              <w:bottom w:val="single" w:sz="8" w:color="CCEEFF"/>
            </w:tcBorders>
          </w:tcPr>
          <w:p>
            <w:pPr>
              <w:spacing w:after="0"/>
              <w:rPr>
                <w:sz w:val="15"/>
                <w:szCs w:val="15"/>
                <w:color w:val="auto"/>
              </w:rPr>
            </w:pPr>
          </w:p>
        </w:tc>
        <w:tc>
          <w:tcPr>
            <w:tcW w:w="260" w:type="dxa"/>
            <w:vAlign w:val="bottom"/>
            <w:tcBorders>
              <w:bottom w:val="single" w:sz="8" w:color="auto"/>
            </w:tcBorders>
          </w:tcPr>
          <w:p>
            <w:pPr>
              <w:spacing w:after="0"/>
              <w:rPr>
                <w:sz w:val="15"/>
                <w:szCs w:val="15"/>
                <w:color w:val="auto"/>
              </w:rPr>
            </w:pPr>
          </w:p>
        </w:tc>
        <w:tc>
          <w:tcPr>
            <w:tcW w:w="10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3"/>
                <w:szCs w:val="13"/>
                <w:color w:val="auto"/>
              </w:rPr>
              <w:t>492</w:t>
            </w:r>
          </w:p>
        </w:tc>
        <w:tc>
          <w:tcPr>
            <w:tcW w:w="100" w:type="dxa"/>
            <w:vAlign w:val="bottom"/>
            <w:tcBorders>
              <w:bottom w:val="single" w:sz="8" w:color="CCEEFF"/>
            </w:tcBorders>
          </w:tcPr>
          <w:p>
            <w:pPr>
              <w:spacing w:after="0"/>
              <w:rPr>
                <w:sz w:val="15"/>
                <w:szCs w:val="15"/>
                <w:color w:val="auto"/>
              </w:rPr>
            </w:pPr>
          </w:p>
        </w:tc>
        <w:tc>
          <w:tcPr>
            <w:tcW w:w="300" w:type="dxa"/>
            <w:vAlign w:val="bottom"/>
            <w:tcBorders>
              <w:bottom w:val="single" w:sz="8" w:color="auto"/>
            </w:tcBorders>
          </w:tcPr>
          <w:p>
            <w:pPr>
              <w:spacing w:after="0"/>
              <w:rPr>
                <w:sz w:val="15"/>
                <w:szCs w:val="15"/>
                <w:color w:val="auto"/>
              </w:rPr>
            </w:pPr>
          </w:p>
        </w:tc>
        <w:tc>
          <w:tcPr>
            <w:tcW w:w="10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3"/>
                <w:szCs w:val="13"/>
                <w:color w:val="auto"/>
              </w:rPr>
              <w:t>1,958</w:t>
            </w:r>
          </w:p>
        </w:tc>
        <w:tc>
          <w:tcPr>
            <w:tcW w:w="0" w:type="dxa"/>
            <w:vAlign w:val="bottom"/>
          </w:tcPr>
          <w:p>
            <w:pPr>
              <w:spacing w:after="0"/>
              <w:rPr>
                <w:sz w:val="1"/>
                <w:szCs w:val="1"/>
                <w:color w:val="auto"/>
              </w:rPr>
            </w:pPr>
          </w:p>
        </w:tc>
      </w:tr>
      <w:tr>
        <w:trPr>
          <w:trHeight w:val="171"/>
        </w:trPr>
        <w:tc>
          <w:tcPr>
            <w:tcW w:w="576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4"/>
                <w:szCs w:val="14"/>
                <w:color w:val="auto"/>
              </w:rPr>
              <w:t>Net change</w:t>
            </w:r>
          </w:p>
        </w:tc>
        <w:tc>
          <w:tcPr>
            <w:tcW w:w="200" w:type="dxa"/>
            <w:vAlign w:val="bottom"/>
            <w:tcBorders>
              <w:bottom w:val="single" w:sz="8" w:color="auto"/>
            </w:tcBorders>
            <w:shd w:val="clear" w:color="auto" w:fill="CCEEFF"/>
          </w:tcPr>
          <w:p>
            <w:pPr>
              <w:spacing w:after="0"/>
              <w:rPr>
                <w:sz w:val="14"/>
                <w:szCs w:val="14"/>
                <w:color w:val="auto"/>
              </w:rPr>
            </w:pPr>
          </w:p>
        </w:tc>
        <w:tc>
          <w:tcPr>
            <w:tcW w:w="11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247</w:t>
            </w:r>
          </w:p>
        </w:tc>
        <w:tc>
          <w:tcPr>
            <w:tcW w:w="100" w:type="dxa"/>
            <w:vAlign w:val="bottom"/>
            <w:shd w:val="clear" w:color="auto" w:fill="CCEEFF"/>
          </w:tcPr>
          <w:p>
            <w:pPr>
              <w:spacing w:after="0"/>
              <w:rPr>
                <w:sz w:val="14"/>
                <w:szCs w:val="14"/>
                <w:color w:val="auto"/>
              </w:rPr>
            </w:pPr>
          </w:p>
        </w:tc>
        <w:tc>
          <w:tcPr>
            <w:tcW w:w="80" w:type="dxa"/>
            <w:vAlign w:val="bottom"/>
            <w:tcBorders>
              <w:bottom w:val="single" w:sz="8" w:color="auto"/>
            </w:tcBorders>
            <w:shd w:val="clear" w:color="auto" w:fill="CCEEFF"/>
          </w:tcPr>
          <w:p>
            <w:pPr>
              <w:spacing w:after="0"/>
              <w:rPr>
                <w:sz w:val="14"/>
                <w:szCs w:val="14"/>
                <w:color w:val="auto"/>
              </w:rPr>
            </w:pPr>
          </w:p>
        </w:tc>
        <w:tc>
          <w:tcPr>
            <w:tcW w:w="12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474</w:t>
            </w:r>
          </w:p>
        </w:tc>
        <w:tc>
          <w:tcPr>
            <w:tcW w:w="100" w:type="dxa"/>
            <w:vAlign w:val="bottom"/>
            <w:shd w:val="clear" w:color="auto" w:fill="CCEEFF"/>
          </w:tcPr>
          <w:p>
            <w:pPr>
              <w:spacing w:after="0"/>
              <w:rPr>
                <w:sz w:val="14"/>
                <w:szCs w:val="14"/>
                <w:color w:val="auto"/>
              </w:rPr>
            </w:pPr>
          </w:p>
        </w:tc>
        <w:tc>
          <w:tcPr>
            <w:tcW w:w="260" w:type="dxa"/>
            <w:vAlign w:val="bottom"/>
            <w:tcBorders>
              <w:bottom w:val="single" w:sz="8" w:color="auto"/>
            </w:tcBorders>
            <w:shd w:val="clear" w:color="auto" w:fill="CCEEFF"/>
          </w:tcPr>
          <w:p>
            <w:pPr>
              <w:spacing w:after="0"/>
              <w:rPr>
                <w:sz w:val="14"/>
                <w:szCs w:val="14"/>
                <w:color w:val="auto"/>
              </w:rPr>
            </w:pPr>
          </w:p>
        </w:tc>
        <w:tc>
          <w:tcPr>
            <w:tcW w:w="10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(41)</w:t>
            </w:r>
          </w:p>
        </w:tc>
        <w:tc>
          <w:tcPr>
            <w:tcW w:w="100" w:type="dxa"/>
            <w:vAlign w:val="bottom"/>
            <w:shd w:val="clear" w:color="auto" w:fill="CCEEFF"/>
          </w:tcPr>
          <w:p>
            <w:pPr>
              <w:spacing w:after="0"/>
              <w:rPr>
                <w:sz w:val="14"/>
                <w:szCs w:val="14"/>
                <w:color w:val="auto"/>
              </w:rPr>
            </w:pPr>
          </w:p>
        </w:tc>
        <w:tc>
          <w:tcPr>
            <w:tcW w:w="300" w:type="dxa"/>
            <w:vAlign w:val="bottom"/>
            <w:tcBorders>
              <w:bottom w:val="single" w:sz="8" w:color="auto"/>
            </w:tcBorders>
            <w:shd w:val="clear" w:color="auto" w:fill="CCEEFF"/>
          </w:tcPr>
          <w:p>
            <w:pPr>
              <w:spacing w:after="0"/>
              <w:rPr>
                <w:sz w:val="14"/>
                <w:szCs w:val="14"/>
                <w:color w:val="auto"/>
              </w:rPr>
            </w:pPr>
          </w:p>
        </w:tc>
        <w:tc>
          <w:tcPr>
            <w:tcW w:w="10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680</w:t>
            </w:r>
          </w:p>
        </w:tc>
        <w:tc>
          <w:tcPr>
            <w:tcW w:w="0" w:type="dxa"/>
            <w:vAlign w:val="bottom"/>
          </w:tcPr>
          <w:p>
            <w:pPr>
              <w:spacing w:after="0"/>
              <w:rPr>
                <w:sz w:val="1"/>
                <w:szCs w:val="1"/>
                <w:color w:val="auto"/>
              </w:rPr>
            </w:pPr>
          </w:p>
        </w:tc>
      </w:tr>
      <w:tr>
        <w:trPr>
          <w:trHeight w:val="171"/>
        </w:trPr>
        <w:tc>
          <w:tcPr>
            <w:tcW w:w="5760" w:type="dxa"/>
            <w:vAlign w:val="bottom"/>
          </w:tcPr>
          <w:p>
            <w:pPr>
              <w:ind w:left="20"/>
              <w:spacing w:after="0"/>
              <w:rPr>
                <w:sz w:val="20"/>
                <w:szCs w:val="20"/>
                <w:color w:val="auto"/>
              </w:rPr>
            </w:pPr>
            <w:r>
              <w:rPr>
                <w:rFonts w:ascii="Times New Roman" w:cs="Times New Roman" w:eastAsia="Times New Roman" w:hAnsi="Times New Roman"/>
                <w:sz w:val="14"/>
                <w:szCs w:val="14"/>
                <w:color w:val="auto"/>
              </w:rPr>
              <w:t>End of period assets</w:t>
            </w:r>
          </w:p>
        </w:tc>
        <w:tc>
          <w:tcPr>
            <w:tcW w:w="200" w:type="dxa"/>
            <w:vAlign w:val="bottom"/>
            <w:tcBorders>
              <w:bottom w:val="single" w:sz="8" w:color="auto"/>
            </w:tcBorders>
          </w:tcPr>
          <w:p>
            <w:pPr>
              <w:jc w:val="right"/>
              <w:ind w:right="53"/>
              <w:spacing w:after="0"/>
              <w:rPr>
                <w:sz w:val="20"/>
                <w:szCs w:val="20"/>
                <w:color w:val="auto"/>
              </w:rPr>
            </w:pPr>
            <w:r>
              <w:rPr>
                <w:rFonts w:ascii="Times New Roman" w:cs="Times New Roman" w:eastAsia="Times New Roman" w:hAnsi="Times New Roman"/>
                <w:sz w:val="13"/>
                <w:szCs w:val="13"/>
                <w:color w:val="auto"/>
                <w:w w:val="91"/>
              </w:rPr>
              <w:t>$</w:t>
            </w:r>
          </w:p>
        </w:tc>
        <w:tc>
          <w:tcPr>
            <w:tcW w:w="11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3"/>
                <w:szCs w:val="13"/>
                <w:color w:val="auto"/>
              </w:rPr>
              <w:t>7,215</w:t>
            </w:r>
          </w:p>
        </w:tc>
        <w:tc>
          <w:tcPr>
            <w:tcW w:w="100" w:type="dxa"/>
            <w:vAlign w:val="bottom"/>
          </w:tcPr>
          <w:p>
            <w:pPr>
              <w:spacing w:after="0"/>
              <w:rPr>
                <w:sz w:val="14"/>
                <w:szCs w:val="14"/>
                <w:color w:val="auto"/>
              </w:rPr>
            </w:pPr>
          </w:p>
        </w:tc>
        <w:tc>
          <w:tcPr>
            <w:tcW w:w="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3"/>
                <w:szCs w:val="13"/>
                <w:color w:val="auto"/>
                <w:w w:val="91"/>
              </w:rPr>
              <w:t>$</w:t>
            </w:r>
          </w:p>
        </w:tc>
        <w:tc>
          <w:tcPr>
            <w:tcW w:w="12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3"/>
                <w:szCs w:val="13"/>
                <w:color w:val="auto"/>
              </w:rPr>
              <w:t>4,140</w:t>
            </w:r>
          </w:p>
        </w:tc>
        <w:tc>
          <w:tcPr>
            <w:tcW w:w="100" w:type="dxa"/>
            <w:vAlign w:val="bottom"/>
          </w:tcPr>
          <w:p>
            <w:pPr>
              <w:spacing w:after="0"/>
              <w:rPr>
                <w:sz w:val="14"/>
                <w:szCs w:val="14"/>
                <w:color w:val="auto"/>
              </w:rPr>
            </w:pPr>
          </w:p>
        </w:tc>
        <w:tc>
          <w:tcPr>
            <w:tcW w:w="260" w:type="dxa"/>
            <w:vAlign w:val="bottom"/>
            <w:tcBorders>
              <w:bottom w:val="single" w:sz="8" w:color="auto"/>
            </w:tcBorders>
          </w:tcPr>
          <w:p>
            <w:pPr>
              <w:jc w:val="right"/>
              <w:ind w:right="113"/>
              <w:spacing w:after="0"/>
              <w:rPr>
                <w:sz w:val="20"/>
                <w:szCs w:val="20"/>
                <w:color w:val="auto"/>
              </w:rPr>
            </w:pPr>
            <w:r>
              <w:rPr>
                <w:rFonts w:ascii="Times New Roman" w:cs="Times New Roman" w:eastAsia="Times New Roman" w:hAnsi="Times New Roman"/>
                <w:sz w:val="13"/>
                <w:szCs w:val="13"/>
                <w:color w:val="auto"/>
                <w:w w:val="91"/>
              </w:rPr>
              <w:t>$</w:t>
            </w:r>
          </w:p>
        </w:tc>
        <w:tc>
          <w:tcPr>
            <w:tcW w:w="10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3"/>
                <w:szCs w:val="13"/>
                <w:color w:val="auto"/>
              </w:rPr>
              <w:t>4,104</w:t>
            </w:r>
          </w:p>
        </w:tc>
        <w:tc>
          <w:tcPr>
            <w:tcW w:w="100" w:type="dxa"/>
            <w:vAlign w:val="bottom"/>
          </w:tcPr>
          <w:p>
            <w:pPr>
              <w:spacing w:after="0"/>
              <w:rPr>
                <w:sz w:val="14"/>
                <w:szCs w:val="14"/>
                <w:color w:val="auto"/>
              </w:rPr>
            </w:pPr>
          </w:p>
        </w:tc>
        <w:tc>
          <w:tcPr>
            <w:tcW w:w="300" w:type="dxa"/>
            <w:vAlign w:val="bottom"/>
            <w:tcBorders>
              <w:bottom w:val="single" w:sz="8" w:color="auto"/>
            </w:tcBorders>
          </w:tcPr>
          <w:p>
            <w:pPr>
              <w:jc w:val="right"/>
              <w:ind w:right="153"/>
              <w:spacing w:after="0"/>
              <w:rPr>
                <w:sz w:val="20"/>
                <w:szCs w:val="20"/>
                <w:color w:val="auto"/>
              </w:rPr>
            </w:pPr>
            <w:r>
              <w:rPr>
                <w:rFonts w:ascii="Times New Roman" w:cs="Times New Roman" w:eastAsia="Times New Roman" w:hAnsi="Times New Roman"/>
                <w:sz w:val="13"/>
                <w:szCs w:val="13"/>
                <w:color w:val="auto"/>
                <w:w w:val="91"/>
              </w:rPr>
              <w:t>$</w:t>
            </w:r>
          </w:p>
        </w:tc>
        <w:tc>
          <w:tcPr>
            <w:tcW w:w="10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3"/>
                <w:szCs w:val="13"/>
                <w:color w:val="auto"/>
              </w:rPr>
              <w:t>15,459</w:t>
            </w:r>
          </w:p>
        </w:tc>
        <w:tc>
          <w:tcPr>
            <w:tcW w:w="0" w:type="dxa"/>
            <w:vAlign w:val="bottom"/>
          </w:tcPr>
          <w:p>
            <w:pPr>
              <w:spacing w:after="0"/>
              <w:rPr>
                <w:sz w:val="1"/>
                <w:szCs w:val="1"/>
                <w:color w:val="auto"/>
              </w:rPr>
            </w:pPr>
          </w:p>
        </w:tc>
      </w:tr>
      <w:tr>
        <w:trPr>
          <w:trHeight w:val="20"/>
        </w:trPr>
        <w:tc>
          <w:tcPr>
            <w:tcW w:w="5760" w:type="dxa"/>
            <w:vAlign w:val="bottom"/>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110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80" w:type="dxa"/>
            <w:vAlign w:val="bottom"/>
            <w:tcBorders>
              <w:bottom w:val="single" w:sz="8" w:color="auto"/>
            </w:tcBorders>
          </w:tcPr>
          <w:p>
            <w:pPr>
              <w:spacing w:after="0" w:line="20" w:lineRule="exact"/>
              <w:rPr>
                <w:sz w:val="1"/>
                <w:szCs w:val="1"/>
                <w:color w:val="auto"/>
              </w:rPr>
            </w:pPr>
          </w:p>
        </w:tc>
        <w:tc>
          <w:tcPr>
            <w:tcW w:w="122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c>
          <w:tcPr>
            <w:tcW w:w="104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00" w:type="dxa"/>
            <w:vAlign w:val="bottom"/>
            <w:tcBorders>
              <w:bottom w:val="single" w:sz="8" w:color="auto"/>
            </w:tcBorders>
          </w:tcPr>
          <w:p>
            <w:pPr>
              <w:spacing w:after="0" w:line="20" w:lineRule="exact"/>
              <w:rPr>
                <w:sz w:val="1"/>
                <w:szCs w:val="1"/>
                <w:color w:val="auto"/>
              </w:rPr>
            </w:pPr>
          </w:p>
        </w:tc>
        <w:tc>
          <w:tcPr>
            <w:tcW w:w="100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138" w:lineRule="exact"/>
        <w:rPr>
          <w:sz w:val="20"/>
          <w:szCs w:val="20"/>
          <w:color w:val="auto"/>
        </w:rPr>
      </w:pPr>
    </w:p>
    <w:p>
      <w:pPr>
        <w:ind w:left="40"/>
        <w:spacing w:after="0"/>
        <w:rPr>
          <w:sz w:val="20"/>
          <w:szCs w:val="20"/>
          <w:color w:val="auto"/>
        </w:rPr>
      </w:pPr>
      <w:r>
        <w:rPr>
          <w:rFonts w:ascii="Times New Roman" w:cs="Times New Roman" w:eastAsia="Times New Roman" w:hAnsi="Times New Roman"/>
          <w:sz w:val="13"/>
          <w:szCs w:val="13"/>
          <w:color w:val="auto"/>
        </w:rPr>
        <w:t>* Certain assets under management acquired from Salient were reclassified from Mutual Funds to Institutional as of December 31, 2022 to be consistent with the classification of existing assets.</w:t>
      </w:r>
    </w:p>
    <w:p>
      <w:pPr>
        <w:spacing w:after="0" w:line="133" w:lineRule="exact"/>
        <w:rPr>
          <w:sz w:val="20"/>
          <w:szCs w:val="20"/>
          <w:color w:val="auto"/>
        </w:rPr>
      </w:pPr>
    </w:p>
    <w:p>
      <w:pPr>
        <w:ind w:right="240" w:firstLine="382"/>
        <w:spacing w:after="0" w:line="287" w:lineRule="auto"/>
        <w:rPr>
          <w:sz w:val="20"/>
          <w:szCs w:val="20"/>
          <w:color w:val="auto"/>
        </w:rPr>
      </w:pPr>
      <w:r>
        <w:rPr>
          <w:rFonts w:ascii="Times New Roman" w:cs="Times New Roman" w:eastAsia="Times New Roman" w:hAnsi="Times New Roman"/>
          <w:sz w:val="14"/>
          <w:szCs w:val="14"/>
          <w:color w:val="auto"/>
        </w:rPr>
        <w:t>The increase in AUM for the year ended December 31, 2023 was due to market appreciation of $2.0 billion offset by net outflows of $1.3 billion. Net outflows were primarily related to our Income Opportunity, MLP &amp; Energy Infrastructure, LargeCap Value and SmallCap Value strategies.</w:t>
      </w:r>
    </w:p>
    <w:p>
      <w:pPr>
        <w:spacing w:after="0" w:line="80" w:lineRule="exact"/>
        <w:rPr>
          <w:sz w:val="20"/>
          <w:szCs w:val="20"/>
          <w:color w:val="auto"/>
        </w:rPr>
      </w:pPr>
    </w:p>
    <w:p>
      <w:pPr>
        <w:ind w:left="380"/>
        <w:spacing w:after="0"/>
        <w:rPr>
          <w:sz w:val="20"/>
          <w:szCs w:val="20"/>
          <w:color w:val="auto"/>
        </w:rPr>
      </w:pPr>
      <w:r>
        <w:rPr>
          <w:rFonts w:ascii="Times New Roman" w:cs="Times New Roman" w:eastAsia="Times New Roman" w:hAnsi="Times New Roman"/>
          <w:sz w:val="14"/>
          <w:szCs w:val="14"/>
          <w:b w:val="1"/>
          <w:bCs w:val="1"/>
          <w:color w:val="auto"/>
        </w:rPr>
        <w:t>Roll-Forward of Assets Under Advisement</w:t>
      </w:r>
    </w:p>
    <w:p>
      <w:pPr>
        <w:spacing w:after="0" w:line="129" w:lineRule="exact"/>
        <w:rPr>
          <w:sz w:val="20"/>
          <w:szCs w:val="20"/>
          <w:color w:val="auto"/>
        </w:rPr>
      </w:pPr>
    </w:p>
    <w:tbl>
      <w:tblPr>
        <w:tblLayout w:type="fixed"/>
        <w:tblInd w:w="0" w:type="dxa"/>
        <w:tblCellMar>
          <w:top w:w="0" w:type="dxa"/>
          <w:left w:w="0" w:type="dxa"/>
          <w:bottom w:w="0" w:type="dxa"/>
          <w:right w:w="0" w:type="dxa"/>
        </w:tblCellMar>
      </w:tblPr>
      <w:tr>
        <w:trPr>
          <w:trHeight w:val="167"/>
        </w:trPr>
        <w:tc>
          <w:tcPr>
            <w:tcW w:w="7200" w:type="dxa"/>
            <w:vAlign w:val="bottom"/>
          </w:tcPr>
          <w:p>
            <w:pPr>
              <w:spacing w:after="0"/>
              <w:rPr>
                <w:sz w:val="14"/>
                <w:szCs w:val="14"/>
                <w:color w:val="auto"/>
              </w:rPr>
            </w:pPr>
          </w:p>
        </w:tc>
        <w:tc>
          <w:tcPr>
            <w:tcW w:w="300" w:type="dxa"/>
            <w:vAlign w:val="bottom"/>
            <w:tcBorders>
              <w:bottom w:val="single" w:sz="8" w:color="auto"/>
            </w:tcBorders>
          </w:tcPr>
          <w:p>
            <w:pPr>
              <w:spacing w:after="0"/>
              <w:rPr>
                <w:sz w:val="14"/>
                <w:szCs w:val="14"/>
                <w:color w:val="auto"/>
              </w:rPr>
            </w:pPr>
          </w:p>
        </w:tc>
        <w:tc>
          <w:tcPr>
            <w:tcW w:w="1000" w:type="dxa"/>
            <w:vAlign w:val="bottom"/>
            <w:tcBorders>
              <w:bottom w:val="single" w:sz="8" w:color="auto"/>
            </w:tcBorders>
          </w:tcPr>
          <w:p>
            <w:pPr>
              <w:spacing w:after="0"/>
              <w:rPr>
                <w:sz w:val="14"/>
                <w:szCs w:val="14"/>
                <w:color w:val="auto"/>
              </w:rPr>
            </w:pPr>
          </w:p>
        </w:tc>
        <w:tc>
          <w:tcPr>
            <w:tcW w:w="1480" w:type="dxa"/>
            <w:vAlign w:val="bottom"/>
            <w:tcBorders>
              <w:bottom w:val="single" w:sz="8" w:color="auto"/>
            </w:tcBorders>
            <w:gridSpan w:val="4"/>
          </w:tcPr>
          <w:p>
            <w:pPr>
              <w:spacing w:after="0"/>
              <w:rPr>
                <w:sz w:val="20"/>
                <w:szCs w:val="20"/>
                <w:color w:val="auto"/>
              </w:rPr>
            </w:pPr>
            <w:r>
              <w:rPr>
                <w:rFonts w:ascii="Times New Roman" w:cs="Times New Roman" w:eastAsia="Times New Roman" w:hAnsi="Times New Roman"/>
                <w:sz w:val="13"/>
                <w:szCs w:val="13"/>
                <w:b w:val="1"/>
                <w:bCs w:val="1"/>
                <w:color w:val="auto"/>
                <w:w w:val="96"/>
              </w:rPr>
              <w:t>Years Ended December 31,</w:t>
            </w:r>
          </w:p>
        </w:tc>
        <w:tc>
          <w:tcPr>
            <w:tcW w:w="300" w:type="dxa"/>
            <w:vAlign w:val="bottom"/>
            <w:tcBorders>
              <w:bottom w:val="single" w:sz="8" w:color="auto"/>
            </w:tcBorders>
          </w:tcPr>
          <w:p>
            <w:pPr>
              <w:spacing w:after="0"/>
              <w:rPr>
                <w:sz w:val="14"/>
                <w:szCs w:val="14"/>
                <w:color w:val="auto"/>
              </w:rPr>
            </w:pPr>
          </w:p>
        </w:tc>
        <w:tc>
          <w:tcPr>
            <w:tcW w:w="1000" w:type="dxa"/>
            <w:vAlign w:val="bottom"/>
            <w:tcBorders>
              <w:bottom w:val="single" w:sz="8" w:color="auto"/>
            </w:tcBorders>
          </w:tcPr>
          <w:p>
            <w:pPr>
              <w:spacing w:after="0"/>
              <w:rPr>
                <w:sz w:val="14"/>
                <w:szCs w:val="14"/>
                <w:color w:val="auto"/>
              </w:rPr>
            </w:pPr>
          </w:p>
        </w:tc>
      </w:tr>
      <w:tr>
        <w:trPr>
          <w:trHeight w:val="164"/>
        </w:trPr>
        <w:tc>
          <w:tcPr>
            <w:tcW w:w="7200" w:type="dxa"/>
            <w:vAlign w:val="bottom"/>
            <w:tcBorders>
              <w:bottom w:val="single" w:sz="8" w:color="CCEEFF"/>
            </w:tcBorders>
          </w:tcPr>
          <w:p>
            <w:pPr>
              <w:ind w:left="20"/>
              <w:spacing w:after="0"/>
              <w:rPr>
                <w:sz w:val="20"/>
                <w:szCs w:val="20"/>
                <w:color w:val="auto"/>
              </w:rPr>
            </w:pPr>
            <w:r>
              <w:rPr>
                <w:rFonts w:ascii="Times New Roman" w:cs="Times New Roman" w:eastAsia="Times New Roman" w:hAnsi="Times New Roman"/>
                <w:sz w:val="13"/>
                <w:szCs w:val="13"/>
                <w:b w:val="1"/>
                <w:bCs w:val="1"/>
                <w:color w:val="auto"/>
              </w:rPr>
              <w:t>AUA (in millions)</w:t>
            </w:r>
          </w:p>
        </w:tc>
        <w:tc>
          <w:tcPr>
            <w:tcW w:w="300" w:type="dxa"/>
            <w:vAlign w:val="bottom"/>
            <w:tcBorders>
              <w:bottom w:val="single" w:sz="8" w:color="auto"/>
            </w:tcBorders>
          </w:tcPr>
          <w:p>
            <w:pPr>
              <w:spacing w:after="0"/>
              <w:rPr>
                <w:sz w:val="14"/>
                <w:szCs w:val="14"/>
                <w:color w:val="auto"/>
              </w:rPr>
            </w:pPr>
          </w:p>
        </w:tc>
        <w:tc>
          <w:tcPr>
            <w:tcW w:w="1000" w:type="dxa"/>
            <w:vAlign w:val="bottom"/>
            <w:tcBorders>
              <w:bottom w:val="single" w:sz="8" w:color="auto"/>
            </w:tcBorders>
          </w:tcPr>
          <w:p>
            <w:pPr>
              <w:jc w:val="right"/>
              <w:ind w:right="456"/>
              <w:spacing w:after="0"/>
              <w:rPr>
                <w:sz w:val="20"/>
                <w:szCs w:val="20"/>
                <w:color w:val="auto"/>
              </w:rPr>
            </w:pPr>
            <w:r>
              <w:rPr>
                <w:rFonts w:ascii="Times New Roman" w:cs="Times New Roman" w:eastAsia="Times New Roman" w:hAnsi="Times New Roman"/>
                <w:sz w:val="13"/>
                <w:szCs w:val="13"/>
                <w:b w:val="1"/>
                <w:bCs w:val="1"/>
                <w:color w:val="auto"/>
              </w:rPr>
              <w:t>2025</w:t>
            </w:r>
          </w:p>
        </w:tc>
        <w:tc>
          <w:tcPr>
            <w:tcW w:w="80" w:type="dxa"/>
            <w:vAlign w:val="bottom"/>
            <w:tcBorders>
              <w:bottom w:val="single" w:sz="8" w:color="CCEEFF"/>
            </w:tcBorders>
          </w:tcPr>
          <w:p>
            <w:pPr>
              <w:spacing w:after="0"/>
              <w:rPr>
                <w:sz w:val="14"/>
                <w:szCs w:val="14"/>
                <w:color w:val="auto"/>
              </w:rPr>
            </w:pPr>
          </w:p>
        </w:tc>
        <w:tc>
          <w:tcPr>
            <w:tcW w:w="300" w:type="dxa"/>
            <w:vAlign w:val="bottom"/>
            <w:tcBorders>
              <w:bottom w:val="single" w:sz="8" w:color="auto"/>
            </w:tcBorders>
          </w:tcPr>
          <w:p>
            <w:pPr>
              <w:spacing w:after="0"/>
              <w:rPr>
                <w:sz w:val="14"/>
                <w:szCs w:val="14"/>
                <w:color w:val="auto"/>
              </w:rPr>
            </w:pPr>
          </w:p>
        </w:tc>
        <w:tc>
          <w:tcPr>
            <w:tcW w:w="1020" w:type="dxa"/>
            <w:vAlign w:val="bottom"/>
            <w:tcBorders>
              <w:bottom w:val="single" w:sz="8" w:color="auto"/>
            </w:tcBorders>
          </w:tcPr>
          <w:p>
            <w:pPr>
              <w:jc w:val="right"/>
              <w:ind w:right="476"/>
              <w:spacing w:after="0"/>
              <w:rPr>
                <w:sz w:val="20"/>
                <w:szCs w:val="20"/>
                <w:color w:val="auto"/>
              </w:rPr>
            </w:pPr>
            <w:r>
              <w:rPr>
                <w:rFonts w:ascii="Times New Roman" w:cs="Times New Roman" w:eastAsia="Times New Roman" w:hAnsi="Times New Roman"/>
                <w:sz w:val="13"/>
                <w:szCs w:val="13"/>
                <w:b w:val="1"/>
                <w:bCs w:val="1"/>
                <w:color w:val="auto"/>
              </w:rPr>
              <w:t>2024</w:t>
            </w:r>
          </w:p>
        </w:tc>
        <w:tc>
          <w:tcPr>
            <w:tcW w:w="80" w:type="dxa"/>
            <w:vAlign w:val="bottom"/>
            <w:tcBorders>
              <w:bottom w:val="single" w:sz="8" w:color="CCEEFF"/>
            </w:tcBorders>
          </w:tcPr>
          <w:p>
            <w:pPr>
              <w:spacing w:after="0"/>
              <w:rPr>
                <w:sz w:val="14"/>
                <w:szCs w:val="14"/>
                <w:color w:val="auto"/>
              </w:rPr>
            </w:pPr>
          </w:p>
        </w:tc>
        <w:tc>
          <w:tcPr>
            <w:tcW w:w="300" w:type="dxa"/>
            <w:vAlign w:val="bottom"/>
            <w:tcBorders>
              <w:bottom w:val="single" w:sz="8" w:color="auto"/>
            </w:tcBorders>
          </w:tcPr>
          <w:p>
            <w:pPr>
              <w:spacing w:after="0"/>
              <w:rPr>
                <w:sz w:val="14"/>
                <w:szCs w:val="14"/>
                <w:color w:val="auto"/>
              </w:rPr>
            </w:pPr>
          </w:p>
        </w:tc>
        <w:tc>
          <w:tcPr>
            <w:tcW w:w="1000" w:type="dxa"/>
            <w:vAlign w:val="bottom"/>
            <w:tcBorders>
              <w:bottom w:val="single" w:sz="8" w:color="auto"/>
            </w:tcBorders>
          </w:tcPr>
          <w:p>
            <w:pPr>
              <w:jc w:val="right"/>
              <w:ind w:right="456"/>
              <w:spacing w:after="0"/>
              <w:rPr>
                <w:sz w:val="20"/>
                <w:szCs w:val="20"/>
                <w:color w:val="auto"/>
              </w:rPr>
            </w:pPr>
            <w:r>
              <w:rPr>
                <w:rFonts w:ascii="Times New Roman" w:cs="Times New Roman" w:eastAsia="Times New Roman" w:hAnsi="Times New Roman"/>
                <w:sz w:val="13"/>
                <w:szCs w:val="13"/>
                <w:b w:val="1"/>
                <w:bCs w:val="1"/>
                <w:color w:val="auto"/>
              </w:rPr>
              <w:t>2023</w:t>
            </w:r>
          </w:p>
        </w:tc>
      </w:tr>
      <w:tr>
        <w:trPr>
          <w:trHeight w:val="162"/>
        </w:trPr>
        <w:tc>
          <w:tcPr>
            <w:tcW w:w="720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3"/>
                <w:szCs w:val="13"/>
                <w:color w:val="auto"/>
              </w:rPr>
              <w:t>Beginning of period assets</w:t>
            </w:r>
          </w:p>
        </w:tc>
        <w:tc>
          <w:tcPr>
            <w:tcW w:w="300" w:type="dxa"/>
            <w:vAlign w:val="bottom"/>
            <w:shd w:val="clear" w:color="auto" w:fill="CCEEFF"/>
          </w:tcPr>
          <w:p>
            <w:pPr>
              <w:jc w:val="right"/>
              <w:ind w:right="156"/>
              <w:spacing w:after="0"/>
              <w:rPr>
                <w:sz w:val="20"/>
                <w:szCs w:val="20"/>
                <w:color w:val="auto"/>
              </w:rPr>
            </w:pPr>
            <w:r>
              <w:rPr>
                <w:rFonts w:ascii="Times New Roman" w:cs="Times New Roman" w:eastAsia="Times New Roman" w:hAnsi="Times New Roman"/>
                <w:sz w:val="13"/>
                <w:szCs w:val="13"/>
                <w:color w:val="auto"/>
                <w:w w:val="91"/>
              </w:rPr>
              <w:t>$</w:t>
            </w:r>
          </w:p>
        </w:tc>
        <w:tc>
          <w:tcPr>
            <w:tcW w:w="10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960</w:t>
            </w:r>
          </w:p>
        </w:tc>
        <w:tc>
          <w:tcPr>
            <w:tcW w:w="80" w:type="dxa"/>
            <w:vAlign w:val="bottom"/>
            <w:shd w:val="clear" w:color="auto" w:fill="CCEEFF"/>
          </w:tcPr>
          <w:p>
            <w:pPr>
              <w:spacing w:after="0"/>
              <w:rPr>
                <w:sz w:val="14"/>
                <w:szCs w:val="14"/>
                <w:color w:val="auto"/>
              </w:rPr>
            </w:pPr>
          </w:p>
        </w:tc>
        <w:tc>
          <w:tcPr>
            <w:tcW w:w="300" w:type="dxa"/>
            <w:vAlign w:val="bottom"/>
            <w:shd w:val="clear" w:color="auto" w:fill="CCEEFF"/>
          </w:tcPr>
          <w:p>
            <w:pPr>
              <w:jc w:val="right"/>
              <w:ind w:right="156"/>
              <w:spacing w:after="0"/>
              <w:rPr>
                <w:sz w:val="20"/>
                <w:szCs w:val="20"/>
                <w:color w:val="auto"/>
              </w:rPr>
            </w:pPr>
            <w:r>
              <w:rPr>
                <w:rFonts w:ascii="Times New Roman" w:cs="Times New Roman" w:eastAsia="Times New Roman" w:hAnsi="Times New Roman"/>
                <w:sz w:val="13"/>
                <w:szCs w:val="13"/>
                <w:color w:val="auto"/>
                <w:w w:val="91"/>
              </w:rPr>
              <w:t>$</w:t>
            </w:r>
          </w:p>
        </w:tc>
        <w:tc>
          <w:tcPr>
            <w:tcW w:w="10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1,079</w:t>
            </w:r>
          </w:p>
        </w:tc>
        <w:tc>
          <w:tcPr>
            <w:tcW w:w="80" w:type="dxa"/>
            <w:vAlign w:val="bottom"/>
            <w:shd w:val="clear" w:color="auto" w:fill="CCEEFF"/>
          </w:tcPr>
          <w:p>
            <w:pPr>
              <w:spacing w:after="0"/>
              <w:rPr>
                <w:sz w:val="14"/>
                <w:szCs w:val="14"/>
                <w:color w:val="auto"/>
              </w:rPr>
            </w:pPr>
          </w:p>
        </w:tc>
        <w:tc>
          <w:tcPr>
            <w:tcW w:w="300" w:type="dxa"/>
            <w:vAlign w:val="bottom"/>
            <w:shd w:val="clear" w:color="auto" w:fill="CCEEFF"/>
          </w:tcPr>
          <w:p>
            <w:pPr>
              <w:jc w:val="right"/>
              <w:ind w:right="156"/>
              <w:spacing w:after="0"/>
              <w:rPr>
                <w:sz w:val="20"/>
                <w:szCs w:val="20"/>
                <w:color w:val="auto"/>
              </w:rPr>
            </w:pPr>
            <w:r>
              <w:rPr>
                <w:rFonts w:ascii="Times New Roman" w:cs="Times New Roman" w:eastAsia="Times New Roman" w:hAnsi="Times New Roman"/>
                <w:sz w:val="13"/>
                <w:szCs w:val="13"/>
                <w:color w:val="auto"/>
                <w:w w:val="91"/>
              </w:rPr>
              <w:t>$</w:t>
            </w:r>
          </w:p>
        </w:tc>
        <w:tc>
          <w:tcPr>
            <w:tcW w:w="10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1,255</w:t>
            </w:r>
          </w:p>
        </w:tc>
      </w:tr>
      <w:tr>
        <w:trPr>
          <w:trHeight w:val="168"/>
        </w:trPr>
        <w:tc>
          <w:tcPr>
            <w:tcW w:w="7200" w:type="dxa"/>
            <w:vAlign w:val="bottom"/>
          </w:tcPr>
          <w:p>
            <w:pPr>
              <w:ind w:left="280"/>
              <w:spacing w:after="0"/>
              <w:rPr>
                <w:sz w:val="20"/>
                <w:szCs w:val="20"/>
                <w:color w:val="auto"/>
              </w:rPr>
            </w:pPr>
            <w:r>
              <w:rPr>
                <w:rFonts w:ascii="Times New Roman" w:cs="Times New Roman" w:eastAsia="Times New Roman" w:hAnsi="Times New Roman"/>
                <w:sz w:val="13"/>
                <w:szCs w:val="13"/>
                <w:color w:val="auto"/>
              </w:rPr>
              <w:t>Inflows</w:t>
            </w:r>
          </w:p>
        </w:tc>
        <w:tc>
          <w:tcPr>
            <w:tcW w:w="300" w:type="dxa"/>
            <w:vAlign w:val="bottom"/>
          </w:tcPr>
          <w:p>
            <w:pPr>
              <w:spacing w:after="0"/>
              <w:rPr>
                <w:sz w:val="14"/>
                <w:szCs w:val="14"/>
                <w:color w:val="auto"/>
              </w:rPr>
            </w:pPr>
          </w:p>
        </w:tc>
        <w:tc>
          <w:tcPr>
            <w:tcW w:w="100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139</w:t>
            </w:r>
          </w:p>
        </w:tc>
        <w:tc>
          <w:tcPr>
            <w:tcW w:w="80" w:type="dxa"/>
            <w:vAlign w:val="bottom"/>
          </w:tcPr>
          <w:p>
            <w:pPr>
              <w:spacing w:after="0"/>
              <w:rPr>
                <w:sz w:val="14"/>
                <w:szCs w:val="14"/>
                <w:color w:val="auto"/>
              </w:rPr>
            </w:pPr>
          </w:p>
        </w:tc>
        <w:tc>
          <w:tcPr>
            <w:tcW w:w="300" w:type="dxa"/>
            <w:vAlign w:val="bottom"/>
          </w:tcPr>
          <w:p>
            <w:pPr>
              <w:spacing w:after="0"/>
              <w:rPr>
                <w:sz w:val="14"/>
                <w:szCs w:val="14"/>
                <w:color w:val="auto"/>
              </w:rPr>
            </w:pPr>
          </w:p>
        </w:tc>
        <w:tc>
          <w:tcPr>
            <w:tcW w:w="102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105</w:t>
            </w:r>
          </w:p>
        </w:tc>
        <w:tc>
          <w:tcPr>
            <w:tcW w:w="80" w:type="dxa"/>
            <w:vAlign w:val="bottom"/>
          </w:tcPr>
          <w:p>
            <w:pPr>
              <w:spacing w:after="0"/>
              <w:rPr>
                <w:sz w:val="14"/>
                <w:szCs w:val="14"/>
                <w:color w:val="auto"/>
              </w:rPr>
            </w:pPr>
          </w:p>
        </w:tc>
        <w:tc>
          <w:tcPr>
            <w:tcW w:w="300" w:type="dxa"/>
            <w:vAlign w:val="bottom"/>
          </w:tcPr>
          <w:p>
            <w:pPr>
              <w:spacing w:after="0"/>
              <w:rPr>
                <w:sz w:val="14"/>
                <w:szCs w:val="14"/>
                <w:color w:val="auto"/>
              </w:rPr>
            </w:pPr>
          </w:p>
        </w:tc>
        <w:tc>
          <w:tcPr>
            <w:tcW w:w="100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160</w:t>
            </w:r>
          </w:p>
        </w:tc>
      </w:tr>
      <w:tr>
        <w:trPr>
          <w:trHeight w:val="172"/>
        </w:trPr>
        <w:tc>
          <w:tcPr>
            <w:tcW w:w="7200" w:type="dxa"/>
            <w:vAlign w:val="bottom"/>
            <w:shd w:val="clear" w:color="auto" w:fill="CCEEFF"/>
          </w:tcPr>
          <w:p>
            <w:pPr>
              <w:ind w:left="280"/>
              <w:spacing w:after="0"/>
              <w:rPr>
                <w:sz w:val="20"/>
                <w:szCs w:val="20"/>
                <w:color w:val="auto"/>
              </w:rPr>
            </w:pPr>
            <w:r>
              <w:rPr>
                <w:rFonts w:ascii="Times New Roman" w:cs="Times New Roman" w:eastAsia="Times New Roman" w:hAnsi="Times New Roman"/>
                <w:sz w:val="13"/>
                <w:szCs w:val="13"/>
                <w:color w:val="auto"/>
              </w:rPr>
              <w:t>Outflows</w:t>
            </w:r>
          </w:p>
        </w:tc>
        <w:tc>
          <w:tcPr>
            <w:tcW w:w="300" w:type="dxa"/>
            <w:vAlign w:val="bottom"/>
            <w:tcBorders>
              <w:bottom w:val="single" w:sz="8" w:color="auto"/>
            </w:tcBorders>
            <w:shd w:val="clear" w:color="auto" w:fill="CCEEFF"/>
          </w:tcPr>
          <w:p>
            <w:pPr>
              <w:spacing w:after="0"/>
              <w:rPr>
                <w:sz w:val="14"/>
                <w:szCs w:val="14"/>
                <w:color w:val="auto"/>
              </w:rPr>
            </w:pPr>
          </w:p>
        </w:tc>
        <w:tc>
          <w:tcPr>
            <w:tcW w:w="10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(157)</w:t>
            </w:r>
          </w:p>
        </w:tc>
        <w:tc>
          <w:tcPr>
            <w:tcW w:w="80" w:type="dxa"/>
            <w:vAlign w:val="bottom"/>
            <w:shd w:val="clear" w:color="auto" w:fill="CCEEFF"/>
          </w:tcPr>
          <w:p>
            <w:pPr>
              <w:spacing w:after="0"/>
              <w:rPr>
                <w:sz w:val="14"/>
                <w:szCs w:val="14"/>
                <w:color w:val="auto"/>
              </w:rPr>
            </w:pPr>
          </w:p>
        </w:tc>
        <w:tc>
          <w:tcPr>
            <w:tcW w:w="300" w:type="dxa"/>
            <w:vAlign w:val="bottom"/>
            <w:tcBorders>
              <w:bottom w:val="single" w:sz="8" w:color="auto"/>
            </w:tcBorders>
            <w:shd w:val="clear" w:color="auto" w:fill="CCEEFF"/>
          </w:tcPr>
          <w:p>
            <w:pPr>
              <w:spacing w:after="0"/>
              <w:rPr>
                <w:sz w:val="14"/>
                <w:szCs w:val="14"/>
                <w:color w:val="auto"/>
              </w:rPr>
            </w:pPr>
          </w:p>
        </w:tc>
        <w:tc>
          <w:tcPr>
            <w:tcW w:w="10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(316)</w:t>
            </w:r>
          </w:p>
        </w:tc>
        <w:tc>
          <w:tcPr>
            <w:tcW w:w="80" w:type="dxa"/>
            <w:vAlign w:val="bottom"/>
            <w:shd w:val="clear" w:color="auto" w:fill="CCEEFF"/>
          </w:tcPr>
          <w:p>
            <w:pPr>
              <w:spacing w:after="0"/>
              <w:rPr>
                <w:sz w:val="14"/>
                <w:szCs w:val="14"/>
                <w:color w:val="auto"/>
              </w:rPr>
            </w:pPr>
          </w:p>
        </w:tc>
        <w:tc>
          <w:tcPr>
            <w:tcW w:w="300" w:type="dxa"/>
            <w:vAlign w:val="bottom"/>
            <w:tcBorders>
              <w:bottom w:val="single" w:sz="8" w:color="auto"/>
            </w:tcBorders>
            <w:shd w:val="clear" w:color="auto" w:fill="CCEEFF"/>
          </w:tcPr>
          <w:p>
            <w:pPr>
              <w:spacing w:after="0"/>
              <w:rPr>
                <w:sz w:val="14"/>
                <w:szCs w:val="14"/>
                <w:color w:val="auto"/>
              </w:rPr>
            </w:pPr>
          </w:p>
        </w:tc>
        <w:tc>
          <w:tcPr>
            <w:tcW w:w="10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(400)</w:t>
            </w:r>
          </w:p>
        </w:tc>
      </w:tr>
      <w:tr>
        <w:trPr>
          <w:trHeight w:val="158"/>
        </w:trPr>
        <w:tc>
          <w:tcPr>
            <w:tcW w:w="7200" w:type="dxa"/>
            <w:vAlign w:val="bottom"/>
          </w:tcPr>
          <w:p>
            <w:pPr>
              <w:ind w:left="20"/>
              <w:spacing w:after="0"/>
              <w:rPr>
                <w:sz w:val="20"/>
                <w:szCs w:val="20"/>
                <w:color w:val="auto"/>
              </w:rPr>
            </w:pPr>
            <w:r>
              <w:rPr>
                <w:rFonts w:ascii="Times New Roman" w:cs="Times New Roman" w:eastAsia="Times New Roman" w:hAnsi="Times New Roman"/>
                <w:sz w:val="13"/>
                <w:szCs w:val="13"/>
                <w:color w:val="auto"/>
              </w:rPr>
              <w:t>Net client flows</w:t>
            </w:r>
          </w:p>
        </w:tc>
        <w:tc>
          <w:tcPr>
            <w:tcW w:w="300" w:type="dxa"/>
            <w:vAlign w:val="bottom"/>
          </w:tcPr>
          <w:p>
            <w:pPr>
              <w:spacing w:after="0"/>
              <w:rPr>
                <w:sz w:val="13"/>
                <w:szCs w:val="13"/>
                <w:color w:val="auto"/>
              </w:rPr>
            </w:pPr>
          </w:p>
        </w:tc>
        <w:tc>
          <w:tcPr>
            <w:tcW w:w="100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(18)</w:t>
            </w:r>
          </w:p>
        </w:tc>
        <w:tc>
          <w:tcPr>
            <w:tcW w:w="80" w:type="dxa"/>
            <w:vAlign w:val="bottom"/>
          </w:tcPr>
          <w:p>
            <w:pPr>
              <w:spacing w:after="0"/>
              <w:rPr>
                <w:sz w:val="13"/>
                <w:szCs w:val="13"/>
                <w:color w:val="auto"/>
              </w:rPr>
            </w:pPr>
          </w:p>
        </w:tc>
        <w:tc>
          <w:tcPr>
            <w:tcW w:w="300" w:type="dxa"/>
            <w:vAlign w:val="bottom"/>
          </w:tcPr>
          <w:p>
            <w:pPr>
              <w:spacing w:after="0"/>
              <w:rPr>
                <w:sz w:val="13"/>
                <w:szCs w:val="13"/>
                <w:color w:val="auto"/>
              </w:rPr>
            </w:pPr>
          </w:p>
        </w:tc>
        <w:tc>
          <w:tcPr>
            <w:tcW w:w="102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(211)</w:t>
            </w:r>
          </w:p>
        </w:tc>
        <w:tc>
          <w:tcPr>
            <w:tcW w:w="80" w:type="dxa"/>
            <w:vAlign w:val="bottom"/>
          </w:tcPr>
          <w:p>
            <w:pPr>
              <w:spacing w:after="0"/>
              <w:rPr>
                <w:sz w:val="13"/>
                <w:szCs w:val="13"/>
                <w:color w:val="auto"/>
              </w:rPr>
            </w:pPr>
          </w:p>
        </w:tc>
        <w:tc>
          <w:tcPr>
            <w:tcW w:w="300" w:type="dxa"/>
            <w:vAlign w:val="bottom"/>
          </w:tcPr>
          <w:p>
            <w:pPr>
              <w:spacing w:after="0"/>
              <w:rPr>
                <w:sz w:val="13"/>
                <w:szCs w:val="13"/>
                <w:color w:val="auto"/>
              </w:rPr>
            </w:pPr>
          </w:p>
        </w:tc>
        <w:tc>
          <w:tcPr>
            <w:tcW w:w="100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(240)</w:t>
            </w:r>
          </w:p>
        </w:tc>
      </w:tr>
      <w:tr>
        <w:trPr>
          <w:trHeight w:val="172"/>
        </w:trPr>
        <w:tc>
          <w:tcPr>
            <w:tcW w:w="7200" w:type="dxa"/>
            <w:vAlign w:val="bottom"/>
            <w:shd w:val="clear" w:color="auto" w:fill="CCEEFF"/>
          </w:tcPr>
          <w:p>
            <w:pPr>
              <w:ind w:left="280"/>
              <w:spacing w:after="0"/>
              <w:rPr>
                <w:sz w:val="20"/>
                <w:szCs w:val="20"/>
                <w:color w:val="auto"/>
              </w:rPr>
            </w:pPr>
            <w:r>
              <w:rPr>
                <w:rFonts w:ascii="Times New Roman" w:cs="Times New Roman" w:eastAsia="Times New Roman" w:hAnsi="Times New Roman"/>
                <w:sz w:val="13"/>
                <w:szCs w:val="13"/>
                <w:color w:val="auto"/>
              </w:rPr>
              <w:t>Market appreciation (depreciation)</w:t>
            </w:r>
          </w:p>
        </w:tc>
        <w:tc>
          <w:tcPr>
            <w:tcW w:w="300" w:type="dxa"/>
            <w:vAlign w:val="bottom"/>
            <w:tcBorders>
              <w:bottom w:val="single" w:sz="8" w:color="auto"/>
            </w:tcBorders>
            <w:shd w:val="clear" w:color="auto" w:fill="CCEEFF"/>
          </w:tcPr>
          <w:p>
            <w:pPr>
              <w:spacing w:after="0"/>
              <w:rPr>
                <w:sz w:val="14"/>
                <w:szCs w:val="14"/>
                <w:color w:val="auto"/>
              </w:rPr>
            </w:pPr>
          </w:p>
        </w:tc>
        <w:tc>
          <w:tcPr>
            <w:tcW w:w="10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w:t>
            </w:r>
          </w:p>
        </w:tc>
        <w:tc>
          <w:tcPr>
            <w:tcW w:w="80" w:type="dxa"/>
            <w:vAlign w:val="bottom"/>
            <w:shd w:val="clear" w:color="auto" w:fill="CCEEFF"/>
          </w:tcPr>
          <w:p>
            <w:pPr>
              <w:spacing w:after="0"/>
              <w:rPr>
                <w:sz w:val="14"/>
                <w:szCs w:val="14"/>
                <w:color w:val="auto"/>
              </w:rPr>
            </w:pPr>
          </w:p>
        </w:tc>
        <w:tc>
          <w:tcPr>
            <w:tcW w:w="300" w:type="dxa"/>
            <w:vAlign w:val="bottom"/>
            <w:tcBorders>
              <w:bottom w:val="single" w:sz="8" w:color="auto"/>
            </w:tcBorders>
            <w:shd w:val="clear" w:color="auto" w:fill="CCEEFF"/>
          </w:tcPr>
          <w:p>
            <w:pPr>
              <w:spacing w:after="0"/>
              <w:rPr>
                <w:sz w:val="14"/>
                <w:szCs w:val="14"/>
                <w:color w:val="auto"/>
              </w:rPr>
            </w:pPr>
          </w:p>
        </w:tc>
        <w:tc>
          <w:tcPr>
            <w:tcW w:w="10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92</w:t>
            </w:r>
          </w:p>
        </w:tc>
        <w:tc>
          <w:tcPr>
            <w:tcW w:w="80" w:type="dxa"/>
            <w:vAlign w:val="bottom"/>
            <w:shd w:val="clear" w:color="auto" w:fill="CCEEFF"/>
          </w:tcPr>
          <w:p>
            <w:pPr>
              <w:spacing w:after="0"/>
              <w:rPr>
                <w:sz w:val="14"/>
                <w:szCs w:val="14"/>
                <w:color w:val="auto"/>
              </w:rPr>
            </w:pPr>
          </w:p>
        </w:tc>
        <w:tc>
          <w:tcPr>
            <w:tcW w:w="300" w:type="dxa"/>
            <w:vAlign w:val="bottom"/>
            <w:tcBorders>
              <w:bottom w:val="single" w:sz="8" w:color="auto"/>
            </w:tcBorders>
            <w:shd w:val="clear" w:color="auto" w:fill="CCEEFF"/>
          </w:tcPr>
          <w:p>
            <w:pPr>
              <w:spacing w:after="0"/>
              <w:rPr>
                <w:sz w:val="14"/>
                <w:szCs w:val="14"/>
                <w:color w:val="auto"/>
              </w:rPr>
            </w:pPr>
          </w:p>
        </w:tc>
        <w:tc>
          <w:tcPr>
            <w:tcW w:w="10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64</w:t>
            </w:r>
          </w:p>
        </w:tc>
      </w:tr>
      <w:tr>
        <w:trPr>
          <w:trHeight w:val="158"/>
        </w:trPr>
        <w:tc>
          <w:tcPr>
            <w:tcW w:w="7200" w:type="dxa"/>
            <w:vAlign w:val="bottom"/>
            <w:tcBorders>
              <w:bottom w:val="single" w:sz="8" w:color="CCEEFF"/>
            </w:tcBorders>
          </w:tcPr>
          <w:p>
            <w:pPr>
              <w:ind w:left="20"/>
              <w:spacing w:after="0"/>
              <w:rPr>
                <w:sz w:val="20"/>
                <w:szCs w:val="20"/>
                <w:color w:val="auto"/>
              </w:rPr>
            </w:pPr>
            <w:r>
              <w:rPr>
                <w:rFonts w:ascii="Times New Roman" w:cs="Times New Roman" w:eastAsia="Times New Roman" w:hAnsi="Times New Roman"/>
                <w:sz w:val="13"/>
                <w:szCs w:val="13"/>
                <w:color w:val="auto"/>
              </w:rPr>
              <w:t>Net change</w:t>
            </w:r>
          </w:p>
        </w:tc>
        <w:tc>
          <w:tcPr>
            <w:tcW w:w="300" w:type="dxa"/>
            <w:vAlign w:val="bottom"/>
            <w:tcBorders>
              <w:bottom w:val="single" w:sz="8" w:color="auto"/>
            </w:tcBorders>
          </w:tcPr>
          <w:p>
            <w:pPr>
              <w:spacing w:after="0"/>
              <w:rPr>
                <w:sz w:val="13"/>
                <w:szCs w:val="13"/>
                <w:color w:val="auto"/>
              </w:rPr>
            </w:pPr>
          </w:p>
        </w:tc>
        <w:tc>
          <w:tcPr>
            <w:tcW w:w="10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3"/>
                <w:szCs w:val="13"/>
                <w:color w:val="auto"/>
              </w:rPr>
              <w:t>(18)</w:t>
            </w:r>
          </w:p>
        </w:tc>
        <w:tc>
          <w:tcPr>
            <w:tcW w:w="80" w:type="dxa"/>
            <w:vAlign w:val="bottom"/>
            <w:tcBorders>
              <w:bottom w:val="single" w:sz="8" w:color="CCEEFF"/>
            </w:tcBorders>
          </w:tcPr>
          <w:p>
            <w:pPr>
              <w:spacing w:after="0"/>
              <w:rPr>
                <w:sz w:val="13"/>
                <w:szCs w:val="13"/>
                <w:color w:val="auto"/>
              </w:rPr>
            </w:pPr>
          </w:p>
        </w:tc>
        <w:tc>
          <w:tcPr>
            <w:tcW w:w="300" w:type="dxa"/>
            <w:vAlign w:val="bottom"/>
            <w:tcBorders>
              <w:bottom w:val="single" w:sz="8" w:color="auto"/>
            </w:tcBorders>
          </w:tcPr>
          <w:p>
            <w:pPr>
              <w:spacing w:after="0"/>
              <w:rPr>
                <w:sz w:val="13"/>
                <w:szCs w:val="13"/>
                <w:color w:val="auto"/>
              </w:rPr>
            </w:pPr>
          </w:p>
        </w:tc>
        <w:tc>
          <w:tcPr>
            <w:tcW w:w="10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3"/>
                <w:szCs w:val="13"/>
                <w:color w:val="auto"/>
              </w:rPr>
              <w:t>(119)</w:t>
            </w:r>
          </w:p>
        </w:tc>
        <w:tc>
          <w:tcPr>
            <w:tcW w:w="80" w:type="dxa"/>
            <w:vAlign w:val="bottom"/>
            <w:tcBorders>
              <w:bottom w:val="single" w:sz="8" w:color="CCEEFF"/>
            </w:tcBorders>
          </w:tcPr>
          <w:p>
            <w:pPr>
              <w:spacing w:after="0"/>
              <w:rPr>
                <w:sz w:val="13"/>
                <w:szCs w:val="13"/>
                <w:color w:val="auto"/>
              </w:rPr>
            </w:pPr>
          </w:p>
        </w:tc>
        <w:tc>
          <w:tcPr>
            <w:tcW w:w="300" w:type="dxa"/>
            <w:vAlign w:val="bottom"/>
            <w:tcBorders>
              <w:bottom w:val="single" w:sz="8" w:color="auto"/>
            </w:tcBorders>
          </w:tcPr>
          <w:p>
            <w:pPr>
              <w:spacing w:after="0"/>
              <w:rPr>
                <w:sz w:val="13"/>
                <w:szCs w:val="13"/>
                <w:color w:val="auto"/>
              </w:rPr>
            </w:pPr>
          </w:p>
        </w:tc>
        <w:tc>
          <w:tcPr>
            <w:tcW w:w="10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3"/>
                <w:szCs w:val="13"/>
                <w:color w:val="auto"/>
              </w:rPr>
              <w:t>(176)</w:t>
            </w:r>
          </w:p>
        </w:tc>
      </w:tr>
      <w:tr>
        <w:trPr>
          <w:trHeight w:val="188"/>
        </w:trPr>
        <w:tc>
          <w:tcPr>
            <w:tcW w:w="720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3"/>
                <w:szCs w:val="13"/>
                <w:color w:val="auto"/>
              </w:rPr>
              <w:t>End of period assets</w:t>
            </w:r>
          </w:p>
        </w:tc>
        <w:tc>
          <w:tcPr>
            <w:tcW w:w="300" w:type="dxa"/>
            <w:vAlign w:val="bottom"/>
            <w:tcBorders>
              <w:bottom w:val="single" w:sz="8" w:color="auto"/>
            </w:tcBorders>
            <w:shd w:val="clear" w:color="auto" w:fill="CCEEFF"/>
          </w:tcPr>
          <w:p>
            <w:pPr>
              <w:jc w:val="right"/>
              <w:ind w:right="156"/>
              <w:spacing w:after="0"/>
              <w:rPr>
                <w:sz w:val="20"/>
                <w:szCs w:val="20"/>
                <w:color w:val="auto"/>
              </w:rPr>
            </w:pPr>
            <w:r>
              <w:rPr>
                <w:rFonts w:ascii="Times New Roman" w:cs="Times New Roman" w:eastAsia="Times New Roman" w:hAnsi="Times New Roman"/>
                <w:sz w:val="13"/>
                <w:szCs w:val="13"/>
                <w:color w:val="auto"/>
                <w:w w:val="91"/>
              </w:rPr>
              <w:t>$</w:t>
            </w:r>
          </w:p>
        </w:tc>
        <w:tc>
          <w:tcPr>
            <w:tcW w:w="10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942</w:t>
            </w:r>
          </w:p>
        </w:tc>
        <w:tc>
          <w:tcPr>
            <w:tcW w:w="80" w:type="dxa"/>
            <w:vAlign w:val="bottom"/>
            <w:tcBorders>
              <w:bottom w:val="single" w:sz="8" w:color="CCEEFF"/>
            </w:tcBorders>
            <w:shd w:val="clear" w:color="auto" w:fill="CCEEFF"/>
          </w:tcPr>
          <w:p>
            <w:pPr>
              <w:spacing w:after="0"/>
              <w:rPr>
                <w:sz w:val="15"/>
                <w:szCs w:val="15"/>
                <w:color w:val="auto"/>
              </w:rPr>
            </w:pPr>
          </w:p>
        </w:tc>
        <w:tc>
          <w:tcPr>
            <w:tcW w:w="300" w:type="dxa"/>
            <w:vAlign w:val="bottom"/>
            <w:tcBorders>
              <w:bottom w:val="single" w:sz="8" w:color="auto"/>
            </w:tcBorders>
            <w:shd w:val="clear" w:color="auto" w:fill="CCEEFF"/>
          </w:tcPr>
          <w:p>
            <w:pPr>
              <w:jc w:val="right"/>
              <w:ind w:right="156"/>
              <w:spacing w:after="0"/>
              <w:rPr>
                <w:sz w:val="20"/>
                <w:szCs w:val="20"/>
                <w:color w:val="auto"/>
              </w:rPr>
            </w:pPr>
            <w:r>
              <w:rPr>
                <w:rFonts w:ascii="Times New Roman" w:cs="Times New Roman" w:eastAsia="Times New Roman" w:hAnsi="Times New Roman"/>
                <w:sz w:val="13"/>
                <w:szCs w:val="13"/>
                <w:color w:val="auto"/>
                <w:w w:val="91"/>
              </w:rPr>
              <w:t>$</w:t>
            </w:r>
          </w:p>
        </w:tc>
        <w:tc>
          <w:tcPr>
            <w:tcW w:w="10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960</w:t>
            </w:r>
          </w:p>
        </w:tc>
        <w:tc>
          <w:tcPr>
            <w:tcW w:w="80" w:type="dxa"/>
            <w:vAlign w:val="bottom"/>
            <w:tcBorders>
              <w:bottom w:val="single" w:sz="8" w:color="CCEEFF"/>
            </w:tcBorders>
            <w:shd w:val="clear" w:color="auto" w:fill="CCEEFF"/>
          </w:tcPr>
          <w:p>
            <w:pPr>
              <w:spacing w:after="0"/>
              <w:rPr>
                <w:sz w:val="15"/>
                <w:szCs w:val="15"/>
                <w:color w:val="auto"/>
              </w:rPr>
            </w:pPr>
          </w:p>
        </w:tc>
        <w:tc>
          <w:tcPr>
            <w:tcW w:w="300" w:type="dxa"/>
            <w:vAlign w:val="bottom"/>
            <w:tcBorders>
              <w:bottom w:val="single" w:sz="8" w:color="auto"/>
            </w:tcBorders>
            <w:shd w:val="clear" w:color="auto" w:fill="CCEEFF"/>
          </w:tcPr>
          <w:p>
            <w:pPr>
              <w:jc w:val="right"/>
              <w:ind w:right="156"/>
              <w:spacing w:after="0"/>
              <w:rPr>
                <w:sz w:val="20"/>
                <w:szCs w:val="20"/>
                <w:color w:val="auto"/>
              </w:rPr>
            </w:pPr>
            <w:r>
              <w:rPr>
                <w:rFonts w:ascii="Times New Roman" w:cs="Times New Roman" w:eastAsia="Times New Roman" w:hAnsi="Times New Roman"/>
                <w:sz w:val="13"/>
                <w:szCs w:val="13"/>
                <w:color w:val="auto"/>
                <w:w w:val="91"/>
              </w:rPr>
              <w:t>$</w:t>
            </w:r>
          </w:p>
        </w:tc>
        <w:tc>
          <w:tcPr>
            <w:tcW w:w="10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1,079</w:t>
            </w:r>
          </w:p>
        </w:tc>
      </w:tr>
      <w:tr>
        <w:trPr>
          <w:trHeight w:val="20"/>
        </w:trPr>
        <w:tc>
          <w:tcPr>
            <w:tcW w:w="7200" w:type="dxa"/>
            <w:vAlign w:val="bottom"/>
            <w:tcBorders>
              <w:top w:val="single" w:sz="8" w:color="CCEEFF"/>
            </w:tcBorders>
          </w:tcPr>
          <w:p>
            <w:pPr>
              <w:spacing w:after="0" w:line="20" w:lineRule="exact"/>
              <w:rPr>
                <w:sz w:val="1"/>
                <w:szCs w:val="1"/>
                <w:color w:val="auto"/>
              </w:rPr>
            </w:pPr>
          </w:p>
        </w:tc>
        <w:tc>
          <w:tcPr>
            <w:tcW w:w="300" w:type="dxa"/>
            <w:vAlign w:val="bottom"/>
            <w:tcBorders>
              <w:top w:val="single" w:sz="8" w:color="CCEEFF"/>
              <w:bottom w:val="single" w:sz="8" w:color="auto"/>
            </w:tcBorders>
          </w:tcPr>
          <w:p>
            <w:pPr>
              <w:spacing w:after="0" w:line="20" w:lineRule="exact"/>
              <w:rPr>
                <w:sz w:val="1"/>
                <w:szCs w:val="1"/>
                <w:color w:val="auto"/>
              </w:rPr>
            </w:pPr>
          </w:p>
        </w:tc>
        <w:tc>
          <w:tcPr>
            <w:tcW w:w="1000" w:type="dxa"/>
            <w:vAlign w:val="bottom"/>
            <w:tcBorders>
              <w:top w:val="single" w:sz="8" w:color="CCEEFF"/>
              <w:bottom w:val="single" w:sz="8" w:color="auto"/>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300" w:type="dxa"/>
            <w:vAlign w:val="bottom"/>
            <w:tcBorders>
              <w:top w:val="single" w:sz="8" w:color="CCEEFF"/>
              <w:bottom w:val="single" w:sz="8" w:color="auto"/>
            </w:tcBorders>
          </w:tcPr>
          <w:p>
            <w:pPr>
              <w:spacing w:after="0" w:line="20" w:lineRule="exact"/>
              <w:rPr>
                <w:sz w:val="1"/>
                <w:szCs w:val="1"/>
                <w:color w:val="auto"/>
              </w:rPr>
            </w:pPr>
          </w:p>
        </w:tc>
        <w:tc>
          <w:tcPr>
            <w:tcW w:w="1020" w:type="dxa"/>
            <w:vAlign w:val="bottom"/>
            <w:tcBorders>
              <w:top w:val="single" w:sz="8" w:color="CCEEFF"/>
              <w:bottom w:val="single" w:sz="8" w:color="auto"/>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300" w:type="dxa"/>
            <w:vAlign w:val="bottom"/>
            <w:tcBorders>
              <w:top w:val="single" w:sz="8" w:color="CCEEFF"/>
              <w:bottom w:val="single" w:sz="8" w:color="auto"/>
            </w:tcBorders>
          </w:tcPr>
          <w:p>
            <w:pPr>
              <w:spacing w:after="0" w:line="20" w:lineRule="exact"/>
              <w:rPr>
                <w:sz w:val="1"/>
                <w:szCs w:val="1"/>
                <w:color w:val="auto"/>
              </w:rPr>
            </w:pPr>
          </w:p>
        </w:tc>
        <w:tc>
          <w:tcPr>
            <w:tcW w:w="1000" w:type="dxa"/>
            <w:vAlign w:val="bottom"/>
            <w:tcBorders>
              <w:top w:val="single" w:sz="8" w:color="CCEEFF"/>
              <w:bottom w:val="single" w:sz="8" w:color="auto"/>
            </w:tcBorders>
          </w:tcPr>
          <w:p>
            <w:pPr>
              <w:spacing w:after="0" w:line="20" w:lineRule="exact"/>
              <w:rPr>
                <w:sz w:val="1"/>
                <w:szCs w:val="1"/>
                <w:color w:val="auto"/>
              </w:rPr>
            </w:pPr>
          </w:p>
        </w:tc>
      </w:tr>
    </w:tbl>
    <w:p>
      <w:pPr>
        <w:spacing w:after="0" w:line="302"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b w:val="1"/>
          <w:bCs w:val="1"/>
          <w:color w:val="auto"/>
        </w:rPr>
        <w:t>Results of Operations</w:t>
      </w:r>
    </w:p>
    <w:p>
      <w:pPr>
        <w:spacing w:after="0" w:line="96" w:lineRule="exact"/>
        <w:rPr>
          <w:sz w:val="20"/>
          <w:szCs w:val="20"/>
          <w:color w:val="auto"/>
        </w:rPr>
      </w:pPr>
    </w:p>
    <w:p>
      <w:pPr>
        <w:jc w:val="both"/>
        <w:ind w:firstLine="382"/>
        <w:spacing w:after="0" w:line="287" w:lineRule="auto"/>
        <w:rPr>
          <w:sz w:val="20"/>
          <w:szCs w:val="20"/>
          <w:color w:val="auto"/>
        </w:rPr>
      </w:pPr>
      <w:r>
        <w:rPr>
          <w:rFonts w:ascii="Times New Roman" w:cs="Times New Roman" w:eastAsia="Times New Roman" w:hAnsi="Times New Roman"/>
          <w:sz w:val="14"/>
          <w:szCs w:val="14"/>
          <w:color w:val="auto"/>
        </w:rPr>
        <w:t>The following table and discussion of our results of operations are based upon data derived from our Consolidated Statements of Operations contained in our Consolidated Financial Statements and should be read in conjunction with these statements included elsewhere in this Report.</w:t>
      </w:r>
    </w:p>
    <w:p>
      <w:pPr>
        <w:spacing w:after="0" w:line="38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4"/>
          <w:szCs w:val="14"/>
          <w:color w:val="auto"/>
        </w:rPr>
        <w:t>28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-8890</wp:posOffset>
            </wp:positionH>
            <wp:positionV relativeFrom="paragraph">
              <wp:posOffset>55880</wp:posOffset>
            </wp:positionV>
            <wp:extent cx="7186930" cy="38735"/>
            <wp:wrapNone/>
            <wp:docPr id="36" name="Picture 3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6"/>
                    <pic:cNvPicPr>
                      <a:picLocks noChangeAspect="1" noChangeArrowheads="1"/>
                    </pic:cNvPicPr>
                  </pic:nvPicPr>
                  <pic:blipFill>
                    <a:blip r:embed="rId43">
                      <a:extLst>
                        <a:ext uri="{28A0092B-C50C-407E-A947-70E740481C1C}"/>
                      </a:extLst>
                    </a:blip>
                    <a:srcRect/>
                    <a:stretch>
                      <a:fillRect/>
                    </a:stretch>
                  </pic:blipFill>
                  <pic:spPr bwMode="auto">
                    <a:xfrm>
                      <a:off x="0" y="0"/>
                      <a:ext cx="7186930" cy="38735"/>
                    </a:xfrm>
                    <a:prstGeom prst="rect">
                      <a:avLst/>
                    </a:prstGeom>
                    <a:noFill/>
                  </pic:spPr>
                </pic:pic>
              </a:graphicData>
            </a:graphic>
          </wp:anchor>
        </w:drawing>
      </w:r>
    </w:p>
    <w:p>
      <w:pPr>
        <w:sectPr>
          <w:pgSz w:w="11900" w:h="16838" w:orient="portrait"/>
          <w:cols w:equalWidth="0" w:num="1">
            <w:col w:w="11280"/>
          </w:cols>
          <w:pgMar w:left="300" w:top="891" w:right="319" w:bottom="1440" w:gutter="0" w:footer="0" w:header="0"/>
        </w:sectPr>
      </w:pPr>
    </w:p>
    <w:bookmarkStart w:id="30" w:name="page31"/>
    <w:bookmarkEnd w:id="30"/>
    <w:tbl>
      <w:tblPr>
        <w:tblLayout w:type="fixed"/>
        <w:tblInd w:w="0" w:type="dxa"/>
        <w:tblCellMar>
          <w:top w:w="0" w:type="dxa"/>
          <w:left w:w="0" w:type="dxa"/>
          <w:bottom w:w="0" w:type="dxa"/>
          <w:right w:w="0" w:type="dxa"/>
        </w:tblCellMar>
      </w:tblPr>
      <w:tr>
        <w:trPr>
          <w:trHeight w:val="170"/>
        </w:trPr>
        <w:tc>
          <w:tcPr>
            <w:tcW w:w="4920" w:type="dxa"/>
            <w:vAlign w:val="bottom"/>
          </w:tcPr>
          <w:p>
            <w:pPr>
              <w:spacing w:after="0"/>
              <w:rPr>
                <w:sz w:val="14"/>
                <w:szCs w:val="14"/>
                <w:color w:val="auto"/>
              </w:rPr>
            </w:pPr>
          </w:p>
        </w:tc>
        <w:tc>
          <w:tcPr>
            <w:tcW w:w="720" w:type="dxa"/>
            <w:vAlign w:val="bottom"/>
            <w:tcBorders>
              <w:bottom w:val="single" w:sz="8" w:color="auto"/>
            </w:tcBorders>
          </w:tcPr>
          <w:p>
            <w:pPr>
              <w:spacing w:after="0"/>
              <w:rPr>
                <w:sz w:val="14"/>
                <w:szCs w:val="14"/>
                <w:color w:val="auto"/>
              </w:rPr>
            </w:pPr>
          </w:p>
        </w:tc>
        <w:tc>
          <w:tcPr>
            <w:tcW w:w="440" w:type="dxa"/>
            <w:vAlign w:val="bottom"/>
            <w:tcBorders>
              <w:bottom w:val="single" w:sz="8" w:color="auto"/>
            </w:tcBorders>
          </w:tcPr>
          <w:p>
            <w:pPr>
              <w:spacing w:after="0"/>
              <w:rPr>
                <w:sz w:val="14"/>
                <w:szCs w:val="14"/>
                <w:color w:val="auto"/>
              </w:rPr>
            </w:pPr>
          </w:p>
        </w:tc>
        <w:tc>
          <w:tcPr>
            <w:tcW w:w="80" w:type="dxa"/>
            <w:vAlign w:val="bottom"/>
            <w:tcBorders>
              <w:bottom w:val="single" w:sz="8" w:color="auto"/>
            </w:tcBorders>
          </w:tcPr>
          <w:p>
            <w:pPr>
              <w:spacing w:after="0"/>
              <w:rPr>
                <w:sz w:val="14"/>
                <w:szCs w:val="14"/>
                <w:color w:val="auto"/>
              </w:rPr>
            </w:pPr>
          </w:p>
        </w:tc>
        <w:tc>
          <w:tcPr>
            <w:tcW w:w="840" w:type="dxa"/>
            <w:vAlign w:val="bottom"/>
            <w:tcBorders>
              <w:bottom w:val="single" w:sz="8" w:color="auto"/>
            </w:tcBorders>
          </w:tcPr>
          <w:p>
            <w:pPr>
              <w:spacing w:after="0"/>
              <w:rPr>
                <w:sz w:val="14"/>
                <w:szCs w:val="14"/>
                <w:color w:val="auto"/>
              </w:rPr>
            </w:pPr>
          </w:p>
        </w:tc>
        <w:tc>
          <w:tcPr>
            <w:tcW w:w="2100" w:type="dxa"/>
            <w:vAlign w:val="bottom"/>
            <w:tcBorders>
              <w:bottom w:val="single" w:sz="8" w:color="auto"/>
            </w:tcBorders>
            <w:gridSpan w:val="6"/>
          </w:tcPr>
          <w:p>
            <w:pPr>
              <w:jc w:val="center"/>
              <w:ind w:left="33"/>
              <w:spacing w:after="0"/>
              <w:rPr>
                <w:sz w:val="20"/>
                <w:szCs w:val="20"/>
                <w:color w:val="auto"/>
              </w:rPr>
            </w:pPr>
            <w:r>
              <w:rPr>
                <w:rFonts w:ascii="Times New Roman" w:cs="Times New Roman" w:eastAsia="Times New Roman" w:hAnsi="Times New Roman"/>
                <w:sz w:val="13"/>
                <w:szCs w:val="13"/>
                <w:b w:val="1"/>
                <w:bCs w:val="1"/>
                <w:color w:val="auto"/>
                <w:w w:val="97"/>
              </w:rPr>
              <w:t>Years ended December 31,</w:t>
            </w:r>
          </w:p>
        </w:tc>
        <w:tc>
          <w:tcPr>
            <w:tcW w:w="900" w:type="dxa"/>
            <w:vAlign w:val="bottom"/>
            <w:tcBorders>
              <w:bottom w:val="single" w:sz="8" w:color="auto"/>
            </w:tcBorders>
          </w:tcPr>
          <w:p>
            <w:pPr>
              <w:spacing w:after="0"/>
              <w:rPr>
                <w:sz w:val="14"/>
                <w:szCs w:val="14"/>
                <w:color w:val="auto"/>
              </w:rPr>
            </w:pPr>
          </w:p>
        </w:tc>
        <w:tc>
          <w:tcPr>
            <w:tcW w:w="100" w:type="dxa"/>
            <w:vAlign w:val="bottom"/>
            <w:tcBorders>
              <w:bottom w:val="single" w:sz="8" w:color="auto"/>
            </w:tcBorders>
          </w:tcPr>
          <w:p>
            <w:pPr>
              <w:spacing w:after="0"/>
              <w:rPr>
                <w:sz w:val="14"/>
                <w:szCs w:val="14"/>
                <w:color w:val="auto"/>
              </w:rPr>
            </w:pPr>
          </w:p>
        </w:tc>
        <w:tc>
          <w:tcPr>
            <w:tcW w:w="280" w:type="dxa"/>
            <w:vAlign w:val="bottom"/>
            <w:tcBorders>
              <w:bottom w:val="single" w:sz="8" w:color="auto"/>
            </w:tcBorders>
          </w:tcPr>
          <w:p>
            <w:pPr>
              <w:spacing w:after="0"/>
              <w:rPr>
                <w:sz w:val="14"/>
                <w:szCs w:val="14"/>
                <w:color w:val="auto"/>
              </w:rPr>
            </w:pPr>
          </w:p>
        </w:tc>
        <w:tc>
          <w:tcPr>
            <w:tcW w:w="880" w:type="dxa"/>
            <w:vAlign w:val="bottom"/>
            <w:tcBorders>
              <w:bottom w:val="single" w:sz="8" w:color="auto"/>
            </w:tcBorders>
          </w:tcPr>
          <w:p>
            <w:pPr>
              <w:spacing w:after="0"/>
              <w:rPr>
                <w:sz w:val="14"/>
                <w:szCs w:val="14"/>
                <w:color w:val="auto"/>
              </w:rPr>
            </w:pPr>
          </w:p>
        </w:tc>
        <w:tc>
          <w:tcPr>
            <w:tcW w:w="0" w:type="dxa"/>
            <w:vAlign w:val="bottom"/>
          </w:tcPr>
          <w:p>
            <w:pPr>
              <w:spacing w:after="0"/>
              <w:rPr>
                <w:sz w:val="1"/>
                <w:szCs w:val="1"/>
                <w:color w:val="auto"/>
              </w:rPr>
            </w:pPr>
          </w:p>
        </w:tc>
      </w:tr>
      <w:tr>
        <w:trPr>
          <w:trHeight w:val="161"/>
        </w:trPr>
        <w:tc>
          <w:tcPr>
            <w:tcW w:w="4920" w:type="dxa"/>
            <w:vAlign w:val="bottom"/>
          </w:tcPr>
          <w:p>
            <w:pPr>
              <w:spacing w:after="0"/>
              <w:rPr>
                <w:sz w:val="14"/>
                <w:szCs w:val="14"/>
                <w:color w:val="auto"/>
              </w:rPr>
            </w:pPr>
          </w:p>
        </w:tc>
        <w:tc>
          <w:tcPr>
            <w:tcW w:w="720" w:type="dxa"/>
            <w:vAlign w:val="bottom"/>
            <w:tcBorders>
              <w:bottom w:val="single" w:sz="8" w:color="auto"/>
            </w:tcBorders>
          </w:tcPr>
          <w:p>
            <w:pPr>
              <w:spacing w:after="0"/>
              <w:rPr>
                <w:sz w:val="14"/>
                <w:szCs w:val="14"/>
                <w:color w:val="auto"/>
              </w:rPr>
            </w:pPr>
          </w:p>
        </w:tc>
        <w:tc>
          <w:tcPr>
            <w:tcW w:w="440" w:type="dxa"/>
            <w:vAlign w:val="bottom"/>
            <w:tcBorders>
              <w:bottom w:val="single" w:sz="8" w:color="auto"/>
            </w:tcBorders>
          </w:tcPr>
          <w:p>
            <w:pPr>
              <w:spacing w:after="0"/>
              <w:rPr>
                <w:sz w:val="14"/>
                <w:szCs w:val="14"/>
                <w:color w:val="auto"/>
              </w:rPr>
            </w:pPr>
          </w:p>
        </w:tc>
        <w:tc>
          <w:tcPr>
            <w:tcW w:w="80" w:type="dxa"/>
            <w:vAlign w:val="bottom"/>
            <w:tcBorders>
              <w:bottom w:val="single" w:sz="8" w:color="auto"/>
            </w:tcBorders>
          </w:tcPr>
          <w:p>
            <w:pPr>
              <w:spacing w:after="0"/>
              <w:rPr>
                <w:sz w:val="14"/>
                <w:szCs w:val="14"/>
                <w:color w:val="auto"/>
              </w:rPr>
            </w:pPr>
          </w:p>
        </w:tc>
        <w:tc>
          <w:tcPr>
            <w:tcW w:w="840" w:type="dxa"/>
            <w:vAlign w:val="bottom"/>
            <w:tcBorders>
              <w:bottom w:val="single" w:sz="8" w:color="auto"/>
            </w:tcBorders>
          </w:tcPr>
          <w:p>
            <w:pPr>
              <w:spacing w:after="0"/>
              <w:rPr>
                <w:sz w:val="14"/>
                <w:szCs w:val="14"/>
                <w:color w:val="auto"/>
              </w:rPr>
            </w:pPr>
          </w:p>
        </w:tc>
        <w:tc>
          <w:tcPr>
            <w:tcW w:w="2100" w:type="dxa"/>
            <w:vAlign w:val="bottom"/>
            <w:tcBorders>
              <w:bottom w:val="single" w:sz="8" w:color="auto"/>
            </w:tcBorders>
            <w:gridSpan w:val="6"/>
          </w:tcPr>
          <w:p>
            <w:pPr>
              <w:jc w:val="center"/>
              <w:ind w:left="13"/>
              <w:spacing w:after="0"/>
              <w:rPr>
                <w:sz w:val="20"/>
                <w:szCs w:val="20"/>
                <w:color w:val="auto"/>
              </w:rPr>
            </w:pPr>
            <w:r>
              <w:rPr>
                <w:rFonts w:ascii="Times New Roman" w:cs="Times New Roman" w:eastAsia="Times New Roman" w:hAnsi="Times New Roman"/>
                <w:sz w:val="13"/>
                <w:szCs w:val="13"/>
                <w:b w:val="1"/>
                <w:bCs w:val="1"/>
                <w:color w:val="auto"/>
                <w:w w:val="97"/>
              </w:rPr>
              <w:t>(in thousands, except percentages)</w:t>
            </w:r>
          </w:p>
        </w:tc>
        <w:tc>
          <w:tcPr>
            <w:tcW w:w="900" w:type="dxa"/>
            <w:vAlign w:val="bottom"/>
            <w:tcBorders>
              <w:bottom w:val="single" w:sz="8" w:color="auto"/>
            </w:tcBorders>
          </w:tcPr>
          <w:p>
            <w:pPr>
              <w:spacing w:after="0"/>
              <w:rPr>
                <w:sz w:val="14"/>
                <w:szCs w:val="14"/>
                <w:color w:val="auto"/>
              </w:rPr>
            </w:pPr>
          </w:p>
        </w:tc>
        <w:tc>
          <w:tcPr>
            <w:tcW w:w="100" w:type="dxa"/>
            <w:vAlign w:val="bottom"/>
            <w:tcBorders>
              <w:bottom w:val="single" w:sz="8" w:color="auto"/>
            </w:tcBorders>
          </w:tcPr>
          <w:p>
            <w:pPr>
              <w:spacing w:after="0"/>
              <w:rPr>
                <w:sz w:val="14"/>
                <w:szCs w:val="14"/>
                <w:color w:val="auto"/>
              </w:rPr>
            </w:pPr>
          </w:p>
        </w:tc>
        <w:tc>
          <w:tcPr>
            <w:tcW w:w="280" w:type="dxa"/>
            <w:vAlign w:val="bottom"/>
            <w:tcBorders>
              <w:bottom w:val="single" w:sz="8" w:color="auto"/>
            </w:tcBorders>
          </w:tcPr>
          <w:p>
            <w:pPr>
              <w:spacing w:after="0"/>
              <w:rPr>
                <w:sz w:val="14"/>
                <w:szCs w:val="14"/>
                <w:color w:val="auto"/>
              </w:rPr>
            </w:pPr>
          </w:p>
        </w:tc>
        <w:tc>
          <w:tcPr>
            <w:tcW w:w="880" w:type="dxa"/>
            <w:vAlign w:val="bottom"/>
            <w:tcBorders>
              <w:bottom w:val="single" w:sz="8" w:color="auto"/>
            </w:tcBorders>
          </w:tcPr>
          <w:p>
            <w:pPr>
              <w:spacing w:after="0"/>
              <w:rPr>
                <w:sz w:val="14"/>
                <w:szCs w:val="14"/>
                <w:color w:val="auto"/>
              </w:rPr>
            </w:pPr>
          </w:p>
        </w:tc>
        <w:tc>
          <w:tcPr>
            <w:tcW w:w="0" w:type="dxa"/>
            <w:vAlign w:val="bottom"/>
          </w:tcPr>
          <w:p>
            <w:pPr>
              <w:spacing w:after="0"/>
              <w:rPr>
                <w:sz w:val="1"/>
                <w:szCs w:val="1"/>
                <w:color w:val="auto"/>
              </w:rPr>
            </w:pPr>
          </w:p>
        </w:tc>
      </w:tr>
      <w:tr>
        <w:trPr>
          <w:trHeight w:val="160"/>
        </w:trPr>
        <w:tc>
          <w:tcPr>
            <w:tcW w:w="4920" w:type="dxa"/>
            <w:vAlign w:val="bottom"/>
          </w:tcPr>
          <w:p>
            <w:pPr>
              <w:spacing w:after="0"/>
              <w:rPr>
                <w:sz w:val="13"/>
                <w:szCs w:val="13"/>
                <w:color w:val="auto"/>
              </w:rPr>
            </w:pPr>
          </w:p>
        </w:tc>
        <w:tc>
          <w:tcPr>
            <w:tcW w:w="720" w:type="dxa"/>
            <w:vAlign w:val="bottom"/>
          </w:tcPr>
          <w:p>
            <w:pPr>
              <w:jc w:val="right"/>
              <w:spacing w:after="0"/>
              <w:rPr>
                <w:sz w:val="20"/>
                <w:szCs w:val="20"/>
                <w:color w:val="auto"/>
              </w:rPr>
            </w:pPr>
            <w:r>
              <w:rPr>
                <w:rFonts w:ascii="Times New Roman" w:cs="Times New Roman" w:eastAsia="Times New Roman" w:hAnsi="Times New Roman"/>
                <w:sz w:val="13"/>
                <w:szCs w:val="13"/>
                <w:b w:val="1"/>
                <w:bCs w:val="1"/>
                <w:color w:val="auto"/>
              </w:rPr>
              <w:t>2025</w:t>
            </w:r>
          </w:p>
        </w:tc>
        <w:tc>
          <w:tcPr>
            <w:tcW w:w="44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840" w:type="dxa"/>
            <w:vAlign w:val="bottom"/>
          </w:tcPr>
          <w:p>
            <w:pPr>
              <w:ind w:left="420"/>
              <w:spacing w:after="0"/>
              <w:rPr>
                <w:sz w:val="20"/>
                <w:szCs w:val="20"/>
                <w:color w:val="auto"/>
              </w:rPr>
            </w:pPr>
            <w:r>
              <w:rPr>
                <w:rFonts w:ascii="Times New Roman" w:cs="Times New Roman" w:eastAsia="Times New Roman" w:hAnsi="Times New Roman"/>
                <w:sz w:val="13"/>
                <w:szCs w:val="13"/>
                <w:b w:val="1"/>
                <w:bCs w:val="1"/>
                <w:color w:val="auto"/>
                <w:w w:val="93"/>
              </w:rPr>
              <w:t>Change</w:t>
            </w:r>
          </w:p>
        </w:tc>
        <w:tc>
          <w:tcPr>
            <w:tcW w:w="4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260" w:type="dxa"/>
            <w:vAlign w:val="bottom"/>
          </w:tcPr>
          <w:p>
            <w:pPr>
              <w:spacing w:after="0"/>
              <w:rPr>
                <w:sz w:val="13"/>
                <w:szCs w:val="13"/>
                <w:color w:val="auto"/>
              </w:rPr>
            </w:pPr>
          </w:p>
        </w:tc>
        <w:tc>
          <w:tcPr>
            <w:tcW w:w="880" w:type="dxa"/>
            <w:vAlign w:val="bottom"/>
          </w:tcPr>
          <w:p>
            <w:pPr>
              <w:jc w:val="center"/>
              <w:ind w:right="193"/>
              <w:spacing w:after="0"/>
              <w:rPr>
                <w:sz w:val="20"/>
                <w:szCs w:val="20"/>
                <w:color w:val="auto"/>
              </w:rPr>
            </w:pPr>
            <w:r>
              <w:rPr>
                <w:rFonts w:ascii="Times New Roman" w:cs="Times New Roman" w:eastAsia="Times New Roman" w:hAnsi="Times New Roman"/>
                <w:sz w:val="13"/>
                <w:szCs w:val="13"/>
                <w:b w:val="1"/>
                <w:bCs w:val="1"/>
                <w:color w:val="auto"/>
                <w:w w:val="99"/>
              </w:rPr>
              <w:t>2024</w:t>
            </w:r>
          </w:p>
        </w:tc>
        <w:tc>
          <w:tcPr>
            <w:tcW w:w="100" w:type="dxa"/>
            <w:vAlign w:val="bottom"/>
          </w:tcPr>
          <w:p>
            <w:pPr>
              <w:spacing w:after="0"/>
              <w:rPr>
                <w:sz w:val="13"/>
                <w:szCs w:val="13"/>
                <w:color w:val="auto"/>
              </w:rPr>
            </w:pPr>
          </w:p>
        </w:tc>
        <w:tc>
          <w:tcPr>
            <w:tcW w:w="340" w:type="dxa"/>
            <w:vAlign w:val="bottom"/>
          </w:tcPr>
          <w:p>
            <w:pPr>
              <w:spacing w:after="0"/>
              <w:rPr>
                <w:sz w:val="13"/>
                <w:szCs w:val="13"/>
                <w:color w:val="auto"/>
              </w:rPr>
            </w:pPr>
          </w:p>
        </w:tc>
        <w:tc>
          <w:tcPr>
            <w:tcW w:w="1000" w:type="dxa"/>
            <w:vAlign w:val="bottom"/>
            <w:gridSpan w:val="2"/>
          </w:tcPr>
          <w:p>
            <w:pPr>
              <w:ind w:left="80"/>
              <w:spacing w:after="0"/>
              <w:rPr>
                <w:sz w:val="20"/>
                <w:szCs w:val="20"/>
                <w:color w:val="auto"/>
              </w:rPr>
            </w:pPr>
            <w:r>
              <w:rPr>
                <w:rFonts w:ascii="Times New Roman" w:cs="Times New Roman" w:eastAsia="Times New Roman" w:hAnsi="Times New Roman"/>
                <w:sz w:val="13"/>
                <w:szCs w:val="13"/>
                <w:b w:val="1"/>
                <w:bCs w:val="1"/>
                <w:color w:val="auto"/>
              </w:rPr>
              <w:t>Change</w:t>
            </w:r>
          </w:p>
        </w:tc>
        <w:tc>
          <w:tcPr>
            <w:tcW w:w="280" w:type="dxa"/>
            <w:vAlign w:val="bottom"/>
          </w:tcPr>
          <w:p>
            <w:pPr>
              <w:spacing w:after="0"/>
              <w:rPr>
                <w:sz w:val="13"/>
                <w:szCs w:val="13"/>
                <w:color w:val="auto"/>
              </w:rPr>
            </w:pPr>
          </w:p>
        </w:tc>
        <w:tc>
          <w:tcPr>
            <w:tcW w:w="880" w:type="dxa"/>
            <w:vAlign w:val="bottom"/>
          </w:tcPr>
          <w:p>
            <w:pPr>
              <w:jc w:val="right"/>
              <w:ind w:right="373"/>
              <w:spacing w:after="0"/>
              <w:rPr>
                <w:sz w:val="20"/>
                <w:szCs w:val="20"/>
                <w:color w:val="auto"/>
              </w:rPr>
            </w:pPr>
            <w:r>
              <w:rPr>
                <w:rFonts w:ascii="Times New Roman" w:cs="Times New Roman" w:eastAsia="Times New Roman" w:hAnsi="Times New Roman"/>
                <w:sz w:val="13"/>
                <w:szCs w:val="13"/>
                <w:b w:val="1"/>
                <w:bCs w:val="1"/>
                <w:color w:val="auto"/>
              </w:rPr>
              <w:t>2023</w:t>
            </w:r>
          </w:p>
        </w:tc>
        <w:tc>
          <w:tcPr>
            <w:tcW w:w="0" w:type="dxa"/>
            <w:vAlign w:val="bottom"/>
          </w:tcPr>
          <w:p>
            <w:pPr>
              <w:spacing w:after="0"/>
              <w:rPr>
                <w:sz w:val="1"/>
                <w:szCs w:val="1"/>
                <w:color w:val="auto"/>
              </w:rPr>
            </w:pPr>
          </w:p>
        </w:tc>
      </w:tr>
      <w:tr>
        <w:trPr>
          <w:trHeight w:val="172"/>
        </w:trPr>
        <w:tc>
          <w:tcPr>
            <w:tcW w:w="4920" w:type="dxa"/>
            <w:vAlign w:val="bottom"/>
            <w:tcBorders>
              <w:top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4"/>
                <w:szCs w:val="14"/>
                <w:b w:val="1"/>
                <w:bCs w:val="1"/>
                <w:color w:val="auto"/>
              </w:rPr>
              <w:t>Revenues:</w:t>
            </w:r>
          </w:p>
        </w:tc>
        <w:tc>
          <w:tcPr>
            <w:tcW w:w="720" w:type="dxa"/>
            <w:vAlign w:val="bottom"/>
            <w:tcBorders>
              <w:top w:val="single" w:sz="8" w:color="auto"/>
            </w:tcBorders>
            <w:shd w:val="clear" w:color="auto" w:fill="CCEEFF"/>
          </w:tcPr>
          <w:p>
            <w:pPr>
              <w:spacing w:after="0"/>
              <w:rPr>
                <w:sz w:val="14"/>
                <w:szCs w:val="14"/>
                <w:color w:val="auto"/>
              </w:rPr>
            </w:pPr>
          </w:p>
        </w:tc>
        <w:tc>
          <w:tcPr>
            <w:tcW w:w="440" w:type="dxa"/>
            <w:vAlign w:val="bottom"/>
            <w:tcBorders>
              <w:top w:val="single" w:sz="8" w:color="auto"/>
            </w:tcBorders>
            <w:shd w:val="clear" w:color="auto" w:fill="CCEEFF"/>
          </w:tcPr>
          <w:p>
            <w:pPr>
              <w:spacing w:after="0"/>
              <w:rPr>
                <w:sz w:val="14"/>
                <w:szCs w:val="14"/>
                <w:color w:val="auto"/>
              </w:rPr>
            </w:pPr>
          </w:p>
        </w:tc>
        <w:tc>
          <w:tcPr>
            <w:tcW w:w="80" w:type="dxa"/>
            <w:vAlign w:val="bottom"/>
            <w:tcBorders>
              <w:top w:val="single" w:sz="8" w:color="CCEEFF"/>
            </w:tcBorders>
            <w:shd w:val="clear" w:color="auto" w:fill="CCEEFF"/>
          </w:tcPr>
          <w:p>
            <w:pPr>
              <w:spacing w:after="0"/>
              <w:rPr>
                <w:sz w:val="14"/>
                <w:szCs w:val="14"/>
                <w:color w:val="auto"/>
              </w:rPr>
            </w:pPr>
          </w:p>
        </w:tc>
        <w:tc>
          <w:tcPr>
            <w:tcW w:w="840" w:type="dxa"/>
            <w:vAlign w:val="bottom"/>
            <w:tcBorders>
              <w:top w:val="single" w:sz="8" w:color="auto"/>
            </w:tcBorders>
            <w:shd w:val="clear" w:color="auto" w:fill="CCEEFF"/>
          </w:tcPr>
          <w:p>
            <w:pPr>
              <w:spacing w:after="0"/>
              <w:rPr>
                <w:sz w:val="14"/>
                <w:szCs w:val="14"/>
                <w:color w:val="auto"/>
              </w:rPr>
            </w:pPr>
          </w:p>
        </w:tc>
        <w:tc>
          <w:tcPr>
            <w:tcW w:w="420" w:type="dxa"/>
            <w:vAlign w:val="bottom"/>
            <w:tcBorders>
              <w:top w:val="single" w:sz="8" w:color="auto"/>
            </w:tcBorders>
            <w:shd w:val="clear" w:color="auto" w:fill="CCEEFF"/>
          </w:tcPr>
          <w:p>
            <w:pPr>
              <w:spacing w:after="0"/>
              <w:rPr>
                <w:sz w:val="14"/>
                <w:szCs w:val="14"/>
                <w:color w:val="auto"/>
              </w:rPr>
            </w:pPr>
          </w:p>
        </w:tc>
        <w:tc>
          <w:tcPr>
            <w:tcW w:w="100" w:type="dxa"/>
            <w:vAlign w:val="bottom"/>
            <w:tcBorders>
              <w:top w:val="single" w:sz="8" w:color="CCEEFF"/>
            </w:tcBorders>
            <w:shd w:val="clear" w:color="auto" w:fill="CCEEFF"/>
          </w:tcPr>
          <w:p>
            <w:pPr>
              <w:spacing w:after="0"/>
              <w:rPr>
                <w:sz w:val="14"/>
                <w:szCs w:val="14"/>
                <w:color w:val="auto"/>
              </w:rPr>
            </w:pPr>
          </w:p>
        </w:tc>
        <w:tc>
          <w:tcPr>
            <w:tcW w:w="260" w:type="dxa"/>
            <w:vAlign w:val="bottom"/>
            <w:tcBorders>
              <w:top w:val="single" w:sz="8" w:color="auto"/>
            </w:tcBorders>
            <w:shd w:val="clear" w:color="auto" w:fill="CCEEFF"/>
          </w:tcPr>
          <w:p>
            <w:pPr>
              <w:spacing w:after="0"/>
              <w:rPr>
                <w:sz w:val="14"/>
                <w:szCs w:val="14"/>
                <w:color w:val="auto"/>
              </w:rPr>
            </w:pPr>
          </w:p>
        </w:tc>
        <w:tc>
          <w:tcPr>
            <w:tcW w:w="880" w:type="dxa"/>
            <w:vAlign w:val="bottom"/>
            <w:tcBorders>
              <w:top w:val="single" w:sz="8" w:color="auto"/>
            </w:tcBorders>
            <w:shd w:val="clear" w:color="auto" w:fill="CCEEFF"/>
          </w:tcPr>
          <w:p>
            <w:pPr>
              <w:spacing w:after="0"/>
              <w:rPr>
                <w:sz w:val="14"/>
                <w:szCs w:val="14"/>
                <w:color w:val="auto"/>
              </w:rPr>
            </w:pPr>
          </w:p>
        </w:tc>
        <w:tc>
          <w:tcPr>
            <w:tcW w:w="100" w:type="dxa"/>
            <w:vAlign w:val="bottom"/>
            <w:tcBorders>
              <w:top w:val="single" w:sz="8" w:color="CCEEFF"/>
            </w:tcBorders>
            <w:shd w:val="clear" w:color="auto" w:fill="CCEEFF"/>
          </w:tcPr>
          <w:p>
            <w:pPr>
              <w:spacing w:after="0"/>
              <w:rPr>
                <w:sz w:val="14"/>
                <w:szCs w:val="14"/>
                <w:color w:val="auto"/>
              </w:rPr>
            </w:pPr>
          </w:p>
        </w:tc>
        <w:tc>
          <w:tcPr>
            <w:tcW w:w="340" w:type="dxa"/>
            <w:vAlign w:val="bottom"/>
            <w:tcBorders>
              <w:top w:val="single" w:sz="8" w:color="auto"/>
            </w:tcBorders>
            <w:shd w:val="clear" w:color="auto" w:fill="CCEEFF"/>
          </w:tcPr>
          <w:p>
            <w:pPr>
              <w:spacing w:after="0"/>
              <w:rPr>
                <w:sz w:val="14"/>
                <w:szCs w:val="14"/>
                <w:color w:val="auto"/>
              </w:rPr>
            </w:pPr>
          </w:p>
        </w:tc>
        <w:tc>
          <w:tcPr>
            <w:tcW w:w="900" w:type="dxa"/>
            <w:vAlign w:val="bottom"/>
            <w:tcBorders>
              <w:top w:val="single" w:sz="8" w:color="auto"/>
            </w:tcBorders>
            <w:shd w:val="clear" w:color="auto" w:fill="CCEEFF"/>
          </w:tcPr>
          <w:p>
            <w:pPr>
              <w:spacing w:after="0"/>
              <w:rPr>
                <w:sz w:val="14"/>
                <w:szCs w:val="14"/>
                <w:color w:val="auto"/>
              </w:rPr>
            </w:pPr>
          </w:p>
        </w:tc>
        <w:tc>
          <w:tcPr>
            <w:tcW w:w="100" w:type="dxa"/>
            <w:vAlign w:val="bottom"/>
            <w:tcBorders>
              <w:top w:val="single" w:sz="8" w:color="CCEEFF"/>
            </w:tcBorders>
            <w:shd w:val="clear" w:color="auto" w:fill="CCEEFF"/>
          </w:tcPr>
          <w:p>
            <w:pPr>
              <w:spacing w:after="0"/>
              <w:rPr>
                <w:sz w:val="14"/>
                <w:szCs w:val="14"/>
                <w:color w:val="auto"/>
              </w:rPr>
            </w:pPr>
          </w:p>
        </w:tc>
        <w:tc>
          <w:tcPr>
            <w:tcW w:w="280" w:type="dxa"/>
            <w:vAlign w:val="bottom"/>
            <w:tcBorders>
              <w:top w:val="single" w:sz="8" w:color="auto"/>
            </w:tcBorders>
            <w:shd w:val="clear" w:color="auto" w:fill="CCEEFF"/>
          </w:tcPr>
          <w:p>
            <w:pPr>
              <w:spacing w:after="0"/>
              <w:rPr>
                <w:sz w:val="14"/>
                <w:szCs w:val="14"/>
                <w:color w:val="auto"/>
              </w:rPr>
            </w:pPr>
          </w:p>
        </w:tc>
        <w:tc>
          <w:tcPr>
            <w:tcW w:w="880" w:type="dxa"/>
            <w:vAlign w:val="bottom"/>
            <w:tcBorders>
              <w:top w:val="single" w:sz="8" w:color="auto"/>
            </w:tcBorders>
            <w:shd w:val="clear" w:color="auto" w:fill="CCEEFF"/>
          </w:tcPr>
          <w:p>
            <w:pPr>
              <w:spacing w:after="0"/>
              <w:rPr>
                <w:sz w:val="14"/>
                <w:szCs w:val="14"/>
                <w:color w:val="auto"/>
              </w:rPr>
            </w:pPr>
          </w:p>
        </w:tc>
        <w:tc>
          <w:tcPr>
            <w:tcW w:w="0" w:type="dxa"/>
            <w:vAlign w:val="bottom"/>
          </w:tcPr>
          <w:p>
            <w:pPr>
              <w:spacing w:after="0"/>
              <w:rPr>
                <w:sz w:val="1"/>
                <w:szCs w:val="1"/>
                <w:color w:val="auto"/>
              </w:rPr>
            </w:pPr>
          </w:p>
        </w:tc>
      </w:tr>
      <w:tr>
        <w:trPr>
          <w:trHeight w:val="180"/>
        </w:trPr>
        <w:tc>
          <w:tcPr>
            <w:tcW w:w="4920" w:type="dxa"/>
            <w:vAlign w:val="bottom"/>
          </w:tcPr>
          <w:p>
            <w:pPr>
              <w:ind w:left="280"/>
              <w:spacing w:after="0"/>
              <w:rPr>
                <w:sz w:val="20"/>
                <w:szCs w:val="20"/>
                <w:color w:val="auto"/>
              </w:rPr>
            </w:pPr>
            <w:r>
              <w:rPr>
                <w:rFonts w:ascii="Times New Roman" w:cs="Times New Roman" w:eastAsia="Times New Roman" w:hAnsi="Times New Roman"/>
                <w:sz w:val="14"/>
                <w:szCs w:val="14"/>
                <w:color w:val="auto"/>
              </w:rPr>
              <w:t>Advisory fees:</w:t>
            </w:r>
          </w:p>
        </w:tc>
        <w:tc>
          <w:tcPr>
            <w:tcW w:w="720" w:type="dxa"/>
            <w:vAlign w:val="bottom"/>
          </w:tcPr>
          <w:p>
            <w:pPr>
              <w:spacing w:after="0"/>
              <w:rPr>
                <w:sz w:val="15"/>
                <w:szCs w:val="15"/>
                <w:color w:val="auto"/>
              </w:rPr>
            </w:pPr>
          </w:p>
        </w:tc>
        <w:tc>
          <w:tcPr>
            <w:tcW w:w="44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840" w:type="dxa"/>
            <w:vAlign w:val="bottom"/>
          </w:tcPr>
          <w:p>
            <w:pPr>
              <w:spacing w:after="0"/>
              <w:rPr>
                <w:sz w:val="15"/>
                <w:szCs w:val="15"/>
                <w:color w:val="auto"/>
              </w:rPr>
            </w:pPr>
          </w:p>
        </w:tc>
        <w:tc>
          <w:tcPr>
            <w:tcW w:w="42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260" w:type="dxa"/>
            <w:vAlign w:val="bottom"/>
          </w:tcPr>
          <w:p>
            <w:pPr>
              <w:spacing w:after="0"/>
              <w:rPr>
                <w:sz w:val="15"/>
                <w:szCs w:val="15"/>
                <w:color w:val="auto"/>
              </w:rPr>
            </w:pPr>
          </w:p>
        </w:tc>
        <w:tc>
          <w:tcPr>
            <w:tcW w:w="88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340" w:type="dxa"/>
            <w:vAlign w:val="bottom"/>
          </w:tcPr>
          <w:p>
            <w:pPr>
              <w:spacing w:after="0"/>
              <w:rPr>
                <w:sz w:val="15"/>
                <w:szCs w:val="15"/>
                <w:color w:val="auto"/>
              </w:rPr>
            </w:pPr>
          </w:p>
        </w:tc>
        <w:tc>
          <w:tcPr>
            <w:tcW w:w="90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280" w:type="dxa"/>
            <w:vAlign w:val="bottom"/>
          </w:tcPr>
          <w:p>
            <w:pPr>
              <w:spacing w:after="0"/>
              <w:rPr>
                <w:sz w:val="15"/>
                <w:szCs w:val="15"/>
                <w:color w:val="auto"/>
              </w:rPr>
            </w:pPr>
          </w:p>
        </w:tc>
        <w:tc>
          <w:tcPr>
            <w:tcW w:w="88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80"/>
        </w:trPr>
        <w:tc>
          <w:tcPr>
            <w:tcW w:w="4920" w:type="dxa"/>
            <w:vAlign w:val="bottom"/>
            <w:shd w:val="clear" w:color="auto" w:fill="CCEEFF"/>
          </w:tcPr>
          <w:p>
            <w:pPr>
              <w:ind w:left="440"/>
              <w:spacing w:after="0"/>
              <w:rPr>
                <w:sz w:val="20"/>
                <w:szCs w:val="20"/>
                <w:color w:val="auto"/>
              </w:rPr>
            </w:pPr>
            <w:r>
              <w:rPr>
                <w:rFonts w:ascii="Times New Roman" w:cs="Times New Roman" w:eastAsia="Times New Roman" w:hAnsi="Times New Roman"/>
                <w:sz w:val="14"/>
                <w:szCs w:val="14"/>
                <w:color w:val="auto"/>
              </w:rPr>
              <w:t>Asset-based</w:t>
            </w:r>
          </w:p>
        </w:tc>
        <w:tc>
          <w:tcPr>
            <w:tcW w:w="720" w:type="dxa"/>
            <w:vAlign w:val="bottom"/>
            <w:shd w:val="clear" w:color="auto" w:fill="CCEEFF"/>
          </w:tcPr>
          <w:p>
            <w:pPr>
              <w:jc w:val="right"/>
              <w:ind w:right="574"/>
              <w:spacing w:after="0"/>
              <w:rPr>
                <w:sz w:val="20"/>
                <w:szCs w:val="20"/>
                <w:color w:val="auto"/>
              </w:rPr>
            </w:pPr>
            <w:r>
              <w:rPr>
                <w:rFonts w:ascii="Times New Roman" w:cs="Times New Roman" w:eastAsia="Times New Roman" w:hAnsi="Times New Roman"/>
                <w:sz w:val="13"/>
                <w:szCs w:val="13"/>
                <w:color w:val="auto"/>
                <w:w w:val="91"/>
              </w:rPr>
              <w:t>$</w:t>
            </w:r>
          </w:p>
        </w:tc>
        <w:tc>
          <w:tcPr>
            <w:tcW w:w="4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74,722</w:t>
            </w:r>
          </w:p>
        </w:tc>
        <w:tc>
          <w:tcPr>
            <w:tcW w:w="80" w:type="dxa"/>
            <w:vAlign w:val="bottom"/>
            <w:shd w:val="clear" w:color="auto" w:fill="CCEEFF"/>
          </w:tcPr>
          <w:p>
            <w:pPr>
              <w:spacing w:after="0"/>
              <w:rPr>
                <w:sz w:val="15"/>
                <w:szCs w:val="15"/>
                <w:color w:val="auto"/>
              </w:rPr>
            </w:pPr>
          </w:p>
        </w:tc>
        <w:tc>
          <w:tcPr>
            <w:tcW w:w="840" w:type="dxa"/>
            <w:vAlign w:val="bottom"/>
            <w:shd w:val="clear" w:color="auto" w:fill="CCEEFF"/>
          </w:tcPr>
          <w:p>
            <w:pPr>
              <w:spacing w:after="0"/>
              <w:rPr>
                <w:sz w:val="15"/>
                <w:szCs w:val="15"/>
                <w:color w:val="auto"/>
              </w:rPr>
            </w:pPr>
          </w:p>
        </w:tc>
        <w:tc>
          <w:tcPr>
            <w:tcW w:w="4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7 %</w:t>
            </w:r>
          </w:p>
        </w:tc>
        <w:tc>
          <w:tcPr>
            <w:tcW w:w="100" w:type="dxa"/>
            <w:vAlign w:val="bottom"/>
            <w:shd w:val="clear" w:color="auto" w:fill="CCEEFF"/>
          </w:tcPr>
          <w:p>
            <w:pPr>
              <w:spacing w:after="0"/>
              <w:rPr>
                <w:sz w:val="15"/>
                <w:szCs w:val="15"/>
                <w:color w:val="auto"/>
              </w:rPr>
            </w:pPr>
          </w:p>
        </w:tc>
        <w:tc>
          <w:tcPr>
            <w:tcW w:w="260" w:type="dxa"/>
            <w:vAlign w:val="bottom"/>
            <w:shd w:val="clear" w:color="auto" w:fill="CCEEFF"/>
          </w:tcPr>
          <w:p>
            <w:pPr>
              <w:jc w:val="right"/>
              <w:ind w:right="113"/>
              <w:spacing w:after="0"/>
              <w:rPr>
                <w:sz w:val="20"/>
                <w:szCs w:val="20"/>
                <w:color w:val="auto"/>
              </w:rPr>
            </w:pPr>
            <w:r>
              <w:rPr>
                <w:rFonts w:ascii="Times New Roman" w:cs="Times New Roman" w:eastAsia="Times New Roman" w:hAnsi="Times New Roman"/>
                <w:sz w:val="13"/>
                <w:szCs w:val="13"/>
                <w:color w:val="auto"/>
                <w:w w:val="91"/>
              </w:rPr>
              <w:t>$</w:t>
            </w:r>
          </w:p>
        </w:tc>
        <w:tc>
          <w:tcPr>
            <w:tcW w:w="8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69,755</w:t>
            </w:r>
          </w:p>
        </w:tc>
        <w:tc>
          <w:tcPr>
            <w:tcW w:w="100" w:type="dxa"/>
            <w:vAlign w:val="bottom"/>
            <w:shd w:val="clear" w:color="auto" w:fill="CCEEFF"/>
          </w:tcPr>
          <w:p>
            <w:pPr>
              <w:spacing w:after="0"/>
              <w:rPr>
                <w:sz w:val="15"/>
                <w:szCs w:val="15"/>
                <w:color w:val="auto"/>
              </w:rPr>
            </w:pPr>
          </w:p>
        </w:tc>
        <w:tc>
          <w:tcPr>
            <w:tcW w:w="340" w:type="dxa"/>
            <w:vAlign w:val="bottom"/>
            <w:shd w:val="clear" w:color="auto" w:fill="CCEEFF"/>
          </w:tcPr>
          <w:p>
            <w:pPr>
              <w:spacing w:after="0"/>
              <w:rPr>
                <w:sz w:val="15"/>
                <w:szCs w:val="15"/>
                <w:color w:val="auto"/>
              </w:rPr>
            </w:pPr>
          </w:p>
        </w:tc>
        <w:tc>
          <w:tcPr>
            <w:tcW w:w="9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4 %</w:t>
            </w:r>
          </w:p>
        </w:tc>
        <w:tc>
          <w:tcPr>
            <w:tcW w:w="100" w:type="dxa"/>
            <w:vAlign w:val="bottom"/>
            <w:shd w:val="clear" w:color="auto" w:fill="CCEEFF"/>
          </w:tcPr>
          <w:p>
            <w:pPr>
              <w:spacing w:after="0"/>
              <w:rPr>
                <w:sz w:val="15"/>
                <w:szCs w:val="15"/>
                <w:color w:val="auto"/>
              </w:rPr>
            </w:pPr>
          </w:p>
        </w:tc>
        <w:tc>
          <w:tcPr>
            <w:tcW w:w="280" w:type="dxa"/>
            <w:vAlign w:val="bottom"/>
            <w:shd w:val="clear" w:color="auto" w:fill="CCEEFF"/>
          </w:tcPr>
          <w:p>
            <w:pPr>
              <w:jc w:val="right"/>
              <w:ind w:right="133"/>
              <w:spacing w:after="0"/>
              <w:rPr>
                <w:sz w:val="20"/>
                <w:szCs w:val="20"/>
                <w:color w:val="auto"/>
              </w:rPr>
            </w:pPr>
            <w:r>
              <w:rPr>
                <w:rFonts w:ascii="Times New Roman" w:cs="Times New Roman" w:eastAsia="Times New Roman" w:hAnsi="Times New Roman"/>
                <w:sz w:val="13"/>
                <w:szCs w:val="13"/>
                <w:color w:val="auto"/>
                <w:w w:val="91"/>
              </w:rPr>
              <w:t>$</w:t>
            </w:r>
          </w:p>
        </w:tc>
        <w:tc>
          <w:tcPr>
            <w:tcW w:w="8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67,391</w:t>
            </w:r>
          </w:p>
        </w:tc>
        <w:tc>
          <w:tcPr>
            <w:tcW w:w="0" w:type="dxa"/>
            <w:vAlign w:val="bottom"/>
          </w:tcPr>
          <w:p>
            <w:pPr>
              <w:spacing w:after="0"/>
              <w:rPr>
                <w:sz w:val="1"/>
                <w:szCs w:val="1"/>
                <w:color w:val="auto"/>
              </w:rPr>
            </w:pPr>
          </w:p>
        </w:tc>
      </w:tr>
      <w:tr>
        <w:trPr>
          <w:trHeight w:val="180"/>
        </w:trPr>
        <w:tc>
          <w:tcPr>
            <w:tcW w:w="4920" w:type="dxa"/>
            <w:vAlign w:val="bottom"/>
          </w:tcPr>
          <w:p>
            <w:pPr>
              <w:ind w:left="440"/>
              <w:spacing w:after="0"/>
              <w:rPr>
                <w:sz w:val="20"/>
                <w:szCs w:val="20"/>
                <w:color w:val="auto"/>
              </w:rPr>
            </w:pPr>
            <w:r>
              <w:rPr>
                <w:rFonts w:ascii="Times New Roman" w:cs="Times New Roman" w:eastAsia="Times New Roman" w:hAnsi="Times New Roman"/>
                <w:sz w:val="14"/>
                <w:szCs w:val="14"/>
                <w:color w:val="auto"/>
              </w:rPr>
              <w:t>Performance-based</w:t>
            </w:r>
          </w:p>
        </w:tc>
        <w:tc>
          <w:tcPr>
            <w:tcW w:w="720" w:type="dxa"/>
            <w:vAlign w:val="bottom"/>
          </w:tcPr>
          <w:p>
            <w:pPr>
              <w:spacing w:after="0"/>
              <w:rPr>
                <w:sz w:val="15"/>
                <w:szCs w:val="15"/>
                <w:color w:val="auto"/>
              </w:rPr>
            </w:pPr>
          </w:p>
        </w:tc>
        <w:tc>
          <w:tcPr>
            <w:tcW w:w="44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874</w:t>
            </w:r>
          </w:p>
        </w:tc>
        <w:tc>
          <w:tcPr>
            <w:tcW w:w="80" w:type="dxa"/>
            <w:vAlign w:val="bottom"/>
          </w:tcPr>
          <w:p>
            <w:pPr>
              <w:spacing w:after="0"/>
              <w:rPr>
                <w:sz w:val="15"/>
                <w:szCs w:val="15"/>
                <w:color w:val="auto"/>
              </w:rPr>
            </w:pPr>
          </w:p>
        </w:tc>
        <w:tc>
          <w:tcPr>
            <w:tcW w:w="840" w:type="dxa"/>
            <w:vAlign w:val="bottom"/>
          </w:tcPr>
          <w:p>
            <w:pPr>
              <w:spacing w:after="0"/>
              <w:rPr>
                <w:sz w:val="15"/>
                <w:szCs w:val="15"/>
                <w:color w:val="auto"/>
              </w:rPr>
            </w:pPr>
          </w:p>
        </w:tc>
        <w:tc>
          <w:tcPr>
            <w:tcW w:w="420" w:type="dxa"/>
            <w:vAlign w:val="bottom"/>
          </w:tcPr>
          <w:p>
            <w:pPr>
              <w:jc w:val="right"/>
              <w:ind w:right="53"/>
              <w:spacing w:after="0"/>
              <w:rPr>
                <w:sz w:val="20"/>
                <w:szCs w:val="20"/>
                <w:color w:val="auto"/>
              </w:rPr>
            </w:pPr>
            <w:r>
              <w:rPr>
                <w:rFonts w:ascii="Times New Roman" w:cs="Times New Roman" w:eastAsia="Times New Roman" w:hAnsi="Times New Roman"/>
                <w:sz w:val="13"/>
                <w:szCs w:val="13"/>
                <w:color w:val="auto"/>
              </w:rPr>
              <w:t>(37)</w:t>
            </w:r>
          </w:p>
        </w:tc>
        <w:tc>
          <w:tcPr>
            <w:tcW w:w="100" w:type="dxa"/>
            <w:vAlign w:val="bottom"/>
          </w:tcPr>
          <w:p>
            <w:pPr>
              <w:spacing w:after="0"/>
              <w:rPr>
                <w:sz w:val="15"/>
                <w:szCs w:val="15"/>
                <w:color w:val="auto"/>
              </w:rPr>
            </w:pPr>
          </w:p>
        </w:tc>
        <w:tc>
          <w:tcPr>
            <w:tcW w:w="260" w:type="dxa"/>
            <w:vAlign w:val="bottom"/>
          </w:tcPr>
          <w:p>
            <w:pPr>
              <w:spacing w:after="0"/>
              <w:rPr>
                <w:sz w:val="15"/>
                <w:szCs w:val="15"/>
                <w:color w:val="auto"/>
              </w:rPr>
            </w:pPr>
          </w:p>
        </w:tc>
        <w:tc>
          <w:tcPr>
            <w:tcW w:w="88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1,393</w:t>
            </w:r>
          </w:p>
        </w:tc>
        <w:tc>
          <w:tcPr>
            <w:tcW w:w="100" w:type="dxa"/>
            <w:vAlign w:val="bottom"/>
          </w:tcPr>
          <w:p>
            <w:pPr>
              <w:spacing w:after="0"/>
              <w:rPr>
                <w:sz w:val="15"/>
                <w:szCs w:val="15"/>
                <w:color w:val="auto"/>
              </w:rPr>
            </w:pPr>
          </w:p>
        </w:tc>
        <w:tc>
          <w:tcPr>
            <w:tcW w:w="340" w:type="dxa"/>
            <w:vAlign w:val="bottom"/>
          </w:tcPr>
          <w:p>
            <w:pPr>
              <w:spacing w:after="0"/>
              <w:rPr>
                <w:sz w:val="15"/>
                <w:szCs w:val="15"/>
                <w:color w:val="auto"/>
              </w:rPr>
            </w:pPr>
          </w:p>
        </w:tc>
        <w:tc>
          <w:tcPr>
            <w:tcW w:w="900" w:type="dxa"/>
            <w:vAlign w:val="bottom"/>
          </w:tcPr>
          <w:p>
            <w:pPr>
              <w:jc w:val="right"/>
              <w:ind w:right="93"/>
              <w:spacing w:after="0"/>
              <w:rPr>
                <w:sz w:val="20"/>
                <w:szCs w:val="20"/>
                <w:color w:val="auto"/>
              </w:rPr>
            </w:pPr>
            <w:r>
              <w:rPr>
                <w:rFonts w:ascii="Times New Roman" w:cs="Times New Roman" w:eastAsia="Times New Roman" w:hAnsi="Times New Roman"/>
                <w:sz w:val="13"/>
                <w:szCs w:val="13"/>
                <w:color w:val="auto"/>
              </w:rPr>
              <w:t>10</w:t>
            </w:r>
          </w:p>
        </w:tc>
        <w:tc>
          <w:tcPr>
            <w:tcW w:w="100" w:type="dxa"/>
            <w:vAlign w:val="bottom"/>
          </w:tcPr>
          <w:p>
            <w:pPr>
              <w:spacing w:after="0"/>
              <w:rPr>
                <w:sz w:val="15"/>
                <w:szCs w:val="15"/>
                <w:color w:val="auto"/>
              </w:rPr>
            </w:pPr>
          </w:p>
        </w:tc>
        <w:tc>
          <w:tcPr>
            <w:tcW w:w="280" w:type="dxa"/>
            <w:vAlign w:val="bottom"/>
          </w:tcPr>
          <w:p>
            <w:pPr>
              <w:spacing w:after="0"/>
              <w:rPr>
                <w:sz w:val="15"/>
                <w:szCs w:val="15"/>
                <w:color w:val="auto"/>
              </w:rPr>
            </w:pPr>
          </w:p>
        </w:tc>
        <w:tc>
          <w:tcPr>
            <w:tcW w:w="88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1,265</w:t>
            </w:r>
          </w:p>
        </w:tc>
        <w:tc>
          <w:tcPr>
            <w:tcW w:w="0" w:type="dxa"/>
            <w:vAlign w:val="bottom"/>
          </w:tcPr>
          <w:p>
            <w:pPr>
              <w:spacing w:after="0"/>
              <w:rPr>
                <w:sz w:val="1"/>
                <w:szCs w:val="1"/>
                <w:color w:val="auto"/>
              </w:rPr>
            </w:pPr>
          </w:p>
        </w:tc>
      </w:tr>
      <w:tr>
        <w:trPr>
          <w:trHeight w:val="180"/>
        </w:trPr>
        <w:tc>
          <w:tcPr>
            <w:tcW w:w="4920" w:type="dxa"/>
            <w:vAlign w:val="bottom"/>
            <w:shd w:val="clear" w:color="auto" w:fill="CCEEFF"/>
          </w:tcPr>
          <w:p>
            <w:pPr>
              <w:ind w:left="280"/>
              <w:spacing w:after="0"/>
              <w:rPr>
                <w:sz w:val="20"/>
                <w:szCs w:val="20"/>
                <w:color w:val="auto"/>
              </w:rPr>
            </w:pPr>
            <w:r>
              <w:rPr>
                <w:rFonts w:ascii="Times New Roman" w:cs="Times New Roman" w:eastAsia="Times New Roman" w:hAnsi="Times New Roman"/>
                <w:sz w:val="14"/>
                <w:szCs w:val="14"/>
                <w:color w:val="auto"/>
              </w:rPr>
              <w:t>Trust fees</w:t>
            </w:r>
          </w:p>
        </w:tc>
        <w:tc>
          <w:tcPr>
            <w:tcW w:w="720" w:type="dxa"/>
            <w:vAlign w:val="bottom"/>
            <w:shd w:val="clear" w:color="auto" w:fill="CCEEFF"/>
          </w:tcPr>
          <w:p>
            <w:pPr>
              <w:spacing w:after="0"/>
              <w:rPr>
                <w:sz w:val="15"/>
                <w:szCs w:val="15"/>
                <w:color w:val="auto"/>
              </w:rPr>
            </w:pPr>
          </w:p>
        </w:tc>
        <w:tc>
          <w:tcPr>
            <w:tcW w:w="4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21,560</w:t>
            </w:r>
          </w:p>
        </w:tc>
        <w:tc>
          <w:tcPr>
            <w:tcW w:w="80" w:type="dxa"/>
            <w:vAlign w:val="bottom"/>
            <w:shd w:val="clear" w:color="auto" w:fill="CCEEFF"/>
          </w:tcPr>
          <w:p>
            <w:pPr>
              <w:spacing w:after="0"/>
              <w:rPr>
                <w:sz w:val="15"/>
                <w:szCs w:val="15"/>
                <w:color w:val="auto"/>
              </w:rPr>
            </w:pPr>
          </w:p>
        </w:tc>
        <w:tc>
          <w:tcPr>
            <w:tcW w:w="840" w:type="dxa"/>
            <w:vAlign w:val="bottom"/>
            <w:shd w:val="clear" w:color="auto" w:fill="CCEEFF"/>
          </w:tcPr>
          <w:p>
            <w:pPr>
              <w:spacing w:after="0"/>
              <w:rPr>
                <w:sz w:val="15"/>
                <w:szCs w:val="15"/>
                <w:color w:val="auto"/>
              </w:rPr>
            </w:pPr>
          </w:p>
        </w:tc>
        <w:tc>
          <w:tcPr>
            <w:tcW w:w="420" w:type="dxa"/>
            <w:vAlign w:val="bottom"/>
            <w:shd w:val="clear" w:color="auto" w:fill="CCEEFF"/>
          </w:tcPr>
          <w:p>
            <w:pPr>
              <w:jc w:val="right"/>
              <w:ind w:right="93"/>
              <w:spacing w:after="0"/>
              <w:rPr>
                <w:sz w:val="20"/>
                <w:szCs w:val="20"/>
                <w:color w:val="auto"/>
              </w:rPr>
            </w:pPr>
            <w:r>
              <w:rPr>
                <w:rFonts w:ascii="Times New Roman" w:cs="Times New Roman" w:eastAsia="Times New Roman" w:hAnsi="Times New Roman"/>
                <w:sz w:val="13"/>
                <w:szCs w:val="13"/>
                <w:color w:val="auto"/>
              </w:rPr>
              <w:t>1</w:t>
            </w:r>
          </w:p>
        </w:tc>
        <w:tc>
          <w:tcPr>
            <w:tcW w:w="100" w:type="dxa"/>
            <w:vAlign w:val="bottom"/>
            <w:shd w:val="clear" w:color="auto" w:fill="CCEEFF"/>
          </w:tcPr>
          <w:p>
            <w:pPr>
              <w:spacing w:after="0"/>
              <w:rPr>
                <w:sz w:val="15"/>
                <w:szCs w:val="15"/>
                <w:color w:val="auto"/>
              </w:rPr>
            </w:pPr>
          </w:p>
        </w:tc>
        <w:tc>
          <w:tcPr>
            <w:tcW w:w="260" w:type="dxa"/>
            <w:vAlign w:val="bottom"/>
            <w:shd w:val="clear" w:color="auto" w:fill="CCEEFF"/>
          </w:tcPr>
          <w:p>
            <w:pPr>
              <w:spacing w:after="0"/>
              <w:rPr>
                <w:sz w:val="15"/>
                <w:szCs w:val="15"/>
                <w:color w:val="auto"/>
              </w:rPr>
            </w:pPr>
          </w:p>
        </w:tc>
        <w:tc>
          <w:tcPr>
            <w:tcW w:w="8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21,422</w:t>
            </w:r>
          </w:p>
        </w:tc>
        <w:tc>
          <w:tcPr>
            <w:tcW w:w="100" w:type="dxa"/>
            <w:vAlign w:val="bottom"/>
            <w:shd w:val="clear" w:color="auto" w:fill="CCEEFF"/>
          </w:tcPr>
          <w:p>
            <w:pPr>
              <w:spacing w:after="0"/>
              <w:rPr>
                <w:sz w:val="15"/>
                <w:szCs w:val="15"/>
                <w:color w:val="auto"/>
              </w:rPr>
            </w:pPr>
          </w:p>
        </w:tc>
        <w:tc>
          <w:tcPr>
            <w:tcW w:w="340" w:type="dxa"/>
            <w:vAlign w:val="bottom"/>
            <w:shd w:val="clear" w:color="auto" w:fill="CCEEFF"/>
          </w:tcPr>
          <w:p>
            <w:pPr>
              <w:spacing w:after="0"/>
              <w:rPr>
                <w:sz w:val="15"/>
                <w:szCs w:val="15"/>
                <w:color w:val="auto"/>
              </w:rPr>
            </w:pPr>
          </w:p>
        </w:tc>
        <w:tc>
          <w:tcPr>
            <w:tcW w:w="900" w:type="dxa"/>
            <w:vAlign w:val="bottom"/>
            <w:shd w:val="clear" w:color="auto" w:fill="CCEEFF"/>
          </w:tcPr>
          <w:p>
            <w:pPr>
              <w:jc w:val="right"/>
              <w:ind w:right="93"/>
              <w:spacing w:after="0"/>
              <w:rPr>
                <w:sz w:val="20"/>
                <w:szCs w:val="20"/>
                <w:color w:val="auto"/>
              </w:rPr>
            </w:pPr>
            <w:r>
              <w:rPr>
                <w:rFonts w:ascii="Times New Roman" w:cs="Times New Roman" w:eastAsia="Times New Roman" w:hAnsi="Times New Roman"/>
                <w:sz w:val="13"/>
                <w:szCs w:val="13"/>
                <w:color w:val="auto"/>
              </w:rPr>
              <w:t>6</w:t>
            </w:r>
          </w:p>
        </w:tc>
        <w:tc>
          <w:tcPr>
            <w:tcW w:w="100" w:type="dxa"/>
            <w:vAlign w:val="bottom"/>
            <w:shd w:val="clear" w:color="auto" w:fill="CCEEFF"/>
          </w:tcPr>
          <w:p>
            <w:pPr>
              <w:spacing w:after="0"/>
              <w:rPr>
                <w:sz w:val="15"/>
                <w:szCs w:val="15"/>
                <w:color w:val="auto"/>
              </w:rPr>
            </w:pPr>
          </w:p>
        </w:tc>
        <w:tc>
          <w:tcPr>
            <w:tcW w:w="280" w:type="dxa"/>
            <w:vAlign w:val="bottom"/>
            <w:shd w:val="clear" w:color="auto" w:fill="CCEEFF"/>
          </w:tcPr>
          <w:p>
            <w:pPr>
              <w:spacing w:after="0"/>
              <w:rPr>
                <w:sz w:val="15"/>
                <w:szCs w:val="15"/>
                <w:color w:val="auto"/>
              </w:rPr>
            </w:pPr>
          </w:p>
        </w:tc>
        <w:tc>
          <w:tcPr>
            <w:tcW w:w="8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20,242</w:t>
            </w:r>
          </w:p>
        </w:tc>
        <w:tc>
          <w:tcPr>
            <w:tcW w:w="0" w:type="dxa"/>
            <w:vAlign w:val="bottom"/>
          </w:tcPr>
          <w:p>
            <w:pPr>
              <w:spacing w:after="0"/>
              <w:rPr>
                <w:sz w:val="1"/>
                <w:szCs w:val="1"/>
                <w:color w:val="auto"/>
              </w:rPr>
            </w:pPr>
          </w:p>
        </w:tc>
      </w:tr>
      <w:tr>
        <w:trPr>
          <w:trHeight w:val="180"/>
        </w:trPr>
        <w:tc>
          <w:tcPr>
            <w:tcW w:w="4920" w:type="dxa"/>
            <w:vAlign w:val="bottom"/>
          </w:tcPr>
          <w:p>
            <w:pPr>
              <w:ind w:left="280"/>
              <w:spacing w:after="0"/>
              <w:rPr>
                <w:sz w:val="20"/>
                <w:szCs w:val="20"/>
                <w:color w:val="auto"/>
              </w:rPr>
            </w:pPr>
            <w:r>
              <w:rPr>
                <w:rFonts w:ascii="Times New Roman" w:cs="Times New Roman" w:eastAsia="Times New Roman" w:hAnsi="Times New Roman"/>
                <w:sz w:val="14"/>
                <w:szCs w:val="14"/>
                <w:color w:val="auto"/>
              </w:rPr>
              <w:t>Trust performance-based fees</w:t>
            </w:r>
          </w:p>
        </w:tc>
        <w:tc>
          <w:tcPr>
            <w:tcW w:w="720" w:type="dxa"/>
            <w:vAlign w:val="bottom"/>
          </w:tcPr>
          <w:p>
            <w:pPr>
              <w:spacing w:after="0"/>
              <w:rPr>
                <w:sz w:val="15"/>
                <w:szCs w:val="15"/>
                <w:color w:val="auto"/>
              </w:rPr>
            </w:pPr>
          </w:p>
        </w:tc>
        <w:tc>
          <w:tcPr>
            <w:tcW w:w="44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260</w:t>
            </w:r>
          </w:p>
        </w:tc>
        <w:tc>
          <w:tcPr>
            <w:tcW w:w="80" w:type="dxa"/>
            <w:vAlign w:val="bottom"/>
          </w:tcPr>
          <w:p>
            <w:pPr>
              <w:spacing w:after="0"/>
              <w:rPr>
                <w:sz w:val="15"/>
                <w:szCs w:val="15"/>
                <w:color w:val="auto"/>
              </w:rPr>
            </w:pPr>
          </w:p>
        </w:tc>
        <w:tc>
          <w:tcPr>
            <w:tcW w:w="840" w:type="dxa"/>
            <w:vAlign w:val="bottom"/>
          </w:tcPr>
          <w:p>
            <w:pPr>
              <w:spacing w:after="0"/>
              <w:rPr>
                <w:sz w:val="15"/>
                <w:szCs w:val="15"/>
                <w:color w:val="auto"/>
              </w:rPr>
            </w:pPr>
          </w:p>
        </w:tc>
        <w:tc>
          <w:tcPr>
            <w:tcW w:w="420" w:type="dxa"/>
            <w:vAlign w:val="bottom"/>
          </w:tcPr>
          <w:p>
            <w:pPr>
              <w:jc w:val="right"/>
              <w:ind w:right="53"/>
              <w:spacing w:after="0"/>
              <w:rPr>
                <w:sz w:val="20"/>
                <w:szCs w:val="20"/>
                <w:color w:val="auto"/>
              </w:rPr>
            </w:pPr>
            <w:r>
              <w:rPr>
                <w:rFonts w:ascii="Times New Roman" w:cs="Times New Roman" w:eastAsia="Times New Roman" w:hAnsi="Times New Roman"/>
                <w:sz w:val="13"/>
                <w:szCs w:val="13"/>
                <w:color w:val="auto"/>
              </w:rPr>
              <w:t>(46)</w:t>
            </w:r>
          </w:p>
        </w:tc>
        <w:tc>
          <w:tcPr>
            <w:tcW w:w="100" w:type="dxa"/>
            <w:vAlign w:val="bottom"/>
          </w:tcPr>
          <w:p>
            <w:pPr>
              <w:spacing w:after="0"/>
              <w:rPr>
                <w:sz w:val="15"/>
                <w:szCs w:val="15"/>
                <w:color w:val="auto"/>
              </w:rPr>
            </w:pPr>
          </w:p>
        </w:tc>
        <w:tc>
          <w:tcPr>
            <w:tcW w:w="260" w:type="dxa"/>
            <w:vAlign w:val="bottom"/>
          </w:tcPr>
          <w:p>
            <w:pPr>
              <w:spacing w:after="0"/>
              <w:rPr>
                <w:sz w:val="15"/>
                <w:szCs w:val="15"/>
                <w:color w:val="auto"/>
              </w:rPr>
            </w:pPr>
          </w:p>
        </w:tc>
        <w:tc>
          <w:tcPr>
            <w:tcW w:w="88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482</w:t>
            </w:r>
          </w:p>
        </w:tc>
        <w:tc>
          <w:tcPr>
            <w:tcW w:w="100" w:type="dxa"/>
            <w:vAlign w:val="bottom"/>
          </w:tcPr>
          <w:p>
            <w:pPr>
              <w:spacing w:after="0"/>
              <w:rPr>
                <w:sz w:val="15"/>
                <w:szCs w:val="15"/>
                <w:color w:val="auto"/>
              </w:rPr>
            </w:pPr>
          </w:p>
        </w:tc>
        <w:tc>
          <w:tcPr>
            <w:tcW w:w="340" w:type="dxa"/>
            <w:vAlign w:val="bottom"/>
          </w:tcPr>
          <w:p>
            <w:pPr>
              <w:spacing w:after="0"/>
              <w:rPr>
                <w:sz w:val="15"/>
                <w:szCs w:val="15"/>
                <w:color w:val="auto"/>
              </w:rPr>
            </w:pPr>
          </w:p>
        </w:tc>
        <w:tc>
          <w:tcPr>
            <w:tcW w:w="900" w:type="dxa"/>
            <w:vAlign w:val="bottom"/>
          </w:tcPr>
          <w:p>
            <w:pPr>
              <w:jc w:val="right"/>
              <w:ind w:right="93"/>
              <w:spacing w:after="0"/>
              <w:rPr>
                <w:sz w:val="20"/>
                <w:szCs w:val="20"/>
                <w:color w:val="auto"/>
              </w:rPr>
            </w:pPr>
            <w:r>
              <w:rPr>
                <w:rFonts w:ascii="Times New Roman" w:cs="Times New Roman" w:eastAsia="Times New Roman" w:hAnsi="Times New Roman"/>
                <w:sz w:val="13"/>
                <w:szCs w:val="13"/>
                <w:color w:val="auto"/>
              </w:rPr>
              <w:t>38</w:t>
            </w:r>
          </w:p>
        </w:tc>
        <w:tc>
          <w:tcPr>
            <w:tcW w:w="100" w:type="dxa"/>
            <w:vAlign w:val="bottom"/>
          </w:tcPr>
          <w:p>
            <w:pPr>
              <w:spacing w:after="0"/>
              <w:rPr>
                <w:sz w:val="15"/>
                <w:szCs w:val="15"/>
                <w:color w:val="auto"/>
              </w:rPr>
            </w:pPr>
          </w:p>
        </w:tc>
        <w:tc>
          <w:tcPr>
            <w:tcW w:w="280" w:type="dxa"/>
            <w:vAlign w:val="bottom"/>
          </w:tcPr>
          <w:p>
            <w:pPr>
              <w:spacing w:after="0"/>
              <w:rPr>
                <w:sz w:val="15"/>
                <w:szCs w:val="15"/>
                <w:color w:val="auto"/>
              </w:rPr>
            </w:pPr>
          </w:p>
        </w:tc>
        <w:tc>
          <w:tcPr>
            <w:tcW w:w="88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349</w:t>
            </w:r>
          </w:p>
        </w:tc>
        <w:tc>
          <w:tcPr>
            <w:tcW w:w="0" w:type="dxa"/>
            <w:vAlign w:val="bottom"/>
          </w:tcPr>
          <w:p>
            <w:pPr>
              <w:spacing w:after="0"/>
              <w:rPr>
                <w:sz w:val="1"/>
                <w:szCs w:val="1"/>
                <w:color w:val="auto"/>
              </w:rPr>
            </w:pPr>
          </w:p>
        </w:tc>
      </w:tr>
      <w:tr>
        <w:trPr>
          <w:trHeight w:val="180"/>
        </w:trPr>
        <w:tc>
          <w:tcPr>
            <w:tcW w:w="4920" w:type="dxa"/>
            <w:vAlign w:val="bottom"/>
            <w:shd w:val="clear" w:color="auto" w:fill="CCEEFF"/>
          </w:tcPr>
          <w:p>
            <w:pPr>
              <w:ind w:left="280"/>
              <w:spacing w:after="0"/>
              <w:rPr>
                <w:sz w:val="20"/>
                <w:szCs w:val="20"/>
                <w:color w:val="auto"/>
              </w:rPr>
            </w:pPr>
            <w:r>
              <w:rPr>
                <w:rFonts w:ascii="Times New Roman" w:cs="Times New Roman" w:eastAsia="Times New Roman" w:hAnsi="Times New Roman"/>
                <w:sz w:val="14"/>
                <w:szCs w:val="14"/>
                <w:color w:val="auto"/>
              </w:rPr>
              <w:t>Other revenues, net</w:t>
            </w:r>
          </w:p>
        </w:tc>
        <w:tc>
          <w:tcPr>
            <w:tcW w:w="720" w:type="dxa"/>
            <w:vAlign w:val="bottom"/>
            <w:tcBorders>
              <w:bottom w:val="single" w:sz="8" w:color="auto"/>
            </w:tcBorders>
            <w:shd w:val="clear" w:color="auto" w:fill="CCEEFF"/>
          </w:tcPr>
          <w:p>
            <w:pPr>
              <w:spacing w:after="0"/>
              <w:rPr>
                <w:sz w:val="15"/>
                <w:szCs w:val="15"/>
                <w:color w:val="auto"/>
              </w:rPr>
            </w:pPr>
          </w:p>
        </w:tc>
        <w:tc>
          <w:tcPr>
            <w:tcW w:w="4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346</w:t>
            </w:r>
          </w:p>
        </w:tc>
        <w:tc>
          <w:tcPr>
            <w:tcW w:w="80" w:type="dxa"/>
            <w:vAlign w:val="bottom"/>
            <w:shd w:val="clear" w:color="auto" w:fill="CCEEFF"/>
          </w:tcPr>
          <w:p>
            <w:pPr>
              <w:spacing w:after="0"/>
              <w:rPr>
                <w:sz w:val="15"/>
                <w:szCs w:val="15"/>
                <w:color w:val="auto"/>
              </w:rPr>
            </w:pPr>
          </w:p>
        </w:tc>
        <w:tc>
          <w:tcPr>
            <w:tcW w:w="840" w:type="dxa"/>
            <w:vAlign w:val="bottom"/>
            <w:tcBorders>
              <w:bottom w:val="single" w:sz="8" w:color="auto"/>
            </w:tcBorders>
            <w:shd w:val="clear" w:color="auto" w:fill="CCEEFF"/>
          </w:tcPr>
          <w:p>
            <w:pPr>
              <w:spacing w:after="0"/>
              <w:rPr>
                <w:sz w:val="15"/>
                <w:szCs w:val="15"/>
                <w:color w:val="auto"/>
              </w:rPr>
            </w:pPr>
          </w:p>
        </w:tc>
        <w:tc>
          <w:tcPr>
            <w:tcW w:w="420" w:type="dxa"/>
            <w:vAlign w:val="bottom"/>
            <w:tcBorders>
              <w:bottom w:val="single" w:sz="8" w:color="auto"/>
            </w:tcBorders>
            <w:shd w:val="clear" w:color="auto" w:fill="CCEEFF"/>
          </w:tcPr>
          <w:p>
            <w:pPr>
              <w:jc w:val="right"/>
              <w:ind w:right="53"/>
              <w:spacing w:after="0"/>
              <w:rPr>
                <w:sz w:val="20"/>
                <w:szCs w:val="20"/>
                <w:color w:val="auto"/>
              </w:rPr>
            </w:pPr>
            <w:r>
              <w:rPr>
                <w:rFonts w:ascii="Times New Roman" w:cs="Times New Roman" w:eastAsia="Times New Roman" w:hAnsi="Times New Roman"/>
                <w:sz w:val="13"/>
                <w:szCs w:val="13"/>
                <w:color w:val="auto"/>
              </w:rPr>
              <w:t>(79)</w:t>
            </w:r>
          </w:p>
        </w:tc>
        <w:tc>
          <w:tcPr>
            <w:tcW w:w="100" w:type="dxa"/>
            <w:vAlign w:val="bottom"/>
            <w:shd w:val="clear" w:color="auto" w:fill="CCEEFF"/>
          </w:tcPr>
          <w:p>
            <w:pPr>
              <w:spacing w:after="0"/>
              <w:rPr>
                <w:sz w:val="15"/>
                <w:szCs w:val="15"/>
                <w:color w:val="auto"/>
              </w:rPr>
            </w:pPr>
          </w:p>
        </w:tc>
        <w:tc>
          <w:tcPr>
            <w:tcW w:w="260" w:type="dxa"/>
            <w:vAlign w:val="bottom"/>
            <w:tcBorders>
              <w:bottom w:val="single" w:sz="8" w:color="auto"/>
            </w:tcBorders>
            <w:shd w:val="clear" w:color="auto" w:fill="CCEEFF"/>
          </w:tcPr>
          <w:p>
            <w:pPr>
              <w:spacing w:after="0"/>
              <w:rPr>
                <w:sz w:val="15"/>
                <w:szCs w:val="15"/>
                <w:color w:val="auto"/>
              </w:rPr>
            </w:pPr>
          </w:p>
        </w:tc>
        <w:tc>
          <w:tcPr>
            <w:tcW w:w="8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1,669</w:t>
            </w:r>
          </w:p>
        </w:tc>
        <w:tc>
          <w:tcPr>
            <w:tcW w:w="100" w:type="dxa"/>
            <w:vAlign w:val="bottom"/>
            <w:shd w:val="clear" w:color="auto" w:fill="CCEEFF"/>
          </w:tcPr>
          <w:p>
            <w:pPr>
              <w:spacing w:after="0"/>
              <w:rPr>
                <w:sz w:val="15"/>
                <w:szCs w:val="15"/>
                <w:color w:val="auto"/>
              </w:rPr>
            </w:pPr>
          </w:p>
        </w:tc>
        <w:tc>
          <w:tcPr>
            <w:tcW w:w="340" w:type="dxa"/>
            <w:vAlign w:val="bottom"/>
            <w:tcBorders>
              <w:bottom w:val="single" w:sz="8" w:color="auto"/>
            </w:tcBorders>
            <w:shd w:val="clear" w:color="auto" w:fill="CCEEFF"/>
          </w:tcPr>
          <w:p>
            <w:pPr>
              <w:spacing w:after="0"/>
              <w:rPr>
                <w:sz w:val="15"/>
                <w:szCs w:val="15"/>
                <w:color w:val="auto"/>
              </w:rPr>
            </w:pPr>
          </w:p>
        </w:tc>
        <w:tc>
          <w:tcPr>
            <w:tcW w:w="900" w:type="dxa"/>
            <w:vAlign w:val="bottom"/>
            <w:tcBorders>
              <w:bottom w:val="single" w:sz="8" w:color="auto"/>
            </w:tcBorders>
            <w:shd w:val="clear" w:color="auto" w:fill="CCEEFF"/>
          </w:tcPr>
          <w:p>
            <w:pPr>
              <w:jc w:val="right"/>
              <w:ind w:right="93"/>
              <w:spacing w:after="0"/>
              <w:rPr>
                <w:sz w:val="20"/>
                <w:szCs w:val="20"/>
                <w:color w:val="auto"/>
              </w:rPr>
            </w:pPr>
            <w:r>
              <w:rPr>
                <w:rFonts w:ascii="Times New Roman" w:cs="Times New Roman" w:eastAsia="Times New Roman" w:hAnsi="Times New Roman"/>
                <w:sz w:val="13"/>
                <w:szCs w:val="13"/>
                <w:color w:val="auto"/>
              </w:rPr>
              <w:t>213</w:t>
            </w:r>
          </w:p>
        </w:tc>
        <w:tc>
          <w:tcPr>
            <w:tcW w:w="100" w:type="dxa"/>
            <w:vAlign w:val="bottom"/>
            <w:shd w:val="clear" w:color="auto" w:fill="CCEEFF"/>
          </w:tcPr>
          <w:p>
            <w:pPr>
              <w:spacing w:after="0"/>
              <w:rPr>
                <w:sz w:val="15"/>
                <w:szCs w:val="15"/>
                <w:color w:val="auto"/>
              </w:rPr>
            </w:pPr>
          </w:p>
        </w:tc>
        <w:tc>
          <w:tcPr>
            <w:tcW w:w="280" w:type="dxa"/>
            <w:vAlign w:val="bottom"/>
            <w:tcBorders>
              <w:bottom w:val="single" w:sz="8" w:color="auto"/>
            </w:tcBorders>
            <w:shd w:val="clear" w:color="auto" w:fill="CCEEFF"/>
          </w:tcPr>
          <w:p>
            <w:pPr>
              <w:spacing w:after="0"/>
              <w:rPr>
                <w:sz w:val="15"/>
                <w:szCs w:val="15"/>
                <w:color w:val="auto"/>
              </w:rPr>
            </w:pPr>
          </w:p>
        </w:tc>
        <w:tc>
          <w:tcPr>
            <w:tcW w:w="8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534</w:t>
            </w:r>
          </w:p>
        </w:tc>
        <w:tc>
          <w:tcPr>
            <w:tcW w:w="0" w:type="dxa"/>
            <w:vAlign w:val="bottom"/>
          </w:tcPr>
          <w:p>
            <w:pPr>
              <w:spacing w:after="0"/>
              <w:rPr>
                <w:sz w:val="1"/>
                <w:szCs w:val="1"/>
                <w:color w:val="auto"/>
              </w:rPr>
            </w:pPr>
          </w:p>
        </w:tc>
      </w:tr>
      <w:tr>
        <w:trPr>
          <w:trHeight w:val="168"/>
        </w:trPr>
        <w:tc>
          <w:tcPr>
            <w:tcW w:w="4920" w:type="dxa"/>
            <w:vAlign w:val="bottom"/>
            <w:tcBorders>
              <w:bottom w:val="single" w:sz="8" w:color="CCEEFF"/>
            </w:tcBorders>
          </w:tcPr>
          <w:p>
            <w:pPr>
              <w:ind w:left="620"/>
              <w:spacing w:after="0"/>
              <w:rPr>
                <w:sz w:val="20"/>
                <w:szCs w:val="20"/>
                <w:color w:val="auto"/>
              </w:rPr>
            </w:pPr>
            <w:r>
              <w:rPr>
                <w:rFonts w:ascii="Times New Roman" w:cs="Times New Roman" w:eastAsia="Times New Roman" w:hAnsi="Times New Roman"/>
                <w:sz w:val="14"/>
                <w:szCs w:val="14"/>
                <w:color w:val="auto"/>
              </w:rPr>
              <w:t>Total revenues</w:t>
            </w:r>
          </w:p>
        </w:tc>
        <w:tc>
          <w:tcPr>
            <w:tcW w:w="720" w:type="dxa"/>
            <w:vAlign w:val="bottom"/>
            <w:tcBorders>
              <w:bottom w:val="single" w:sz="8" w:color="auto"/>
            </w:tcBorders>
          </w:tcPr>
          <w:p>
            <w:pPr>
              <w:spacing w:after="0"/>
              <w:rPr>
                <w:sz w:val="14"/>
                <w:szCs w:val="14"/>
                <w:color w:val="auto"/>
              </w:rPr>
            </w:pPr>
          </w:p>
        </w:tc>
        <w:tc>
          <w:tcPr>
            <w:tcW w:w="4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3"/>
                <w:szCs w:val="13"/>
                <w:color w:val="auto"/>
              </w:rPr>
              <w:t>97,762</w:t>
            </w:r>
          </w:p>
        </w:tc>
        <w:tc>
          <w:tcPr>
            <w:tcW w:w="80" w:type="dxa"/>
            <w:vAlign w:val="bottom"/>
            <w:tcBorders>
              <w:bottom w:val="single" w:sz="8" w:color="CCEEFF"/>
            </w:tcBorders>
          </w:tcPr>
          <w:p>
            <w:pPr>
              <w:spacing w:after="0"/>
              <w:rPr>
                <w:sz w:val="14"/>
                <w:szCs w:val="14"/>
                <w:color w:val="auto"/>
              </w:rPr>
            </w:pPr>
          </w:p>
        </w:tc>
        <w:tc>
          <w:tcPr>
            <w:tcW w:w="840" w:type="dxa"/>
            <w:vAlign w:val="bottom"/>
            <w:tcBorders>
              <w:bottom w:val="single" w:sz="8" w:color="auto"/>
            </w:tcBorders>
          </w:tcPr>
          <w:p>
            <w:pPr>
              <w:spacing w:after="0"/>
              <w:rPr>
                <w:sz w:val="14"/>
                <w:szCs w:val="14"/>
                <w:color w:val="auto"/>
              </w:rPr>
            </w:pPr>
          </w:p>
        </w:tc>
        <w:tc>
          <w:tcPr>
            <w:tcW w:w="420" w:type="dxa"/>
            <w:vAlign w:val="bottom"/>
            <w:tcBorders>
              <w:bottom w:val="single" w:sz="8" w:color="auto"/>
            </w:tcBorders>
          </w:tcPr>
          <w:p>
            <w:pPr>
              <w:jc w:val="right"/>
              <w:ind w:right="93"/>
              <w:spacing w:after="0"/>
              <w:rPr>
                <w:sz w:val="20"/>
                <w:szCs w:val="20"/>
                <w:color w:val="auto"/>
              </w:rPr>
            </w:pPr>
            <w:r>
              <w:rPr>
                <w:rFonts w:ascii="Times New Roman" w:cs="Times New Roman" w:eastAsia="Times New Roman" w:hAnsi="Times New Roman"/>
                <w:sz w:val="13"/>
                <w:szCs w:val="13"/>
                <w:color w:val="auto"/>
              </w:rPr>
              <w:t>3</w:t>
            </w:r>
          </w:p>
        </w:tc>
        <w:tc>
          <w:tcPr>
            <w:tcW w:w="100" w:type="dxa"/>
            <w:vAlign w:val="bottom"/>
            <w:tcBorders>
              <w:bottom w:val="single" w:sz="8" w:color="CCEEFF"/>
            </w:tcBorders>
          </w:tcPr>
          <w:p>
            <w:pPr>
              <w:spacing w:after="0"/>
              <w:rPr>
                <w:sz w:val="14"/>
                <w:szCs w:val="14"/>
                <w:color w:val="auto"/>
              </w:rPr>
            </w:pPr>
          </w:p>
        </w:tc>
        <w:tc>
          <w:tcPr>
            <w:tcW w:w="260" w:type="dxa"/>
            <w:vAlign w:val="bottom"/>
            <w:tcBorders>
              <w:bottom w:val="single" w:sz="8" w:color="auto"/>
            </w:tcBorders>
          </w:tcPr>
          <w:p>
            <w:pPr>
              <w:spacing w:after="0"/>
              <w:rPr>
                <w:sz w:val="14"/>
                <w:szCs w:val="14"/>
                <w:color w:val="auto"/>
              </w:rPr>
            </w:pPr>
          </w:p>
        </w:tc>
        <w:tc>
          <w:tcPr>
            <w:tcW w:w="8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3"/>
                <w:szCs w:val="13"/>
                <w:color w:val="auto"/>
              </w:rPr>
              <w:t>94,721</w:t>
            </w:r>
          </w:p>
        </w:tc>
        <w:tc>
          <w:tcPr>
            <w:tcW w:w="100" w:type="dxa"/>
            <w:vAlign w:val="bottom"/>
            <w:tcBorders>
              <w:bottom w:val="single" w:sz="8" w:color="CCEEFF"/>
            </w:tcBorders>
          </w:tcPr>
          <w:p>
            <w:pPr>
              <w:spacing w:after="0"/>
              <w:rPr>
                <w:sz w:val="14"/>
                <w:szCs w:val="14"/>
                <w:color w:val="auto"/>
              </w:rPr>
            </w:pPr>
          </w:p>
        </w:tc>
        <w:tc>
          <w:tcPr>
            <w:tcW w:w="340" w:type="dxa"/>
            <w:vAlign w:val="bottom"/>
            <w:tcBorders>
              <w:bottom w:val="single" w:sz="8" w:color="auto"/>
            </w:tcBorders>
          </w:tcPr>
          <w:p>
            <w:pPr>
              <w:spacing w:after="0"/>
              <w:rPr>
                <w:sz w:val="14"/>
                <w:szCs w:val="14"/>
                <w:color w:val="auto"/>
              </w:rPr>
            </w:pPr>
          </w:p>
        </w:tc>
        <w:tc>
          <w:tcPr>
            <w:tcW w:w="900" w:type="dxa"/>
            <w:vAlign w:val="bottom"/>
            <w:tcBorders>
              <w:bottom w:val="single" w:sz="8" w:color="auto"/>
            </w:tcBorders>
          </w:tcPr>
          <w:p>
            <w:pPr>
              <w:jc w:val="right"/>
              <w:ind w:right="93"/>
              <w:spacing w:after="0"/>
              <w:rPr>
                <w:sz w:val="20"/>
                <w:szCs w:val="20"/>
                <w:color w:val="auto"/>
              </w:rPr>
            </w:pPr>
            <w:r>
              <w:rPr>
                <w:rFonts w:ascii="Times New Roman" w:cs="Times New Roman" w:eastAsia="Times New Roman" w:hAnsi="Times New Roman"/>
                <w:sz w:val="13"/>
                <w:szCs w:val="13"/>
                <w:color w:val="auto"/>
              </w:rPr>
              <w:t>6</w:t>
            </w:r>
          </w:p>
        </w:tc>
        <w:tc>
          <w:tcPr>
            <w:tcW w:w="100" w:type="dxa"/>
            <w:vAlign w:val="bottom"/>
            <w:tcBorders>
              <w:bottom w:val="single" w:sz="8" w:color="CCEEFF"/>
            </w:tcBorders>
          </w:tcPr>
          <w:p>
            <w:pPr>
              <w:spacing w:after="0"/>
              <w:rPr>
                <w:sz w:val="14"/>
                <w:szCs w:val="14"/>
                <w:color w:val="auto"/>
              </w:rPr>
            </w:pPr>
          </w:p>
        </w:tc>
        <w:tc>
          <w:tcPr>
            <w:tcW w:w="280" w:type="dxa"/>
            <w:vAlign w:val="bottom"/>
            <w:tcBorders>
              <w:bottom w:val="single" w:sz="8" w:color="auto"/>
            </w:tcBorders>
          </w:tcPr>
          <w:p>
            <w:pPr>
              <w:spacing w:after="0"/>
              <w:rPr>
                <w:sz w:val="14"/>
                <w:szCs w:val="14"/>
                <w:color w:val="auto"/>
              </w:rPr>
            </w:pPr>
          </w:p>
        </w:tc>
        <w:tc>
          <w:tcPr>
            <w:tcW w:w="8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3"/>
                <w:szCs w:val="13"/>
                <w:color w:val="auto"/>
              </w:rPr>
              <w:t>89,781</w:t>
            </w:r>
          </w:p>
        </w:tc>
        <w:tc>
          <w:tcPr>
            <w:tcW w:w="0" w:type="dxa"/>
            <w:vAlign w:val="bottom"/>
          </w:tcPr>
          <w:p>
            <w:pPr>
              <w:spacing w:after="0"/>
              <w:rPr>
                <w:sz w:val="1"/>
                <w:szCs w:val="1"/>
                <w:color w:val="auto"/>
              </w:rPr>
            </w:pPr>
          </w:p>
        </w:tc>
      </w:tr>
      <w:tr>
        <w:trPr>
          <w:trHeight w:val="174"/>
        </w:trPr>
        <w:tc>
          <w:tcPr>
            <w:tcW w:w="492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4"/>
                <w:szCs w:val="14"/>
                <w:b w:val="1"/>
                <w:bCs w:val="1"/>
                <w:color w:val="auto"/>
              </w:rPr>
              <w:t>Expenses:</w:t>
            </w:r>
          </w:p>
        </w:tc>
        <w:tc>
          <w:tcPr>
            <w:tcW w:w="720" w:type="dxa"/>
            <w:vAlign w:val="bottom"/>
            <w:shd w:val="clear" w:color="auto" w:fill="CCEEFF"/>
          </w:tcPr>
          <w:p>
            <w:pPr>
              <w:spacing w:after="0"/>
              <w:rPr>
                <w:sz w:val="15"/>
                <w:szCs w:val="15"/>
                <w:color w:val="auto"/>
              </w:rPr>
            </w:pPr>
          </w:p>
        </w:tc>
        <w:tc>
          <w:tcPr>
            <w:tcW w:w="440" w:type="dxa"/>
            <w:vAlign w:val="bottom"/>
            <w:shd w:val="clear" w:color="auto" w:fill="CCEEFF"/>
          </w:tcPr>
          <w:p>
            <w:pPr>
              <w:spacing w:after="0"/>
              <w:rPr>
                <w:sz w:val="15"/>
                <w:szCs w:val="15"/>
                <w:color w:val="auto"/>
              </w:rPr>
            </w:pPr>
          </w:p>
        </w:tc>
        <w:tc>
          <w:tcPr>
            <w:tcW w:w="80" w:type="dxa"/>
            <w:vAlign w:val="bottom"/>
            <w:shd w:val="clear" w:color="auto" w:fill="CCEEFF"/>
          </w:tcPr>
          <w:p>
            <w:pPr>
              <w:spacing w:after="0"/>
              <w:rPr>
                <w:sz w:val="15"/>
                <w:szCs w:val="15"/>
                <w:color w:val="auto"/>
              </w:rPr>
            </w:pPr>
          </w:p>
        </w:tc>
        <w:tc>
          <w:tcPr>
            <w:tcW w:w="840" w:type="dxa"/>
            <w:vAlign w:val="bottom"/>
            <w:shd w:val="clear" w:color="auto" w:fill="CCEEFF"/>
          </w:tcPr>
          <w:p>
            <w:pPr>
              <w:spacing w:after="0"/>
              <w:rPr>
                <w:sz w:val="15"/>
                <w:szCs w:val="15"/>
                <w:color w:val="auto"/>
              </w:rPr>
            </w:pPr>
          </w:p>
        </w:tc>
        <w:tc>
          <w:tcPr>
            <w:tcW w:w="42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260" w:type="dxa"/>
            <w:vAlign w:val="bottom"/>
            <w:shd w:val="clear" w:color="auto" w:fill="CCEEFF"/>
          </w:tcPr>
          <w:p>
            <w:pPr>
              <w:spacing w:after="0"/>
              <w:rPr>
                <w:sz w:val="15"/>
                <w:szCs w:val="15"/>
                <w:color w:val="auto"/>
              </w:rPr>
            </w:pPr>
          </w:p>
        </w:tc>
        <w:tc>
          <w:tcPr>
            <w:tcW w:w="88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340" w:type="dxa"/>
            <w:vAlign w:val="bottom"/>
            <w:shd w:val="clear" w:color="auto" w:fill="CCEEFF"/>
          </w:tcPr>
          <w:p>
            <w:pPr>
              <w:spacing w:after="0"/>
              <w:rPr>
                <w:sz w:val="15"/>
                <w:szCs w:val="15"/>
                <w:color w:val="auto"/>
              </w:rPr>
            </w:pPr>
          </w:p>
        </w:tc>
        <w:tc>
          <w:tcPr>
            <w:tcW w:w="90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280" w:type="dxa"/>
            <w:vAlign w:val="bottom"/>
            <w:shd w:val="clear" w:color="auto" w:fill="CCEEFF"/>
          </w:tcPr>
          <w:p>
            <w:pPr>
              <w:spacing w:after="0"/>
              <w:rPr>
                <w:sz w:val="15"/>
                <w:szCs w:val="15"/>
                <w:color w:val="auto"/>
              </w:rPr>
            </w:pPr>
          </w:p>
        </w:tc>
        <w:tc>
          <w:tcPr>
            <w:tcW w:w="880" w:type="dxa"/>
            <w:vAlign w:val="bottom"/>
            <w:shd w:val="clear" w:color="auto" w:fill="CCEEFF"/>
          </w:tcPr>
          <w:p>
            <w:pPr>
              <w:spacing w:after="0"/>
              <w:rPr>
                <w:sz w:val="15"/>
                <w:szCs w:val="15"/>
                <w:color w:val="auto"/>
              </w:rPr>
            </w:pPr>
          </w:p>
        </w:tc>
        <w:tc>
          <w:tcPr>
            <w:tcW w:w="0" w:type="dxa"/>
            <w:vAlign w:val="bottom"/>
          </w:tcPr>
          <w:p>
            <w:pPr>
              <w:spacing w:after="0"/>
              <w:rPr>
                <w:sz w:val="1"/>
                <w:szCs w:val="1"/>
                <w:color w:val="auto"/>
              </w:rPr>
            </w:pPr>
          </w:p>
        </w:tc>
      </w:tr>
      <w:tr>
        <w:trPr>
          <w:trHeight w:val="180"/>
        </w:trPr>
        <w:tc>
          <w:tcPr>
            <w:tcW w:w="4920" w:type="dxa"/>
            <w:vAlign w:val="bottom"/>
          </w:tcPr>
          <w:p>
            <w:pPr>
              <w:ind w:left="280"/>
              <w:spacing w:after="0"/>
              <w:rPr>
                <w:sz w:val="20"/>
                <w:szCs w:val="20"/>
                <w:color w:val="auto"/>
              </w:rPr>
            </w:pPr>
            <w:r>
              <w:rPr>
                <w:rFonts w:ascii="Times New Roman" w:cs="Times New Roman" w:eastAsia="Times New Roman" w:hAnsi="Times New Roman"/>
                <w:sz w:val="14"/>
                <w:szCs w:val="14"/>
                <w:color w:val="auto"/>
              </w:rPr>
              <w:t>Employee compensation and benefits</w:t>
            </w:r>
          </w:p>
        </w:tc>
        <w:tc>
          <w:tcPr>
            <w:tcW w:w="720" w:type="dxa"/>
            <w:vAlign w:val="bottom"/>
          </w:tcPr>
          <w:p>
            <w:pPr>
              <w:spacing w:after="0"/>
              <w:rPr>
                <w:sz w:val="15"/>
                <w:szCs w:val="15"/>
                <w:color w:val="auto"/>
              </w:rPr>
            </w:pPr>
          </w:p>
        </w:tc>
        <w:tc>
          <w:tcPr>
            <w:tcW w:w="44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56,686</w:t>
            </w:r>
          </w:p>
        </w:tc>
        <w:tc>
          <w:tcPr>
            <w:tcW w:w="80" w:type="dxa"/>
            <w:vAlign w:val="bottom"/>
          </w:tcPr>
          <w:p>
            <w:pPr>
              <w:spacing w:after="0"/>
              <w:rPr>
                <w:sz w:val="15"/>
                <w:szCs w:val="15"/>
                <w:color w:val="auto"/>
              </w:rPr>
            </w:pPr>
          </w:p>
        </w:tc>
        <w:tc>
          <w:tcPr>
            <w:tcW w:w="840" w:type="dxa"/>
            <w:vAlign w:val="bottom"/>
          </w:tcPr>
          <w:p>
            <w:pPr>
              <w:spacing w:after="0"/>
              <w:rPr>
                <w:sz w:val="15"/>
                <w:szCs w:val="15"/>
                <w:color w:val="auto"/>
              </w:rPr>
            </w:pPr>
          </w:p>
        </w:tc>
        <w:tc>
          <w:tcPr>
            <w:tcW w:w="420" w:type="dxa"/>
            <w:vAlign w:val="bottom"/>
          </w:tcPr>
          <w:p>
            <w:pPr>
              <w:jc w:val="right"/>
              <w:ind w:right="93"/>
              <w:spacing w:after="0"/>
              <w:rPr>
                <w:sz w:val="20"/>
                <w:szCs w:val="20"/>
                <w:color w:val="auto"/>
              </w:rPr>
            </w:pPr>
            <w:r>
              <w:rPr>
                <w:rFonts w:ascii="Times New Roman" w:cs="Times New Roman" w:eastAsia="Times New Roman" w:hAnsi="Times New Roman"/>
                <w:sz w:val="13"/>
                <w:szCs w:val="13"/>
                <w:color w:val="auto"/>
              </w:rPr>
              <w:t>1</w:t>
            </w:r>
          </w:p>
        </w:tc>
        <w:tc>
          <w:tcPr>
            <w:tcW w:w="100" w:type="dxa"/>
            <w:vAlign w:val="bottom"/>
          </w:tcPr>
          <w:p>
            <w:pPr>
              <w:spacing w:after="0"/>
              <w:rPr>
                <w:sz w:val="15"/>
                <w:szCs w:val="15"/>
                <w:color w:val="auto"/>
              </w:rPr>
            </w:pPr>
          </w:p>
        </w:tc>
        <w:tc>
          <w:tcPr>
            <w:tcW w:w="260" w:type="dxa"/>
            <w:vAlign w:val="bottom"/>
          </w:tcPr>
          <w:p>
            <w:pPr>
              <w:spacing w:after="0"/>
              <w:rPr>
                <w:sz w:val="15"/>
                <w:szCs w:val="15"/>
                <w:color w:val="auto"/>
              </w:rPr>
            </w:pPr>
          </w:p>
        </w:tc>
        <w:tc>
          <w:tcPr>
            <w:tcW w:w="88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56,011</w:t>
            </w:r>
          </w:p>
        </w:tc>
        <w:tc>
          <w:tcPr>
            <w:tcW w:w="100" w:type="dxa"/>
            <w:vAlign w:val="bottom"/>
          </w:tcPr>
          <w:p>
            <w:pPr>
              <w:spacing w:after="0"/>
              <w:rPr>
                <w:sz w:val="15"/>
                <w:szCs w:val="15"/>
                <w:color w:val="auto"/>
              </w:rPr>
            </w:pPr>
          </w:p>
        </w:tc>
        <w:tc>
          <w:tcPr>
            <w:tcW w:w="340" w:type="dxa"/>
            <w:vAlign w:val="bottom"/>
          </w:tcPr>
          <w:p>
            <w:pPr>
              <w:spacing w:after="0"/>
              <w:rPr>
                <w:sz w:val="15"/>
                <w:szCs w:val="15"/>
                <w:color w:val="auto"/>
              </w:rPr>
            </w:pPr>
          </w:p>
        </w:tc>
        <w:tc>
          <w:tcPr>
            <w:tcW w:w="900" w:type="dxa"/>
            <w:vAlign w:val="bottom"/>
          </w:tcPr>
          <w:p>
            <w:pPr>
              <w:jc w:val="right"/>
              <w:ind w:right="93"/>
              <w:spacing w:after="0"/>
              <w:rPr>
                <w:sz w:val="20"/>
                <w:szCs w:val="20"/>
                <w:color w:val="auto"/>
              </w:rPr>
            </w:pPr>
            <w:r>
              <w:rPr>
                <w:rFonts w:ascii="Times New Roman" w:cs="Times New Roman" w:eastAsia="Times New Roman" w:hAnsi="Times New Roman"/>
                <w:sz w:val="13"/>
                <w:szCs w:val="13"/>
                <w:color w:val="auto"/>
              </w:rPr>
              <w:t>6</w:t>
            </w:r>
          </w:p>
        </w:tc>
        <w:tc>
          <w:tcPr>
            <w:tcW w:w="100" w:type="dxa"/>
            <w:vAlign w:val="bottom"/>
          </w:tcPr>
          <w:p>
            <w:pPr>
              <w:spacing w:after="0"/>
              <w:rPr>
                <w:sz w:val="15"/>
                <w:szCs w:val="15"/>
                <w:color w:val="auto"/>
              </w:rPr>
            </w:pPr>
          </w:p>
        </w:tc>
        <w:tc>
          <w:tcPr>
            <w:tcW w:w="280" w:type="dxa"/>
            <w:vAlign w:val="bottom"/>
          </w:tcPr>
          <w:p>
            <w:pPr>
              <w:spacing w:after="0"/>
              <w:rPr>
                <w:sz w:val="15"/>
                <w:szCs w:val="15"/>
                <w:color w:val="auto"/>
              </w:rPr>
            </w:pPr>
          </w:p>
        </w:tc>
        <w:tc>
          <w:tcPr>
            <w:tcW w:w="88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52,918</w:t>
            </w:r>
          </w:p>
        </w:tc>
        <w:tc>
          <w:tcPr>
            <w:tcW w:w="0" w:type="dxa"/>
            <w:vAlign w:val="bottom"/>
          </w:tcPr>
          <w:p>
            <w:pPr>
              <w:spacing w:after="0"/>
              <w:rPr>
                <w:sz w:val="1"/>
                <w:szCs w:val="1"/>
                <w:color w:val="auto"/>
              </w:rPr>
            </w:pPr>
          </w:p>
        </w:tc>
      </w:tr>
      <w:tr>
        <w:trPr>
          <w:trHeight w:val="180"/>
        </w:trPr>
        <w:tc>
          <w:tcPr>
            <w:tcW w:w="4920" w:type="dxa"/>
            <w:vAlign w:val="bottom"/>
            <w:shd w:val="clear" w:color="auto" w:fill="CCEEFF"/>
          </w:tcPr>
          <w:p>
            <w:pPr>
              <w:ind w:left="280"/>
              <w:spacing w:after="0"/>
              <w:rPr>
                <w:sz w:val="20"/>
                <w:szCs w:val="20"/>
                <w:color w:val="auto"/>
              </w:rPr>
            </w:pPr>
            <w:r>
              <w:rPr>
                <w:rFonts w:ascii="Times New Roman" w:cs="Times New Roman" w:eastAsia="Times New Roman" w:hAnsi="Times New Roman"/>
                <w:sz w:val="14"/>
                <w:szCs w:val="14"/>
                <w:color w:val="auto"/>
              </w:rPr>
              <w:t>Sales and marketing</w:t>
            </w:r>
          </w:p>
        </w:tc>
        <w:tc>
          <w:tcPr>
            <w:tcW w:w="720" w:type="dxa"/>
            <w:vAlign w:val="bottom"/>
            <w:shd w:val="clear" w:color="auto" w:fill="CCEEFF"/>
          </w:tcPr>
          <w:p>
            <w:pPr>
              <w:spacing w:after="0"/>
              <w:rPr>
                <w:sz w:val="15"/>
                <w:szCs w:val="15"/>
                <w:color w:val="auto"/>
              </w:rPr>
            </w:pPr>
          </w:p>
        </w:tc>
        <w:tc>
          <w:tcPr>
            <w:tcW w:w="4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2,744</w:t>
            </w:r>
          </w:p>
        </w:tc>
        <w:tc>
          <w:tcPr>
            <w:tcW w:w="80" w:type="dxa"/>
            <w:vAlign w:val="bottom"/>
            <w:shd w:val="clear" w:color="auto" w:fill="CCEEFF"/>
          </w:tcPr>
          <w:p>
            <w:pPr>
              <w:spacing w:after="0"/>
              <w:rPr>
                <w:sz w:val="15"/>
                <w:szCs w:val="15"/>
                <w:color w:val="auto"/>
              </w:rPr>
            </w:pPr>
          </w:p>
        </w:tc>
        <w:tc>
          <w:tcPr>
            <w:tcW w:w="840" w:type="dxa"/>
            <w:vAlign w:val="bottom"/>
            <w:shd w:val="clear" w:color="auto" w:fill="CCEEFF"/>
          </w:tcPr>
          <w:p>
            <w:pPr>
              <w:spacing w:after="0"/>
              <w:rPr>
                <w:sz w:val="15"/>
                <w:szCs w:val="15"/>
                <w:color w:val="auto"/>
              </w:rPr>
            </w:pPr>
          </w:p>
        </w:tc>
        <w:tc>
          <w:tcPr>
            <w:tcW w:w="420" w:type="dxa"/>
            <w:vAlign w:val="bottom"/>
            <w:shd w:val="clear" w:color="auto" w:fill="CCEEFF"/>
          </w:tcPr>
          <w:p>
            <w:pPr>
              <w:jc w:val="right"/>
              <w:ind w:right="93"/>
              <w:spacing w:after="0"/>
              <w:rPr>
                <w:sz w:val="20"/>
                <w:szCs w:val="20"/>
                <w:color w:val="auto"/>
              </w:rPr>
            </w:pPr>
            <w:r>
              <w:rPr>
                <w:rFonts w:ascii="Times New Roman" w:cs="Times New Roman" w:eastAsia="Times New Roman" w:hAnsi="Times New Roman"/>
                <w:sz w:val="13"/>
                <w:szCs w:val="13"/>
                <w:color w:val="auto"/>
              </w:rPr>
              <w:t>3</w:t>
            </w:r>
          </w:p>
        </w:tc>
        <w:tc>
          <w:tcPr>
            <w:tcW w:w="100" w:type="dxa"/>
            <w:vAlign w:val="bottom"/>
            <w:shd w:val="clear" w:color="auto" w:fill="CCEEFF"/>
          </w:tcPr>
          <w:p>
            <w:pPr>
              <w:spacing w:after="0"/>
              <w:rPr>
                <w:sz w:val="15"/>
                <w:szCs w:val="15"/>
                <w:color w:val="auto"/>
              </w:rPr>
            </w:pPr>
          </w:p>
        </w:tc>
        <w:tc>
          <w:tcPr>
            <w:tcW w:w="260" w:type="dxa"/>
            <w:vAlign w:val="bottom"/>
            <w:shd w:val="clear" w:color="auto" w:fill="CCEEFF"/>
          </w:tcPr>
          <w:p>
            <w:pPr>
              <w:spacing w:after="0"/>
              <w:rPr>
                <w:sz w:val="15"/>
                <w:szCs w:val="15"/>
                <w:color w:val="auto"/>
              </w:rPr>
            </w:pPr>
          </w:p>
        </w:tc>
        <w:tc>
          <w:tcPr>
            <w:tcW w:w="8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2,668</w:t>
            </w:r>
          </w:p>
        </w:tc>
        <w:tc>
          <w:tcPr>
            <w:tcW w:w="100" w:type="dxa"/>
            <w:vAlign w:val="bottom"/>
            <w:shd w:val="clear" w:color="auto" w:fill="CCEEFF"/>
          </w:tcPr>
          <w:p>
            <w:pPr>
              <w:spacing w:after="0"/>
              <w:rPr>
                <w:sz w:val="15"/>
                <w:szCs w:val="15"/>
                <w:color w:val="auto"/>
              </w:rPr>
            </w:pPr>
          </w:p>
        </w:tc>
        <w:tc>
          <w:tcPr>
            <w:tcW w:w="340" w:type="dxa"/>
            <w:vAlign w:val="bottom"/>
            <w:shd w:val="clear" w:color="auto" w:fill="CCEEFF"/>
          </w:tcPr>
          <w:p>
            <w:pPr>
              <w:spacing w:after="0"/>
              <w:rPr>
                <w:sz w:val="15"/>
                <w:szCs w:val="15"/>
                <w:color w:val="auto"/>
              </w:rPr>
            </w:pPr>
          </w:p>
        </w:tc>
        <w:tc>
          <w:tcPr>
            <w:tcW w:w="900" w:type="dxa"/>
            <w:vAlign w:val="bottom"/>
            <w:shd w:val="clear" w:color="auto" w:fill="CCEEFF"/>
          </w:tcPr>
          <w:p>
            <w:pPr>
              <w:jc w:val="right"/>
              <w:ind w:right="53"/>
              <w:spacing w:after="0"/>
              <w:rPr>
                <w:sz w:val="20"/>
                <w:szCs w:val="20"/>
                <w:color w:val="auto"/>
              </w:rPr>
            </w:pPr>
            <w:r>
              <w:rPr>
                <w:rFonts w:ascii="Times New Roman" w:cs="Times New Roman" w:eastAsia="Times New Roman" w:hAnsi="Times New Roman"/>
                <w:sz w:val="13"/>
                <w:szCs w:val="13"/>
                <w:color w:val="auto"/>
              </w:rPr>
              <w:t>(11)</w:t>
            </w:r>
          </w:p>
        </w:tc>
        <w:tc>
          <w:tcPr>
            <w:tcW w:w="100" w:type="dxa"/>
            <w:vAlign w:val="bottom"/>
            <w:shd w:val="clear" w:color="auto" w:fill="CCEEFF"/>
          </w:tcPr>
          <w:p>
            <w:pPr>
              <w:spacing w:after="0"/>
              <w:rPr>
                <w:sz w:val="15"/>
                <w:szCs w:val="15"/>
                <w:color w:val="auto"/>
              </w:rPr>
            </w:pPr>
          </w:p>
        </w:tc>
        <w:tc>
          <w:tcPr>
            <w:tcW w:w="280" w:type="dxa"/>
            <w:vAlign w:val="bottom"/>
            <w:shd w:val="clear" w:color="auto" w:fill="CCEEFF"/>
          </w:tcPr>
          <w:p>
            <w:pPr>
              <w:spacing w:after="0"/>
              <w:rPr>
                <w:sz w:val="15"/>
                <w:szCs w:val="15"/>
                <w:color w:val="auto"/>
              </w:rPr>
            </w:pPr>
          </w:p>
        </w:tc>
        <w:tc>
          <w:tcPr>
            <w:tcW w:w="8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2,990</w:t>
            </w:r>
          </w:p>
        </w:tc>
        <w:tc>
          <w:tcPr>
            <w:tcW w:w="0" w:type="dxa"/>
            <w:vAlign w:val="bottom"/>
          </w:tcPr>
          <w:p>
            <w:pPr>
              <w:spacing w:after="0"/>
              <w:rPr>
                <w:sz w:val="1"/>
                <w:szCs w:val="1"/>
                <w:color w:val="auto"/>
              </w:rPr>
            </w:pPr>
          </w:p>
        </w:tc>
      </w:tr>
      <w:tr>
        <w:trPr>
          <w:trHeight w:val="180"/>
        </w:trPr>
        <w:tc>
          <w:tcPr>
            <w:tcW w:w="4920" w:type="dxa"/>
            <w:vAlign w:val="bottom"/>
          </w:tcPr>
          <w:p>
            <w:pPr>
              <w:ind w:left="280"/>
              <w:spacing w:after="0"/>
              <w:rPr>
                <w:sz w:val="20"/>
                <w:szCs w:val="20"/>
                <w:color w:val="auto"/>
              </w:rPr>
            </w:pPr>
            <w:r>
              <w:rPr>
                <w:rFonts w:ascii="Times New Roman" w:cs="Times New Roman" w:eastAsia="Times New Roman" w:hAnsi="Times New Roman"/>
                <w:sz w:val="14"/>
                <w:szCs w:val="14"/>
                <w:color w:val="auto"/>
              </w:rPr>
              <w:t>Westwood funds</w:t>
            </w:r>
          </w:p>
        </w:tc>
        <w:tc>
          <w:tcPr>
            <w:tcW w:w="720" w:type="dxa"/>
            <w:vAlign w:val="bottom"/>
          </w:tcPr>
          <w:p>
            <w:pPr>
              <w:spacing w:after="0"/>
              <w:rPr>
                <w:sz w:val="15"/>
                <w:szCs w:val="15"/>
                <w:color w:val="auto"/>
              </w:rPr>
            </w:pPr>
          </w:p>
        </w:tc>
        <w:tc>
          <w:tcPr>
            <w:tcW w:w="44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4,258</w:t>
            </w:r>
          </w:p>
        </w:tc>
        <w:tc>
          <w:tcPr>
            <w:tcW w:w="80" w:type="dxa"/>
            <w:vAlign w:val="bottom"/>
          </w:tcPr>
          <w:p>
            <w:pPr>
              <w:spacing w:after="0"/>
              <w:rPr>
                <w:sz w:val="15"/>
                <w:szCs w:val="15"/>
                <w:color w:val="auto"/>
              </w:rPr>
            </w:pPr>
          </w:p>
        </w:tc>
        <w:tc>
          <w:tcPr>
            <w:tcW w:w="840" w:type="dxa"/>
            <w:vAlign w:val="bottom"/>
          </w:tcPr>
          <w:p>
            <w:pPr>
              <w:spacing w:after="0"/>
              <w:rPr>
                <w:sz w:val="15"/>
                <w:szCs w:val="15"/>
                <w:color w:val="auto"/>
              </w:rPr>
            </w:pPr>
          </w:p>
        </w:tc>
        <w:tc>
          <w:tcPr>
            <w:tcW w:w="420" w:type="dxa"/>
            <w:vAlign w:val="bottom"/>
          </w:tcPr>
          <w:p>
            <w:pPr>
              <w:jc w:val="right"/>
              <w:ind w:right="93"/>
              <w:spacing w:after="0"/>
              <w:rPr>
                <w:sz w:val="20"/>
                <w:szCs w:val="20"/>
                <w:color w:val="auto"/>
              </w:rPr>
            </w:pPr>
            <w:r>
              <w:rPr>
                <w:rFonts w:ascii="Times New Roman" w:cs="Times New Roman" w:eastAsia="Times New Roman" w:hAnsi="Times New Roman"/>
                <w:sz w:val="13"/>
                <w:szCs w:val="13"/>
                <w:color w:val="auto"/>
              </w:rPr>
              <w:t>31</w:t>
            </w:r>
          </w:p>
        </w:tc>
        <w:tc>
          <w:tcPr>
            <w:tcW w:w="100" w:type="dxa"/>
            <w:vAlign w:val="bottom"/>
          </w:tcPr>
          <w:p>
            <w:pPr>
              <w:spacing w:after="0"/>
              <w:rPr>
                <w:sz w:val="15"/>
                <w:szCs w:val="15"/>
                <w:color w:val="auto"/>
              </w:rPr>
            </w:pPr>
          </w:p>
        </w:tc>
        <w:tc>
          <w:tcPr>
            <w:tcW w:w="260" w:type="dxa"/>
            <w:vAlign w:val="bottom"/>
          </w:tcPr>
          <w:p>
            <w:pPr>
              <w:spacing w:after="0"/>
              <w:rPr>
                <w:sz w:val="15"/>
                <w:szCs w:val="15"/>
                <w:color w:val="auto"/>
              </w:rPr>
            </w:pPr>
          </w:p>
        </w:tc>
        <w:tc>
          <w:tcPr>
            <w:tcW w:w="88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3,254</w:t>
            </w:r>
          </w:p>
        </w:tc>
        <w:tc>
          <w:tcPr>
            <w:tcW w:w="100" w:type="dxa"/>
            <w:vAlign w:val="bottom"/>
          </w:tcPr>
          <w:p>
            <w:pPr>
              <w:spacing w:after="0"/>
              <w:rPr>
                <w:sz w:val="15"/>
                <w:szCs w:val="15"/>
                <w:color w:val="auto"/>
              </w:rPr>
            </w:pPr>
          </w:p>
        </w:tc>
        <w:tc>
          <w:tcPr>
            <w:tcW w:w="340" w:type="dxa"/>
            <w:vAlign w:val="bottom"/>
          </w:tcPr>
          <w:p>
            <w:pPr>
              <w:spacing w:after="0"/>
              <w:rPr>
                <w:sz w:val="15"/>
                <w:szCs w:val="15"/>
                <w:color w:val="auto"/>
              </w:rPr>
            </w:pPr>
          </w:p>
        </w:tc>
        <w:tc>
          <w:tcPr>
            <w:tcW w:w="900" w:type="dxa"/>
            <w:vAlign w:val="bottom"/>
          </w:tcPr>
          <w:p>
            <w:pPr>
              <w:jc w:val="right"/>
              <w:ind w:right="93"/>
              <w:spacing w:after="0"/>
              <w:rPr>
                <w:sz w:val="20"/>
                <w:szCs w:val="20"/>
                <w:color w:val="auto"/>
              </w:rPr>
            </w:pPr>
            <w:r>
              <w:rPr>
                <w:rFonts w:ascii="Times New Roman" w:cs="Times New Roman" w:eastAsia="Times New Roman" w:hAnsi="Times New Roman"/>
                <w:sz w:val="13"/>
                <w:szCs w:val="13"/>
                <w:color w:val="auto"/>
              </w:rPr>
              <w:t>4</w:t>
            </w:r>
          </w:p>
        </w:tc>
        <w:tc>
          <w:tcPr>
            <w:tcW w:w="100" w:type="dxa"/>
            <w:vAlign w:val="bottom"/>
          </w:tcPr>
          <w:p>
            <w:pPr>
              <w:spacing w:after="0"/>
              <w:rPr>
                <w:sz w:val="15"/>
                <w:szCs w:val="15"/>
                <w:color w:val="auto"/>
              </w:rPr>
            </w:pPr>
          </w:p>
        </w:tc>
        <w:tc>
          <w:tcPr>
            <w:tcW w:w="280" w:type="dxa"/>
            <w:vAlign w:val="bottom"/>
          </w:tcPr>
          <w:p>
            <w:pPr>
              <w:spacing w:after="0"/>
              <w:rPr>
                <w:sz w:val="15"/>
                <w:szCs w:val="15"/>
                <w:color w:val="auto"/>
              </w:rPr>
            </w:pPr>
          </w:p>
        </w:tc>
        <w:tc>
          <w:tcPr>
            <w:tcW w:w="88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3,133</w:t>
            </w:r>
          </w:p>
        </w:tc>
        <w:tc>
          <w:tcPr>
            <w:tcW w:w="0" w:type="dxa"/>
            <w:vAlign w:val="bottom"/>
          </w:tcPr>
          <w:p>
            <w:pPr>
              <w:spacing w:after="0"/>
              <w:rPr>
                <w:sz w:val="1"/>
                <w:szCs w:val="1"/>
                <w:color w:val="auto"/>
              </w:rPr>
            </w:pPr>
          </w:p>
        </w:tc>
      </w:tr>
      <w:tr>
        <w:trPr>
          <w:trHeight w:val="180"/>
        </w:trPr>
        <w:tc>
          <w:tcPr>
            <w:tcW w:w="4920" w:type="dxa"/>
            <w:vAlign w:val="bottom"/>
            <w:shd w:val="clear" w:color="auto" w:fill="CCEEFF"/>
          </w:tcPr>
          <w:p>
            <w:pPr>
              <w:ind w:left="280"/>
              <w:spacing w:after="0"/>
              <w:rPr>
                <w:sz w:val="20"/>
                <w:szCs w:val="20"/>
                <w:color w:val="auto"/>
              </w:rPr>
            </w:pPr>
            <w:r>
              <w:rPr>
                <w:rFonts w:ascii="Times New Roman" w:cs="Times New Roman" w:eastAsia="Times New Roman" w:hAnsi="Times New Roman"/>
                <w:sz w:val="14"/>
                <w:szCs w:val="14"/>
                <w:color w:val="auto"/>
              </w:rPr>
              <w:t>Information technology</w:t>
            </w:r>
          </w:p>
        </w:tc>
        <w:tc>
          <w:tcPr>
            <w:tcW w:w="720" w:type="dxa"/>
            <w:vAlign w:val="bottom"/>
            <w:shd w:val="clear" w:color="auto" w:fill="CCEEFF"/>
          </w:tcPr>
          <w:p>
            <w:pPr>
              <w:spacing w:after="0"/>
              <w:rPr>
                <w:sz w:val="15"/>
                <w:szCs w:val="15"/>
                <w:color w:val="auto"/>
              </w:rPr>
            </w:pPr>
          </w:p>
        </w:tc>
        <w:tc>
          <w:tcPr>
            <w:tcW w:w="4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10,894</w:t>
            </w:r>
          </w:p>
        </w:tc>
        <w:tc>
          <w:tcPr>
            <w:tcW w:w="80" w:type="dxa"/>
            <w:vAlign w:val="bottom"/>
            <w:shd w:val="clear" w:color="auto" w:fill="CCEEFF"/>
          </w:tcPr>
          <w:p>
            <w:pPr>
              <w:spacing w:after="0"/>
              <w:rPr>
                <w:sz w:val="15"/>
                <w:szCs w:val="15"/>
                <w:color w:val="auto"/>
              </w:rPr>
            </w:pPr>
          </w:p>
        </w:tc>
        <w:tc>
          <w:tcPr>
            <w:tcW w:w="840" w:type="dxa"/>
            <w:vAlign w:val="bottom"/>
            <w:shd w:val="clear" w:color="auto" w:fill="CCEEFF"/>
          </w:tcPr>
          <w:p>
            <w:pPr>
              <w:spacing w:after="0"/>
              <w:rPr>
                <w:sz w:val="15"/>
                <w:szCs w:val="15"/>
                <w:color w:val="auto"/>
              </w:rPr>
            </w:pPr>
          </w:p>
        </w:tc>
        <w:tc>
          <w:tcPr>
            <w:tcW w:w="420" w:type="dxa"/>
            <w:vAlign w:val="bottom"/>
            <w:shd w:val="clear" w:color="auto" w:fill="CCEEFF"/>
          </w:tcPr>
          <w:p>
            <w:pPr>
              <w:jc w:val="right"/>
              <w:ind w:right="93"/>
              <w:spacing w:after="0"/>
              <w:rPr>
                <w:sz w:val="20"/>
                <w:szCs w:val="20"/>
                <w:color w:val="auto"/>
              </w:rPr>
            </w:pPr>
            <w:r>
              <w:rPr>
                <w:rFonts w:ascii="Times New Roman" w:cs="Times New Roman" w:eastAsia="Times New Roman" w:hAnsi="Times New Roman"/>
                <w:sz w:val="13"/>
                <w:szCs w:val="13"/>
                <w:color w:val="auto"/>
              </w:rPr>
              <w:t>13</w:t>
            </w:r>
          </w:p>
        </w:tc>
        <w:tc>
          <w:tcPr>
            <w:tcW w:w="100" w:type="dxa"/>
            <w:vAlign w:val="bottom"/>
            <w:shd w:val="clear" w:color="auto" w:fill="CCEEFF"/>
          </w:tcPr>
          <w:p>
            <w:pPr>
              <w:spacing w:after="0"/>
              <w:rPr>
                <w:sz w:val="15"/>
                <w:szCs w:val="15"/>
                <w:color w:val="auto"/>
              </w:rPr>
            </w:pPr>
          </w:p>
        </w:tc>
        <w:tc>
          <w:tcPr>
            <w:tcW w:w="260" w:type="dxa"/>
            <w:vAlign w:val="bottom"/>
            <w:shd w:val="clear" w:color="auto" w:fill="CCEEFF"/>
          </w:tcPr>
          <w:p>
            <w:pPr>
              <w:spacing w:after="0"/>
              <w:rPr>
                <w:sz w:val="15"/>
                <w:szCs w:val="15"/>
                <w:color w:val="auto"/>
              </w:rPr>
            </w:pPr>
          </w:p>
        </w:tc>
        <w:tc>
          <w:tcPr>
            <w:tcW w:w="8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9,662</w:t>
            </w:r>
          </w:p>
        </w:tc>
        <w:tc>
          <w:tcPr>
            <w:tcW w:w="100" w:type="dxa"/>
            <w:vAlign w:val="bottom"/>
            <w:shd w:val="clear" w:color="auto" w:fill="CCEEFF"/>
          </w:tcPr>
          <w:p>
            <w:pPr>
              <w:spacing w:after="0"/>
              <w:rPr>
                <w:sz w:val="15"/>
                <w:szCs w:val="15"/>
                <w:color w:val="auto"/>
              </w:rPr>
            </w:pPr>
          </w:p>
        </w:tc>
        <w:tc>
          <w:tcPr>
            <w:tcW w:w="340" w:type="dxa"/>
            <w:vAlign w:val="bottom"/>
            <w:shd w:val="clear" w:color="auto" w:fill="CCEEFF"/>
          </w:tcPr>
          <w:p>
            <w:pPr>
              <w:spacing w:after="0"/>
              <w:rPr>
                <w:sz w:val="15"/>
                <w:szCs w:val="15"/>
                <w:color w:val="auto"/>
              </w:rPr>
            </w:pPr>
          </w:p>
        </w:tc>
        <w:tc>
          <w:tcPr>
            <w:tcW w:w="1000" w:type="dxa"/>
            <w:vAlign w:val="bottom"/>
            <w:gridSpan w:val="2"/>
            <w:shd w:val="clear" w:color="auto" w:fill="CCEEFF"/>
          </w:tcPr>
          <w:p>
            <w:pPr>
              <w:jc w:val="right"/>
              <w:ind w:right="260"/>
              <w:spacing w:after="0"/>
              <w:rPr>
                <w:sz w:val="20"/>
                <w:szCs w:val="20"/>
                <w:color w:val="auto"/>
              </w:rPr>
            </w:pPr>
            <w:r>
              <w:rPr>
                <w:rFonts w:ascii="Times New Roman" w:cs="Times New Roman" w:eastAsia="Times New Roman" w:hAnsi="Times New Roman"/>
                <w:sz w:val="13"/>
                <w:szCs w:val="13"/>
                <w:color w:val="auto"/>
              </w:rPr>
              <w:t>—</w:t>
            </w:r>
          </w:p>
        </w:tc>
        <w:tc>
          <w:tcPr>
            <w:tcW w:w="280" w:type="dxa"/>
            <w:vAlign w:val="bottom"/>
            <w:shd w:val="clear" w:color="auto" w:fill="CCEEFF"/>
          </w:tcPr>
          <w:p>
            <w:pPr>
              <w:spacing w:after="0"/>
              <w:rPr>
                <w:sz w:val="15"/>
                <w:szCs w:val="15"/>
                <w:color w:val="auto"/>
              </w:rPr>
            </w:pPr>
          </w:p>
        </w:tc>
        <w:tc>
          <w:tcPr>
            <w:tcW w:w="8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9,650</w:t>
            </w:r>
          </w:p>
        </w:tc>
        <w:tc>
          <w:tcPr>
            <w:tcW w:w="0" w:type="dxa"/>
            <w:vAlign w:val="bottom"/>
          </w:tcPr>
          <w:p>
            <w:pPr>
              <w:spacing w:after="0"/>
              <w:rPr>
                <w:sz w:val="1"/>
                <w:szCs w:val="1"/>
                <w:color w:val="auto"/>
              </w:rPr>
            </w:pPr>
          </w:p>
        </w:tc>
      </w:tr>
      <w:tr>
        <w:trPr>
          <w:trHeight w:val="180"/>
        </w:trPr>
        <w:tc>
          <w:tcPr>
            <w:tcW w:w="4920" w:type="dxa"/>
            <w:vAlign w:val="bottom"/>
          </w:tcPr>
          <w:p>
            <w:pPr>
              <w:ind w:left="280"/>
              <w:spacing w:after="0"/>
              <w:rPr>
                <w:sz w:val="20"/>
                <w:szCs w:val="20"/>
                <w:color w:val="auto"/>
              </w:rPr>
            </w:pPr>
            <w:r>
              <w:rPr>
                <w:rFonts w:ascii="Times New Roman" w:cs="Times New Roman" w:eastAsia="Times New Roman" w:hAnsi="Times New Roman"/>
                <w:sz w:val="14"/>
                <w:szCs w:val="14"/>
                <w:color w:val="auto"/>
              </w:rPr>
              <w:t>Professional services</w:t>
            </w:r>
          </w:p>
        </w:tc>
        <w:tc>
          <w:tcPr>
            <w:tcW w:w="720" w:type="dxa"/>
            <w:vAlign w:val="bottom"/>
          </w:tcPr>
          <w:p>
            <w:pPr>
              <w:spacing w:after="0"/>
              <w:rPr>
                <w:sz w:val="15"/>
                <w:szCs w:val="15"/>
                <w:color w:val="auto"/>
              </w:rPr>
            </w:pPr>
          </w:p>
        </w:tc>
        <w:tc>
          <w:tcPr>
            <w:tcW w:w="44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6,917</w:t>
            </w:r>
          </w:p>
        </w:tc>
        <w:tc>
          <w:tcPr>
            <w:tcW w:w="80" w:type="dxa"/>
            <w:vAlign w:val="bottom"/>
          </w:tcPr>
          <w:p>
            <w:pPr>
              <w:spacing w:after="0"/>
              <w:rPr>
                <w:sz w:val="15"/>
                <w:szCs w:val="15"/>
                <w:color w:val="auto"/>
              </w:rPr>
            </w:pPr>
          </w:p>
        </w:tc>
        <w:tc>
          <w:tcPr>
            <w:tcW w:w="840" w:type="dxa"/>
            <w:vAlign w:val="bottom"/>
          </w:tcPr>
          <w:p>
            <w:pPr>
              <w:spacing w:after="0"/>
              <w:rPr>
                <w:sz w:val="15"/>
                <w:szCs w:val="15"/>
                <w:color w:val="auto"/>
              </w:rPr>
            </w:pPr>
          </w:p>
        </w:tc>
        <w:tc>
          <w:tcPr>
            <w:tcW w:w="420" w:type="dxa"/>
            <w:vAlign w:val="bottom"/>
          </w:tcPr>
          <w:p>
            <w:pPr>
              <w:jc w:val="right"/>
              <w:ind w:right="93"/>
              <w:spacing w:after="0"/>
              <w:rPr>
                <w:sz w:val="20"/>
                <w:szCs w:val="20"/>
                <w:color w:val="auto"/>
              </w:rPr>
            </w:pPr>
            <w:r>
              <w:rPr>
                <w:rFonts w:ascii="Times New Roman" w:cs="Times New Roman" w:eastAsia="Times New Roman" w:hAnsi="Times New Roman"/>
                <w:sz w:val="13"/>
                <w:szCs w:val="13"/>
                <w:color w:val="auto"/>
              </w:rPr>
              <w:t>26</w:t>
            </w:r>
          </w:p>
        </w:tc>
        <w:tc>
          <w:tcPr>
            <w:tcW w:w="100" w:type="dxa"/>
            <w:vAlign w:val="bottom"/>
          </w:tcPr>
          <w:p>
            <w:pPr>
              <w:spacing w:after="0"/>
              <w:rPr>
                <w:sz w:val="15"/>
                <w:szCs w:val="15"/>
                <w:color w:val="auto"/>
              </w:rPr>
            </w:pPr>
          </w:p>
        </w:tc>
        <w:tc>
          <w:tcPr>
            <w:tcW w:w="260" w:type="dxa"/>
            <w:vAlign w:val="bottom"/>
          </w:tcPr>
          <w:p>
            <w:pPr>
              <w:spacing w:after="0"/>
              <w:rPr>
                <w:sz w:val="15"/>
                <w:szCs w:val="15"/>
                <w:color w:val="auto"/>
              </w:rPr>
            </w:pPr>
          </w:p>
        </w:tc>
        <w:tc>
          <w:tcPr>
            <w:tcW w:w="88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5,468</w:t>
            </w:r>
          </w:p>
        </w:tc>
        <w:tc>
          <w:tcPr>
            <w:tcW w:w="100" w:type="dxa"/>
            <w:vAlign w:val="bottom"/>
          </w:tcPr>
          <w:p>
            <w:pPr>
              <w:spacing w:after="0"/>
              <w:rPr>
                <w:sz w:val="15"/>
                <w:szCs w:val="15"/>
                <w:color w:val="auto"/>
              </w:rPr>
            </w:pPr>
          </w:p>
        </w:tc>
        <w:tc>
          <w:tcPr>
            <w:tcW w:w="340" w:type="dxa"/>
            <w:vAlign w:val="bottom"/>
          </w:tcPr>
          <w:p>
            <w:pPr>
              <w:spacing w:after="0"/>
              <w:rPr>
                <w:sz w:val="15"/>
                <w:szCs w:val="15"/>
                <w:color w:val="auto"/>
              </w:rPr>
            </w:pPr>
          </w:p>
        </w:tc>
        <w:tc>
          <w:tcPr>
            <w:tcW w:w="900" w:type="dxa"/>
            <w:vAlign w:val="bottom"/>
          </w:tcPr>
          <w:p>
            <w:pPr>
              <w:jc w:val="right"/>
              <w:ind w:right="93"/>
              <w:spacing w:after="0"/>
              <w:rPr>
                <w:sz w:val="20"/>
                <w:szCs w:val="20"/>
                <w:color w:val="auto"/>
              </w:rPr>
            </w:pPr>
            <w:r>
              <w:rPr>
                <w:rFonts w:ascii="Times New Roman" w:cs="Times New Roman" w:eastAsia="Times New Roman" w:hAnsi="Times New Roman"/>
                <w:sz w:val="13"/>
                <w:szCs w:val="13"/>
                <w:color w:val="auto"/>
              </w:rPr>
              <w:t>7</w:t>
            </w:r>
          </w:p>
        </w:tc>
        <w:tc>
          <w:tcPr>
            <w:tcW w:w="100" w:type="dxa"/>
            <w:vAlign w:val="bottom"/>
          </w:tcPr>
          <w:p>
            <w:pPr>
              <w:spacing w:after="0"/>
              <w:rPr>
                <w:sz w:val="15"/>
                <w:szCs w:val="15"/>
                <w:color w:val="auto"/>
              </w:rPr>
            </w:pPr>
          </w:p>
        </w:tc>
        <w:tc>
          <w:tcPr>
            <w:tcW w:w="280" w:type="dxa"/>
            <w:vAlign w:val="bottom"/>
          </w:tcPr>
          <w:p>
            <w:pPr>
              <w:spacing w:after="0"/>
              <w:rPr>
                <w:sz w:val="15"/>
                <w:szCs w:val="15"/>
                <w:color w:val="auto"/>
              </w:rPr>
            </w:pPr>
          </w:p>
        </w:tc>
        <w:tc>
          <w:tcPr>
            <w:tcW w:w="88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5,132</w:t>
            </w:r>
          </w:p>
        </w:tc>
        <w:tc>
          <w:tcPr>
            <w:tcW w:w="0" w:type="dxa"/>
            <w:vAlign w:val="bottom"/>
          </w:tcPr>
          <w:p>
            <w:pPr>
              <w:spacing w:after="0"/>
              <w:rPr>
                <w:sz w:val="1"/>
                <w:szCs w:val="1"/>
                <w:color w:val="auto"/>
              </w:rPr>
            </w:pPr>
          </w:p>
        </w:tc>
      </w:tr>
      <w:tr>
        <w:trPr>
          <w:trHeight w:val="180"/>
        </w:trPr>
        <w:tc>
          <w:tcPr>
            <w:tcW w:w="4920" w:type="dxa"/>
            <w:vAlign w:val="bottom"/>
            <w:shd w:val="clear" w:color="auto" w:fill="CCEEFF"/>
          </w:tcPr>
          <w:p>
            <w:pPr>
              <w:ind w:left="280"/>
              <w:spacing w:after="0"/>
              <w:rPr>
                <w:sz w:val="20"/>
                <w:szCs w:val="20"/>
                <w:color w:val="auto"/>
              </w:rPr>
            </w:pPr>
            <w:r>
              <w:rPr>
                <w:rFonts w:ascii="Times New Roman" w:cs="Times New Roman" w:eastAsia="Times New Roman" w:hAnsi="Times New Roman"/>
                <w:sz w:val="14"/>
                <w:szCs w:val="14"/>
                <w:color w:val="auto"/>
              </w:rPr>
              <w:t>General and administrative</w:t>
            </w:r>
          </w:p>
        </w:tc>
        <w:tc>
          <w:tcPr>
            <w:tcW w:w="720" w:type="dxa"/>
            <w:vAlign w:val="bottom"/>
            <w:shd w:val="clear" w:color="auto" w:fill="CCEEFF"/>
          </w:tcPr>
          <w:p>
            <w:pPr>
              <w:spacing w:after="0"/>
              <w:rPr>
                <w:sz w:val="15"/>
                <w:szCs w:val="15"/>
                <w:color w:val="auto"/>
              </w:rPr>
            </w:pPr>
          </w:p>
        </w:tc>
        <w:tc>
          <w:tcPr>
            <w:tcW w:w="4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11,290</w:t>
            </w:r>
          </w:p>
        </w:tc>
        <w:tc>
          <w:tcPr>
            <w:tcW w:w="80" w:type="dxa"/>
            <w:vAlign w:val="bottom"/>
            <w:shd w:val="clear" w:color="auto" w:fill="CCEEFF"/>
          </w:tcPr>
          <w:p>
            <w:pPr>
              <w:spacing w:after="0"/>
              <w:rPr>
                <w:sz w:val="15"/>
                <w:szCs w:val="15"/>
                <w:color w:val="auto"/>
              </w:rPr>
            </w:pPr>
          </w:p>
        </w:tc>
        <w:tc>
          <w:tcPr>
            <w:tcW w:w="840" w:type="dxa"/>
            <w:vAlign w:val="bottom"/>
            <w:shd w:val="clear" w:color="auto" w:fill="CCEEFF"/>
          </w:tcPr>
          <w:p>
            <w:pPr>
              <w:spacing w:after="0"/>
              <w:rPr>
                <w:sz w:val="15"/>
                <w:szCs w:val="15"/>
                <w:color w:val="auto"/>
              </w:rPr>
            </w:pPr>
          </w:p>
        </w:tc>
        <w:tc>
          <w:tcPr>
            <w:tcW w:w="420" w:type="dxa"/>
            <w:vAlign w:val="bottom"/>
            <w:shd w:val="clear" w:color="auto" w:fill="CCEEFF"/>
          </w:tcPr>
          <w:p>
            <w:pPr>
              <w:jc w:val="right"/>
              <w:ind w:right="53"/>
              <w:spacing w:after="0"/>
              <w:rPr>
                <w:sz w:val="20"/>
                <w:szCs w:val="20"/>
                <w:color w:val="auto"/>
              </w:rPr>
            </w:pPr>
            <w:r>
              <w:rPr>
                <w:rFonts w:ascii="Times New Roman" w:cs="Times New Roman" w:eastAsia="Times New Roman" w:hAnsi="Times New Roman"/>
                <w:sz w:val="13"/>
                <w:szCs w:val="13"/>
                <w:color w:val="auto"/>
              </w:rPr>
              <w:t>(5)</w:t>
            </w:r>
          </w:p>
        </w:tc>
        <w:tc>
          <w:tcPr>
            <w:tcW w:w="100" w:type="dxa"/>
            <w:vAlign w:val="bottom"/>
            <w:shd w:val="clear" w:color="auto" w:fill="CCEEFF"/>
          </w:tcPr>
          <w:p>
            <w:pPr>
              <w:spacing w:after="0"/>
              <w:rPr>
                <w:sz w:val="15"/>
                <w:szCs w:val="15"/>
                <w:color w:val="auto"/>
              </w:rPr>
            </w:pPr>
          </w:p>
        </w:tc>
        <w:tc>
          <w:tcPr>
            <w:tcW w:w="260" w:type="dxa"/>
            <w:vAlign w:val="bottom"/>
            <w:shd w:val="clear" w:color="auto" w:fill="CCEEFF"/>
          </w:tcPr>
          <w:p>
            <w:pPr>
              <w:spacing w:after="0"/>
              <w:rPr>
                <w:sz w:val="15"/>
                <w:szCs w:val="15"/>
                <w:color w:val="auto"/>
              </w:rPr>
            </w:pPr>
          </w:p>
        </w:tc>
        <w:tc>
          <w:tcPr>
            <w:tcW w:w="8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11,947</w:t>
            </w:r>
          </w:p>
        </w:tc>
        <w:tc>
          <w:tcPr>
            <w:tcW w:w="100" w:type="dxa"/>
            <w:vAlign w:val="bottom"/>
            <w:shd w:val="clear" w:color="auto" w:fill="CCEEFF"/>
          </w:tcPr>
          <w:p>
            <w:pPr>
              <w:spacing w:after="0"/>
              <w:rPr>
                <w:sz w:val="15"/>
                <w:szCs w:val="15"/>
                <w:color w:val="auto"/>
              </w:rPr>
            </w:pPr>
          </w:p>
        </w:tc>
        <w:tc>
          <w:tcPr>
            <w:tcW w:w="340" w:type="dxa"/>
            <w:vAlign w:val="bottom"/>
            <w:shd w:val="clear" w:color="auto" w:fill="CCEEFF"/>
          </w:tcPr>
          <w:p>
            <w:pPr>
              <w:spacing w:after="0"/>
              <w:rPr>
                <w:sz w:val="15"/>
                <w:szCs w:val="15"/>
                <w:color w:val="auto"/>
              </w:rPr>
            </w:pPr>
          </w:p>
        </w:tc>
        <w:tc>
          <w:tcPr>
            <w:tcW w:w="900" w:type="dxa"/>
            <w:vAlign w:val="bottom"/>
            <w:shd w:val="clear" w:color="auto" w:fill="CCEEFF"/>
          </w:tcPr>
          <w:p>
            <w:pPr>
              <w:jc w:val="right"/>
              <w:ind w:right="53"/>
              <w:spacing w:after="0"/>
              <w:rPr>
                <w:sz w:val="20"/>
                <w:szCs w:val="20"/>
                <w:color w:val="auto"/>
              </w:rPr>
            </w:pPr>
            <w:r>
              <w:rPr>
                <w:rFonts w:ascii="Times New Roman" w:cs="Times New Roman" w:eastAsia="Times New Roman" w:hAnsi="Times New Roman"/>
                <w:sz w:val="13"/>
                <w:szCs w:val="13"/>
                <w:color w:val="auto"/>
              </w:rPr>
              <w:t>(5)</w:t>
            </w:r>
          </w:p>
        </w:tc>
        <w:tc>
          <w:tcPr>
            <w:tcW w:w="100" w:type="dxa"/>
            <w:vAlign w:val="bottom"/>
            <w:shd w:val="clear" w:color="auto" w:fill="CCEEFF"/>
          </w:tcPr>
          <w:p>
            <w:pPr>
              <w:spacing w:after="0"/>
              <w:rPr>
                <w:sz w:val="15"/>
                <w:szCs w:val="15"/>
                <w:color w:val="auto"/>
              </w:rPr>
            </w:pPr>
          </w:p>
        </w:tc>
        <w:tc>
          <w:tcPr>
            <w:tcW w:w="280" w:type="dxa"/>
            <w:vAlign w:val="bottom"/>
            <w:shd w:val="clear" w:color="auto" w:fill="CCEEFF"/>
          </w:tcPr>
          <w:p>
            <w:pPr>
              <w:spacing w:after="0"/>
              <w:rPr>
                <w:sz w:val="15"/>
                <w:szCs w:val="15"/>
                <w:color w:val="auto"/>
              </w:rPr>
            </w:pPr>
          </w:p>
        </w:tc>
        <w:tc>
          <w:tcPr>
            <w:tcW w:w="8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12,512</w:t>
            </w:r>
          </w:p>
        </w:tc>
        <w:tc>
          <w:tcPr>
            <w:tcW w:w="0" w:type="dxa"/>
            <w:vAlign w:val="bottom"/>
          </w:tcPr>
          <w:p>
            <w:pPr>
              <w:spacing w:after="0"/>
              <w:rPr>
                <w:sz w:val="1"/>
                <w:szCs w:val="1"/>
                <w:color w:val="auto"/>
              </w:rPr>
            </w:pPr>
          </w:p>
        </w:tc>
      </w:tr>
      <w:tr>
        <w:trPr>
          <w:trHeight w:val="180"/>
        </w:trPr>
        <w:tc>
          <w:tcPr>
            <w:tcW w:w="4920" w:type="dxa"/>
            <w:vAlign w:val="bottom"/>
          </w:tcPr>
          <w:p>
            <w:pPr>
              <w:ind w:left="280"/>
              <w:spacing w:after="0"/>
              <w:rPr>
                <w:sz w:val="20"/>
                <w:szCs w:val="20"/>
                <w:color w:val="auto"/>
              </w:rPr>
            </w:pPr>
            <w:r>
              <w:rPr>
                <w:rFonts w:ascii="Times New Roman" w:cs="Times New Roman" w:eastAsia="Times New Roman" w:hAnsi="Times New Roman"/>
                <w:sz w:val="14"/>
                <w:szCs w:val="14"/>
                <w:color w:val="auto"/>
              </w:rPr>
              <w:t>(Gain) loss from change in fair value of contingent consideration</w:t>
            </w:r>
          </w:p>
        </w:tc>
        <w:tc>
          <w:tcPr>
            <w:tcW w:w="720" w:type="dxa"/>
            <w:vAlign w:val="bottom"/>
          </w:tcPr>
          <w:p>
            <w:pPr>
              <w:spacing w:after="0"/>
              <w:rPr>
                <w:sz w:val="15"/>
                <w:szCs w:val="15"/>
                <w:color w:val="auto"/>
              </w:rPr>
            </w:pPr>
          </w:p>
        </w:tc>
        <w:tc>
          <w:tcPr>
            <w:tcW w:w="1360" w:type="dxa"/>
            <w:vAlign w:val="bottom"/>
            <w:gridSpan w:val="3"/>
          </w:tcPr>
          <w:p>
            <w:pPr>
              <w:jc w:val="right"/>
              <w:ind w:right="916"/>
              <w:spacing w:after="0"/>
              <w:rPr>
                <w:sz w:val="20"/>
                <w:szCs w:val="20"/>
                <w:color w:val="auto"/>
              </w:rPr>
            </w:pPr>
            <w:r>
              <w:rPr>
                <w:rFonts w:ascii="Times New Roman" w:cs="Times New Roman" w:eastAsia="Times New Roman" w:hAnsi="Times New Roman"/>
                <w:sz w:val="13"/>
                <w:szCs w:val="13"/>
                <w:color w:val="auto"/>
              </w:rPr>
              <w:t>—</w:t>
            </w:r>
          </w:p>
        </w:tc>
        <w:tc>
          <w:tcPr>
            <w:tcW w:w="420" w:type="dxa"/>
            <w:vAlign w:val="bottom"/>
          </w:tcPr>
          <w:p>
            <w:pPr>
              <w:jc w:val="right"/>
              <w:ind w:right="53"/>
              <w:spacing w:after="0"/>
              <w:rPr>
                <w:sz w:val="20"/>
                <w:szCs w:val="20"/>
                <w:color w:val="auto"/>
              </w:rPr>
            </w:pPr>
            <w:r>
              <w:rPr>
                <w:rFonts w:ascii="Times New Roman" w:cs="Times New Roman" w:eastAsia="Times New Roman" w:hAnsi="Times New Roman"/>
                <w:sz w:val="13"/>
                <w:szCs w:val="13"/>
                <w:color w:val="auto"/>
                <w:w w:val="99"/>
              </w:rPr>
              <w:t>(100)</w:t>
            </w:r>
          </w:p>
        </w:tc>
        <w:tc>
          <w:tcPr>
            <w:tcW w:w="100" w:type="dxa"/>
            <w:vAlign w:val="bottom"/>
          </w:tcPr>
          <w:p>
            <w:pPr>
              <w:spacing w:after="0"/>
              <w:rPr>
                <w:sz w:val="15"/>
                <w:szCs w:val="15"/>
                <w:color w:val="auto"/>
              </w:rPr>
            </w:pPr>
          </w:p>
        </w:tc>
        <w:tc>
          <w:tcPr>
            <w:tcW w:w="260" w:type="dxa"/>
            <w:vAlign w:val="bottom"/>
          </w:tcPr>
          <w:p>
            <w:pPr>
              <w:spacing w:after="0"/>
              <w:rPr>
                <w:sz w:val="15"/>
                <w:szCs w:val="15"/>
                <w:color w:val="auto"/>
              </w:rPr>
            </w:pPr>
          </w:p>
        </w:tc>
        <w:tc>
          <w:tcPr>
            <w:tcW w:w="88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4,881</w:t>
            </w:r>
          </w:p>
        </w:tc>
        <w:tc>
          <w:tcPr>
            <w:tcW w:w="100" w:type="dxa"/>
            <w:vAlign w:val="bottom"/>
          </w:tcPr>
          <w:p>
            <w:pPr>
              <w:spacing w:after="0"/>
              <w:rPr>
                <w:sz w:val="15"/>
                <w:szCs w:val="15"/>
                <w:color w:val="auto"/>
              </w:rPr>
            </w:pPr>
          </w:p>
        </w:tc>
        <w:tc>
          <w:tcPr>
            <w:tcW w:w="340" w:type="dxa"/>
            <w:vAlign w:val="bottom"/>
          </w:tcPr>
          <w:p>
            <w:pPr>
              <w:spacing w:after="0"/>
              <w:rPr>
                <w:sz w:val="15"/>
                <w:szCs w:val="15"/>
                <w:color w:val="auto"/>
              </w:rPr>
            </w:pPr>
          </w:p>
        </w:tc>
        <w:tc>
          <w:tcPr>
            <w:tcW w:w="900" w:type="dxa"/>
            <w:vAlign w:val="bottom"/>
          </w:tcPr>
          <w:p>
            <w:pPr>
              <w:jc w:val="right"/>
              <w:ind w:right="53"/>
              <w:spacing w:after="0"/>
              <w:rPr>
                <w:sz w:val="20"/>
                <w:szCs w:val="20"/>
                <w:color w:val="auto"/>
              </w:rPr>
            </w:pPr>
            <w:r>
              <w:rPr>
                <w:rFonts w:ascii="Times New Roman" w:cs="Times New Roman" w:eastAsia="Times New Roman" w:hAnsi="Times New Roman"/>
                <w:sz w:val="13"/>
                <w:szCs w:val="13"/>
                <w:color w:val="auto"/>
              </w:rPr>
              <w:t>(276)</w:t>
            </w:r>
          </w:p>
        </w:tc>
        <w:tc>
          <w:tcPr>
            <w:tcW w:w="100" w:type="dxa"/>
            <w:vAlign w:val="bottom"/>
          </w:tcPr>
          <w:p>
            <w:pPr>
              <w:spacing w:after="0"/>
              <w:rPr>
                <w:sz w:val="15"/>
                <w:szCs w:val="15"/>
                <w:color w:val="auto"/>
              </w:rPr>
            </w:pPr>
          </w:p>
        </w:tc>
        <w:tc>
          <w:tcPr>
            <w:tcW w:w="280" w:type="dxa"/>
            <w:vAlign w:val="bottom"/>
          </w:tcPr>
          <w:p>
            <w:pPr>
              <w:spacing w:after="0"/>
              <w:rPr>
                <w:sz w:val="15"/>
                <w:szCs w:val="15"/>
                <w:color w:val="auto"/>
              </w:rPr>
            </w:pPr>
          </w:p>
        </w:tc>
        <w:tc>
          <w:tcPr>
            <w:tcW w:w="88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(2,768)</w:t>
            </w:r>
          </w:p>
        </w:tc>
        <w:tc>
          <w:tcPr>
            <w:tcW w:w="0" w:type="dxa"/>
            <w:vAlign w:val="bottom"/>
          </w:tcPr>
          <w:p>
            <w:pPr>
              <w:spacing w:after="0"/>
              <w:rPr>
                <w:sz w:val="1"/>
                <w:szCs w:val="1"/>
                <w:color w:val="auto"/>
              </w:rPr>
            </w:pPr>
          </w:p>
        </w:tc>
      </w:tr>
      <w:tr>
        <w:trPr>
          <w:trHeight w:val="180"/>
        </w:trPr>
        <w:tc>
          <w:tcPr>
            <w:tcW w:w="4920" w:type="dxa"/>
            <w:vAlign w:val="bottom"/>
            <w:shd w:val="clear" w:color="auto" w:fill="CCEEFF"/>
          </w:tcPr>
          <w:p>
            <w:pPr>
              <w:ind w:left="280"/>
              <w:spacing w:after="0"/>
              <w:rPr>
                <w:sz w:val="20"/>
                <w:szCs w:val="20"/>
                <w:color w:val="auto"/>
              </w:rPr>
            </w:pPr>
            <w:r>
              <w:rPr>
                <w:rFonts w:ascii="Times New Roman" w:cs="Times New Roman" w:eastAsia="Times New Roman" w:hAnsi="Times New Roman"/>
                <w:sz w:val="14"/>
                <w:szCs w:val="14"/>
                <w:color w:val="auto"/>
              </w:rPr>
              <w:t>Acquisition expenses</w:t>
            </w:r>
          </w:p>
        </w:tc>
        <w:tc>
          <w:tcPr>
            <w:tcW w:w="720" w:type="dxa"/>
            <w:vAlign w:val="bottom"/>
            <w:shd w:val="clear" w:color="auto" w:fill="CCEEFF"/>
          </w:tcPr>
          <w:p>
            <w:pPr>
              <w:spacing w:after="0"/>
              <w:rPr>
                <w:sz w:val="15"/>
                <w:szCs w:val="15"/>
                <w:color w:val="auto"/>
              </w:rPr>
            </w:pPr>
          </w:p>
        </w:tc>
        <w:tc>
          <w:tcPr>
            <w:tcW w:w="1360" w:type="dxa"/>
            <w:vAlign w:val="bottom"/>
            <w:gridSpan w:val="3"/>
            <w:shd w:val="clear" w:color="auto" w:fill="CCEEFF"/>
          </w:tcPr>
          <w:p>
            <w:pPr>
              <w:jc w:val="right"/>
              <w:ind w:right="916"/>
              <w:spacing w:after="0"/>
              <w:rPr>
                <w:sz w:val="20"/>
                <w:szCs w:val="20"/>
                <w:color w:val="auto"/>
              </w:rPr>
            </w:pPr>
            <w:r>
              <w:rPr>
                <w:rFonts w:ascii="Times New Roman" w:cs="Times New Roman" w:eastAsia="Times New Roman" w:hAnsi="Times New Roman"/>
                <w:sz w:val="13"/>
                <w:szCs w:val="13"/>
                <w:color w:val="auto"/>
              </w:rPr>
              <w:t>—</w:t>
            </w:r>
          </w:p>
        </w:tc>
        <w:tc>
          <w:tcPr>
            <w:tcW w:w="520" w:type="dxa"/>
            <w:vAlign w:val="bottom"/>
            <w:gridSpan w:val="2"/>
            <w:shd w:val="clear" w:color="auto" w:fill="CCEEFF"/>
          </w:tcPr>
          <w:p>
            <w:pPr>
              <w:ind w:left="200"/>
              <w:spacing w:after="0"/>
              <w:rPr>
                <w:sz w:val="20"/>
                <w:szCs w:val="20"/>
                <w:color w:val="auto"/>
              </w:rPr>
            </w:pPr>
            <w:r>
              <w:rPr>
                <w:rFonts w:ascii="Times New Roman" w:cs="Times New Roman" w:eastAsia="Times New Roman" w:hAnsi="Times New Roman"/>
                <w:sz w:val="13"/>
                <w:szCs w:val="13"/>
                <w:color w:val="auto"/>
              </w:rPr>
              <w:t>NM</w:t>
            </w:r>
          </w:p>
        </w:tc>
        <w:tc>
          <w:tcPr>
            <w:tcW w:w="260" w:type="dxa"/>
            <w:vAlign w:val="bottom"/>
            <w:shd w:val="clear" w:color="auto" w:fill="CCEEFF"/>
          </w:tcPr>
          <w:p>
            <w:pPr>
              <w:spacing w:after="0"/>
              <w:rPr>
                <w:sz w:val="15"/>
                <w:szCs w:val="15"/>
                <w:color w:val="auto"/>
              </w:rPr>
            </w:pPr>
          </w:p>
        </w:tc>
        <w:tc>
          <w:tcPr>
            <w:tcW w:w="1320" w:type="dxa"/>
            <w:vAlign w:val="bottom"/>
            <w:gridSpan w:val="3"/>
            <w:shd w:val="clear" w:color="auto" w:fill="CCEEFF"/>
          </w:tcPr>
          <w:p>
            <w:pPr>
              <w:jc w:val="right"/>
              <w:ind w:right="500"/>
              <w:spacing w:after="0"/>
              <w:rPr>
                <w:sz w:val="20"/>
                <w:szCs w:val="20"/>
                <w:color w:val="auto"/>
              </w:rPr>
            </w:pPr>
            <w:r>
              <w:rPr>
                <w:rFonts w:ascii="Times New Roman" w:cs="Times New Roman" w:eastAsia="Times New Roman" w:hAnsi="Times New Roman"/>
                <w:sz w:val="13"/>
                <w:szCs w:val="13"/>
                <w:color w:val="auto"/>
              </w:rPr>
              <w:t>—</w:t>
            </w:r>
          </w:p>
        </w:tc>
        <w:tc>
          <w:tcPr>
            <w:tcW w:w="900" w:type="dxa"/>
            <w:vAlign w:val="bottom"/>
            <w:shd w:val="clear" w:color="auto" w:fill="CCEEFF"/>
          </w:tcPr>
          <w:p>
            <w:pPr>
              <w:jc w:val="right"/>
              <w:ind w:right="53"/>
              <w:spacing w:after="0"/>
              <w:rPr>
                <w:sz w:val="20"/>
                <w:szCs w:val="20"/>
                <w:color w:val="auto"/>
              </w:rPr>
            </w:pPr>
            <w:r>
              <w:rPr>
                <w:rFonts w:ascii="Times New Roman" w:cs="Times New Roman" w:eastAsia="Times New Roman" w:hAnsi="Times New Roman"/>
                <w:sz w:val="13"/>
                <w:szCs w:val="13"/>
                <w:color w:val="auto"/>
              </w:rPr>
              <w:t>(100)</w:t>
            </w:r>
          </w:p>
        </w:tc>
        <w:tc>
          <w:tcPr>
            <w:tcW w:w="100" w:type="dxa"/>
            <w:vAlign w:val="bottom"/>
            <w:shd w:val="clear" w:color="auto" w:fill="CCEEFF"/>
          </w:tcPr>
          <w:p>
            <w:pPr>
              <w:spacing w:after="0"/>
              <w:rPr>
                <w:sz w:val="15"/>
                <w:szCs w:val="15"/>
                <w:color w:val="auto"/>
              </w:rPr>
            </w:pPr>
          </w:p>
        </w:tc>
        <w:tc>
          <w:tcPr>
            <w:tcW w:w="280" w:type="dxa"/>
            <w:vAlign w:val="bottom"/>
            <w:shd w:val="clear" w:color="auto" w:fill="CCEEFF"/>
          </w:tcPr>
          <w:p>
            <w:pPr>
              <w:spacing w:after="0"/>
              <w:rPr>
                <w:sz w:val="15"/>
                <w:szCs w:val="15"/>
                <w:color w:val="auto"/>
              </w:rPr>
            </w:pPr>
          </w:p>
        </w:tc>
        <w:tc>
          <w:tcPr>
            <w:tcW w:w="8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209</w:t>
            </w:r>
          </w:p>
        </w:tc>
        <w:tc>
          <w:tcPr>
            <w:tcW w:w="0" w:type="dxa"/>
            <w:vAlign w:val="bottom"/>
          </w:tcPr>
          <w:p>
            <w:pPr>
              <w:spacing w:after="0"/>
              <w:rPr>
                <w:sz w:val="1"/>
                <w:szCs w:val="1"/>
                <w:color w:val="auto"/>
              </w:rPr>
            </w:pPr>
          </w:p>
        </w:tc>
      </w:tr>
      <w:tr>
        <w:trPr>
          <w:trHeight w:val="168"/>
        </w:trPr>
        <w:tc>
          <w:tcPr>
            <w:tcW w:w="4920" w:type="dxa"/>
            <w:vAlign w:val="bottom"/>
            <w:tcBorders>
              <w:bottom w:val="single" w:sz="8" w:color="CCEEFF"/>
            </w:tcBorders>
          </w:tcPr>
          <w:p>
            <w:pPr>
              <w:ind w:left="620"/>
              <w:spacing w:after="0"/>
              <w:rPr>
                <w:sz w:val="20"/>
                <w:szCs w:val="20"/>
                <w:color w:val="auto"/>
              </w:rPr>
            </w:pPr>
            <w:r>
              <w:rPr>
                <w:rFonts w:ascii="Times New Roman" w:cs="Times New Roman" w:eastAsia="Times New Roman" w:hAnsi="Times New Roman"/>
                <w:sz w:val="14"/>
                <w:szCs w:val="14"/>
                <w:color w:val="auto"/>
              </w:rPr>
              <w:t>Total expenses</w:t>
            </w:r>
          </w:p>
        </w:tc>
        <w:tc>
          <w:tcPr>
            <w:tcW w:w="720" w:type="dxa"/>
            <w:vAlign w:val="bottom"/>
            <w:tcBorders>
              <w:top w:val="single" w:sz="8" w:color="auto"/>
              <w:bottom w:val="single" w:sz="8" w:color="auto"/>
            </w:tcBorders>
          </w:tcPr>
          <w:p>
            <w:pPr>
              <w:spacing w:after="0"/>
              <w:rPr>
                <w:sz w:val="14"/>
                <w:szCs w:val="14"/>
                <w:color w:val="auto"/>
              </w:rPr>
            </w:pPr>
          </w:p>
        </w:tc>
        <w:tc>
          <w:tcPr>
            <w:tcW w:w="44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3"/>
                <w:szCs w:val="13"/>
                <w:color w:val="auto"/>
              </w:rPr>
              <w:t>92,789</w:t>
            </w:r>
          </w:p>
        </w:tc>
        <w:tc>
          <w:tcPr>
            <w:tcW w:w="80" w:type="dxa"/>
            <w:vAlign w:val="bottom"/>
            <w:tcBorders>
              <w:bottom w:val="single" w:sz="8" w:color="CCEEFF"/>
            </w:tcBorders>
          </w:tcPr>
          <w:p>
            <w:pPr>
              <w:spacing w:after="0"/>
              <w:rPr>
                <w:sz w:val="14"/>
                <w:szCs w:val="14"/>
                <w:color w:val="auto"/>
              </w:rPr>
            </w:pPr>
          </w:p>
        </w:tc>
        <w:tc>
          <w:tcPr>
            <w:tcW w:w="840" w:type="dxa"/>
            <w:vAlign w:val="bottom"/>
            <w:tcBorders>
              <w:top w:val="single" w:sz="8" w:color="auto"/>
              <w:bottom w:val="single" w:sz="8" w:color="auto"/>
            </w:tcBorders>
          </w:tcPr>
          <w:p>
            <w:pPr>
              <w:spacing w:after="0"/>
              <w:rPr>
                <w:sz w:val="14"/>
                <w:szCs w:val="14"/>
                <w:color w:val="auto"/>
              </w:rPr>
            </w:pPr>
          </w:p>
        </w:tc>
        <w:tc>
          <w:tcPr>
            <w:tcW w:w="420" w:type="dxa"/>
            <w:vAlign w:val="bottom"/>
            <w:tcBorders>
              <w:top w:val="single" w:sz="8" w:color="auto"/>
              <w:bottom w:val="single" w:sz="8" w:color="auto"/>
            </w:tcBorders>
          </w:tcPr>
          <w:p>
            <w:pPr>
              <w:jc w:val="right"/>
              <w:ind w:right="53"/>
              <w:spacing w:after="0"/>
              <w:rPr>
                <w:sz w:val="20"/>
                <w:szCs w:val="20"/>
                <w:color w:val="auto"/>
              </w:rPr>
            </w:pPr>
            <w:r>
              <w:rPr>
                <w:rFonts w:ascii="Times New Roman" w:cs="Times New Roman" w:eastAsia="Times New Roman" w:hAnsi="Times New Roman"/>
                <w:sz w:val="13"/>
                <w:szCs w:val="13"/>
                <w:color w:val="auto"/>
              </w:rPr>
              <w:t>(1)</w:t>
            </w:r>
          </w:p>
        </w:tc>
        <w:tc>
          <w:tcPr>
            <w:tcW w:w="100" w:type="dxa"/>
            <w:vAlign w:val="bottom"/>
            <w:tcBorders>
              <w:bottom w:val="single" w:sz="8" w:color="CCEEFF"/>
            </w:tcBorders>
          </w:tcPr>
          <w:p>
            <w:pPr>
              <w:spacing w:after="0"/>
              <w:rPr>
                <w:sz w:val="14"/>
                <w:szCs w:val="14"/>
                <w:color w:val="auto"/>
              </w:rPr>
            </w:pPr>
          </w:p>
        </w:tc>
        <w:tc>
          <w:tcPr>
            <w:tcW w:w="260" w:type="dxa"/>
            <w:vAlign w:val="bottom"/>
            <w:tcBorders>
              <w:top w:val="single" w:sz="8" w:color="auto"/>
              <w:bottom w:val="single" w:sz="8" w:color="auto"/>
            </w:tcBorders>
          </w:tcPr>
          <w:p>
            <w:pPr>
              <w:spacing w:after="0"/>
              <w:rPr>
                <w:sz w:val="14"/>
                <w:szCs w:val="14"/>
                <w:color w:val="auto"/>
              </w:rPr>
            </w:pPr>
          </w:p>
        </w:tc>
        <w:tc>
          <w:tcPr>
            <w:tcW w:w="88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3"/>
                <w:szCs w:val="13"/>
                <w:color w:val="auto"/>
              </w:rPr>
              <w:t>93,891</w:t>
            </w:r>
          </w:p>
        </w:tc>
        <w:tc>
          <w:tcPr>
            <w:tcW w:w="100" w:type="dxa"/>
            <w:vAlign w:val="bottom"/>
            <w:tcBorders>
              <w:bottom w:val="single" w:sz="8" w:color="CCEEFF"/>
            </w:tcBorders>
          </w:tcPr>
          <w:p>
            <w:pPr>
              <w:spacing w:after="0"/>
              <w:rPr>
                <w:sz w:val="14"/>
                <w:szCs w:val="14"/>
                <w:color w:val="auto"/>
              </w:rPr>
            </w:pPr>
          </w:p>
        </w:tc>
        <w:tc>
          <w:tcPr>
            <w:tcW w:w="340" w:type="dxa"/>
            <w:vAlign w:val="bottom"/>
            <w:tcBorders>
              <w:top w:val="single" w:sz="8" w:color="auto"/>
              <w:bottom w:val="single" w:sz="8" w:color="auto"/>
            </w:tcBorders>
          </w:tcPr>
          <w:p>
            <w:pPr>
              <w:spacing w:after="0"/>
              <w:rPr>
                <w:sz w:val="14"/>
                <w:szCs w:val="14"/>
                <w:color w:val="auto"/>
              </w:rPr>
            </w:pPr>
          </w:p>
        </w:tc>
        <w:tc>
          <w:tcPr>
            <w:tcW w:w="900" w:type="dxa"/>
            <w:vAlign w:val="bottom"/>
            <w:tcBorders>
              <w:top w:val="single" w:sz="8" w:color="auto"/>
              <w:bottom w:val="single" w:sz="8" w:color="auto"/>
            </w:tcBorders>
          </w:tcPr>
          <w:p>
            <w:pPr>
              <w:jc w:val="right"/>
              <w:ind w:right="93"/>
              <w:spacing w:after="0"/>
              <w:rPr>
                <w:sz w:val="20"/>
                <w:szCs w:val="20"/>
                <w:color w:val="auto"/>
              </w:rPr>
            </w:pPr>
            <w:r>
              <w:rPr>
                <w:rFonts w:ascii="Times New Roman" w:cs="Times New Roman" w:eastAsia="Times New Roman" w:hAnsi="Times New Roman"/>
                <w:sz w:val="13"/>
                <w:szCs w:val="13"/>
                <w:color w:val="auto"/>
              </w:rPr>
              <w:t>12</w:t>
            </w:r>
          </w:p>
        </w:tc>
        <w:tc>
          <w:tcPr>
            <w:tcW w:w="100" w:type="dxa"/>
            <w:vAlign w:val="bottom"/>
            <w:tcBorders>
              <w:bottom w:val="single" w:sz="8" w:color="CCEEFF"/>
            </w:tcBorders>
          </w:tcPr>
          <w:p>
            <w:pPr>
              <w:spacing w:after="0"/>
              <w:rPr>
                <w:sz w:val="14"/>
                <w:szCs w:val="14"/>
                <w:color w:val="auto"/>
              </w:rPr>
            </w:pPr>
          </w:p>
        </w:tc>
        <w:tc>
          <w:tcPr>
            <w:tcW w:w="280" w:type="dxa"/>
            <w:vAlign w:val="bottom"/>
            <w:tcBorders>
              <w:top w:val="single" w:sz="8" w:color="auto"/>
              <w:bottom w:val="single" w:sz="8" w:color="auto"/>
            </w:tcBorders>
          </w:tcPr>
          <w:p>
            <w:pPr>
              <w:spacing w:after="0"/>
              <w:rPr>
                <w:sz w:val="14"/>
                <w:szCs w:val="14"/>
                <w:color w:val="auto"/>
              </w:rPr>
            </w:pPr>
          </w:p>
        </w:tc>
        <w:tc>
          <w:tcPr>
            <w:tcW w:w="88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3"/>
                <w:szCs w:val="13"/>
                <w:color w:val="auto"/>
              </w:rPr>
              <w:t>83,776</w:t>
            </w:r>
          </w:p>
        </w:tc>
        <w:tc>
          <w:tcPr>
            <w:tcW w:w="0" w:type="dxa"/>
            <w:vAlign w:val="bottom"/>
          </w:tcPr>
          <w:p>
            <w:pPr>
              <w:spacing w:after="0"/>
              <w:rPr>
                <w:sz w:val="1"/>
                <w:szCs w:val="1"/>
                <w:color w:val="auto"/>
              </w:rPr>
            </w:pPr>
          </w:p>
        </w:tc>
      </w:tr>
      <w:tr>
        <w:trPr>
          <w:trHeight w:val="174"/>
        </w:trPr>
        <w:tc>
          <w:tcPr>
            <w:tcW w:w="492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4"/>
                <w:szCs w:val="14"/>
                <w:color w:val="auto"/>
              </w:rPr>
              <w:t>Net operating income</w:t>
            </w:r>
          </w:p>
        </w:tc>
        <w:tc>
          <w:tcPr>
            <w:tcW w:w="720" w:type="dxa"/>
            <w:vAlign w:val="bottom"/>
            <w:tcBorders>
              <w:bottom w:val="single" w:sz="8" w:color="auto"/>
            </w:tcBorders>
            <w:shd w:val="clear" w:color="auto" w:fill="CCEEFF"/>
          </w:tcPr>
          <w:p>
            <w:pPr>
              <w:spacing w:after="0"/>
              <w:rPr>
                <w:sz w:val="15"/>
                <w:szCs w:val="15"/>
                <w:color w:val="auto"/>
              </w:rPr>
            </w:pPr>
          </w:p>
        </w:tc>
        <w:tc>
          <w:tcPr>
            <w:tcW w:w="4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4,973</w:t>
            </w:r>
          </w:p>
        </w:tc>
        <w:tc>
          <w:tcPr>
            <w:tcW w:w="80" w:type="dxa"/>
            <w:vAlign w:val="bottom"/>
            <w:shd w:val="clear" w:color="auto" w:fill="CCEEFF"/>
          </w:tcPr>
          <w:p>
            <w:pPr>
              <w:spacing w:after="0"/>
              <w:rPr>
                <w:sz w:val="15"/>
                <w:szCs w:val="15"/>
                <w:color w:val="auto"/>
              </w:rPr>
            </w:pPr>
          </w:p>
        </w:tc>
        <w:tc>
          <w:tcPr>
            <w:tcW w:w="840" w:type="dxa"/>
            <w:vAlign w:val="bottom"/>
            <w:tcBorders>
              <w:bottom w:val="single" w:sz="8" w:color="auto"/>
            </w:tcBorders>
            <w:shd w:val="clear" w:color="auto" w:fill="CCEEFF"/>
          </w:tcPr>
          <w:p>
            <w:pPr>
              <w:spacing w:after="0"/>
              <w:rPr>
                <w:sz w:val="15"/>
                <w:szCs w:val="15"/>
                <w:color w:val="auto"/>
              </w:rPr>
            </w:pPr>
          </w:p>
        </w:tc>
        <w:tc>
          <w:tcPr>
            <w:tcW w:w="420" w:type="dxa"/>
            <w:vAlign w:val="bottom"/>
            <w:tcBorders>
              <w:bottom w:val="single" w:sz="8" w:color="auto"/>
            </w:tcBorders>
            <w:shd w:val="clear" w:color="auto" w:fill="CCEEFF"/>
          </w:tcPr>
          <w:p>
            <w:pPr>
              <w:jc w:val="right"/>
              <w:ind w:right="93"/>
              <w:spacing w:after="0"/>
              <w:rPr>
                <w:sz w:val="20"/>
                <w:szCs w:val="20"/>
                <w:color w:val="auto"/>
              </w:rPr>
            </w:pPr>
            <w:r>
              <w:rPr>
                <w:rFonts w:ascii="Times New Roman" w:cs="Times New Roman" w:eastAsia="Times New Roman" w:hAnsi="Times New Roman"/>
                <w:sz w:val="13"/>
                <w:szCs w:val="13"/>
                <w:color w:val="auto"/>
              </w:rPr>
              <w:t>499</w:t>
            </w:r>
          </w:p>
        </w:tc>
        <w:tc>
          <w:tcPr>
            <w:tcW w:w="100" w:type="dxa"/>
            <w:vAlign w:val="bottom"/>
            <w:shd w:val="clear" w:color="auto" w:fill="CCEEFF"/>
          </w:tcPr>
          <w:p>
            <w:pPr>
              <w:spacing w:after="0"/>
              <w:rPr>
                <w:sz w:val="15"/>
                <w:szCs w:val="15"/>
                <w:color w:val="auto"/>
              </w:rPr>
            </w:pPr>
          </w:p>
        </w:tc>
        <w:tc>
          <w:tcPr>
            <w:tcW w:w="260" w:type="dxa"/>
            <w:vAlign w:val="bottom"/>
            <w:tcBorders>
              <w:bottom w:val="single" w:sz="8" w:color="auto"/>
            </w:tcBorders>
            <w:shd w:val="clear" w:color="auto" w:fill="CCEEFF"/>
          </w:tcPr>
          <w:p>
            <w:pPr>
              <w:spacing w:after="0"/>
              <w:rPr>
                <w:sz w:val="15"/>
                <w:szCs w:val="15"/>
                <w:color w:val="auto"/>
              </w:rPr>
            </w:pPr>
          </w:p>
        </w:tc>
        <w:tc>
          <w:tcPr>
            <w:tcW w:w="8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830</w:t>
            </w:r>
          </w:p>
        </w:tc>
        <w:tc>
          <w:tcPr>
            <w:tcW w:w="100" w:type="dxa"/>
            <w:vAlign w:val="bottom"/>
            <w:shd w:val="clear" w:color="auto" w:fill="CCEEFF"/>
          </w:tcPr>
          <w:p>
            <w:pPr>
              <w:spacing w:after="0"/>
              <w:rPr>
                <w:sz w:val="15"/>
                <w:szCs w:val="15"/>
                <w:color w:val="auto"/>
              </w:rPr>
            </w:pPr>
          </w:p>
        </w:tc>
        <w:tc>
          <w:tcPr>
            <w:tcW w:w="340" w:type="dxa"/>
            <w:vAlign w:val="bottom"/>
            <w:tcBorders>
              <w:bottom w:val="single" w:sz="8" w:color="auto"/>
            </w:tcBorders>
            <w:shd w:val="clear" w:color="auto" w:fill="CCEEFF"/>
          </w:tcPr>
          <w:p>
            <w:pPr>
              <w:spacing w:after="0"/>
              <w:rPr>
                <w:sz w:val="15"/>
                <w:szCs w:val="15"/>
                <w:color w:val="auto"/>
              </w:rPr>
            </w:pPr>
          </w:p>
        </w:tc>
        <w:tc>
          <w:tcPr>
            <w:tcW w:w="900" w:type="dxa"/>
            <w:vAlign w:val="bottom"/>
            <w:tcBorders>
              <w:bottom w:val="single" w:sz="8" w:color="auto"/>
            </w:tcBorders>
            <w:shd w:val="clear" w:color="auto" w:fill="CCEEFF"/>
          </w:tcPr>
          <w:p>
            <w:pPr>
              <w:jc w:val="right"/>
              <w:ind w:right="53"/>
              <w:spacing w:after="0"/>
              <w:rPr>
                <w:sz w:val="20"/>
                <w:szCs w:val="20"/>
                <w:color w:val="auto"/>
              </w:rPr>
            </w:pPr>
            <w:r>
              <w:rPr>
                <w:rFonts w:ascii="Times New Roman" w:cs="Times New Roman" w:eastAsia="Times New Roman" w:hAnsi="Times New Roman"/>
                <w:sz w:val="13"/>
                <w:szCs w:val="13"/>
                <w:color w:val="auto"/>
              </w:rPr>
              <w:t>(86)</w:t>
            </w:r>
          </w:p>
        </w:tc>
        <w:tc>
          <w:tcPr>
            <w:tcW w:w="100" w:type="dxa"/>
            <w:vAlign w:val="bottom"/>
            <w:shd w:val="clear" w:color="auto" w:fill="CCEEFF"/>
          </w:tcPr>
          <w:p>
            <w:pPr>
              <w:spacing w:after="0"/>
              <w:rPr>
                <w:sz w:val="15"/>
                <w:szCs w:val="15"/>
                <w:color w:val="auto"/>
              </w:rPr>
            </w:pPr>
          </w:p>
        </w:tc>
        <w:tc>
          <w:tcPr>
            <w:tcW w:w="280" w:type="dxa"/>
            <w:vAlign w:val="bottom"/>
            <w:tcBorders>
              <w:bottom w:val="single" w:sz="8" w:color="auto"/>
            </w:tcBorders>
            <w:shd w:val="clear" w:color="auto" w:fill="CCEEFF"/>
          </w:tcPr>
          <w:p>
            <w:pPr>
              <w:spacing w:after="0"/>
              <w:rPr>
                <w:sz w:val="15"/>
                <w:szCs w:val="15"/>
                <w:color w:val="auto"/>
              </w:rPr>
            </w:pPr>
          </w:p>
        </w:tc>
        <w:tc>
          <w:tcPr>
            <w:tcW w:w="8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6,005</w:t>
            </w:r>
          </w:p>
        </w:tc>
        <w:tc>
          <w:tcPr>
            <w:tcW w:w="0" w:type="dxa"/>
            <w:vAlign w:val="bottom"/>
          </w:tcPr>
          <w:p>
            <w:pPr>
              <w:spacing w:after="0"/>
              <w:rPr>
                <w:sz w:val="1"/>
                <w:szCs w:val="1"/>
                <w:color w:val="auto"/>
              </w:rPr>
            </w:pPr>
          </w:p>
        </w:tc>
      </w:tr>
      <w:tr>
        <w:trPr>
          <w:trHeight w:val="168"/>
        </w:trPr>
        <w:tc>
          <w:tcPr>
            <w:tcW w:w="4920" w:type="dxa"/>
            <w:vAlign w:val="bottom"/>
          </w:tcPr>
          <w:p>
            <w:pPr>
              <w:ind w:left="280"/>
              <w:spacing w:after="0"/>
              <w:rPr>
                <w:sz w:val="20"/>
                <w:szCs w:val="20"/>
                <w:color w:val="auto"/>
              </w:rPr>
            </w:pPr>
            <w:r>
              <w:rPr>
                <w:rFonts w:ascii="Times New Roman" w:cs="Times New Roman" w:eastAsia="Times New Roman" w:hAnsi="Times New Roman"/>
                <w:sz w:val="14"/>
                <w:szCs w:val="14"/>
                <w:color w:val="auto"/>
              </w:rPr>
              <w:t>Net change in unrealized appreciation on private investments</w:t>
            </w:r>
          </w:p>
        </w:tc>
        <w:tc>
          <w:tcPr>
            <w:tcW w:w="720" w:type="dxa"/>
            <w:vAlign w:val="bottom"/>
          </w:tcPr>
          <w:p>
            <w:pPr>
              <w:spacing w:after="0"/>
              <w:rPr>
                <w:sz w:val="14"/>
                <w:szCs w:val="14"/>
                <w:color w:val="auto"/>
              </w:rPr>
            </w:pPr>
          </w:p>
        </w:tc>
        <w:tc>
          <w:tcPr>
            <w:tcW w:w="44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1,932</w:t>
            </w:r>
          </w:p>
        </w:tc>
        <w:tc>
          <w:tcPr>
            <w:tcW w:w="80" w:type="dxa"/>
            <w:vAlign w:val="bottom"/>
          </w:tcPr>
          <w:p>
            <w:pPr>
              <w:spacing w:after="0"/>
              <w:rPr>
                <w:sz w:val="14"/>
                <w:szCs w:val="14"/>
                <w:color w:val="auto"/>
              </w:rPr>
            </w:pPr>
          </w:p>
        </w:tc>
        <w:tc>
          <w:tcPr>
            <w:tcW w:w="840" w:type="dxa"/>
            <w:vAlign w:val="bottom"/>
          </w:tcPr>
          <w:p>
            <w:pPr>
              <w:spacing w:after="0"/>
              <w:rPr>
                <w:sz w:val="14"/>
                <w:szCs w:val="14"/>
                <w:color w:val="auto"/>
              </w:rPr>
            </w:pPr>
          </w:p>
        </w:tc>
        <w:tc>
          <w:tcPr>
            <w:tcW w:w="420" w:type="dxa"/>
            <w:vAlign w:val="bottom"/>
          </w:tcPr>
          <w:p>
            <w:pPr>
              <w:jc w:val="right"/>
              <w:ind w:right="93"/>
              <w:spacing w:after="0"/>
              <w:rPr>
                <w:sz w:val="20"/>
                <w:szCs w:val="20"/>
                <w:color w:val="auto"/>
              </w:rPr>
            </w:pPr>
            <w:r>
              <w:rPr>
                <w:rFonts w:ascii="Times New Roman" w:cs="Times New Roman" w:eastAsia="Times New Roman" w:hAnsi="Times New Roman"/>
                <w:sz w:val="13"/>
                <w:szCs w:val="13"/>
                <w:color w:val="auto"/>
              </w:rPr>
              <w:t>100</w:t>
            </w:r>
          </w:p>
        </w:tc>
        <w:tc>
          <w:tcPr>
            <w:tcW w:w="10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88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w:t>
            </w:r>
          </w:p>
        </w:tc>
        <w:tc>
          <w:tcPr>
            <w:tcW w:w="100" w:type="dxa"/>
            <w:vAlign w:val="bottom"/>
          </w:tcPr>
          <w:p>
            <w:pPr>
              <w:spacing w:after="0"/>
              <w:rPr>
                <w:sz w:val="14"/>
                <w:szCs w:val="14"/>
                <w:color w:val="auto"/>
              </w:rPr>
            </w:pPr>
          </w:p>
        </w:tc>
        <w:tc>
          <w:tcPr>
            <w:tcW w:w="340" w:type="dxa"/>
            <w:vAlign w:val="bottom"/>
          </w:tcPr>
          <w:p>
            <w:pPr>
              <w:spacing w:after="0"/>
              <w:rPr>
                <w:sz w:val="14"/>
                <w:szCs w:val="14"/>
                <w:color w:val="auto"/>
              </w:rPr>
            </w:pPr>
          </w:p>
        </w:tc>
        <w:tc>
          <w:tcPr>
            <w:tcW w:w="900" w:type="dxa"/>
            <w:vAlign w:val="bottom"/>
          </w:tcPr>
          <w:p>
            <w:pPr>
              <w:jc w:val="right"/>
              <w:ind w:right="53"/>
              <w:spacing w:after="0"/>
              <w:rPr>
                <w:sz w:val="20"/>
                <w:szCs w:val="20"/>
                <w:color w:val="auto"/>
              </w:rPr>
            </w:pPr>
            <w:r>
              <w:rPr>
                <w:rFonts w:ascii="Times New Roman" w:cs="Times New Roman" w:eastAsia="Times New Roman" w:hAnsi="Times New Roman"/>
                <w:sz w:val="13"/>
                <w:szCs w:val="13"/>
                <w:color w:val="auto"/>
              </w:rPr>
              <w:t>(100)</w:t>
            </w:r>
          </w:p>
        </w:tc>
        <w:tc>
          <w:tcPr>
            <w:tcW w:w="100" w:type="dxa"/>
            <w:vAlign w:val="bottom"/>
          </w:tcPr>
          <w:p>
            <w:pPr>
              <w:spacing w:after="0"/>
              <w:rPr>
                <w:sz w:val="14"/>
                <w:szCs w:val="14"/>
                <w:color w:val="auto"/>
              </w:rPr>
            </w:pPr>
          </w:p>
        </w:tc>
        <w:tc>
          <w:tcPr>
            <w:tcW w:w="280" w:type="dxa"/>
            <w:vAlign w:val="bottom"/>
          </w:tcPr>
          <w:p>
            <w:pPr>
              <w:spacing w:after="0"/>
              <w:rPr>
                <w:sz w:val="14"/>
                <w:szCs w:val="14"/>
                <w:color w:val="auto"/>
              </w:rPr>
            </w:pPr>
          </w:p>
        </w:tc>
        <w:tc>
          <w:tcPr>
            <w:tcW w:w="88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6</w:t>
            </w:r>
          </w:p>
        </w:tc>
        <w:tc>
          <w:tcPr>
            <w:tcW w:w="0" w:type="dxa"/>
            <w:vAlign w:val="bottom"/>
          </w:tcPr>
          <w:p>
            <w:pPr>
              <w:spacing w:after="0"/>
              <w:rPr>
                <w:sz w:val="1"/>
                <w:szCs w:val="1"/>
                <w:color w:val="auto"/>
              </w:rPr>
            </w:pPr>
          </w:p>
        </w:tc>
      </w:tr>
      <w:tr>
        <w:trPr>
          <w:trHeight w:val="184"/>
        </w:trPr>
        <w:tc>
          <w:tcPr>
            <w:tcW w:w="4920" w:type="dxa"/>
            <w:vAlign w:val="bottom"/>
            <w:shd w:val="clear" w:color="auto" w:fill="CCEEFF"/>
          </w:tcPr>
          <w:p>
            <w:pPr>
              <w:ind w:left="280"/>
              <w:spacing w:after="0"/>
              <w:rPr>
                <w:sz w:val="20"/>
                <w:szCs w:val="20"/>
                <w:color w:val="auto"/>
              </w:rPr>
            </w:pPr>
            <w:r>
              <w:rPr>
                <w:rFonts w:ascii="Times New Roman" w:cs="Times New Roman" w:eastAsia="Times New Roman" w:hAnsi="Times New Roman"/>
                <w:sz w:val="14"/>
                <w:szCs w:val="14"/>
                <w:color w:val="auto"/>
              </w:rPr>
              <w:t>Net investment income</w:t>
            </w:r>
          </w:p>
        </w:tc>
        <w:tc>
          <w:tcPr>
            <w:tcW w:w="720" w:type="dxa"/>
            <w:vAlign w:val="bottom"/>
            <w:shd w:val="clear" w:color="auto" w:fill="CCEEFF"/>
          </w:tcPr>
          <w:p>
            <w:pPr>
              <w:spacing w:after="0"/>
              <w:rPr>
                <w:sz w:val="15"/>
                <w:szCs w:val="15"/>
                <w:color w:val="auto"/>
              </w:rPr>
            </w:pPr>
          </w:p>
        </w:tc>
        <w:tc>
          <w:tcPr>
            <w:tcW w:w="4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1,655</w:t>
            </w:r>
          </w:p>
        </w:tc>
        <w:tc>
          <w:tcPr>
            <w:tcW w:w="80" w:type="dxa"/>
            <w:vAlign w:val="bottom"/>
            <w:shd w:val="clear" w:color="auto" w:fill="CCEEFF"/>
          </w:tcPr>
          <w:p>
            <w:pPr>
              <w:spacing w:after="0"/>
              <w:rPr>
                <w:sz w:val="15"/>
                <w:szCs w:val="15"/>
                <w:color w:val="auto"/>
              </w:rPr>
            </w:pPr>
          </w:p>
        </w:tc>
        <w:tc>
          <w:tcPr>
            <w:tcW w:w="840" w:type="dxa"/>
            <w:vAlign w:val="bottom"/>
            <w:shd w:val="clear" w:color="auto" w:fill="CCEEFF"/>
          </w:tcPr>
          <w:p>
            <w:pPr>
              <w:spacing w:after="0"/>
              <w:rPr>
                <w:sz w:val="15"/>
                <w:szCs w:val="15"/>
                <w:color w:val="auto"/>
              </w:rPr>
            </w:pPr>
          </w:p>
        </w:tc>
        <w:tc>
          <w:tcPr>
            <w:tcW w:w="420" w:type="dxa"/>
            <w:vAlign w:val="bottom"/>
            <w:shd w:val="clear" w:color="auto" w:fill="CCEEFF"/>
          </w:tcPr>
          <w:p>
            <w:pPr>
              <w:jc w:val="right"/>
              <w:ind w:right="53"/>
              <w:spacing w:after="0"/>
              <w:rPr>
                <w:sz w:val="20"/>
                <w:szCs w:val="20"/>
                <w:color w:val="auto"/>
              </w:rPr>
            </w:pPr>
            <w:r>
              <w:rPr>
                <w:rFonts w:ascii="Times New Roman" w:cs="Times New Roman" w:eastAsia="Times New Roman" w:hAnsi="Times New Roman"/>
                <w:sz w:val="13"/>
                <w:szCs w:val="13"/>
                <w:color w:val="auto"/>
              </w:rPr>
              <w:t>(24)</w:t>
            </w:r>
          </w:p>
        </w:tc>
        <w:tc>
          <w:tcPr>
            <w:tcW w:w="100" w:type="dxa"/>
            <w:vAlign w:val="bottom"/>
            <w:shd w:val="clear" w:color="auto" w:fill="CCEEFF"/>
          </w:tcPr>
          <w:p>
            <w:pPr>
              <w:spacing w:after="0"/>
              <w:rPr>
                <w:sz w:val="15"/>
                <w:szCs w:val="15"/>
                <w:color w:val="auto"/>
              </w:rPr>
            </w:pPr>
          </w:p>
        </w:tc>
        <w:tc>
          <w:tcPr>
            <w:tcW w:w="260" w:type="dxa"/>
            <w:vAlign w:val="bottom"/>
            <w:shd w:val="clear" w:color="auto" w:fill="CCEEFF"/>
          </w:tcPr>
          <w:p>
            <w:pPr>
              <w:spacing w:after="0"/>
              <w:rPr>
                <w:sz w:val="15"/>
                <w:szCs w:val="15"/>
                <w:color w:val="auto"/>
              </w:rPr>
            </w:pPr>
          </w:p>
        </w:tc>
        <w:tc>
          <w:tcPr>
            <w:tcW w:w="8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2,183</w:t>
            </w:r>
          </w:p>
        </w:tc>
        <w:tc>
          <w:tcPr>
            <w:tcW w:w="100" w:type="dxa"/>
            <w:vAlign w:val="bottom"/>
            <w:shd w:val="clear" w:color="auto" w:fill="CCEEFF"/>
          </w:tcPr>
          <w:p>
            <w:pPr>
              <w:spacing w:after="0"/>
              <w:rPr>
                <w:sz w:val="15"/>
                <w:szCs w:val="15"/>
                <w:color w:val="auto"/>
              </w:rPr>
            </w:pPr>
          </w:p>
        </w:tc>
        <w:tc>
          <w:tcPr>
            <w:tcW w:w="340" w:type="dxa"/>
            <w:vAlign w:val="bottom"/>
            <w:shd w:val="clear" w:color="auto" w:fill="CCEEFF"/>
          </w:tcPr>
          <w:p>
            <w:pPr>
              <w:spacing w:after="0"/>
              <w:rPr>
                <w:sz w:val="15"/>
                <w:szCs w:val="15"/>
                <w:color w:val="auto"/>
              </w:rPr>
            </w:pPr>
          </w:p>
        </w:tc>
        <w:tc>
          <w:tcPr>
            <w:tcW w:w="900" w:type="dxa"/>
            <w:vAlign w:val="bottom"/>
            <w:shd w:val="clear" w:color="auto" w:fill="CCEEFF"/>
          </w:tcPr>
          <w:p>
            <w:pPr>
              <w:jc w:val="right"/>
              <w:ind w:right="93"/>
              <w:spacing w:after="0"/>
              <w:rPr>
                <w:sz w:val="20"/>
                <w:szCs w:val="20"/>
                <w:color w:val="auto"/>
              </w:rPr>
            </w:pPr>
            <w:r>
              <w:rPr>
                <w:rFonts w:ascii="Times New Roman" w:cs="Times New Roman" w:eastAsia="Times New Roman" w:hAnsi="Times New Roman"/>
                <w:sz w:val="13"/>
                <w:szCs w:val="13"/>
                <w:color w:val="auto"/>
              </w:rPr>
              <w:t>83</w:t>
            </w:r>
          </w:p>
        </w:tc>
        <w:tc>
          <w:tcPr>
            <w:tcW w:w="100" w:type="dxa"/>
            <w:vAlign w:val="bottom"/>
            <w:shd w:val="clear" w:color="auto" w:fill="CCEEFF"/>
          </w:tcPr>
          <w:p>
            <w:pPr>
              <w:spacing w:after="0"/>
              <w:rPr>
                <w:sz w:val="15"/>
                <w:szCs w:val="15"/>
                <w:color w:val="auto"/>
              </w:rPr>
            </w:pPr>
          </w:p>
        </w:tc>
        <w:tc>
          <w:tcPr>
            <w:tcW w:w="280" w:type="dxa"/>
            <w:vAlign w:val="bottom"/>
            <w:shd w:val="clear" w:color="auto" w:fill="CCEEFF"/>
          </w:tcPr>
          <w:p>
            <w:pPr>
              <w:spacing w:after="0"/>
              <w:rPr>
                <w:sz w:val="15"/>
                <w:szCs w:val="15"/>
                <w:color w:val="auto"/>
              </w:rPr>
            </w:pPr>
          </w:p>
        </w:tc>
        <w:tc>
          <w:tcPr>
            <w:tcW w:w="8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1,191</w:t>
            </w:r>
          </w:p>
        </w:tc>
        <w:tc>
          <w:tcPr>
            <w:tcW w:w="0" w:type="dxa"/>
            <w:vAlign w:val="bottom"/>
          </w:tcPr>
          <w:p>
            <w:pPr>
              <w:spacing w:after="0"/>
              <w:rPr>
                <w:sz w:val="1"/>
                <w:szCs w:val="1"/>
                <w:color w:val="auto"/>
              </w:rPr>
            </w:pPr>
          </w:p>
        </w:tc>
      </w:tr>
      <w:tr>
        <w:trPr>
          <w:trHeight w:val="180"/>
        </w:trPr>
        <w:tc>
          <w:tcPr>
            <w:tcW w:w="4920" w:type="dxa"/>
            <w:vAlign w:val="bottom"/>
            <w:tcBorders>
              <w:bottom w:val="single" w:sz="8" w:color="CCEEFF"/>
            </w:tcBorders>
          </w:tcPr>
          <w:p>
            <w:pPr>
              <w:ind w:left="280"/>
              <w:spacing w:after="0"/>
              <w:rPr>
                <w:sz w:val="20"/>
                <w:szCs w:val="20"/>
                <w:color w:val="auto"/>
              </w:rPr>
            </w:pPr>
            <w:r>
              <w:rPr>
                <w:rFonts w:ascii="Times New Roman" w:cs="Times New Roman" w:eastAsia="Times New Roman" w:hAnsi="Times New Roman"/>
                <w:sz w:val="14"/>
                <w:szCs w:val="14"/>
                <w:color w:val="auto"/>
              </w:rPr>
              <w:t>Other income</w:t>
            </w:r>
          </w:p>
        </w:tc>
        <w:tc>
          <w:tcPr>
            <w:tcW w:w="720" w:type="dxa"/>
            <w:vAlign w:val="bottom"/>
            <w:tcBorders>
              <w:bottom w:val="single" w:sz="8" w:color="auto"/>
            </w:tcBorders>
          </w:tcPr>
          <w:p>
            <w:pPr>
              <w:spacing w:after="0"/>
              <w:rPr>
                <w:sz w:val="15"/>
                <w:szCs w:val="15"/>
                <w:color w:val="auto"/>
              </w:rPr>
            </w:pPr>
          </w:p>
        </w:tc>
        <w:tc>
          <w:tcPr>
            <w:tcW w:w="4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3"/>
                <w:szCs w:val="13"/>
                <w:color w:val="auto"/>
              </w:rPr>
              <w:t>1,117</w:t>
            </w:r>
          </w:p>
        </w:tc>
        <w:tc>
          <w:tcPr>
            <w:tcW w:w="80" w:type="dxa"/>
            <w:vAlign w:val="bottom"/>
            <w:tcBorders>
              <w:bottom w:val="single" w:sz="8" w:color="CCEEFF"/>
            </w:tcBorders>
          </w:tcPr>
          <w:p>
            <w:pPr>
              <w:spacing w:after="0"/>
              <w:rPr>
                <w:sz w:val="15"/>
                <w:szCs w:val="15"/>
                <w:color w:val="auto"/>
              </w:rPr>
            </w:pPr>
          </w:p>
        </w:tc>
        <w:tc>
          <w:tcPr>
            <w:tcW w:w="840" w:type="dxa"/>
            <w:vAlign w:val="bottom"/>
            <w:tcBorders>
              <w:bottom w:val="single" w:sz="8" w:color="auto"/>
            </w:tcBorders>
          </w:tcPr>
          <w:p>
            <w:pPr>
              <w:spacing w:after="0"/>
              <w:rPr>
                <w:sz w:val="15"/>
                <w:szCs w:val="15"/>
                <w:color w:val="auto"/>
              </w:rPr>
            </w:pPr>
          </w:p>
        </w:tc>
        <w:tc>
          <w:tcPr>
            <w:tcW w:w="420" w:type="dxa"/>
            <w:vAlign w:val="bottom"/>
            <w:tcBorders>
              <w:bottom w:val="single" w:sz="8" w:color="auto"/>
            </w:tcBorders>
          </w:tcPr>
          <w:p>
            <w:pPr>
              <w:jc w:val="right"/>
              <w:ind w:right="93"/>
              <w:spacing w:after="0"/>
              <w:rPr>
                <w:sz w:val="20"/>
                <w:szCs w:val="20"/>
                <w:color w:val="auto"/>
              </w:rPr>
            </w:pPr>
            <w:r>
              <w:rPr>
                <w:rFonts w:ascii="Times New Roman" w:cs="Times New Roman" w:eastAsia="Times New Roman" w:hAnsi="Times New Roman"/>
                <w:sz w:val="13"/>
                <w:szCs w:val="13"/>
                <w:color w:val="auto"/>
              </w:rPr>
              <w:t>11</w:t>
            </w:r>
          </w:p>
        </w:tc>
        <w:tc>
          <w:tcPr>
            <w:tcW w:w="100" w:type="dxa"/>
            <w:vAlign w:val="bottom"/>
            <w:tcBorders>
              <w:bottom w:val="single" w:sz="8" w:color="CCEEFF"/>
            </w:tcBorders>
          </w:tcPr>
          <w:p>
            <w:pPr>
              <w:spacing w:after="0"/>
              <w:rPr>
                <w:sz w:val="15"/>
                <w:szCs w:val="15"/>
                <w:color w:val="auto"/>
              </w:rPr>
            </w:pPr>
          </w:p>
        </w:tc>
        <w:tc>
          <w:tcPr>
            <w:tcW w:w="260" w:type="dxa"/>
            <w:vAlign w:val="bottom"/>
            <w:tcBorders>
              <w:bottom w:val="single" w:sz="8" w:color="auto"/>
            </w:tcBorders>
          </w:tcPr>
          <w:p>
            <w:pPr>
              <w:spacing w:after="0"/>
              <w:rPr>
                <w:sz w:val="15"/>
                <w:szCs w:val="15"/>
                <w:color w:val="auto"/>
              </w:rPr>
            </w:pPr>
          </w:p>
        </w:tc>
        <w:tc>
          <w:tcPr>
            <w:tcW w:w="8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3"/>
                <w:szCs w:val="13"/>
                <w:color w:val="auto"/>
              </w:rPr>
              <w:t>1,002</w:t>
            </w:r>
          </w:p>
        </w:tc>
        <w:tc>
          <w:tcPr>
            <w:tcW w:w="100" w:type="dxa"/>
            <w:vAlign w:val="bottom"/>
            <w:tcBorders>
              <w:bottom w:val="single" w:sz="8" w:color="CCEEFF"/>
            </w:tcBorders>
          </w:tcPr>
          <w:p>
            <w:pPr>
              <w:spacing w:after="0"/>
              <w:rPr>
                <w:sz w:val="15"/>
                <w:szCs w:val="15"/>
                <w:color w:val="auto"/>
              </w:rPr>
            </w:pPr>
          </w:p>
        </w:tc>
        <w:tc>
          <w:tcPr>
            <w:tcW w:w="340" w:type="dxa"/>
            <w:vAlign w:val="bottom"/>
            <w:tcBorders>
              <w:bottom w:val="single" w:sz="8" w:color="auto"/>
            </w:tcBorders>
          </w:tcPr>
          <w:p>
            <w:pPr>
              <w:spacing w:after="0"/>
              <w:rPr>
                <w:sz w:val="15"/>
                <w:szCs w:val="15"/>
                <w:color w:val="auto"/>
              </w:rPr>
            </w:pPr>
          </w:p>
        </w:tc>
        <w:tc>
          <w:tcPr>
            <w:tcW w:w="900" w:type="dxa"/>
            <w:vAlign w:val="bottom"/>
            <w:tcBorders>
              <w:bottom w:val="single" w:sz="8" w:color="auto"/>
            </w:tcBorders>
          </w:tcPr>
          <w:p>
            <w:pPr>
              <w:jc w:val="right"/>
              <w:ind w:right="53"/>
              <w:spacing w:after="0"/>
              <w:rPr>
                <w:sz w:val="20"/>
                <w:szCs w:val="20"/>
                <w:color w:val="auto"/>
              </w:rPr>
            </w:pPr>
            <w:r>
              <w:rPr>
                <w:rFonts w:ascii="Times New Roman" w:cs="Times New Roman" w:eastAsia="Times New Roman" w:hAnsi="Times New Roman"/>
                <w:sz w:val="13"/>
                <w:szCs w:val="13"/>
                <w:color w:val="auto"/>
              </w:rPr>
              <w:t>(84)</w:t>
            </w:r>
          </w:p>
        </w:tc>
        <w:tc>
          <w:tcPr>
            <w:tcW w:w="100" w:type="dxa"/>
            <w:vAlign w:val="bottom"/>
            <w:tcBorders>
              <w:bottom w:val="single" w:sz="8" w:color="CCEEFF"/>
            </w:tcBorders>
          </w:tcPr>
          <w:p>
            <w:pPr>
              <w:spacing w:after="0"/>
              <w:rPr>
                <w:sz w:val="15"/>
                <w:szCs w:val="15"/>
                <w:color w:val="auto"/>
              </w:rPr>
            </w:pPr>
          </w:p>
        </w:tc>
        <w:tc>
          <w:tcPr>
            <w:tcW w:w="280" w:type="dxa"/>
            <w:vAlign w:val="bottom"/>
            <w:tcBorders>
              <w:bottom w:val="single" w:sz="8" w:color="auto"/>
            </w:tcBorders>
          </w:tcPr>
          <w:p>
            <w:pPr>
              <w:spacing w:after="0"/>
              <w:rPr>
                <w:sz w:val="15"/>
                <w:szCs w:val="15"/>
                <w:color w:val="auto"/>
              </w:rPr>
            </w:pPr>
          </w:p>
        </w:tc>
        <w:tc>
          <w:tcPr>
            <w:tcW w:w="8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3"/>
                <w:szCs w:val="13"/>
                <w:color w:val="auto"/>
              </w:rPr>
              <w:t>6,241</w:t>
            </w:r>
          </w:p>
        </w:tc>
        <w:tc>
          <w:tcPr>
            <w:tcW w:w="0" w:type="dxa"/>
            <w:vAlign w:val="bottom"/>
          </w:tcPr>
          <w:p>
            <w:pPr>
              <w:spacing w:after="0"/>
              <w:rPr>
                <w:sz w:val="1"/>
                <w:szCs w:val="1"/>
                <w:color w:val="auto"/>
              </w:rPr>
            </w:pPr>
          </w:p>
        </w:tc>
      </w:tr>
      <w:tr>
        <w:trPr>
          <w:trHeight w:val="171"/>
        </w:trPr>
        <w:tc>
          <w:tcPr>
            <w:tcW w:w="492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4"/>
                <w:szCs w:val="14"/>
                <w:b w:val="1"/>
                <w:bCs w:val="1"/>
                <w:color w:val="auto"/>
              </w:rPr>
              <w:t>Income before income taxes</w:t>
            </w:r>
          </w:p>
        </w:tc>
        <w:tc>
          <w:tcPr>
            <w:tcW w:w="720" w:type="dxa"/>
            <w:vAlign w:val="bottom"/>
            <w:shd w:val="clear" w:color="auto" w:fill="CCEEFF"/>
          </w:tcPr>
          <w:p>
            <w:pPr>
              <w:jc w:val="right"/>
              <w:ind w:right="574"/>
              <w:spacing w:after="0"/>
              <w:rPr>
                <w:sz w:val="20"/>
                <w:szCs w:val="20"/>
                <w:color w:val="auto"/>
              </w:rPr>
            </w:pPr>
            <w:r>
              <w:rPr>
                <w:rFonts w:ascii="Times New Roman" w:cs="Times New Roman" w:eastAsia="Times New Roman" w:hAnsi="Times New Roman"/>
                <w:sz w:val="13"/>
                <w:szCs w:val="13"/>
                <w:color w:val="auto"/>
                <w:w w:val="91"/>
              </w:rPr>
              <w:t>$</w:t>
            </w:r>
          </w:p>
        </w:tc>
        <w:tc>
          <w:tcPr>
            <w:tcW w:w="4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9,677</w:t>
            </w:r>
          </w:p>
        </w:tc>
        <w:tc>
          <w:tcPr>
            <w:tcW w:w="80" w:type="dxa"/>
            <w:vAlign w:val="bottom"/>
            <w:shd w:val="clear" w:color="auto" w:fill="CCEEFF"/>
          </w:tcPr>
          <w:p>
            <w:pPr>
              <w:spacing w:after="0"/>
              <w:rPr>
                <w:sz w:val="14"/>
                <w:szCs w:val="14"/>
                <w:color w:val="auto"/>
              </w:rPr>
            </w:pPr>
          </w:p>
        </w:tc>
        <w:tc>
          <w:tcPr>
            <w:tcW w:w="840" w:type="dxa"/>
            <w:vAlign w:val="bottom"/>
            <w:shd w:val="clear" w:color="auto" w:fill="CCEEFF"/>
          </w:tcPr>
          <w:p>
            <w:pPr>
              <w:spacing w:after="0"/>
              <w:rPr>
                <w:sz w:val="14"/>
                <w:szCs w:val="14"/>
                <w:color w:val="auto"/>
              </w:rPr>
            </w:pPr>
          </w:p>
        </w:tc>
        <w:tc>
          <w:tcPr>
            <w:tcW w:w="4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141 %</w:t>
            </w:r>
          </w:p>
        </w:tc>
        <w:tc>
          <w:tcPr>
            <w:tcW w:w="100" w:type="dxa"/>
            <w:vAlign w:val="bottom"/>
            <w:shd w:val="clear" w:color="auto" w:fill="CCEEFF"/>
          </w:tcPr>
          <w:p>
            <w:pPr>
              <w:spacing w:after="0"/>
              <w:rPr>
                <w:sz w:val="14"/>
                <w:szCs w:val="14"/>
                <w:color w:val="auto"/>
              </w:rPr>
            </w:pPr>
          </w:p>
        </w:tc>
        <w:tc>
          <w:tcPr>
            <w:tcW w:w="260" w:type="dxa"/>
            <w:vAlign w:val="bottom"/>
            <w:shd w:val="clear" w:color="auto" w:fill="CCEEFF"/>
          </w:tcPr>
          <w:p>
            <w:pPr>
              <w:jc w:val="right"/>
              <w:ind w:right="113"/>
              <w:spacing w:after="0"/>
              <w:rPr>
                <w:sz w:val="20"/>
                <w:szCs w:val="20"/>
                <w:color w:val="auto"/>
              </w:rPr>
            </w:pPr>
            <w:r>
              <w:rPr>
                <w:rFonts w:ascii="Times New Roman" w:cs="Times New Roman" w:eastAsia="Times New Roman" w:hAnsi="Times New Roman"/>
                <w:sz w:val="13"/>
                <w:szCs w:val="13"/>
                <w:color w:val="auto"/>
                <w:w w:val="91"/>
              </w:rPr>
              <w:t>$</w:t>
            </w:r>
          </w:p>
        </w:tc>
        <w:tc>
          <w:tcPr>
            <w:tcW w:w="8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4,015</w:t>
            </w:r>
          </w:p>
        </w:tc>
        <w:tc>
          <w:tcPr>
            <w:tcW w:w="100" w:type="dxa"/>
            <w:vAlign w:val="bottom"/>
            <w:shd w:val="clear" w:color="auto" w:fill="CCEEFF"/>
          </w:tcPr>
          <w:p>
            <w:pPr>
              <w:spacing w:after="0"/>
              <w:rPr>
                <w:sz w:val="14"/>
                <w:szCs w:val="14"/>
                <w:color w:val="auto"/>
              </w:rPr>
            </w:pPr>
          </w:p>
        </w:tc>
        <w:tc>
          <w:tcPr>
            <w:tcW w:w="340" w:type="dxa"/>
            <w:vAlign w:val="bottom"/>
            <w:shd w:val="clear" w:color="auto" w:fill="CCEEFF"/>
          </w:tcPr>
          <w:p>
            <w:pPr>
              <w:spacing w:after="0"/>
              <w:rPr>
                <w:sz w:val="14"/>
                <w:szCs w:val="14"/>
                <w:color w:val="auto"/>
              </w:rPr>
            </w:pPr>
          </w:p>
        </w:tc>
        <w:tc>
          <w:tcPr>
            <w:tcW w:w="9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(70)%</w:t>
            </w:r>
          </w:p>
        </w:tc>
        <w:tc>
          <w:tcPr>
            <w:tcW w:w="100" w:type="dxa"/>
            <w:vAlign w:val="bottom"/>
            <w:shd w:val="clear" w:color="auto" w:fill="CCEEFF"/>
          </w:tcPr>
          <w:p>
            <w:pPr>
              <w:spacing w:after="0"/>
              <w:rPr>
                <w:sz w:val="14"/>
                <w:szCs w:val="14"/>
                <w:color w:val="auto"/>
              </w:rPr>
            </w:pPr>
          </w:p>
        </w:tc>
        <w:tc>
          <w:tcPr>
            <w:tcW w:w="280" w:type="dxa"/>
            <w:vAlign w:val="bottom"/>
            <w:shd w:val="clear" w:color="auto" w:fill="CCEEFF"/>
          </w:tcPr>
          <w:p>
            <w:pPr>
              <w:jc w:val="right"/>
              <w:ind w:right="133"/>
              <w:spacing w:after="0"/>
              <w:rPr>
                <w:sz w:val="20"/>
                <w:szCs w:val="20"/>
                <w:color w:val="auto"/>
              </w:rPr>
            </w:pPr>
            <w:r>
              <w:rPr>
                <w:rFonts w:ascii="Times New Roman" w:cs="Times New Roman" w:eastAsia="Times New Roman" w:hAnsi="Times New Roman"/>
                <w:sz w:val="13"/>
                <w:szCs w:val="13"/>
                <w:color w:val="auto"/>
                <w:w w:val="91"/>
              </w:rPr>
              <w:t>$</w:t>
            </w:r>
          </w:p>
        </w:tc>
        <w:tc>
          <w:tcPr>
            <w:tcW w:w="8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13,443</w:t>
            </w:r>
          </w:p>
        </w:tc>
        <w:tc>
          <w:tcPr>
            <w:tcW w:w="0" w:type="dxa"/>
            <w:vAlign w:val="bottom"/>
          </w:tcPr>
          <w:p>
            <w:pPr>
              <w:spacing w:after="0"/>
              <w:rPr>
                <w:sz w:val="1"/>
                <w:szCs w:val="1"/>
                <w:color w:val="auto"/>
              </w:rPr>
            </w:pPr>
          </w:p>
        </w:tc>
      </w:tr>
      <w:tr>
        <w:trPr>
          <w:trHeight w:val="180"/>
        </w:trPr>
        <w:tc>
          <w:tcPr>
            <w:tcW w:w="4920" w:type="dxa"/>
            <w:vAlign w:val="bottom"/>
            <w:tcBorders>
              <w:bottom w:val="single" w:sz="8" w:color="CCEEFF"/>
            </w:tcBorders>
          </w:tcPr>
          <w:p>
            <w:pPr>
              <w:ind w:left="20"/>
              <w:spacing w:after="0"/>
              <w:rPr>
                <w:sz w:val="20"/>
                <w:szCs w:val="20"/>
                <w:color w:val="auto"/>
              </w:rPr>
            </w:pPr>
            <w:r>
              <w:rPr>
                <w:rFonts w:ascii="Times New Roman" w:cs="Times New Roman" w:eastAsia="Times New Roman" w:hAnsi="Times New Roman"/>
                <w:sz w:val="14"/>
                <w:szCs w:val="14"/>
                <w:color w:val="auto"/>
              </w:rPr>
              <w:t>Income tax provision</w:t>
            </w:r>
          </w:p>
        </w:tc>
        <w:tc>
          <w:tcPr>
            <w:tcW w:w="720" w:type="dxa"/>
            <w:vAlign w:val="bottom"/>
            <w:tcBorders>
              <w:bottom w:val="single" w:sz="8" w:color="auto"/>
            </w:tcBorders>
          </w:tcPr>
          <w:p>
            <w:pPr>
              <w:spacing w:after="0"/>
              <w:rPr>
                <w:sz w:val="15"/>
                <w:szCs w:val="15"/>
                <w:color w:val="auto"/>
              </w:rPr>
            </w:pPr>
          </w:p>
        </w:tc>
        <w:tc>
          <w:tcPr>
            <w:tcW w:w="4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3"/>
                <w:szCs w:val="13"/>
                <w:color w:val="auto"/>
              </w:rPr>
              <w:t>2,600</w:t>
            </w:r>
          </w:p>
        </w:tc>
        <w:tc>
          <w:tcPr>
            <w:tcW w:w="80" w:type="dxa"/>
            <w:vAlign w:val="bottom"/>
            <w:tcBorders>
              <w:bottom w:val="single" w:sz="8" w:color="CCEEFF"/>
            </w:tcBorders>
          </w:tcPr>
          <w:p>
            <w:pPr>
              <w:spacing w:after="0"/>
              <w:rPr>
                <w:sz w:val="15"/>
                <w:szCs w:val="15"/>
                <w:color w:val="auto"/>
              </w:rPr>
            </w:pPr>
          </w:p>
        </w:tc>
        <w:tc>
          <w:tcPr>
            <w:tcW w:w="840" w:type="dxa"/>
            <w:vAlign w:val="bottom"/>
            <w:tcBorders>
              <w:bottom w:val="single" w:sz="8" w:color="auto"/>
            </w:tcBorders>
          </w:tcPr>
          <w:p>
            <w:pPr>
              <w:spacing w:after="0"/>
              <w:rPr>
                <w:sz w:val="15"/>
                <w:szCs w:val="15"/>
                <w:color w:val="auto"/>
              </w:rPr>
            </w:pPr>
          </w:p>
        </w:tc>
        <w:tc>
          <w:tcPr>
            <w:tcW w:w="420" w:type="dxa"/>
            <w:vAlign w:val="bottom"/>
            <w:tcBorders>
              <w:bottom w:val="single" w:sz="8" w:color="auto"/>
            </w:tcBorders>
          </w:tcPr>
          <w:p>
            <w:pPr>
              <w:jc w:val="right"/>
              <w:ind w:right="93"/>
              <w:spacing w:after="0"/>
              <w:rPr>
                <w:sz w:val="20"/>
                <w:szCs w:val="20"/>
                <w:color w:val="auto"/>
              </w:rPr>
            </w:pPr>
            <w:r>
              <w:rPr>
                <w:rFonts w:ascii="Times New Roman" w:cs="Times New Roman" w:eastAsia="Times New Roman" w:hAnsi="Times New Roman"/>
                <w:sz w:val="13"/>
                <w:szCs w:val="13"/>
                <w:color w:val="auto"/>
              </w:rPr>
              <w:t>44</w:t>
            </w:r>
          </w:p>
        </w:tc>
        <w:tc>
          <w:tcPr>
            <w:tcW w:w="100" w:type="dxa"/>
            <w:vAlign w:val="bottom"/>
            <w:tcBorders>
              <w:bottom w:val="single" w:sz="8" w:color="CCEEFF"/>
            </w:tcBorders>
          </w:tcPr>
          <w:p>
            <w:pPr>
              <w:spacing w:after="0"/>
              <w:rPr>
                <w:sz w:val="15"/>
                <w:szCs w:val="15"/>
                <w:color w:val="auto"/>
              </w:rPr>
            </w:pPr>
          </w:p>
        </w:tc>
        <w:tc>
          <w:tcPr>
            <w:tcW w:w="260" w:type="dxa"/>
            <w:vAlign w:val="bottom"/>
            <w:tcBorders>
              <w:bottom w:val="single" w:sz="8" w:color="auto"/>
            </w:tcBorders>
          </w:tcPr>
          <w:p>
            <w:pPr>
              <w:spacing w:after="0"/>
              <w:rPr>
                <w:sz w:val="15"/>
                <w:szCs w:val="15"/>
                <w:color w:val="auto"/>
              </w:rPr>
            </w:pPr>
          </w:p>
        </w:tc>
        <w:tc>
          <w:tcPr>
            <w:tcW w:w="8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3"/>
                <w:szCs w:val="13"/>
                <w:color w:val="auto"/>
              </w:rPr>
              <w:t>1,804</w:t>
            </w:r>
          </w:p>
        </w:tc>
        <w:tc>
          <w:tcPr>
            <w:tcW w:w="100" w:type="dxa"/>
            <w:vAlign w:val="bottom"/>
            <w:tcBorders>
              <w:bottom w:val="single" w:sz="8" w:color="CCEEFF"/>
            </w:tcBorders>
          </w:tcPr>
          <w:p>
            <w:pPr>
              <w:spacing w:after="0"/>
              <w:rPr>
                <w:sz w:val="15"/>
                <w:szCs w:val="15"/>
                <w:color w:val="auto"/>
              </w:rPr>
            </w:pPr>
          </w:p>
        </w:tc>
        <w:tc>
          <w:tcPr>
            <w:tcW w:w="340" w:type="dxa"/>
            <w:vAlign w:val="bottom"/>
            <w:tcBorders>
              <w:bottom w:val="single" w:sz="8" w:color="auto"/>
            </w:tcBorders>
          </w:tcPr>
          <w:p>
            <w:pPr>
              <w:spacing w:after="0"/>
              <w:rPr>
                <w:sz w:val="15"/>
                <w:szCs w:val="15"/>
                <w:color w:val="auto"/>
              </w:rPr>
            </w:pPr>
          </w:p>
        </w:tc>
        <w:tc>
          <w:tcPr>
            <w:tcW w:w="900" w:type="dxa"/>
            <w:vAlign w:val="bottom"/>
            <w:tcBorders>
              <w:bottom w:val="single" w:sz="8" w:color="auto"/>
            </w:tcBorders>
          </w:tcPr>
          <w:p>
            <w:pPr>
              <w:jc w:val="right"/>
              <w:ind w:right="53"/>
              <w:spacing w:after="0"/>
              <w:rPr>
                <w:sz w:val="20"/>
                <w:szCs w:val="20"/>
                <w:color w:val="auto"/>
              </w:rPr>
            </w:pPr>
            <w:r>
              <w:rPr>
                <w:rFonts w:ascii="Times New Roman" w:cs="Times New Roman" w:eastAsia="Times New Roman" w:hAnsi="Times New Roman"/>
                <w:sz w:val="13"/>
                <w:szCs w:val="13"/>
                <w:color w:val="auto"/>
              </w:rPr>
              <w:t>(37)</w:t>
            </w:r>
          </w:p>
        </w:tc>
        <w:tc>
          <w:tcPr>
            <w:tcW w:w="100" w:type="dxa"/>
            <w:vAlign w:val="bottom"/>
            <w:tcBorders>
              <w:bottom w:val="single" w:sz="8" w:color="CCEEFF"/>
            </w:tcBorders>
          </w:tcPr>
          <w:p>
            <w:pPr>
              <w:spacing w:after="0"/>
              <w:rPr>
                <w:sz w:val="15"/>
                <w:szCs w:val="15"/>
                <w:color w:val="auto"/>
              </w:rPr>
            </w:pPr>
          </w:p>
        </w:tc>
        <w:tc>
          <w:tcPr>
            <w:tcW w:w="280" w:type="dxa"/>
            <w:vAlign w:val="bottom"/>
            <w:tcBorders>
              <w:bottom w:val="single" w:sz="8" w:color="auto"/>
            </w:tcBorders>
          </w:tcPr>
          <w:p>
            <w:pPr>
              <w:spacing w:after="0"/>
              <w:rPr>
                <w:sz w:val="15"/>
                <w:szCs w:val="15"/>
                <w:color w:val="auto"/>
              </w:rPr>
            </w:pPr>
          </w:p>
        </w:tc>
        <w:tc>
          <w:tcPr>
            <w:tcW w:w="8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3"/>
                <w:szCs w:val="13"/>
                <w:color w:val="auto"/>
              </w:rPr>
              <w:t>2,872</w:t>
            </w:r>
          </w:p>
        </w:tc>
        <w:tc>
          <w:tcPr>
            <w:tcW w:w="0" w:type="dxa"/>
            <w:vAlign w:val="bottom"/>
          </w:tcPr>
          <w:p>
            <w:pPr>
              <w:spacing w:after="0"/>
              <w:rPr>
                <w:sz w:val="1"/>
                <w:szCs w:val="1"/>
                <w:color w:val="auto"/>
              </w:rPr>
            </w:pPr>
          </w:p>
        </w:tc>
      </w:tr>
      <w:tr>
        <w:trPr>
          <w:trHeight w:val="175"/>
        </w:trPr>
        <w:tc>
          <w:tcPr>
            <w:tcW w:w="4920" w:type="dxa"/>
            <w:vAlign w:val="bottom"/>
            <w:tcBorders>
              <w:bottom w:val="single" w:sz="8" w:color="CCEEFF"/>
            </w:tcBorders>
            <w:shd w:val="clear" w:color="auto" w:fill="CCEEFF"/>
          </w:tcPr>
          <w:p>
            <w:pPr>
              <w:ind w:left="20"/>
              <w:spacing w:after="0" w:line="150" w:lineRule="exact"/>
              <w:rPr>
                <w:sz w:val="20"/>
                <w:szCs w:val="20"/>
                <w:color w:val="auto"/>
              </w:rPr>
            </w:pPr>
            <w:r>
              <w:rPr>
                <w:rFonts w:ascii="Times New Roman" w:cs="Times New Roman" w:eastAsia="Times New Roman" w:hAnsi="Times New Roman"/>
                <w:sz w:val="14"/>
                <w:szCs w:val="14"/>
                <w:b w:val="1"/>
                <w:bCs w:val="1"/>
                <w:color w:val="auto"/>
              </w:rPr>
              <w:t>Net income</w:t>
            </w:r>
          </w:p>
        </w:tc>
        <w:tc>
          <w:tcPr>
            <w:tcW w:w="720" w:type="dxa"/>
            <w:vAlign w:val="bottom"/>
            <w:tcBorders>
              <w:bottom w:val="single" w:sz="8" w:color="auto"/>
            </w:tcBorders>
            <w:shd w:val="clear" w:color="auto" w:fill="CCEEFF"/>
          </w:tcPr>
          <w:p>
            <w:pPr>
              <w:jc w:val="right"/>
              <w:ind w:right="574"/>
              <w:spacing w:after="0"/>
              <w:rPr>
                <w:sz w:val="20"/>
                <w:szCs w:val="20"/>
                <w:color w:val="auto"/>
              </w:rPr>
            </w:pPr>
            <w:r>
              <w:rPr>
                <w:rFonts w:ascii="Times New Roman" w:cs="Times New Roman" w:eastAsia="Times New Roman" w:hAnsi="Times New Roman"/>
                <w:sz w:val="13"/>
                <w:szCs w:val="13"/>
                <w:color w:val="auto"/>
                <w:w w:val="91"/>
              </w:rPr>
              <w:t>$</w:t>
            </w:r>
          </w:p>
        </w:tc>
        <w:tc>
          <w:tcPr>
            <w:tcW w:w="4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7,077</w:t>
            </w:r>
          </w:p>
        </w:tc>
        <w:tc>
          <w:tcPr>
            <w:tcW w:w="80" w:type="dxa"/>
            <w:vAlign w:val="bottom"/>
            <w:tcBorders>
              <w:bottom w:val="single" w:sz="8" w:color="CCEEFF"/>
            </w:tcBorders>
            <w:shd w:val="clear" w:color="auto" w:fill="CCEEFF"/>
          </w:tcPr>
          <w:p>
            <w:pPr>
              <w:spacing w:after="0"/>
              <w:rPr>
                <w:sz w:val="14"/>
                <w:szCs w:val="14"/>
                <w:color w:val="auto"/>
              </w:rPr>
            </w:pPr>
          </w:p>
        </w:tc>
        <w:tc>
          <w:tcPr>
            <w:tcW w:w="840" w:type="dxa"/>
            <w:vAlign w:val="bottom"/>
            <w:tcBorders>
              <w:bottom w:val="single" w:sz="8" w:color="auto"/>
            </w:tcBorders>
            <w:shd w:val="clear" w:color="auto" w:fill="CCEEFF"/>
          </w:tcPr>
          <w:p>
            <w:pPr>
              <w:spacing w:after="0"/>
              <w:rPr>
                <w:sz w:val="14"/>
                <w:szCs w:val="14"/>
                <w:color w:val="auto"/>
              </w:rPr>
            </w:pPr>
          </w:p>
        </w:tc>
        <w:tc>
          <w:tcPr>
            <w:tcW w:w="4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220 %</w:t>
            </w:r>
          </w:p>
        </w:tc>
        <w:tc>
          <w:tcPr>
            <w:tcW w:w="100" w:type="dxa"/>
            <w:vAlign w:val="bottom"/>
            <w:tcBorders>
              <w:bottom w:val="single" w:sz="8" w:color="CCEEFF"/>
            </w:tcBorders>
            <w:shd w:val="clear" w:color="auto" w:fill="CCEEFF"/>
          </w:tcPr>
          <w:p>
            <w:pPr>
              <w:spacing w:after="0"/>
              <w:rPr>
                <w:sz w:val="14"/>
                <w:szCs w:val="14"/>
                <w:color w:val="auto"/>
              </w:rPr>
            </w:pPr>
          </w:p>
        </w:tc>
        <w:tc>
          <w:tcPr>
            <w:tcW w:w="260" w:type="dxa"/>
            <w:vAlign w:val="bottom"/>
            <w:tcBorders>
              <w:bottom w:val="single" w:sz="8" w:color="auto"/>
            </w:tcBorders>
            <w:shd w:val="clear" w:color="auto" w:fill="CCEEFF"/>
          </w:tcPr>
          <w:p>
            <w:pPr>
              <w:jc w:val="right"/>
              <w:ind w:right="113"/>
              <w:spacing w:after="0"/>
              <w:rPr>
                <w:sz w:val="20"/>
                <w:szCs w:val="20"/>
                <w:color w:val="auto"/>
              </w:rPr>
            </w:pPr>
            <w:r>
              <w:rPr>
                <w:rFonts w:ascii="Times New Roman" w:cs="Times New Roman" w:eastAsia="Times New Roman" w:hAnsi="Times New Roman"/>
                <w:sz w:val="13"/>
                <w:szCs w:val="13"/>
                <w:color w:val="auto"/>
                <w:w w:val="91"/>
              </w:rPr>
              <w:t>$</w:t>
            </w:r>
          </w:p>
        </w:tc>
        <w:tc>
          <w:tcPr>
            <w:tcW w:w="8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2,211</w:t>
            </w:r>
          </w:p>
        </w:tc>
        <w:tc>
          <w:tcPr>
            <w:tcW w:w="100" w:type="dxa"/>
            <w:vAlign w:val="bottom"/>
            <w:tcBorders>
              <w:bottom w:val="single" w:sz="8" w:color="CCEEFF"/>
            </w:tcBorders>
            <w:shd w:val="clear" w:color="auto" w:fill="CCEEFF"/>
          </w:tcPr>
          <w:p>
            <w:pPr>
              <w:spacing w:after="0"/>
              <w:rPr>
                <w:sz w:val="14"/>
                <w:szCs w:val="14"/>
                <w:color w:val="auto"/>
              </w:rPr>
            </w:pPr>
          </w:p>
        </w:tc>
        <w:tc>
          <w:tcPr>
            <w:tcW w:w="340" w:type="dxa"/>
            <w:vAlign w:val="bottom"/>
            <w:tcBorders>
              <w:bottom w:val="single" w:sz="8" w:color="auto"/>
            </w:tcBorders>
            <w:shd w:val="clear" w:color="auto" w:fill="CCEEFF"/>
          </w:tcPr>
          <w:p>
            <w:pPr>
              <w:spacing w:after="0"/>
              <w:rPr>
                <w:sz w:val="14"/>
                <w:szCs w:val="14"/>
                <w:color w:val="auto"/>
              </w:rPr>
            </w:pPr>
          </w:p>
        </w:tc>
        <w:tc>
          <w:tcPr>
            <w:tcW w:w="9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(79)%</w:t>
            </w:r>
          </w:p>
        </w:tc>
        <w:tc>
          <w:tcPr>
            <w:tcW w:w="100" w:type="dxa"/>
            <w:vAlign w:val="bottom"/>
            <w:tcBorders>
              <w:bottom w:val="single" w:sz="8" w:color="CCEEFF"/>
            </w:tcBorders>
            <w:shd w:val="clear" w:color="auto" w:fill="CCEEFF"/>
          </w:tcPr>
          <w:p>
            <w:pPr>
              <w:spacing w:after="0"/>
              <w:rPr>
                <w:sz w:val="14"/>
                <w:szCs w:val="14"/>
                <w:color w:val="auto"/>
              </w:rPr>
            </w:pPr>
          </w:p>
        </w:tc>
        <w:tc>
          <w:tcPr>
            <w:tcW w:w="280" w:type="dxa"/>
            <w:vAlign w:val="bottom"/>
            <w:tcBorders>
              <w:bottom w:val="single" w:sz="8" w:color="auto"/>
            </w:tcBorders>
            <w:shd w:val="clear" w:color="auto" w:fill="CCEEFF"/>
          </w:tcPr>
          <w:p>
            <w:pPr>
              <w:jc w:val="right"/>
              <w:ind w:right="133"/>
              <w:spacing w:after="0"/>
              <w:rPr>
                <w:sz w:val="20"/>
                <w:szCs w:val="20"/>
                <w:color w:val="auto"/>
              </w:rPr>
            </w:pPr>
            <w:r>
              <w:rPr>
                <w:rFonts w:ascii="Times New Roman" w:cs="Times New Roman" w:eastAsia="Times New Roman" w:hAnsi="Times New Roman"/>
                <w:sz w:val="13"/>
                <w:szCs w:val="13"/>
                <w:color w:val="auto"/>
                <w:w w:val="91"/>
              </w:rPr>
              <w:t>$</w:t>
            </w:r>
          </w:p>
        </w:tc>
        <w:tc>
          <w:tcPr>
            <w:tcW w:w="8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10,571</w:t>
            </w:r>
          </w:p>
        </w:tc>
        <w:tc>
          <w:tcPr>
            <w:tcW w:w="0" w:type="dxa"/>
            <w:vAlign w:val="bottom"/>
          </w:tcPr>
          <w:p>
            <w:pPr>
              <w:spacing w:after="0"/>
              <w:rPr>
                <w:sz w:val="1"/>
                <w:szCs w:val="1"/>
                <w:color w:val="auto"/>
              </w:rPr>
            </w:pPr>
          </w:p>
        </w:tc>
      </w:tr>
      <w:tr>
        <w:trPr>
          <w:trHeight w:val="20"/>
        </w:trPr>
        <w:tc>
          <w:tcPr>
            <w:tcW w:w="4920" w:type="dxa"/>
            <w:vAlign w:val="bottom"/>
            <w:tcBorders>
              <w:top w:val="single" w:sz="8" w:color="CCEEFF"/>
              <w:bottom w:val="single" w:sz="8" w:color="CCEEFF"/>
            </w:tcBorders>
            <w:vMerge w:val="restart"/>
          </w:tcPr>
          <w:p>
            <w:pPr>
              <w:ind w:left="20"/>
              <w:spacing w:after="0"/>
              <w:rPr>
                <w:sz w:val="20"/>
                <w:szCs w:val="20"/>
                <w:color w:val="auto"/>
              </w:rPr>
            </w:pPr>
            <w:r>
              <w:rPr>
                <w:rFonts w:ascii="Times New Roman" w:cs="Times New Roman" w:eastAsia="Times New Roman" w:hAnsi="Times New Roman"/>
                <w:sz w:val="14"/>
                <w:szCs w:val="14"/>
                <w:b w:val="1"/>
                <w:bCs w:val="1"/>
                <w:color w:val="auto"/>
              </w:rPr>
              <w:t>Less: Income (loss) attributable to noncontrolling interest</w:t>
            </w:r>
          </w:p>
        </w:tc>
        <w:tc>
          <w:tcPr>
            <w:tcW w:w="720" w:type="dxa"/>
            <w:vAlign w:val="bottom"/>
            <w:tcBorders>
              <w:top w:val="single" w:sz="8" w:color="CCEEFF"/>
              <w:bottom w:val="single" w:sz="8" w:color="auto"/>
            </w:tcBorders>
          </w:tcPr>
          <w:p>
            <w:pPr>
              <w:spacing w:after="0" w:line="20" w:lineRule="exact"/>
              <w:rPr>
                <w:sz w:val="1"/>
                <w:szCs w:val="1"/>
                <w:color w:val="auto"/>
              </w:rPr>
            </w:pPr>
          </w:p>
        </w:tc>
        <w:tc>
          <w:tcPr>
            <w:tcW w:w="440" w:type="dxa"/>
            <w:vAlign w:val="bottom"/>
            <w:tcBorders>
              <w:top w:val="single" w:sz="8" w:color="CCEEFF"/>
              <w:bottom w:val="single" w:sz="8" w:color="auto"/>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840" w:type="dxa"/>
            <w:vAlign w:val="bottom"/>
            <w:tcBorders>
              <w:top w:val="single" w:sz="8" w:color="CCEEFF"/>
              <w:bottom w:val="single" w:sz="8" w:color="auto"/>
            </w:tcBorders>
          </w:tcPr>
          <w:p>
            <w:pPr>
              <w:spacing w:after="0" w:line="20" w:lineRule="exact"/>
              <w:rPr>
                <w:sz w:val="1"/>
                <w:szCs w:val="1"/>
                <w:color w:val="auto"/>
              </w:rPr>
            </w:pPr>
          </w:p>
        </w:tc>
        <w:tc>
          <w:tcPr>
            <w:tcW w:w="42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260" w:type="dxa"/>
            <w:vAlign w:val="bottom"/>
            <w:tcBorders>
              <w:top w:val="single" w:sz="8" w:color="CCEEFF"/>
              <w:bottom w:val="single" w:sz="8" w:color="auto"/>
            </w:tcBorders>
          </w:tcPr>
          <w:p>
            <w:pPr>
              <w:spacing w:after="0" w:line="20" w:lineRule="exact"/>
              <w:rPr>
                <w:sz w:val="1"/>
                <w:szCs w:val="1"/>
                <w:color w:val="auto"/>
              </w:rPr>
            </w:pPr>
          </w:p>
        </w:tc>
        <w:tc>
          <w:tcPr>
            <w:tcW w:w="88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340" w:type="dxa"/>
            <w:vAlign w:val="bottom"/>
            <w:tcBorders>
              <w:top w:val="single" w:sz="8" w:color="CCEEFF"/>
              <w:bottom w:val="single" w:sz="8" w:color="auto"/>
            </w:tcBorders>
          </w:tcPr>
          <w:p>
            <w:pPr>
              <w:spacing w:after="0" w:line="20" w:lineRule="exact"/>
              <w:rPr>
                <w:sz w:val="1"/>
                <w:szCs w:val="1"/>
                <w:color w:val="auto"/>
              </w:rPr>
            </w:pPr>
          </w:p>
        </w:tc>
        <w:tc>
          <w:tcPr>
            <w:tcW w:w="90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280" w:type="dxa"/>
            <w:vAlign w:val="bottom"/>
            <w:tcBorders>
              <w:top w:val="single" w:sz="8" w:color="CCEEFF"/>
              <w:bottom w:val="single" w:sz="8" w:color="auto"/>
            </w:tcBorders>
          </w:tcPr>
          <w:p>
            <w:pPr>
              <w:spacing w:after="0" w:line="20" w:lineRule="exact"/>
              <w:rPr>
                <w:sz w:val="1"/>
                <w:szCs w:val="1"/>
                <w:color w:val="auto"/>
              </w:rPr>
            </w:pPr>
          </w:p>
        </w:tc>
        <w:tc>
          <w:tcPr>
            <w:tcW w:w="880" w:type="dxa"/>
            <w:vAlign w:val="bottom"/>
            <w:tcBorders>
              <w:top w:val="single" w:sz="8" w:color="CCEEFF"/>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39"/>
        </w:trPr>
        <w:tc>
          <w:tcPr>
            <w:tcW w:w="4920" w:type="dxa"/>
            <w:vAlign w:val="bottom"/>
            <w:tcBorders>
              <w:bottom w:val="single" w:sz="8" w:color="CCEEFF"/>
            </w:tcBorders>
            <w:vMerge w:val="continue"/>
          </w:tcPr>
          <w:p>
            <w:pPr>
              <w:spacing w:after="0"/>
              <w:rPr>
                <w:sz w:val="12"/>
                <w:szCs w:val="12"/>
                <w:color w:val="auto"/>
              </w:rPr>
            </w:pPr>
          </w:p>
        </w:tc>
        <w:tc>
          <w:tcPr>
            <w:tcW w:w="720" w:type="dxa"/>
            <w:vAlign w:val="bottom"/>
            <w:tcBorders>
              <w:bottom w:val="single" w:sz="8" w:color="auto"/>
            </w:tcBorders>
          </w:tcPr>
          <w:p>
            <w:pPr>
              <w:spacing w:after="0"/>
              <w:rPr>
                <w:sz w:val="12"/>
                <w:szCs w:val="12"/>
                <w:color w:val="auto"/>
              </w:rPr>
            </w:pPr>
          </w:p>
        </w:tc>
        <w:tc>
          <w:tcPr>
            <w:tcW w:w="440" w:type="dxa"/>
            <w:vAlign w:val="bottom"/>
            <w:tcBorders>
              <w:bottom w:val="single" w:sz="8" w:color="auto"/>
            </w:tcBorders>
          </w:tcPr>
          <w:p>
            <w:pPr>
              <w:jc w:val="right"/>
              <w:spacing w:after="0" w:line="139" w:lineRule="exact"/>
              <w:rPr>
                <w:sz w:val="20"/>
                <w:szCs w:val="20"/>
                <w:color w:val="auto"/>
              </w:rPr>
            </w:pPr>
            <w:r>
              <w:rPr>
                <w:rFonts w:ascii="Times New Roman" w:cs="Times New Roman" w:eastAsia="Times New Roman" w:hAnsi="Times New Roman"/>
                <w:sz w:val="13"/>
                <w:szCs w:val="13"/>
                <w:color w:val="auto"/>
              </w:rPr>
              <w:t>19</w:t>
            </w:r>
          </w:p>
        </w:tc>
        <w:tc>
          <w:tcPr>
            <w:tcW w:w="80" w:type="dxa"/>
            <w:vAlign w:val="bottom"/>
            <w:tcBorders>
              <w:bottom w:val="single" w:sz="8" w:color="CCEEFF"/>
            </w:tcBorders>
          </w:tcPr>
          <w:p>
            <w:pPr>
              <w:spacing w:after="0"/>
              <w:rPr>
                <w:sz w:val="12"/>
                <w:szCs w:val="12"/>
                <w:color w:val="auto"/>
              </w:rPr>
            </w:pPr>
          </w:p>
        </w:tc>
        <w:tc>
          <w:tcPr>
            <w:tcW w:w="840" w:type="dxa"/>
            <w:vAlign w:val="bottom"/>
            <w:tcBorders>
              <w:bottom w:val="single" w:sz="8" w:color="auto"/>
            </w:tcBorders>
          </w:tcPr>
          <w:p>
            <w:pPr>
              <w:spacing w:after="0"/>
              <w:rPr>
                <w:sz w:val="12"/>
                <w:szCs w:val="12"/>
                <w:color w:val="auto"/>
              </w:rPr>
            </w:pPr>
          </w:p>
        </w:tc>
        <w:tc>
          <w:tcPr>
            <w:tcW w:w="420" w:type="dxa"/>
            <w:vAlign w:val="bottom"/>
            <w:tcBorders>
              <w:bottom w:val="single" w:sz="8" w:color="auto"/>
            </w:tcBorders>
          </w:tcPr>
          <w:p>
            <w:pPr>
              <w:jc w:val="right"/>
              <w:spacing w:after="0" w:line="139" w:lineRule="exact"/>
              <w:rPr>
                <w:sz w:val="20"/>
                <w:szCs w:val="20"/>
                <w:color w:val="auto"/>
              </w:rPr>
            </w:pPr>
            <w:r>
              <w:rPr>
                <w:rFonts w:ascii="Times New Roman" w:cs="Times New Roman" w:eastAsia="Times New Roman" w:hAnsi="Times New Roman"/>
                <w:sz w:val="13"/>
                <w:szCs w:val="13"/>
                <w:color w:val="auto"/>
                <w:w w:val="97"/>
              </w:rPr>
              <w:t>(575)%</w:t>
            </w:r>
          </w:p>
        </w:tc>
        <w:tc>
          <w:tcPr>
            <w:tcW w:w="100" w:type="dxa"/>
            <w:vAlign w:val="bottom"/>
            <w:tcBorders>
              <w:bottom w:val="single" w:sz="8" w:color="CCEEFF"/>
            </w:tcBorders>
          </w:tcPr>
          <w:p>
            <w:pPr>
              <w:spacing w:after="0"/>
              <w:rPr>
                <w:sz w:val="12"/>
                <w:szCs w:val="12"/>
                <w:color w:val="auto"/>
              </w:rPr>
            </w:pPr>
          </w:p>
        </w:tc>
        <w:tc>
          <w:tcPr>
            <w:tcW w:w="260" w:type="dxa"/>
            <w:vAlign w:val="bottom"/>
            <w:tcBorders>
              <w:bottom w:val="single" w:sz="8" w:color="auto"/>
            </w:tcBorders>
          </w:tcPr>
          <w:p>
            <w:pPr>
              <w:spacing w:after="0"/>
              <w:rPr>
                <w:sz w:val="12"/>
                <w:szCs w:val="12"/>
                <w:color w:val="auto"/>
              </w:rPr>
            </w:pPr>
          </w:p>
        </w:tc>
        <w:tc>
          <w:tcPr>
            <w:tcW w:w="880" w:type="dxa"/>
            <w:vAlign w:val="bottom"/>
            <w:tcBorders>
              <w:bottom w:val="single" w:sz="8" w:color="auto"/>
            </w:tcBorders>
          </w:tcPr>
          <w:p>
            <w:pPr>
              <w:jc w:val="right"/>
              <w:spacing w:after="0" w:line="139" w:lineRule="exact"/>
              <w:rPr>
                <w:sz w:val="20"/>
                <w:szCs w:val="20"/>
                <w:color w:val="auto"/>
              </w:rPr>
            </w:pPr>
            <w:r>
              <w:rPr>
                <w:rFonts w:ascii="Times New Roman" w:cs="Times New Roman" w:eastAsia="Times New Roman" w:hAnsi="Times New Roman"/>
                <w:sz w:val="13"/>
                <w:szCs w:val="13"/>
                <w:color w:val="auto"/>
              </w:rPr>
              <w:t>(4)</w:t>
            </w:r>
          </w:p>
        </w:tc>
        <w:tc>
          <w:tcPr>
            <w:tcW w:w="100" w:type="dxa"/>
            <w:vAlign w:val="bottom"/>
            <w:tcBorders>
              <w:bottom w:val="single" w:sz="8" w:color="CCEEFF"/>
            </w:tcBorders>
          </w:tcPr>
          <w:p>
            <w:pPr>
              <w:spacing w:after="0"/>
              <w:rPr>
                <w:sz w:val="12"/>
                <w:szCs w:val="12"/>
                <w:color w:val="auto"/>
              </w:rPr>
            </w:pPr>
          </w:p>
        </w:tc>
        <w:tc>
          <w:tcPr>
            <w:tcW w:w="340" w:type="dxa"/>
            <w:vAlign w:val="bottom"/>
            <w:tcBorders>
              <w:bottom w:val="single" w:sz="8" w:color="auto"/>
            </w:tcBorders>
          </w:tcPr>
          <w:p>
            <w:pPr>
              <w:spacing w:after="0"/>
              <w:rPr>
                <w:sz w:val="12"/>
                <w:szCs w:val="12"/>
                <w:color w:val="auto"/>
              </w:rPr>
            </w:pPr>
          </w:p>
        </w:tc>
        <w:tc>
          <w:tcPr>
            <w:tcW w:w="900" w:type="dxa"/>
            <w:vAlign w:val="bottom"/>
            <w:tcBorders>
              <w:bottom w:val="single" w:sz="8" w:color="auto"/>
            </w:tcBorders>
          </w:tcPr>
          <w:p>
            <w:pPr>
              <w:jc w:val="right"/>
              <w:spacing w:after="0" w:line="139" w:lineRule="exact"/>
              <w:rPr>
                <w:sz w:val="20"/>
                <w:szCs w:val="20"/>
                <w:color w:val="auto"/>
              </w:rPr>
            </w:pPr>
            <w:r>
              <w:rPr>
                <w:rFonts w:ascii="Times New Roman" w:cs="Times New Roman" w:eastAsia="Times New Roman" w:hAnsi="Times New Roman"/>
                <w:sz w:val="13"/>
                <w:szCs w:val="13"/>
                <w:color w:val="auto"/>
              </w:rPr>
              <w:t>(100)%</w:t>
            </w:r>
          </w:p>
        </w:tc>
        <w:tc>
          <w:tcPr>
            <w:tcW w:w="100" w:type="dxa"/>
            <w:vAlign w:val="bottom"/>
            <w:tcBorders>
              <w:bottom w:val="single" w:sz="8" w:color="CCEEFF"/>
            </w:tcBorders>
          </w:tcPr>
          <w:p>
            <w:pPr>
              <w:spacing w:after="0"/>
              <w:rPr>
                <w:sz w:val="12"/>
                <w:szCs w:val="12"/>
                <w:color w:val="auto"/>
              </w:rPr>
            </w:pPr>
          </w:p>
        </w:tc>
        <w:tc>
          <w:tcPr>
            <w:tcW w:w="280" w:type="dxa"/>
            <w:vAlign w:val="bottom"/>
            <w:tcBorders>
              <w:bottom w:val="single" w:sz="8" w:color="auto"/>
            </w:tcBorders>
          </w:tcPr>
          <w:p>
            <w:pPr>
              <w:spacing w:after="0"/>
              <w:rPr>
                <w:sz w:val="12"/>
                <w:szCs w:val="12"/>
                <w:color w:val="auto"/>
              </w:rPr>
            </w:pPr>
          </w:p>
        </w:tc>
        <w:tc>
          <w:tcPr>
            <w:tcW w:w="880" w:type="dxa"/>
            <w:vAlign w:val="bottom"/>
            <w:tcBorders>
              <w:bottom w:val="single" w:sz="8" w:color="auto"/>
            </w:tcBorders>
          </w:tcPr>
          <w:p>
            <w:pPr>
              <w:jc w:val="right"/>
              <w:spacing w:after="0" w:line="139" w:lineRule="exact"/>
              <w:rPr>
                <w:sz w:val="20"/>
                <w:szCs w:val="20"/>
                <w:color w:val="auto"/>
              </w:rPr>
            </w:pPr>
            <w:r>
              <w:rPr>
                <w:rFonts w:ascii="Times New Roman" w:cs="Times New Roman" w:eastAsia="Times New Roman" w:hAnsi="Times New Roman"/>
                <w:sz w:val="13"/>
                <w:szCs w:val="13"/>
                <w:color w:val="auto"/>
              </w:rPr>
              <w:t>1,051</w:t>
            </w:r>
          </w:p>
        </w:tc>
        <w:tc>
          <w:tcPr>
            <w:tcW w:w="0" w:type="dxa"/>
            <w:vAlign w:val="bottom"/>
          </w:tcPr>
          <w:p>
            <w:pPr>
              <w:spacing w:after="0"/>
              <w:rPr>
                <w:sz w:val="1"/>
                <w:szCs w:val="1"/>
                <w:color w:val="auto"/>
              </w:rPr>
            </w:pPr>
          </w:p>
        </w:tc>
      </w:tr>
      <w:tr>
        <w:trPr>
          <w:trHeight w:val="176"/>
        </w:trPr>
        <w:tc>
          <w:tcPr>
            <w:tcW w:w="492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4"/>
                <w:szCs w:val="14"/>
                <w:b w:val="1"/>
                <w:bCs w:val="1"/>
                <w:color w:val="auto"/>
              </w:rPr>
              <w:t>Income attributable to Westwood Holdings Group, Inc.</w:t>
            </w:r>
          </w:p>
        </w:tc>
        <w:tc>
          <w:tcPr>
            <w:tcW w:w="720" w:type="dxa"/>
            <w:vAlign w:val="bottom"/>
            <w:tcBorders>
              <w:bottom w:val="single" w:sz="8" w:color="auto"/>
            </w:tcBorders>
            <w:shd w:val="clear" w:color="auto" w:fill="CCEEFF"/>
          </w:tcPr>
          <w:p>
            <w:pPr>
              <w:jc w:val="right"/>
              <w:ind w:right="574"/>
              <w:spacing w:after="0"/>
              <w:rPr>
                <w:sz w:val="20"/>
                <w:szCs w:val="20"/>
                <w:color w:val="auto"/>
              </w:rPr>
            </w:pPr>
            <w:r>
              <w:rPr>
                <w:rFonts w:ascii="Times New Roman" w:cs="Times New Roman" w:eastAsia="Times New Roman" w:hAnsi="Times New Roman"/>
                <w:sz w:val="13"/>
                <w:szCs w:val="13"/>
                <w:color w:val="auto"/>
                <w:w w:val="91"/>
              </w:rPr>
              <w:t>$</w:t>
            </w:r>
          </w:p>
        </w:tc>
        <w:tc>
          <w:tcPr>
            <w:tcW w:w="4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7,058</w:t>
            </w:r>
          </w:p>
        </w:tc>
        <w:tc>
          <w:tcPr>
            <w:tcW w:w="80" w:type="dxa"/>
            <w:vAlign w:val="bottom"/>
            <w:tcBorders>
              <w:bottom w:val="single" w:sz="8" w:color="CCEEFF"/>
            </w:tcBorders>
            <w:shd w:val="clear" w:color="auto" w:fill="CCEEFF"/>
          </w:tcPr>
          <w:p>
            <w:pPr>
              <w:spacing w:after="0"/>
              <w:rPr>
                <w:sz w:val="15"/>
                <w:szCs w:val="15"/>
                <w:color w:val="auto"/>
              </w:rPr>
            </w:pPr>
          </w:p>
        </w:tc>
        <w:tc>
          <w:tcPr>
            <w:tcW w:w="840" w:type="dxa"/>
            <w:vAlign w:val="bottom"/>
            <w:tcBorders>
              <w:bottom w:val="single" w:sz="8" w:color="auto"/>
            </w:tcBorders>
            <w:shd w:val="clear" w:color="auto" w:fill="CCEEFF"/>
          </w:tcPr>
          <w:p>
            <w:pPr>
              <w:spacing w:after="0"/>
              <w:rPr>
                <w:sz w:val="15"/>
                <w:szCs w:val="15"/>
                <w:color w:val="auto"/>
              </w:rPr>
            </w:pPr>
          </w:p>
        </w:tc>
        <w:tc>
          <w:tcPr>
            <w:tcW w:w="4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219 %</w:t>
            </w:r>
          </w:p>
        </w:tc>
        <w:tc>
          <w:tcPr>
            <w:tcW w:w="100" w:type="dxa"/>
            <w:vAlign w:val="bottom"/>
            <w:tcBorders>
              <w:bottom w:val="single" w:sz="8" w:color="CCEEFF"/>
            </w:tcBorders>
            <w:shd w:val="clear" w:color="auto" w:fill="CCEEFF"/>
          </w:tcPr>
          <w:p>
            <w:pPr>
              <w:spacing w:after="0"/>
              <w:rPr>
                <w:sz w:val="15"/>
                <w:szCs w:val="15"/>
                <w:color w:val="auto"/>
              </w:rPr>
            </w:pPr>
          </w:p>
        </w:tc>
        <w:tc>
          <w:tcPr>
            <w:tcW w:w="260" w:type="dxa"/>
            <w:vAlign w:val="bottom"/>
            <w:tcBorders>
              <w:bottom w:val="single" w:sz="8" w:color="auto"/>
            </w:tcBorders>
            <w:shd w:val="clear" w:color="auto" w:fill="CCEEFF"/>
          </w:tcPr>
          <w:p>
            <w:pPr>
              <w:jc w:val="right"/>
              <w:ind w:right="113"/>
              <w:spacing w:after="0"/>
              <w:rPr>
                <w:sz w:val="20"/>
                <w:szCs w:val="20"/>
                <w:color w:val="auto"/>
              </w:rPr>
            </w:pPr>
            <w:r>
              <w:rPr>
                <w:rFonts w:ascii="Times New Roman" w:cs="Times New Roman" w:eastAsia="Times New Roman" w:hAnsi="Times New Roman"/>
                <w:sz w:val="13"/>
                <w:szCs w:val="13"/>
                <w:color w:val="auto"/>
                <w:w w:val="91"/>
              </w:rPr>
              <w:t>$</w:t>
            </w:r>
          </w:p>
        </w:tc>
        <w:tc>
          <w:tcPr>
            <w:tcW w:w="8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2,215</w:t>
            </w:r>
          </w:p>
        </w:tc>
        <w:tc>
          <w:tcPr>
            <w:tcW w:w="100" w:type="dxa"/>
            <w:vAlign w:val="bottom"/>
            <w:tcBorders>
              <w:bottom w:val="single" w:sz="8" w:color="CCEEFF"/>
            </w:tcBorders>
            <w:shd w:val="clear" w:color="auto" w:fill="CCEEFF"/>
          </w:tcPr>
          <w:p>
            <w:pPr>
              <w:spacing w:after="0"/>
              <w:rPr>
                <w:sz w:val="15"/>
                <w:szCs w:val="15"/>
                <w:color w:val="auto"/>
              </w:rPr>
            </w:pPr>
          </w:p>
        </w:tc>
        <w:tc>
          <w:tcPr>
            <w:tcW w:w="340" w:type="dxa"/>
            <w:vAlign w:val="bottom"/>
            <w:tcBorders>
              <w:bottom w:val="single" w:sz="8" w:color="auto"/>
            </w:tcBorders>
            <w:shd w:val="clear" w:color="auto" w:fill="CCEEFF"/>
          </w:tcPr>
          <w:p>
            <w:pPr>
              <w:spacing w:after="0"/>
              <w:rPr>
                <w:sz w:val="15"/>
                <w:szCs w:val="15"/>
                <w:color w:val="auto"/>
              </w:rPr>
            </w:pPr>
          </w:p>
        </w:tc>
        <w:tc>
          <w:tcPr>
            <w:tcW w:w="9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(77)%</w:t>
            </w:r>
          </w:p>
        </w:tc>
        <w:tc>
          <w:tcPr>
            <w:tcW w:w="100" w:type="dxa"/>
            <w:vAlign w:val="bottom"/>
            <w:tcBorders>
              <w:bottom w:val="single" w:sz="8" w:color="CCEEFF"/>
            </w:tcBorders>
            <w:shd w:val="clear" w:color="auto" w:fill="CCEEFF"/>
          </w:tcPr>
          <w:p>
            <w:pPr>
              <w:spacing w:after="0"/>
              <w:rPr>
                <w:sz w:val="15"/>
                <w:szCs w:val="15"/>
                <w:color w:val="auto"/>
              </w:rPr>
            </w:pPr>
          </w:p>
        </w:tc>
        <w:tc>
          <w:tcPr>
            <w:tcW w:w="280" w:type="dxa"/>
            <w:vAlign w:val="bottom"/>
            <w:tcBorders>
              <w:bottom w:val="single" w:sz="8" w:color="auto"/>
            </w:tcBorders>
            <w:shd w:val="clear" w:color="auto" w:fill="CCEEFF"/>
          </w:tcPr>
          <w:p>
            <w:pPr>
              <w:jc w:val="right"/>
              <w:ind w:right="133"/>
              <w:spacing w:after="0"/>
              <w:rPr>
                <w:sz w:val="20"/>
                <w:szCs w:val="20"/>
                <w:color w:val="auto"/>
              </w:rPr>
            </w:pPr>
            <w:r>
              <w:rPr>
                <w:rFonts w:ascii="Times New Roman" w:cs="Times New Roman" w:eastAsia="Times New Roman" w:hAnsi="Times New Roman"/>
                <w:sz w:val="13"/>
                <w:szCs w:val="13"/>
                <w:color w:val="auto"/>
                <w:w w:val="91"/>
              </w:rPr>
              <w:t>$</w:t>
            </w:r>
          </w:p>
        </w:tc>
        <w:tc>
          <w:tcPr>
            <w:tcW w:w="8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9,520</w:t>
            </w:r>
          </w:p>
        </w:tc>
        <w:tc>
          <w:tcPr>
            <w:tcW w:w="0" w:type="dxa"/>
            <w:vAlign w:val="bottom"/>
          </w:tcPr>
          <w:p>
            <w:pPr>
              <w:spacing w:after="0"/>
              <w:rPr>
                <w:sz w:val="1"/>
                <w:szCs w:val="1"/>
                <w:color w:val="auto"/>
              </w:rPr>
            </w:pPr>
          </w:p>
        </w:tc>
      </w:tr>
    </w:tbl>
    <w:p>
      <w:pPr>
        <w:ind w:left="20"/>
        <w:spacing w:after="0"/>
        <w:rPr>
          <w:sz w:val="20"/>
          <w:szCs w:val="20"/>
          <w:color w:val="auto"/>
        </w:rPr>
      </w:pPr>
      <w:r>
        <w:rPr>
          <w:rFonts w:ascii="Times New Roman" w:cs="Times New Roman" w:eastAsia="Times New Roman" w:hAnsi="Times New Roman"/>
          <w:sz w:val="14"/>
          <w:szCs w:val="14"/>
          <w:color w:val="auto"/>
        </w:rPr>
        <w:t>NM - Not meaningful</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3129280</wp:posOffset>
            </wp:positionH>
            <wp:positionV relativeFrom="paragraph">
              <wp:posOffset>-94615</wp:posOffset>
            </wp:positionV>
            <wp:extent cx="4022090" cy="6985"/>
            <wp:wrapNone/>
            <wp:docPr id="37" name="Picture 3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7"/>
                    <pic:cNvPicPr>
                      <a:picLocks noChangeAspect="1" noChangeArrowheads="1"/>
                    </pic:cNvPicPr>
                  </pic:nvPicPr>
                  <pic:blipFill>
                    <a:blip r:embed="rId44">
                      <a:extLst>
                        <a:ext uri="{28A0092B-C50C-407E-A947-70E740481C1C}"/>
                      </a:extLst>
                    </a:blip>
                    <a:srcRect/>
                    <a:stretch>
                      <a:fillRect/>
                    </a:stretch>
                  </pic:blipFill>
                  <pic:spPr bwMode="auto">
                    <a:xfrm>
                      <a:off x="0" y="0"/>
                      <a:ext cx="4022090" cy="6985"/>
                    </a:xfrm>
                    <a:prstGeom prst="rect">
                      <a:avLst/>
                    </a:prstGeom>
                    <a:noFill/>
                  </pic:spPr>
                </pic:pic>
              </a:graphicData>
            </a:graphic>
          </wp:anchor>
        </w:drawing>
      </w:r>
    </w:p>
    <w:p>
      <w:pPr>
        <w:spacing w:after="0" w:line="142" w:lineRule="exact"/>
        <w:rPr>
          <w:sz w:val="20"/>
          <w:szCs w:val="20"/>
          <w:color w:val="auto"/>
        </w:rPr>
      </w:pPr>
    </w:p>
    <w:p>
      <w:pPr>
        <w:ind w:left="380"/>
        <w:spacing w:after="0"/>
        <w:rPr>
          <w:sz w:val="20"/>
          <w:szCs w:val="20"/>
          <w:color w:val="auto"/>
        </w:rPr>
      </w:pPr>
      <w:r>
        <w:rPr>
          <w:rFonts w:ascii="Times New Roman" w:cs="Times New Roman" w:eastAsia="Times New Roman" w:hAnsi="Times New Roman"/>
          <w:sz w:val="14"/>
          <w:szCs w:val="14"/>
          <w:i w:val="1"/>
          <w:iCs w:val="1"/>
          <w:u w:val="single" w:color="auto"/>
          <w:color w:val="auto"/>
        </w:rPr>
        <w:t>Year Ended December 31, 2025 Compared to Year Ended December 31, 2024</w:t>
      </w:r>
    </w:p>
    <w:p>
      <w:pPr>
        <w:spacing w:after="0" w:line="94" w:lineRule="exact"/>
        <w:rPr>
          <w:sz w:val="20"/>
          <w:szCs w:val="20"/>
          <w:color w:val="auto"/>
        </w:rPr>
      </w:pPr>
    </w:p>
    <w:p>
      <w:pPr>
        <w:ind w:right="160" w:firstLine="382"/>
        <w:spacing w:after="0" w:line="290" w:lineRule="auto"/>
        <w:rPr>
          <w:sz w:val="20"/>
          <w:szCs w:val="20"/>
          <w:color w:val="auto"/>
        </w:rPr>
      </w:pPr>
      <w:r>
        <w:rPr>
          <w:rFonts w:ascii="Times New Roman" w:cs="Times New Roman" w:eastAsia="Times New Roman" w:hAnsi="Times New Roman"/>
          <w:sz w:val="14"/>
          <w:szCs w:val="14"/>
          <w:i w:val="1"/>
          <w:iCs w:val="1"/>
          <w:color w:val="auto"/>
        </w:rPr>
        <w:t xml:space="preserve">Total Revenues. </w:t>
      </w:r>
      <w:r>
        <w:rPr>
          <w:rFonts w:ascii="Times New Roman" w:cs="Times New Roman" w:eastAsia="Times New Roman" w:hAnsi="Times New Roman"/>
          <w:sz w:val="14"/>
          <w:szCs w:val="14"/>
          <w:color w:val="auto"/>
        </w:rPr>
        <w:t>Total revenues increased $3.0 million, or 3%, to $97.8 million compared to $94.7 million for 2024. The increase was attributable to higher average assets under management</w:t>
      </w:r>
      <w:r>
        <w:rPr>
          <w:rFonts w:ascii="Times New Roman" w:cs="Times New Roman" w:eastAsia="Times New Roman" w:hAnsi="Times New Roman"/>
          <w:sz w:val="14"/>
          <w:szCs w:val="14"/>
          <w:i w:val="1"/>
          <w:iCs w:val="1"/>
          <w:color w:val="auto"/>
        </w:rPr>
        <w:t xml:space="preserve"> </w:t>
      </w:r>
      <w:r>
        <w:rPr>
          <w:rFonts w:ascii="Times New Roman" w:cs="Times New Roman" w:eastAsia="Times New Roman" w:hAnsi="Times New Roman"/>
          <w:sz w:val="14"/>
          <w:szCs w:val="14"/>
          <w:color w:val="auto"/>
        </w:rPr>
        <w:t>and higher revenues from our ETFs and private energy secondaries funds.</w:t>
      </w:r>
    </w:p>
    <w:p>
      <w:pPr>
        <w:spacing w:after="0" w:line="35" w:lineRule="exact"/>
        <w:rPr>
          <w:sz w:val="20"/>
          <w:szCs w:val="20"/>
          <w:color w:val="auto"/>
        </w:rPr>
      </w:pPr>
    </w:p>
    <w:p>
      <w:pPr>
        <w:ind w:right="80" w:firstLine="382"/>
        <w:spacing w:after="0" w:line="290" w:lineRule="auto"/>
        <w:rPr>
          <w:sz w:val="20"/>
          <w:szCs w:val="20"/>
          <w:color w:val="auto"/>
        </w:rPr>
      </w:pPr>
      <w:r>
        <w:rPr>
          <w:rFonts w:ascii="Times New Roman" w:cs="Times New Roman" w:eastAsia="Times New Roman" w:hAnsi="Times New Roman"/>
          <w:sz w:val="14"/>
          <w:szCs w:val="14"/>
          <w:i w:val="1"/>
          <w:iCs w:val="1"/>
          <w:color w:val="auto"/>
        </w:rPr>
        <w:t>Westwood funds</w:t>
      </w:r>
      <w:r>
        <w:rPr>
          <w:rFonts w:ascii="Times New Roman" w:cs="Times New Roman" w:eastAsia="Times New Roman" w:hAnsi="Times New Roman"/>
          <w:sz w:val="14"/>
          <w:szCs w:val="14"/>
          <w:color w:val="auto"/>
        </w:rPr>
        <w:t>. Westwood fund expenses increased 31% to $4.3 million compared to $3.3 million for 2024, primarily due to increased administration and distribution expenses related to our</w:t>
      </w:r>
      <w:r>
        <w:rPr>
          <w:rFonts w:ascii="Times New Roman" w:cs="Times New Roman" w:eastAsia="Times New Roman" w:hAnsi="Times New Roman"/>
          <w:sz w:val="14"/>
          <w:szCs w:val="14"/>
          <w:i w:val="1"/>
          <w:iCs w:val="1"/>
          <w:color w:val="auto"/>
        </w:rPr>
        <w:t xml:space="preserve"> </w:t>
      </w:r>
      <w:r>
        <w:rPr>
          <w:rFonts w:ascii="Times New Roman" w:cs="Times New Roman" w:eastAsia="Times New Roman" w:hAnsi="Times New Roman"/>
          <w:sz w:val="14"/>
          <w:szCs w:val="14"/>
          <w:color w:val="auto"/>
        </w:rPr>
        <w:t>ETFs, driven by higher fund assets.</w:t>
      </w:r>
    </w:p>
    <w:p>
      <w:pPr>
        <w:spacing w:after="0" w:line="35" w:lineRule="exact"/>
        <w:rPr>
          <w:sz w:val="20"/>
          <w:szCs w:val="20"/>
          <w:color w:val="auto"/>
        </w:rPr>
      </w:pPr>
    </w:p>
    <w:p>
      <w:pPr>
        <w:ind w:right="260" w:firstLine="382"/>
        <w:spacing w:after="0" w:line="290" w:lineRule="auto"/>
        <w:rPr>
          <w:sz w:val="20"/>
          <w:szCs w:val="20"/>
          <w:color w:val="auto"/>
        </w:rPr>
      </w:pPr>
      <w:r>
        <w:rPr>
          <w:rFonts w:ascii="Times New Roman" w:cs="Times New Roman" w:eastAsia="Times New Roman" w:hAnsi="Times New Roman"/>
          <w:sz w:val="14"/>
          <w:szCs w:val="14"/>
          <w:i w:val="1"/>
          <w:iCs w:val="1"/>
          <w:color w:val="auto"/>
        </w:rPr>
        <w:t xml:space="preserve">Information technology. </w:t>
      </w:r>
      <w:r>
        <w:rPr>
          <w:rFonts w:ascii="Times New Roman" w:cs="Times New Roman" w:eastAsia="Times New Roman" w:hAnsi="Times New Roman"/>
          <w:sz w:val="14"/>
          <w:szCs w:val="14"/>
          <w:color w:val="auto"/>
        </w:rPr>
        <w:t>Information technology costs increased 13% to $10.9 million compared to $9.7 million in 2024, primarily due to additional investment resource tools and software</w:t>
      </w:r>
      <w:r>
        <w:rPr>
          <w:rFonts w:ascii="Times New Roman" w:cs="Times New Roman" w:eastAsia="Times New Roman" w:hAnsi="Times New Roman"/>
          <w:sz w:val="14"/>
          <w:szCs w:val="14"/>
          <w:i w:val="1"/>
          <w:iCs w:val="1"/>
          <w:color w:val="auto"/>
        </w:rPr>
        <w:t xml:space="preserve"> </w:t>
      </w:r>
      <w:r>
        <w:rPr>
          <w:rFonts w:ascii="Times New Roman" w:cs="Times New Roman" w:eastAsia="Times New Roman" w:hAnsi="Times New Roman"/>
          <w:sz w:val="14"/>
          <w:szCs w:val="14"/>
          <w:color w:val="auto"/>
        </w:rPr>
        <w:t>licenses.</w:t>
      </w:r>
    </w:p>
    <w:p>
      <w:pPr>
        <w:spacing w:after="0" w:line="35" w:lineRule="exact"/>
        <w:rPr>
          <w:sz w:val="20"/>
          <w:szCs w:val="20"/>
          <w:color w:val="auto"/>
        </w:rPr>
      </w:pPr>
    </w:p>
    <w:p>
      <w:pPr>
        <w:ind w:left="380"/>
        <w:spacing w:after="0"/>
        <w:rPr>
          <w:sz w:val="20"/>
          <w:szCs w:val="20"/>
          <w:color w:val="auto"/>
        </w:rPr>
      </w:pPr>
      <w:r>
        <w:rPr>
          <w:rFonts w:ascii="Times New Roman" w:cs="Times New Roman" w:eastAsia="Times New Roman" w:hAnsi="Times New Roman"/>
          <w:sz w:val="14"/>
          <w:szCs w:val="14"/>
          <w:i w:val="1"/>
          <w:iCs w:val="1"/>
          <w:color w:val="auto"/>
        </w:rPr>
        <w:t xml:space="preserve">Professional services. </w:t>
      </w:r>
      <w:r>
        <w:rPr>
          <w:rFonts w:ascii="Times New Roman" w:cs="Times New Roman" w:eastAsia="Times New Roman" w:hAnsi="Times New Roman"/>
          <w:sz w:val="14"/>
          <w:szCs w:val="14"/>
          <w:color w:val="auto"/>
        </w:rPr>
        <w:t>Professional services expense increased $1.4 million, or 26%, to $6.9 million in 2025 primarily due to additional consulting costs.</w:t>
      </w:r>
    </w:p>
    <w:p>
      <w:pPr>
        <w:spacing w:after="0" w:line="200" w:lineRule="exact"/>
        <w:rPr>
          <w:sz w:val="20"/>
          <w:szCs w:val="20"/>
          <w:color w:val="auto"/>
        </w:rPr>
      </w:pPr>
    </w:p>
    <w:p>
      <w:pPr>
        <w:spacing w:after="0" w:line="246"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4"/>
          <w:szCs w:val="14"/>
          <w:color w:val="auto"/>
        </w:rPr>
        <w:t>29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-8890</wp:posOffset>
            </wp:positionH>
            <wp:positionV relativeFrom="paragraph">
              <wp:posOffset>55880</wp:posOffset>
            </wp:positionV>
            <wp:extent cx="7186930" cy="38735"/>
            <wp:wrapNone/>
            <wp:docPr id="38" name="Picture 3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8"/>
                    <pic:cNvPicPr>
                      <a:picLocks noChangeAspect="1" noChangeArrowheads="1"/>
                    </pic:cNvPicPr>
                  </pic:nvPicPr>
                  <pic:blipFill>
                    <a:blip r:embed="rId45">
                      <a:extLst>
                        <a:ext uri="{28A0092B-C50C-407E-A947-70E740481C1C}"/>
                      </a:extLst>
                    </a:blip>
                    <a:srcRect/>
                    <a:stretch>
                      <a:fillRect/>
                    </a:stretch>
                  </pic:blipFill>
                  <pic:spPr bwMode="auto">
                    <a:xfrm>
                      <a:off x="0" y="0"/>
                      <a:ext cx="7186930" cy="38735"/>
                    </a:xfrm>
                    <a:prstGeom prst="rect">
                      <a:avLst/>
                    </a:prstGeom>
                    <a:noFill/>
                  </pic:spPr>
                </pic:pic>
              </a:graphicData>
            </a:graphic>
          </wp:anchor>
        </w:drawing>
      </w:r>
    </w:p>
    <w:p>
      <w:pPr>
        <w:sectPr>
          <w:pgSz w:w="11900" w:h="16838" w:orient="portrait"/>
          <w:cols w:equalWidth="0" w:num="1">
            <w:col w:w="11260"/>
          </w:cols>
          <w:pgMar w:left="300" w:top="763" w:right="339" w:bottom="1440" w:gutter="0" w:footer="0" w:header="0"/>
        </w:sectPr>
      </w:pPr>
    </w:p>
    <w:bookmarkStart w:id="31" w:name="page32"/>
    <w:bookmarkEnd w:id="31"/>
    <w:p>
      <w:pPr>
        <w:ind w:right="140" w:firstLine="382"/>
        <w:spacing w:after="0" w:line="290" w:lineRule="auto"/>
        <w:rPr>
          <w:sz w:val="20"/>
          <w:szCs w:val="20"/>
          <w:color w:val="auto"/>
        </w:rPr>
      </w:pPr>
      <w:r>
        <w:rPr>
          <w:rFonts w:ascii="Times New Roman" w:cs="Times New Roman" w:eastAsia="Times New Roman" w:hAnsi="Times New Roman"/>
          <w:sz w:val="14"/>
          <w:szCs w:val="14"/>
          <w:i w:val="1"/>
          <w:iCs w:val="1"/>
          <w:color w:val="auto"/>
        </w:rPr>
        <w:t xml:space="preserve">(Gain) loss from change in fair value of contingent consideration. </w:t>
      </w:r>
      <w:r>
        <w:rPr>
          <w:rFonts w:ascii="Times New Roman" w:cs="Times New Roman" w:eastAsia="Times New Roman" w:hAnsi="Times New Roman"/>
          <w:sz w:val="14"/>
          <w:szCs w:val="14"/>
          <w:color w:val="auto"/>
        </w:rPr>
        <w:t>In 2025 we did not adjust our contingent consideration from the 2022 Salient Acquisition as the specific revenue thresholds</w:t>
      </w:r>
      <w:r>
        <w:rPr>
          <w:rFonts w:ascii="Times New Roman" w:cs="Times New Roman" w:eastAsia="Times New Roman" w:hAnsi="Times New Roman"/>
          <w:sz w:val="14"/>
          <w:szCs w:val="14"/>
          <w:i w:val="1"/>
          <w:iCs w:val="1"/>
          <w:color w:val="auto"/>
        </w:rPr>
        <w:t xml:space="preserve"> </w:t>
      </w:r>
      <w:r>
        <w:rPr>
          <w:rFonts w:ascii="Times New Roman" w:cs="Times New Roman" w:eastAsia="Times New Roman" w:hAnsi="Times New Roman"/>
          <w:sz w:val="14"/>
          <w:szCs w:val="14"/>
          <w:color w:val="auto"/>
        </w:rPr>
        <w:t>were not met.</w:t>
      </w:r>
    </w:p>
    <w:p>
      <w:pPr>
        <w:spacing w:after="0" w:line="35" w:lineRule="exact"/>
        <w:rPr>
          <w:sz w:val="20"/>
          <w:szCs w:val="20"/>
          <w:color w:val="auto"/>
        </w:rPr>
      </w:pPr>
    </w:p>
    <w:p>
      <w:pPr>
        <w:ind w:right="220" w:firstLine="382"/>
        <w:spacing w:after="0" w:line="290" w:lineRule="auto"/>
        <w:rPr>
          <w:sz w:val="20"/>
          <w:szCs w:val="20"/>
          <w:color w:val="auto"/>
        </w:rPr>
      </w:pPr>
      <w:r>
        <w:rPr>
          <w:rFonts w:ascii="Times New Roman" w:cs="Times New Roman" w:eastAsia="Times New Roman" w:hAnsi="Times New Roman"/>
          <w:sz w:val="14"/>
          <w:szCs w:val="14"/>
          <w:i w:val="1"/>
          <w:iCs w:val="1"/>
          <w:color w:val="auto"/>
        </w:rPr>
        <w:t xml:space="preserve">Net change in unrealized appreciation on private investments. </w:t>
      </w:r>
      <w:r>
        <w:rPr>
          <w:rFonts w:ascii="Times New Roman" w:cs="Times New Roman" w:eastAsia="Times New Roman" w:hAnsi="Times New Roman"/>
          <w:sz w:val="14"/>
          <w:szCs w:val="14"/>
          <w:color w:val="auto"/>
        </w:rPr>
        <w:t>In 2025 we recorded an unrealized gain of approximately $2.0 million for our investment in TXSE following observable price</w:t>
      </w:r>
      <w:r>
        <w:rPr>
          <w:rFonts w:ascii="Times New Roman" w:cs="Times New Roman" w:eastAsia="Times New Roman" w:hAnsi="Times New Roman"/>
          <w:sz w:val="14"/>
          <w:szCs w:val="14"/>
          <w:i w:val="1"/>
          <w:iCs w:val="1"/>
          <w:color w:val="auto"/>
        </w:rPr>
        <w:t xml:space="preserve"> </w:t>
      </w:r>
      <w:r>
        <w:rPr>
          <w:rFonts w:ascii="Times New Roman" w:cs="Times New Roman" w:eastAsia="Times New Roman" w:hAnsi="Times New Roman"/>
          <w:sz w:val="14"/>
          <w:szCs w:val="14"/>
          <w:color w:val="auto"/>
        </w:rPr>
        <w:t>changes.</w:t>
      </w:r>
    </w:p>
    <w:p>
      <w:pPr>
        <w:spacing w:after="0" w:line="35" w:lineRule="exact"/>
        <w:rPr>
          <w:sz w:val="20"/>
          <w:szCs w:val="20"/>
          <w:color w:val="auto"/>
        </w:rPr>
      </w:pPr>
    </w:p>
    <w:p>
      <w:pPr>
        <w:ind w:right="80" w:firstLine="382"/>
        <w:spacing w:after="0" w:line="290" w:lineRule="auto"/>
        <w:rPr>
          <w:sz w:val="20"/>
          <w:szCs w:val="20"/>
          <w:color w:val="auto"/>
        </w:rPr>
      </w:pPr>
      <w:r>
        <w:rPr>
          <w:rFonts w:ascii="Times New Roman" w:cs="Times New Roman" w:eastAsia="Times New Roman" w:hAnsi="Times New Roman"/>
          <w:sz w:val="14"/>
          <w:szCs w:val="14"/>
          <w:i w:val="1"/>
          <w:iCs w:val="1"/>
          <w:color w:val="auto"/>
        </w:rPr>
        <w:t xml:space="preserve">Provision for Income Taxes. </w:t>
      </w:r>
      <w:r>
        <w:rPr>
          <w:rFonts w:ascii="Times New Roman" w:cs="Times New Roman" w:eastAsia="Times New Roman" w:hAnsi="Times New Roman"/>
          <w:sz w:val="14"/>
          <w:szCs w:val="14"/>
          <w:color w:val="auto"/>
        </w:rPr>
        <w:t>The effective tax rate was 26.9% for 2025 compared to 44.9% for 2024. Our income tax rate differed from the 21% statutory tax rate due to permanent differences</w:t>
      </w:r>
      <w:r>
        <w:rPr>
          <w:rFonts w:ascii="Times New Roman" w:cs="Times New Roman" w:eastAsia="Times New Roman" w:hAnsi="Times New Roman"/>
          <w:sz w:val="14"/>
          <w:szCs w:val="14"/>
          <w:i w:val="1"/>
          <w:iCs w:val="1"/>
          <w:color w:val="auto"/>
        </w:rPr>
        <w:t xml:space="preserve"> </w:t>
      </w:r>
      <w:r>
        <w:rPr>
          <w:rFonts w:ascii="Times New Roman" w:cs="Times New Roman" w:eastAsia="Times New Roman" w:hAnsi="Times New Roman"/>
          <w:sz w:val="14"/>
          <w:szCs w:val="14"/>
          <w:color w:val="auto"/>
        </w:rPr>
        <w:t>due to executive compensation and the impact of state and local taxes.</w:t>
      </w:r>
    </w:p>
    <w:p>
      <w:pPr>
        <w:spacing w:after="0" w:line="35" w:lineRule="exact"/>
        <w:rPr>
          <w:sz w:val="20"/>
          <w:szCs w:val="20"/>
          <w:color w:val="auto"/>
        </w:rPr>
      </w:pPr>
    </w:p>
    <w:p>
      <w:pPr>
        <w:ind w:left="380"/>
        <w:spacing w:after="0"/>
        <w:rPr>
          <w:sz w:val="20"/>
          <w:szCs w:val="20"/>
          <w:color w:val="auto"/>
        </w:rPr>
      </w:pPr>
      <w:r>
        <w:rPr>
          <w:rFonts w:ascii="Times New Roman" w:cs="Times New Roman" w:eastAsia="Times New Roman" w:hAnsi="Times New Roman"/>
          <w:sz w:val="14"/>
          <w:szCs w:val="14"/>
          <w:i w:val="1"/>
          <w:iCs w:val="1"/>
          <w:u w:val="single" w:color="auto"/>
          <w:color w:val="auto"/>
        </w:rPr>
        <w:t>Year Ended December 31, 2024 Compared to Year Ended December 31, 2023</w:t>
      </w:r>
    </w:p>
    <w:p>
      <w:pPr>
        <w:spacing w:after="0" w:line="94" w:lineRule="exact"/>
        <w:rPr>
          <w:sz w:val="20"/>
          <w:szCs w:val="20"/>
          <w:color w:val="auto"/>
        </w:rPr>
      </w:pPr>
    </w:p>
    <w:p>
      <w:pPr>
        <w:ind w:left="380"/>
        <w:spacing w:after="0"/>
        <w:rPr>
          <w:sz w:val="20"/>
          <w:szCs w:val="20"/>
          <w:color w:val="auto"/>
        </w:rPr>
      </w:pPr>
      <w:r>
        <w:rPr>
          <w:rFonts w:ascii="Times New Roman" w:cs="Times New Roman" w:eastAsia="Times New Roman" w:hAnsi="Times New Roman"/>
          <w:sz w:val="14"/>
          <w:szCs w:val="14"/>
          <w:i w:val="1"/>
          <w:iCs w:val="1"/>
          <w:color w:val="auto"/>
        </w:rPr>
        <w:t xml:space="preserve">Total Revenues. </w:t>
      </w:r>
      <w:r>
        <w:rPr>
          <w:rFonts w:ascii="Times New Roman" w:cs="Times New Roman" w:eastAsia="Times New Roman" w:hAnsi="Times New Roman"/>
          <w:sz w:val="14"/>
          <w:szCs w:val="14"/>
          <w:color w:val="auto"/>
        </w:rPr>
        <w:t>Total revenues increased $4.9 million, or 6%, to $94.7 million compared to $89.8 million for 2023. The increase was attributable to higher average assets under management.</w:t>
      </w:r>
    </w:p>
    <w:p>
      <w:pPr>
        <w:spacing w:after="0" w:line="94" w:lineRule="exact"/>
        <w:rPr>
          <w:sz w:val="20"/>
          <w:szCs w:val="20"/>
          <w:color w:val="auto"/>
        </w:rPr>
      </w:pPr>
    </w:p>
    <w:p>
      <w:pPr>
        <w:ind w:right="20" w:firstLine="382"/>
        <w:spacing w:after="0" w:line="290" w:lineRule="auto"/>
        <w:rPr>
          <w:sz w:val="20"/>
          <w:szCs w:val="20"/>
          <w:color w:val="auto"/>
        </w:rPr>
      </w:pPr>
      <w:r>
        <w:rPr>
          <w:rFonts w:ascii="Times New Roman" w:cs="Times New Roman" w:eastAsia="Times New Roman" w:hAnsi="Times New Roman"/>
          <w:sz w:val="14"/>
          <w:szCs w:val="14"/>
          <w:i w:val="1"/>
          <w:iCs w:val="1"/>
          <w:color w:val="auto"/>
        </w:rPr>
        <w:t xml:space="preserve">Employee Compensation and Benefits. </w:t>
      </w:r>
      <w:r>
        <w:rPr>
          <w:rFonts w:ascii="Times New Roman" w:cs="Times New Roman" w:eastAsia="Times New Roman" w:hAnsi="Times New Roman"/>
          <w:sz w:val="14"/>
          <w:szCs w:val="14"/>
          <w:color w:val="auto"/>
        </w:rPr>
        <w:t>Employee compensation and benefits expenses increased primarily due to higher performance-related incentive compensation following increased AUM</w:t>
      </w:r>
      <w:r>
        <w:rPr>
          <w:rFonts w:ascii="Times New Roman" w:cs="Times New Roman" w:eastAsia="Times New Roman" w:hAnsi="Times New Roman"/>
          <w:sz w:val="14"/>
          <w:szCs w:val="14"/>
          <w:i w:val="1"/>
          <w:iCs w:val="1"/>
          <w:color w:val="auto"/>
        </w:rPr>
        <w:t xml:space="preserve"> </w:t>
      </w:r>
      <w:r>
        <w:rPr>
          <w:rFonts w:ascii="Times New Roman" w:cs="Times New Roman" w:eastAsia="Times New Roman" w:hAnsi="Times New Roman"/>
          <w:sz w:val="14"/>
          <w:szCs w:val="14"/>
          <w:color w:val="auto"/>
        </w:rPr>
        <w:t>balances and additional headcount.</w:t>
      </w:r>
    </w:p>
    <w:p>
      <w:pPr>
        <w:spacing w:after="0" w:line="35" w:lineRule="exact"/>
        <w:rPr>
          <w:sz w:val="20"/>
          <w:szCs w:val="20"/>
          <w:color w:val="auto"/>
        </w:rPr>
      </w:pPr>
    </w:p>
    <w:p>
      <w:pPr>
        <w:ind w:right="220" w:firstLine="382"/>
        <w:spacing w:after="0" w:line="290" w:lineRule="auto"/>
        <w:rPr>
          <w:sz w:val="20"/>
          <w:szCs w:val="20"/>
          <w:color w:val="auto"/>
        </w:rPr>
      </w:pPr>
      <w:r>
        <w:rPr>
          <w:rFonts w:ascii="Times New Roman" w:cs="Times New Roman" w:eastAsia="Times New Roman" w:hAnsi="Times New Roman"/>
          <w:sz w:val="14"/>
          <w:szCs w:val="14"/>
          <w:i w:val="1"/>
          <w:iCs w:val="1"/>
          <w:color w:val="auto"/>
        </w:rPr>
        <w:t xml:space="preserve">(Gain) loss from change in fair value of contingent consideration. </w:t>
      </w:r>
      <w:r>
        <w:rPr>
          <w:rFonts w:ascii="Times New Roman" w:cs="Times New Roman" w:eastAsia="Times New Roman" w:hAnsi="Times New Roman"/>
          <w:sz w:val="14"/>
          <w:szCs w:val="14"/>
          <w:color w:val="auto"/>
        </w:rPr>
        <w:t>We recorded a loss of $4.9 million upon the remeasurement of contingent consideration for the Salient Acquisition, due to</w:t>
      </w:r>
      <w:r>
        <w:rPr>
          <w:rFonts w:ascii="Times New Roman" w:cs="Times New Roman" w:eastAsia="Times New Roman" w:hAnsi="Times New Roman"/>
          <w:sz w:val="14"/>
          <w:szCs w:val="14"/>
          <w:i w:val="1"/>
          <w:iCs w:val="1"/>
          <w:color w:val="auto"/>
        </w:rPr>
        <w:t xml:space="preserve"> </w:t>
      </w:r>
      <w:r>
        <w:rPr>
          <w:rFonts w:ascii="Times New Roman" w:cs="Times New Roman" w:eastAsia="Times New Roman" w:hAnsi="Times New Roman"/>
          <w:sz w:val="14"/>
          <w:szCs w:val="14"/>
          <w:color w:val="auto"/>
        </w:rPr>
        <w:t>positive changes in growth projections following asset appreciation and asset flows in the period.</w:t>
      </w:r>
    </w:p>
    <w:p>
      <w:pPr>
        <w:spacing w:after="0" w:line="35" w:lineRule="exact"/>
        <w:rPr>
          <w:sz w:val="20"/>
          <w:szCs w:val="20"/>
          <w:color w:val="auto"/>
        </w:rPr>
      </w:pPr>
    </w:p>
    <w:p>
      <w:pPr>
        <w:ind w:right="80" w:firstLine="382"/>
        <w:spacing w:after="0" w:line="290" w:lineRule="auto"/>
        <w:rPr>
          <w:sz w:val="20"/>
          <w:szCs w:val="20"/>
          <w:color w:val="auto"/>
        </w:rPr>
      </w:pPr>
      <w:r>
        <w:rPr>
          <w:rFonts w:ascii="Times New Roman" w:cs="Times New Roman" w:eastAsia="Times New Roman" w:hAnsi="Times New Roman"/>
          <w:sz w:val="14"/>
          <w:szCs w:val="14"/>
          <w:i w:val="1"/>
          <w:iCs w:val="1"/>
          <w:color w:val="auto"/>
        </w:rPr>
        <w:t xml:space="preserve">Provision for Income Taxes. </w:t>
      </w:r>
      <w:r>
        <w:rPr>
          <w:rFonts w:ascii="Times New Roman" w:cs="Times New Roman" w:eastAsia="Times New Roman" w:hAnsi="Times New Roman"/>
          <w:sz w:val="14"/>
          <w:szCs w:val="14"/>
          <w:color w:val="auto"/>
        </w:rPr>
        <w:t>The effective tax rate was 44.9% for 2024 compared to 23.2% for 2023. Our income tax rate differed from the 21% statutory tax rate due to permanent differences</w:t>
      </w:r>
      <w:r>
        <w:rPr>
          <w:rFonts w:ascii="Times New Roman" w:cs="Times New Roman" w:eastAsia="Times New Roman" w:hAnsi="Times New Roman"/>
          <w:sz w:val="14"/>
          <w:szCs w:val="14"/>
          <w:i w:val="1"/>
          <w:iCs w:val="1"/>
          <w:color w:val="auto"/>
        </w:rPr>
        <w:t xml:space="preserve"> </w:t>
      </w:r>
      <w:r>
        <w:rPr>
          <w:rFonts w:ascii="Times New Roman" w:cs="Times New Roman" w:eastAsia="Times New Roman" w:hAnsi="Times New Roman"/>
          <w:sz w:val="14"/>
          <w:szCs w:val="14"/>
          <w:color w:val="auto"/>
        </w:rPr>
        <w:t>between book and tax restricted stock expense based on a decrease in our stock price between the restricted stock grant and vesting date, along with the impact of state and local taxes.</w:t>
      </w:r>
    </w:p>
    <w:p>
      <w:pPr>
        <w:spacing w:after="0" w:line="35"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b w:val="1"/>
          <w:bCs w:val="1"/>
          <w:color w:val="auto"/>
        </w:rPr>
        <w:t>Supplemental Financial Information</w:t>
      </w:r>
    </w:p>
    <w:p>
      <w:pPr>
        <w:spacing w:after="0" w:line="96" w:lineRule="exact"/>
        <w:rPr>
          <w:sz w:val="20"/>
          <w:szCs w:val="20"/>
          <w:color w:val="auto"/>
        </w:rPr>
      </w:pPr>
    </w:p>
    <w:p>
      <w:pPr>
        <w:ind w:firstLine="382"/>
        <w:spacing w:after="0" w:line="261" w:lineRule="auto"/>
        <w:rPr>
          <w:sz w:val="20"/>
          <w:szCs w:val="20"/>
          <w:color w:val="auto"/>
        </w:rPr>
      </w:pPr>
      <w:r>
        <w:rPr>
          <w:rFonts w:ascii="Times New Roman" w:cs="Times New Roman" w:eastAsia="Times New Roman" w:hAnsi="Times New Roman"/>
          <w:sz w:val="14"/>
          <w:szCs w:val="14"/>
          <w:color w:val="auto"/>
        </w:rPr>
        <w:t>As supplemental information, we are providing non-GAAP performance measures that we refer to as Economic Earnings and Economic EPS. We provide these measures in addition to, not as a substitute for, income (loss) attributable to Westwood Holdings Group, Inc. and earnings (loss) per share, which are reported on a GAAP basis. Our management and Board review Economic Earnings and Economic EPS to evaluate our ongoing performance, allocate resources, and review our dividend policy. We believe that these non-GAAP performance measures, while not substitutes for GAAP income (loss) attributable to Westwood Holdings Group, Inc. or earnings (loss) per share, are useful for management and investors when evaluating our underlying operating and financial performance and our available resources. We do not advocate that investors consider these non-GAAP measures without also considering financial information prepared in accordance with GAAP.</w:t>
      </w:r>
    </w:p>
    <w:p>
      <w:pPr>
        <w:spacing w:after="0" w:line="58" w:lineRule="exact"/>
        <w:rPr>
          <w:sz w:val="20"/>
          <w:szCs w:val="20"/>
          <w:color w:val="auto"/>
        </w:rPr>
      </w:pPr>
    </w:p>
    <w:p>
      <w:pPr>
        <w:ind w:right="120" w:firstLine="382"/>
        <w:spacing w:after="0" w:line="259" w:lineRule="auto"/>
        <w:rPr>
          <w:sz w:val="20"/>
          <w:szCs w:val="20"/>
          <w:color w:val="auto"/>
        </w:rPr>
      </w:pPr>
      <w:r>
        <w:rPr>
          <w:rFonts w:ascii="Times New Roman" w:cs="Times New Roman" w:eastAsia="Times New Roman" w:hAnsi="Times New Roman"/>
          <w:sz w:val="14"/>
          <w:szCs w:val="14"/>
          <w:color w:val="auto"/>
        </w:rPr>
        <w:t>We define Economic Earnings as income (loss) attributable to Westwood Holdings Group, Inc. plus non-cash equity-based compensation expense, impairment expense, amortization of intangible assets, currency translation adjustment reclassification, deferred taxes related to goodwill and the tax impact of adjustments to GAAP income (loss). Although depreciation on fixed assets is a non-cash expense, we do not add it back when calculating Economic Earnings because depreciation charges represent an allocation of the decline in the value of the related assets that will ultimately require replacement. Although gains and losses from changes in the fair value of contingent consideration are non-cash, we do not add or subtract those back when calculating Economic Earnings because gains and losses on changes in the fair value of contingent consideration are considered regular following an acquisition. In addition, we do not adjust Economic Earnings for tax deductions related to restricted stock expense or amortization of intangible assets. Economic EPS represents Economic Earnings divided by diluted weighted average shares outstanding.</w:t>
      </w:r>
    </w:p>
    <w:p>
      <w:pPr>
        <w:spacing w:after="0" w:line="61" w:lineRule="exact"/>
        <w:rPr>
          <w:sz w:val="20"/>
          <w:szCs w:val="20"/>
          <w:color w:val="auto"/>
        </w:rPr>
      </w:pPr>
    </w:p>
    <w:p>
      <w:pPr>
        <w:ind w:right="80" w:firstLine="382"/>
        <w:spacing w:after="0" w:line="270" w:lineRule="auto"/>
        <w:rPr>
          <w:sz w:val="20"/>
          <w:szCs w:val="20"/>
          <w:color w:val="auto"/>
        </w:rPr>
      </w:pPr>
      <w:r>
        <w:rPr>
          <w:rFonts w:ascii="Times New Roman" w:cs="Times New Roman" w:eastAsia="Times New Roman" w:hAnsi="Times New Roman"/>
          <w:sz w:val="14"/>
          <w:szCs w:val="14"/>
          <w:color w:val="auto"/>
        </w:rPr>
        <w:t>Non-GAAP financial measures have limitations as analytical tools, and these measures should not be considered in isolation or as a substitute for analysis of our results as reported under GAAP. Some of the limitations in relying on these non-GAAP financial measures are that they can have a material impact on the equivalent GAAP measures or they may be calculated differently by other companies.</w:t>
      </w:r>
    </w:p>
    <w:p>
      <w:pPr>
        <w:spacing w:after="0" w:line="51" w:lineRule="exact"/>
        <w:rPr>
          <w:sz w:val="20"/>
          <w:szCs w:val="20"/>
          <w:color w:val="auto"/>
        </w:rPr>
      </w:pPr>
    </w:p>
    <w:p>
      <w:pPr>
        <w:jc w:val="both"/>
        <w:ind w:right="80" w:firstLine="382"/>
        <w:spacing w:after="0" w:line="270" w:lineRule="auto"/>
        <w:rPr>
          <w:sz w:val="20"/>
          <w:szCs w:val="20"/>
          <w:color w:val="auto"/>
        </w:rPr>
      </w:pPr>
      <w:r>
        <w:rPr>
          <w:rFonts w:ascii="Times New Roman" w:cs="Times New Roman" w:eastAsia="Times New Roman" w:hAnsi="Times New Roman"/>
          <w:sz w:val="14"/>
          <w:szCs w:val="14"/>
          <w:color w:val="auto"/>
        </w:rPr>
        <w:t>We compensate for these limitations on the use of non-GAAP financial measures by relying primarily on our GAAP results and using non-GAAP financial measures only as a supplement. We believe that providing non-GAAP diluted net earnings per share and non-GAAP Income (loss) in addition to the related GAAP measures provides greater transparency to the information used in our financial and operational decision-making.</w:t>
      </w:r>
    </w:p>
    <w:p>
      <w:pPr>
        <w:spacing w:after="0" w:line="51" w:lineRule="exact"/>
        <w:rPr>
          <w:sz w:val="20"/>
          <w:szCs w:val="20"/>
          <w:color w:val="auto"/>
        </w:rPr>
      </w:pPr>
    </w:p>
    <w:p>
      <w:pPr>
        <w:ind w:right="460" w:firstLine="382"/>
        <w:spacing w:after="0" w:line="287" w:lineRule="auto"/>
        <w:rPr>
          <w:sz w:val="20"/>
          <w:szCs w:val="20"/>
          <w:color w:val="auto"/>
        </w:rPr>
      </w:pPr>
      <w:r>
        <w:rPr>
          <w:rFonts w:ascii="Times New Roman" w:cs="Times New Roman" w:eastAsia="Times New Roman" w:hAnsi="Times New Roman"/>
          <w:sz w:val="14"/>
          <w:szCs w:val="14"/>
          <w:color w:val="auto"/>
        </w:rPr>
        <w:t>For the year ended December 31, 2025, our Economic Earnings increased by 105% to $14.3 million compared with $7.0 million for the year ended December 31, 2024. 2025 Economic Earnings was impacted by higher 2025 revenues and losses from changes in the fair value of contingent consideration in 2024.</w:t>
      </w:r>
    </w:p>
    <w:p>
      <w:pPr>
        <w:spacing w:after="0" w:line="38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4"/>
          <w:szCs w:val="14"/>
          <w:color w:val="auto"/>
        </w:rPr>
        <w:t>30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-8890</wp:posOffset>
            </wp:positionH>
            <wp:positionV relativeFrom="paragraph">
              <wp:posOffset>55880</wp:posOffset>
            </wp:positionV>
            <wp:extent cx="7186930" cy="38735"/>
            <wp:wrapNone/>
            <wp:docPr id="39" name="Picture 3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9"/>
                    <pic:cNvPicPr>
                      <a:picLocks noChangeAspect="1" noChangeArrowheads="1"/>
                    </pic:cNvPicPr>
                  </pic:nvPicPr>
                  <pic:blipFill>
                    <a:blip r:embed="rId46">
                      <a:extLst>
                        <a:ext uri="{28A0092B-C50C-407E-A947-70E740481C1C}"/>
                      </a:extLst>
                    </a:blip>
                    <a:srcRect/>
                    <a:stretch>
                      <a:fillRect/>
                    </a:stretch>
                  </pic:blipFill>
                  <pic:spPr bwMode="auto">
                    <a:xfrm>
                      <a:off x="0" y="0"/>
                      <a:ext cx="7186930" cy="38735"/>
                    </a:xfrm>
                    <a:prstGeom prst="rect">
                      <a:avLst/>
                    </a:prstGeom>
                    <a:noFill/>
                  </pic:spPr>
                </pic:pic>
              </a:graphicData>
            </a:graphic>
          </wp:anchor>
        </w:drawing>
      </w:r>
    </w:p>
    <w:p>
      <w:pPr>
        <w:sectPr>
          <w:pgSz w:w="11900" w:h="16838" w:orient="portrait"/>
          <w:cols w:equalWidth="0" w:num="1">
            <w:col w:w="11280"/>
          </w:cols>
          <w:pgMar w:left="300" w:top="812" w:right="319" w:bottom="1440" w:gutter="0" w:footer="0" w:header="0"/>
        </w:sectPr>
      </w:pPr>
    </w:p>
    <w:bookmarkStart w:id="32" w:name="page33"/>
    <w:bookmarkEnd w:id="32"/>
    <w:p>
      <w:pPr>
        <w:ind w:left="380"/>
        <w:spacing w:after="0"/>
        <w:rPr>
          <w:sz w:val="20"/>
          <w:szCs w:val="20"/>
          <w:color w:val="auto"/>
        </w:rPr>
      </w:pPr>
      <w:r>
        <w:rPr>
          <w:rFonts w:ascii="Times New Roman" w:cs="Times New Roman" w:eastAsia="Times New Roman" w:hAnsi="Times New Roman"/>
          <w:sz w:val="14"/>
          <w:szCs w:val="14"/>
          <w:color w:val="auto"/>
        </w:rPr>
        <w:t>The following table provides a reconciliation of income (loss) attributable to Westwood Holdings Group, Inc. to Economic Earnings:</w:t>
      </w:r>
    </w:p>
    <w:p>
      <w:pPr>
        <w:sectPr>
          <w:pgSz w:w="11900" w:h="16838" w:orient="portrait"/>
          <w:cols w:equalWidth="0" w:num="1">
            <w:col w:w="11280"/>
          </w:cols>
          <w:pgMar w:left="300" w:top="814" w:right="319" w:bottom="1440" w:gutter="0" w:footer="0" w:header="0"/>
        </w:sectPr>
      </w:pPr>
    </w:p>
    <w:p>
      <w:pPr>
        <w:spacing w:after="0" w:line="200" w:lineRule="exact"/>
        <w:rPr>
          <w:sz w:val="20"/>
          <w:szCs w:val="20"/>
          <w:color w:val="auto"/>
        </w:rPr>
      </w:pPr>
    </w:p>
    <w:p>
      <w:pPr>
        <w:spacing w:after="0" w:line="261" w:lineRule="exact"/>
        <w:rPr>
          <w:sz w:val="20"/>
          <w:szCs w:val="20"/>
          <w:color w:val="auto"/>
        </w:rPr>
      </w:pPr>
    </w:p>
    <w:tbl>
      <w:tblPr>
        <w:tblLayout w:type="fixed"/>
        <w:tblInd w:w="20" w:type="dxa"/>
        <w:tblCellMar>
          <w:top w:w="0" w:type="dxa"/>
          <w:left w:w="0" w:type="dxa"/>
          <w:bottom w:w="0" w:type="dxa"/>
          <w:right w:w="0" w:type="dxa"/>
        </w:tblCellMar>
      </w:tblPr>
      <w:tr>
        <w:trPr>
          <w:trHeight w:val="126"/>
        </w:trPr>
        <w:tc>
          <w:tcPr>
            <w:tcW w:w="1920" w:type="dxa"/>
            <w:vAlign w:val="bottom"/>
          </w:tcPr>
          <w:p>
            <w:pPr>
              <w:spacing w:after="0"/>
              <w:rPr>
                <w:sz w:val="20"/>
                <w:szCs w:val="20"/>
                <w:color w:val="auto"/>
              </w:rPr>
            </w:pPr>
            <w:r>
              <w:rPr>
                <w:rFonts w:ascii="Times New Roman" w:cs="Times New Roman" w:eastAsia="Times New Roman" w:hAnsi="Times New Roman"/>
                <w:sz w:val="11"/>
                <w:szCs w:val="11"/>
                <w:b w:val="1"/>
                <w:bCs w:val="1"/>
                <w:color w:val="auto"/>
              </w:rPr>
              <w:t>Income (loss) attributable to Westwood</w:t>
            </w:r>
          </w:p>
        </w:tc>
        <w:tc>
          <w:tcPr>
            <w:tcW w:w="80" w:type="dxa"/>
            <w:vAlign w:val="bottom"/>
            <w:vMerge w:val="restart"/>
          </w:tcPr>
          <w:p>
            <w:pPr>
              <w:jc w:val="right"/>
              <w:spacing w:after="0"/>
              <w:rPr>
                <w:sz w:val="20"/>
                <w:szCs w:val="20"/>
                <w:color w:val="auto"/>
              </w:rPr>
            </w:pPr>
            <w:r>
              <w:rPr>
                <w:rFonts w:ascii="Times New Roman" w:cs="Times New Roman" w:eastAsia="Times New Roman" w:hAnsi="Times New Roman"/>
                <w:sz w:val="11"/>
                <w:szCs w:val="11"/>
                <w:color w:val="auto"/>
              </w:rPr>
              <w:t>$</w:t>
            </w:r>
          </w:p>
        </w:tc>
        <w:tc>
          <w:tcPr>
            <w:tcW w:w="0" w:type="dxa"/>
            <w:vAlign w:val="bottom"/>
          </w:tcPr>
          <w:p>
            <w:pPr>
              <w:spacing w:after="0"/>
              <w:rPr>
                <w:sz w:val="1"/>
                <w:szCs w:val="1"/>
                <w:color w:val="auto"/>
              </w:rPr>
            </w:pPr>
          </w:p>
        </w:tc>
      </w:tr>
      <w:tr>
        <w:trPr>
          <w:trHeight w:val="149"/>
        </w:trPr>
        <w:tc>
          <w:tcPr>
            <w:tcW w:w="1920" w:type="dxa"/>
            <w:vAlign w:val="bottom"/>
          </w:tcPr>
          <w:p>
            <w:pPr>
              <w:spacing w:after="0"/>
              <w:rPr>
                <w:sz w:val="20"/>
                <w:szCs w:val="20"/>
                <w:color w:val="auto"/>
              </w:rPr>
            </w:pPr>
            <w:r>
              <w:rPr>
                <w:rFonts w:ascii="Times New Roman" w:cs="Times New Roman" w:eastAsia="Times New Roman" w:hAnsi="Times New Roman"/>
                <w:sz w:val="11"/>
                <w:szCs w:val="11"/>
                <w:b w:val="1"/>
                <w:bCs w:val="1"/>
                <w:color w:val="auto"/>
              </w:rPr>
              <w:t>Holdings Group, Inc.</w:t>
            </w:r>
          </w:p>
        </w:tc>
        <w:tc>
          <w:tcPr>
            <w:tcW w:w="80" w:type="dxa"/>
            <w:vAlign w:val="bottom"/>
            <w:vMerge w:val="continue"/>
          </w:tcPr>
          <w:p>
            <w:pPr>
              <w:spacing w:after="0"/>
              <w:rPr>
                <w:sz w:val="12"/>
                <w:szCs w:val="12"/>
                <w:color w:val="auto"/>
              </w:rPr>
            </w:pPr>
          </w:p>
        </w:tc>
        <w:tc>
          <w:tcPr>
            <w:tcW w:w="0" w:type="dxa"/>
            <w:vAlign w:val="bottom"/>
          </w:tcPr>
          <w:p>
            <w:pPr>
              <w:spacing w:after="0"/>
              <w:rPr>
                <w:sz w:val="1"/>
                <w:szCs w:val="1"/>
                <w:color w:val="auto"/>
              </w:rPr>
            </w:pPr>
          </w:p>
        </w:tc>
      </w:tr>
      <w:tr>
        <w:trPr>
          <w:trHeight w:val="159"/>
        </w:trPr>
        <w:tc>
          <w:tcPr>
            <w:tcW w:w="1920" w:type="dxa"/>
            <w:vAlign w:val="bottom"/>
          </w:tcPr>
          <w:p>
            <w:pPr>
              <w:ind w:left="160"/>
              <w:spacing w:after="0"/>
              <w:rPr>
                <w:sz w:val="20"/>
                <w:szCs w:val="20"/>
                <w:color w:val="auto"/>
              </w:rPr>
            </w:pPr>
            <w:r>
              <w:rPr>
                <w:rFonts w:ascii="Times New Roman" w:cs="Times New Roman" w:eastAsia="Times New Roman" w:hAnsi="Times New Roman"/>
                <w:sz w:val="11"/>
                <w:szCs w:val="11"/>
                <w:color w:val="auto"/>
              </w:rPr>
              <w:t>Stock-based compensation expense</w:t>
            </w:r>
          </w:p>
        </w:tc>
        <w:tc>
          <w:tcPr>
            <w:tcW w:w="8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70"/>
        </w:trPr>
        <w:tc>
          <w:tcPr>
            <w:tcW w:w="1920" w:type="dxa"/>
            <w:vAlign w:val="bottom"/>
          </w:tcPr>
          <w:p>
            <w:pPr>
              <w:ind w:left="160"/>
              <w:spacing w:after="0"/>
              <w:rPr>
                <w:sz w:val="20"/>
                <w:szCs w:val="20"/>
                <w:color w:val="auto"/>
              </w:rPr>
            </w:pPr>
            <w:r>
              <w:rPr>
                <w:rFonts w:ascii="Times New Roman" w:cs="Times New Roman" w:eastAsia="Times New Roman" w:hAnsi="Times New Roman"/>
                <w:sz w:val="11"/>
                <w:szCs w:val="11"/>
                <w:color w:val="auto"/>
              </w:rPr>
              <w:t>Intangible amortization</w:t>
            </w:r>
          </w:p>
        </w:tc>
        <w:tc>
          <w:tcPr>
            <w:tcW w:w="8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29"/>
        </w:trPr>
        <w:tc>
          <w:tcPr>
            <w:tcW w:w="1920" w:type="dxa"/>
            <w:vAlign w:val="bottom"/>
          </w:tcPr>
          <w:p>
            <w:pPr>
              <w:ind w:left="160"/>
              <w:spacing w:after="0"/>
              <w:rPr>
                <w:sz w:val="20"/>
                <w:szCs w:val="20"/>
                <w:color w:val="auto"/>
              </w:rPr>
            </w:pPr>
            <w:r>
              <w:rPr>
                <w:rFonts w:ascii="Times New Roman" w:cs="Times New Roman" w:eastAsia="Times New Roman" w:hAnsi="Times New Roman"/>
                <w:sz w:val="11"/>
                <w:szCs w:val="11"/>
                <w:color w:val="auto"/>
              </w:rPr>
              <w:t>Tax benefit from goodwill</w:t>
            </w:r>
          </w:p>
        </w:tc>
        <w:tc>
          <w:tcPr>
            <w:tcW w:w="8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47"/>
        </w:trPr>
        <w:tc>
          <w:tcPr>
            <w:tcW w:w="1920" w:type="dxa"/>
            <w:vAlign w:val="bottom"/>
          </w:tcPr>
          <w:p>
            <w:pPr>
              <w:ind w:left="160"/>
              <w:spacing w:after="0"/>
              <w:rPr>
                <w:sz w:val="20"/>
                <w:szCs w:val="20"/>
                <w:color w:val="auto"/>
              </w:rPr>
            </w:pPr>
            <w:r>
              <w:rPr>
                <w:rFonts w:ascii="Times New Roman" w:cs="Times New Roman" w:eastAsia="Times New Roman" w:hAnsi="Times New Roman"/>
                <w:sz w:val="11"/>
                <w:szCs w:val="11"/>
                <w:color w:val="auto"/>
              </w:rPr>
              <w:t>amortization</w:t>
            </w:r>
          </w:p>
        </w:tc>
        <w:tc>
          <w:tcPr>
            <w:tcW w:w="8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18"/>
        </w:trPr>
        <w:tc>
          <w:tcPr>
            <w:tcW w:w="1920" w:type="dxa"/>
            <w:vAlign w:val="bottom"/>
          </w:tcPr>
          <w:p>
            <w:pPr>
              <w:ind w:left="160"/>
              <w:spacing w:after="0" w:line="119" w:lineRule="exact"/>
              <w:rPr>
                <w:sz w:val="20"/>
                <w:szCs w:val="20"/>
                <w:color w:val="auto"/>
              </w:rPr>
            </w:pPr>
            <w:r>
              <w:rPr>
                <w:rFonts w:ascii="Times New Roman" w:cs="Times New Roman" w:eastAsia="Times New Roman" w:hAnsi="Times New Roman"/>
                <w:sz w:val="11"/>
                <w:szCs w:val="11"/>
                <w:color w:val="auto"/>
              </w:rPr>
              <w:t>Tax impact of adjustments to GAAP</w:t>
            </w:r>
          </w:p>
        </w:tc>
        <w:tc>
          <w:tcPr>
            <w:tcW w:w="8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147"/>
        </w:trPr>
        <w:tc>
          <w:tcPr>
            <w:tcW w:w="1920" w:type="dxa"/>
            <w:vAlign w:val="bottom"/>
          </w:tcPr>
          <w:p>
            <w:pPr>
              <w:ind w:left="160"/>
              <w:spacing w:after="0"/>
              <w:rPr>
                <w:sz w:val="20"/>
                <w:szCs w:val="20"/>
                <w:color w:val="auto"/>
              </w:rPr>
            </w:pPr>
            <w:r>
              <w:rPr>
                <w:rFonts w:ascii="Times New Roman" w:cs="Times New Roman" w:eastAsia="Times New Roman" w:hAnsi="Times New Roman"/>
                <w:sz w:val="11"/>
                <w:szCs w:val="11"/>
                <w:color w:val="auto"/>
              </w:rPr>
              <w:t>net income (loss)</w:t>
            </w:r>
          </w:p>
        </w:tc>
        <w:tc>
          <w:tcPr>
            <w:tcW w:w="80" w:type="dxa"/>
            <w:vAlign w:val="bottom"/>
          </w:tcPr>
          <w:p>
            <w:pPr>
              <w:spacing w:after="0"/>
              <w:rPr>
                <w:sz w:val="12"/>
                <w:szCs w:val="12"/>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br w:type="column"/>
      </w:r>
    </w:p>
    <w:p>
      <w:pPr>
        <w:spacing w:after="0" w:line="16" w:lineRule="exact"/>
        <w:rPr>
          <w:sz w:val="20"/>
          <w:szCs w:val="20"/>
          <w:color w:val="auto"/>
        </w:rPr>
      </w:pPr>
    </w:p>
    <w:p>
      <w:pPr>
        <w:jc w:val="center"/>
        <w:ind w:right="360"/>
        <w:spacing w:after="0"/>
        <w:rPr>
          <w:sz w:val="20"/>
          <w:szCs w:val="20"/>
          <w:color w:val="auto"/>
        </w:rPr>
      </w:pPr>
      <w:r>
        <w:rPr>
          <w:rFonts w:ascii="Times New Roman" w:cs="Times New Roman" w:eastAsia="Times New Roman" w:hAnsi="Times New Roman"/>
          <w:sz w:val="11"/>
          <w:szCs w:val="11"/>
          <w:b w:val="1"/>
          <w:bCs w:val="1"/>
          <w:color w:val="auto"/>
        </w:rPr>
        <w:t>For the years ended December 31,</w:t>
      </w:r>
    </w:p>
    <w:p>
      <w:pPr>
        <w:spacing w:after="0" w:line="4" w:lineRule="exact"/>
        <w:rPr>
          <w:sz w:val="20"/>
          <w:szCs w:val="20"/>
          <w:color w:val="auto"/>
        </w:rPr>
      </w:pPr>
    </w:p>
    <w:p>
      <w:pPr>
        <w:jc w:val="center"/>
        <w:ind w:right="360"/>
        <w:spacing w:after="0"/>
        <w:rPr>
          <w:sz w:val="20"/>
          <w:szCs w:val="20"/>
          <w:color w:val="auto"/>
        </w:rPr>
      </w:pPr>
      <w:r>
        <w:rPr>
          <w:rFonts w:ascii="Times New Roman" w:cs="Times New Roman" w:eastAsia="Times New Roman" w:hAnsi="Times New Roman"/>
          <w:sz w:val="11"/>
          <w:szCs w:val="11"/>
          <w:b w:val="1"/>
          <w:bCs w:val="1"/>
          <w:color w:val="auto"/>
        </w:rPr>
        <w:t>(in thousands, except percentages and per share data)</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-229870</wp:posOffset>
            </wp:positionH>
            <wp:positionV relativeFrom="paragraph">
              <wp:posOffset>10795</wp:posOffset>
            </wp:positionV>
            <wp:extent cx="5922010" cy="6985"/>
            <wp:wrapNone/>
            <wp:docPr id="40" name="Picture 4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0"/>
                    <pic:cNvPicPr>
                      <a:picLocks noChangeAspect="1" noChangeArrowheads="1"/>
                    </pic:cNvPicPr>
                  </pic:nvPicPr>
                  <pic:blipFill>
                    <a:blip r:embed="rId47">
                      <a:extLst>
                        <a:ext uri="{28A0092B-C50C-407E-A947-70E740481C1C}"/>
                      </a:extLst>
                    </a:blip>
                    <a:srcRect/>
                    <a:stretch>
                      <a:fillRect/>
                    </a:stretch>
                  </pic:blipFill>
                  <pic:spPr bwMode="auto">
                    <a:xfrm>
                      <a:off x="0" y="0"/>
                      <a:ext cx="5922010" cy="6985"/>
                    </a:xfrm>
                    <a:prstGeom prst="rect">
                      <a:avLst/>
                    </a:prstGeom>
                    <a:noFill/>
                  </pic:spPr>
                </pic:pic>
              </a:graphicData>
            </a:graphic>
          </wp:anchor>
        </w:drawing>
      </w:r>
    </w:p>
    <w:tbl>
      <w:tblPr>
        <w:tblLayout w:type="fixed"/>
        <w:tblInd w:w="0" w:type="dxa"/>
        <w:tblCellMar>
          <w:top w:w="0" w:type="dxa"/>
          <w:left w:w="0" w:type="dxa"/>
          <w:bottom w:w="0" w:type="dxa"/>
          <w:right w:w="0" w:type="dxa"/>
        </w:tblCellMar>
      </w:tblPr>
      <w:tr>
        <w:trPr>
          <w:trHeight w:val="158"/>
        </w:trPr>
        <w:tc>
          <w:tcPr>
            <w:tcW w:w="680" w:type="dxa"/>
            <w:vAlign w:val="bottom"/>
          </w:tcPr>
          <w:p>
            <w:pPr>
              <w:jc w:val="right"/>
              <w:ind w:right="403"/>
              <w:spacing w:after="0"/>
              <w:rPr>
                <w:sz w:val="20"/>
                <w:szCs w:val="20"/>
                <w:color w:val="auto"/>
              </w:rPr>
            </w:pPr>
            <w:r>
              <w:rPr>
                <w:rFonts w:ascii="Times New Roman" w:cs="Times New Roman" w:eastAsia="Times New Roman" w:hAnsi="Times New Roman"/>
                <w:sz w:val="11"/>
                <w:szCs w:val="11"/>
                <w:b w:val="1"/>
                <w:bCs w:val="1"/>
                <w:color w:val="auto"/>
                <w:w w:val="90"/>
              </w:rPr>
              <w:t>2025</w:t>
            </w:r>
          </w:p>
        </w:tc>
        <w:tc>
          <w:tcPr>
            <w:tcW w:w="940" w:type="dxa"/>
            <w:vAlign w:val="bottom"/>
            <w:tcBorders>
              <w:bottom w:val="single" w:sz="8" w:color="auto"/>
            </w:tcBorders>
          </w:tcPr>
          <w:p>
            <w:pPr>
              <w:jc w:val="right"/>
              <w:ind w:right="223"/>
              <w:spacing w:after="0"/>
              <w:rPr>
                <w:sz w:val="20"/>
                <w:szCs w:val="20"/>
                <w:color w:val="auto"/>
              </w:rPr>
            </w:pPr>
            <w:r>
              <w:rPr>
                <w:rFonts w:ascii="Times New Roman" w:cs="Times New Roman" w:eastAsia="Times New Roman" w:hAnsi="Times New Roman"/>
                <w:sz w:val="11"/>
                <w:szCs w:val="11"/>
                <w:b w:val="1"/>
                <w:bCs w:val="1"/>
                <w:color w:val="auto"/>
              </w:rPr>
              <w:t>Change</w:t>
            </w:r>
          </w:p>
        </w:tc>
        <w:tc>
          <w:tcPr>
            <w:tcW w:w="100" w:type="dxa"/>
            <w:vAlign w:val="bottom"/>
          </w:tcPr>
          <w:p>
            <w:pPr>
              <w:spacing w:after="0"/>
              <w:rPr>
                <w:sz w:val="13"/>
                <w:szCs w:val="13"/>
                <w:color w:val="auto"/>
              </w:rPr>
            </w:pPr>
          </w:p>
        </w:tc>
        <w:tc>
          <w:tcPr>
            <w:tcW w:w="220" w:type="dxa"/>
            <w:vAlign w:val="bottom"/>
            <w:tcBorders>
              <w:bottom w:val="single" w:sz="8" w:color="auto"/>
            </w:tcBorders>
          </w:tcPr>
          <w:p>
            <w:pPr>
              <w:spacing w:after="0"/>
              <w:rPr>
                <w:sz w:val="13"/>
                <w:szCs w:val="13"/>
                <w:color w:val="auto"/>
              </w:rPr>
            </w:pPr>
          </w:p>
        </w:tc>
        <w:tc>
          <w:tcPr>
            <w:tcW w:w="740" w:type="dxa"/>
            <w:vAlign w:val="bottom"/>
            <w:tcBorders>
              <w:bottom w:val="single" w:sz="8" w:color="auto"/>
            </w:tcBorders>
          </w:tcPr>
          <w:p>
            <w:pPr>
              <w:jc w:val="right"/>
              <w:ind w:right="323"/>
              <w:spacing w:after="0"/>
              <w:rPr>
                <w:sz w:val="20"/>
                <w:szCs w:val="20"/>
                <w:color w:val="auto"/>
              </w:rPr>
            </w:pPr>
            <w:r>
              <w:rPr>
                <w:rFonts w:ascii="Times New Roman" w:cs="Times New Roman" w:eastAsia="Times New Roman" w:hAnsi="Times New Roman"/>
                <w:sz w:val="11"/>
                <w:szCs w:val="11"/>
                <w:b w:val="1"/>
                <w:bCs w:val="1"/>
                <w:color w:val="auto"/>
              </w:rPr>
              <w:t>2024</w:t>
            </w:r>
          </w:p>
        </w:tc>
        <w:tc>
          <w:tcPr>
            <w:tcW w:w="80" w:type="dxa"/>
            <w:vAlign w:val="bottom"/>
          </w:tcPr>
          <w:p>
            <w:pPr>
              <w:spacing w:after="0"/>
              <w:rPr>
                <w:sz w:val="13"/>
                <w:szCs w:val="13"/>
                <w:color w:val="auto"/>
              </w:rPr>
            </w:pPr>
          </w:p>
        </w:tc>
        <w:tc>
          <w:tcPr>
            <w:tcW w:w="940" w:type="dxa"/>
            <w:vAlign w:val="bottom"/>
            <w:tcBorders>
              <w:bottom w:val="single" w:sz="8" w:color="auto"/>
            </w:tcBorders>
          </w:tcPr>
          <w:p>
            <w:pPr>
              <w:jc w:val="right"/>
              <w:ind w:right="223"/>
              <w:spacing w:after="0"/>
              <w:rPr>
                <w:sz w:val="20"/>
                <w:szCs w:val="20"/>
                <w:color w:val="auto"/>
              </w:rPr>
            </w:pPr>
            <w:r>
              <w:rPr>
                <w:rFonts w:ascii="Times New Roman" w:cs="Times New Roman" w:eastAsia="Times New Roman" w:hAnsi="Times New Roman"/>
                <w:sz w:val="11"/>
                <w:szCs w:val="11"/>
                <w:b w:val="1"/>
                <w:bCs w:val="1"/>
                <w:color w:val="auto"/>
              </w:rPr>
              <w:t>Change</w:t>
            </w:r>
          </w:p>
        </w:tc>
        <w:tc>
          <w:tcPr>
            <w:tcW w:w="100" w:type="dxa"/>
            <w:vAlign w:val="bottom"/>
          </w:tcPr>
          <w:p>
            <w:pPr>
              <w:spacing w:after="0"/>
              <w:rPr>
                <w:sz w:val="13"/>
                <w:szCs w:val="13"/>
                <w:color w:val="auto"/>
              </w:rPr>
            </w:pPr>
          </w:p>
        </w:tc>
        <w:tc>
          <w:tcPr>
            <w:tcW w:w="220" w:type="dxa"/>
            <w:vAlign w:val="bottom"/>
            <w:tcBorders>
              <w:bottom w:val="single" w:sz="8" w:color="auto"/>
            </w:tcBorders>
          </w:tcPr>
          <w:p>
            <w:pPr>
              <w:spacing w:after="0"/>
              <w:rPr>
                <w:sz w:val="13"/>
                <w:szCs w:val="13"/>
                <w:color w:val="auto"/>
              </w:rPr>
            </w:pPr>
          </w:p>
        </w:tc>
        <w:tc>
          <w:tcPr>
            <w:tcW w:w="740" w:type="dxa"/>
            <w:vAlign w:val="bottom"/>
            <w:tcBorders>
              <w:bottom w:val="single" w:sz="8" w:color="auto"/>
            </w:tcBorders>
          </w:tcPr>
          <w:p>
            <w:pPr>
              <w:jc w:val="right"/>
              <w:ind w:right="303"/>
              <w:spacing w:after="0"/>
              <w:rPr>
                <w:sz w:val="20"/>
                <w:szCs w:val="20"/>
                <w:color w:val="auto"/>
              </w:rPr>
            </w:pPr>
            <w:r>
              <w:rPr>
                <w:rFonts w:ascii="Times New Roman" w:cs="Times New Roman" w:eastAsia="Times New Roman" w:hAnsi="Times New Roman"/>
                <w:sz w:val="11"/>
                <w:szCs w:val="11"/>
                <w:b w:val="1"/>
                <w:bCs w:val="1"/>
                <w:color w:val="auto"/>
              </w:rPr>
              <w:t>2023</w:t>
            </w:r>
          </w:p>
        </w:tc>
        <w:tc>
          <w:tcPr>
            <w:tcW w:w="100" w:type="dxa"/>
            <w:vAlign w:val="bottom"/>
          </w:tcPr>
          <w:p>
            <w:pPr>
              <w:spacing w:after="0"/>
              <w:rPr>
                <w:sz w:val="13"/>
                <w:szCs w:val="13"/>
                <w:color w:val="auto"/>
              </w:rPr>
            </w:pPr>
          </w:p>
        </w:tc>
        <w:tc>
          <w:tcPr>
            <w:tcW w:w="940" w:type="dxa"/>
            <w:vAlign w:val="bottom"/>
            <w:tcBorders>
              <w:bottom w:val="single" w:sz="8" w:color="auto"/>
            </w:tcBorders>
          </w:tcPr>
          <w:p>
            <w:pPr>
              <w:jc w:val="right"/>
              <w:ind w:right="243"/>
              <w:spacing w:after="0"/>
              <w:rPr>
                <w:sz w:val="20"/>
                <w:szCs w:val="20"/>
                <w:color w:val="auto"/>
              </w:rPr>
            </w:pPr>
            <w:r>
              <w:rPr>
                <w:rFonts w:ascii="Times New Roman" w:cs="Times New Roman" w:eastAsia="Times New Roman" w:hAnsi="Times New Roman"/>
                <w:sz w:val="11"/>
                <w:szCs w:val="11"/>
                <w:b w:val="1"/>
                <w:bCs w:val="1"/>
                <w:color w:val="auto"/>
              </w:rPr>
              <w:t>Change</w:t>
            </w:r>
          </w:p>
        </w:tc>
        <w:tc>
          <w:tcPr>
            <w:tcW w:w="80" w:type="dxa"/>
            <w:vAlign w:val="bottom"/>
          </w:tcPr>
          <w:p>
            <w:pPr>
              <w:spacing w:after="0"/>
              <w:rPr>
                <w:sz w:val="13"/>
                <w:szCs w:val="13"/>
                <w:color w:val="auto"/>
              </w:rPr>
            </w:pPr>
          </w:p>
        </w:tc>
        <w:tc>
          <w:tcPr>
            <w:tcW w:w="6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1"/>
                <w:szCs w:val="11"/>
                <w:b w:val="1"/>
                <w:bCs w:val="1"/>
                <w:color w:val="auto"/>
              </w:rPr>
              <w:t>2022</w:t>
            </w:r>
          </w:p>
        </w:tc>
        <w:tc>
          <w:tcPr>
            <w:tcW w:w="360" w:type="dxa"/>
            <w:vAlign w:val="bottom"/>
            <w:tcBorders>
              <w:bottom w:val="single" w:sz="8" w:color="auto"/>
            </w:tcBorders>
          </w:tcPr>
          <w:p>
            <w:pPr>
              <w:spacing w:after="0"/>
              <w:rPr>
                <w:sz w:val="13"/>
                <w:szCs w:val="13"/>
                <w:color w:val="auto"/>
              </w:rPr>
            </w:pPr>
          </w:p>
        </w:tc>
        <w:tc>
          <w:tcPr>
            <w:tcW w:w="80" w:type="dxa"/>
            <w:vAlign w:val="bottom"/>
          </w:tcPr>
          <w:p>
            <w:pPr>
              <w:spacing w:after="0"/>
              <w:rPr>
                <w:sz w:val="13"/>
                <w:szCs w:val="13"/>
                <w:color w:val="auto"/>
              </w:rPr>
            </w:pPr>
          </w:p>
        </w:tc>
        <w:tc>
          <w:tcPr>
            <w:tcW w:w="960" w:type="dxa"/>
            <w:vAlign w:val="bottom"/>
            <w:tcBorders>
              <w:bottom w:val="single" w:sz="8" w:color="auto"/>
            </w:tcBorders>
          </w:tcPr>
          <w:p>
            <w:pPr>
              <w:jc w:val="right"/>
              <w:ind w:right="243"/>
              <w:spacing w:after="0"/>
              <w:rPr>
                <w:sz w:val="20"/>
                <w:szCs w:val="20"/>
                <w:color w:val="auto"/>
              </w:rPr>
            </w:pPr>
            <w:r>
              <w:rPr>
                <w:rFonts w:ascii="Times New Roman" w:cs="Times New Roman" w:eastAsia="Times New Roman" w:hAnsi="Times New Roman"/>
                <w:sz w:val="11"/>
                <w:szCs w:val="11"/>
                <w:b w:val="1"/>
                <w:bCs w:val="1"/>
                <w:color w:val="auto"/>
              </w:rPr>
              <w:t>Change</w:t>
            </w:r>
          </w:p>
        </w:tc>
        <w:tc>
          <w:tcPr>
            <w:tcW w:w="80" w:type="dxa"/>
            <w:vAlign w:val="bottom"/>
          </w:tcPr>
          <w:p>
            <w:pPr>
              <w:spacing w:after="0"/>
              <w:rPr>
                <w:sz w:val="13"/>
                <w:szCs w:val="13"/>
                <w:color w:val="auto"/>
              </w:rPr>
            </w:pPr>
          </w:p>
        </w:tc>
        <w:tc>
          <w:tcPr>
            <w:tcW w:w="220" w:type="dxa"/>
            <w:vAlign w:val="bottom"/>
            <w:tcBorders>
              <w:bottom w:val="single" w:sz="8" w:color="auto"/>
            </w:tcBorders>
          </w:tcPr>
          <w:p>
            <w:pPr>
              <w:spacing w:after="0"/>
              <w:rPr>
                <w:sz w:val="13"/>
                <w:szCs w:val="13"/>
                <w:color w:val="auto"/>
              </w:rPr>
            </w:pPr>
          </w:p>
        </w:tc>
        <w:tc>
          <w:tcPr>
            <w:tcW w:w="760" w:type="dxa"/>
            <w:vAlign w:val="bottom"/>
            <w:tcBorders>
              <w:bottom w:val="single" w:sz="8" w:color="auto"/>
            </w:tcBorders>
          </w:tcPr>
          <w:p>
            <w:pPr>
              <w:jc w:val="right"/>
              <w:ind w:right="323"/>
              <w:spacing w:after="0"/>
              <w:rPr>
                <w:sz w:val="20"/>
                <w:szCs w:val="20"/>
                <w:color w:val="auto"/>
              </w:rPr>
            </w:pPr>
            <w:r>
              <w:rPr>
                <w:rFonts w:ascii="Times New Roman" w:cs="Times New Roman" w:eastAsia="Times New Roman" w:hAnsi="Times New Roman"/>
                <w:sz w:val="11"/>
                <w:szCs w:val="11"/>
                <w:b w:val="1"/>
                <w:bCs w:val="1"/>
                <w:color w:val="auto"/>
              </w:rPr>
              <w:t>2021</w:t>
            </w:r>
          </w:p>
        </w:tc>
        <w:tc>
          <w:tcPr>
            <w:tcW w:w="0" w:type="dxa"/>
            <w:vAlign w:val="bottom"/>
          </w:tcPr>
          <w:p>
            <w:pPr>
              <w:spacing w:after="0"/>
              <w:rPr>
                <w:sz w:val="1"/>
                <w:szCs w:val="1"/>
                <w:color w:val="auto"/>
              </w:rPr>
            </w:pPr>
          </w:p>
        </w:tc>
      </w:tr>
      <w:tr>
        <w:trPr>
          <w:trHeight w:val="233"/>
        </w:trPr>
        <w:tc>
          <w:tcPr>
            <w:tcW w:w="680" w:type="dxa"/>
            <w:vAlign w:val="bottom"/>
          </w:tcPr>
          <w:p>
            <w:pPr>
              <w:jc w:val="right"/>
              <w:ind w:right="83"/>
              <w:spacing w:after="0"/>
              <w:rPr>
                <w:sz w:val="20"/>
                <w:szCs w:val="20"/>
                <w:color w:val="auto"/>
              </w:rPr>
            </w:pPr>
            <w:r>
              <w:rPr>
                <w:rFonts w:ascii="Times New Roman" w:cs="Times New Roman" w:eastAsia="Times New Roman" w:hAnsi="Times New Roman"/>
                <w:sz w:val="11"/>
                <w:szCs w:val="11"/>
                <w:color w:val="auto"/>
              </w:rPr>
              <w:t>7,058</w:t>
            </w:r>
          </w:p>
        </w:tc>
        <w:tc>
          <w:tcPr>
            <w:tcW w:w="1260" w:type="dxa"/>
            <w:vAlign w:val="bottom"/>
            <w:gridSpan w:val="3"/>
          </w:tcPr>
          <w:p>
            <w:pPr>
              <w:jc w:val="right"/>
              <w:ind w:right="160"/>
              <w:spacing w:after="0" w:line="233" w:lineRule="exact"/>
              <w:rPr>
                <w:sz w:val="20"/>
                <w:szCs w:val="20"/>
                <w:color w:val="auto"/>
              </w:rPr>
            </w:pPr>
            <w:r>
              <w:rPr>
                <w:rFonts w:ascii="Times New Roman" w:cs="Times New Roman" w:eastAsia="Times New Roman" w:hAnsi="Times New Roman"/>
                <w:sz w:val="11"/>
                <w:szCs w:val="11"/>
                <w:color w:val="auto"/>
              </w:rPr>
              <w:t xml:space="preserve">219 %  </w:t>
            </w:r>
            <w:r>
              <w:rPr>
                <w:rFonts w:ascii="Times New Roman" w:cs="Times New Roman" w:eastAsia="Times New Roman" w:hAnsi="Times New Roman"/>
                <w:sz w:val="22"/>
                <w:szCs w:val="22"/>
                <w:color w:val="auto"/>
                <w:vertAlign w:val="superscript"/>
              </w:rPr>
              <w:t>$</w:t>
            </w:r>
          </w:p>
        </w:tc>
        <w:tc>
          <w:tcPr>
            <w:tcW w:w="740" w:type="dxa"/>
            <w:vAlign w:val="bottom"/>
          </w:tcPr>
          <w:p>
            <w:pPr>
              <w:jc w:val="right"/>
              <w:ind w:right="3"/>
              <w:spacing w:after="0"/>
              <w:rPr>
                <w:sz w:val="20"/>
                <w:szCs w:val="20"/>
                <w:color w:val="auto"/>
              </w:rPr>
            </w:pPr>
            <w:r>
              <w:rPr>
                <w:rFonts w:ascii="Times New Roman" w:cs="Times New Roman" w:eastAsia="Times New Roman" w:hAnsi="Times New Roman"/>
                <w:sz w:val="11"/>
                <w:szCs w:val="11"/>
                <w:color w:val="auto"/>
              </w:rPr>
              <w:t>2,215</w:t>
            </w:r>
          </w:p>
        </w:tc>
        <w:tc>
          <w:tcPr>
            <w:tcW w:w="1340" w:type="dxa"/>
            <w:vAlign w:val="bottom"/>
            <w:gridSpan w:val="4"/>
          </w:tcPr>
          <w:p>
            <w:pPr>
              <w:ind w:left="720"/>
              <w:spacing w:after="0" w:line="233" w:lineRule="exact"/>
              <w:rPr>
                <w:sz w:val="20"/>
                <w:szCs w:val="20"/>
                <w:color w:val="auto"/>
              </w:rPr>
            </w:pPr>
            <w:r>
              <w:rPr>
                <w:rFonts w:ascii="Times New Roman" w:cs="Times New Roman" w:eastAsia="Times New Roman" w:hAnsi="Times New Roman"/>
                <w:sz w:val="11"/>
                <w:szCs w:val="11"/>
                <w:color w:val="auto"/>
              </w:rPr>
              <w:t xml:space="preserve">(77)%  </w:t>
            </w:r>
            <w:r>
              <w:rPr>
                <w:rFonts w:ascii="Times New Roman" w:cs="Times New Roman" w:eastAsia="Times New Roman" w:hAnsi="Times New Roman"/>
                <w:sz w:val="22"/>
                <w:szCs w:val="22"/>
                <w:color w:val="auto"/>
                <w:vertAlign w:val="superscript"/>
              </w:rPr>
              <w:t>$</w:t>
            </w:r>
          </w:p>
        </w:tc>
        <w:tc>
          <w:tcPr>
            <w:tcW w:w="740" w:type="dxa"/>
            <w:vAlign w:val="bottom"/>
          </w:tcPr>
          <w:p>
            <w:pPr>
              <w:jc w:val="right"/>
              <w:spacing w:after="0"/>
              <w:rPr>
                <w:sz w:val="20"/>
                <w:szCs w:val="20"/>
                <w:color w:val="auto"/>
              </w:rPr>
            </w:pPr>
            <w:r>
              <w:rPr>
                <w:rFonts w:ascii="Times New Roman" w:cs="Times New Roman" w:eastAsia="Times New Roman" w:hAnsi="Times New Roman"/>
                <w:sz w:val="11"/>
                <w:szCs w:val="11"/>
                <w:color w:val="auto"/>
              </w:rPr>
              <w:t>9,520</w:t>
            </w:r>
          </w:p>
        </w:tc>
        <w:tc>
          <w:tcPr>
            <w:tcW w:w="1040" w:type="dxa"/>
            <w:vAlign w:val="bottom"/>
            <w:gridSpan w:val="2"/>
          </w:tcPr>
          <w:p>
            <w:pPr>
              <w:jc w:val="right"/>
              <w:spacing w:after="0"/>
              <w:rPr>
                <w:sz w:val="20"/>
                <w:szCs w:val="20"/>
                <w:color w:val="auto"/>
              </w:rPr>
            </w:pPr>
            <w:r>
              <w:rPr>
                <w:rFonts w:ascii="Times New Roman" w:cs="Times New Roman" w:eastAsia="Times New Roman" w:hAnsi="Times New Roman"/>
                <w:sz w:val="11"/>
                <w:szCs w:val="11"/>
                <w:color w:val="auto"/>
              </w:rPr>
              <w:t>(306)%</w:t>
            </w:r>
          </w:p>
        </w:tc>
        <w:tc>
          <w:tcPr>
            <w:tcW w:w="80" w:type="dxa"/>
            <w:vAlign w:val="bottom"/>
          </w:tcPr>
          <w:p>
            <w:pPr>
              <w:spacing w:after="0"/>
              <w:rPr>
                <w:sz w:val="20"/>
                <w:szCs w:val="20"/>
                <w:color w:val="auto"/>
              </w:rPr>
            </w:pPr>
          </w:p>
        </w:tc>
        <w:tc>
          <w:tcPr>
            <w:tcW w:w="620" w:type="dxa"/>
            <w:vAlign w:val="bottom"/>
          </w:tcPr>
          <w:p>
            <w:pPr>
              <w:jc w:val="right"/>
              <w:ind w:right="483"/>
              <w:spacing w:after="0"/>
              <w:rPr>
                <w:sz w:val="20"/>
                <w:szCs w:val="20"/>
                <w:color w:val="auto"/>
              </w:rPr>
            </w:pPr>
            <w:r>
              <w:rPr>
                <w:rFonts w:ascii="Times New Roman" w:cs="Times New Roman" w:eastAsia="Times New Roman" w:hAnsi="Times New Roman"/>
                <w:sz w:val="11"/>
                <w:szCs w:val="11"/>
                <w:color w:val="auto"/>
              </w:rPr>
              <w:t>$</w:t>
            </w:r>
          </w:p>
        </w:tc>
        <w:tc>
          <w:tcPr>
            <w:tcW w:w="360" w:type="dxa"/>
            <w:vAlign w:val="bottom"/>
          </w:tcPr>
          <w:p>
            <w:pPr>
              <w:jc w:val="right"/>
              <w:spacing w:after="0"/>
              <w:rPr>
                <w:sz w:val="20"/>
                <w:szCs w:val="20"/>
                <w:color w:val="auto"/>
              </w:rPr>
            </w:pPr>
            <w:r>
              <w:rPr>
                <w:rFonts w:ascii="Times New Roman" w:cs="Times New Roman" w:eastAsia="Times New Roman" w:hAnsi="Times New Roman"/>
                <w:sz w:val="11"/>
                <w:szCs w:val="11"/>
                <w:color w:val="auto"/>
                <w:w w:val="99"/>
              </w:rPr>
              <w:t>(4,628)</w:t>
            </w:r>
          </w:p>
        </w:tc>
        <w:tc>
          <w:tcPr>
            <w:tcW w:w="1340" w:type="dxa"/>
            <w:vAlign w:val="bottom"/>
            <w:gridSpan w:val="4"/>
          </w:tcPr>
          <w:p>
            <w:pPr>
              <w:jc w:val="right"/>
              <w:ind w:right="140"/>
              <w:spacing w:after="0" w:line="233" w:lineRule="exact"/>
              <w:rPr>
                <w:sz w:val="20"/>
                <w:szCs w:val="20"/>
                <w:color w:val="auto"/>
              </w:rPr>
            </w:pPr>
            <w:r>
              <w:rPr>
                <w:rFonts w:ascii="Times New Roman" w:cs="Times New Roman" w:eastAsia="Times New Roman" w:hAnsi="Times New Roman"/>
                <w:sz w:val="11"/>
                <w:szCs w:val="11"/>
                <w:color w:val="auto"/>
              </w:rPr>
              <w:t xml:space="preserve">(147)%  </w:t>
            </w:r>
            <w:r>
              <w:rPr>
                <w:rFonts w:ascii="Times New Roman" w:cs="Times New Roman" w:eastAsia="Times New Roman" w:hAnsi="Times New Roman"/>
                <w:sz w:val="22"/>
                <w:szCs w:val="22"/>
                <w:color w:val="auto"/>
                <w:vertAlign w:val="superscript"/>
              </w:rPr>
              <w:t>$</w:t>
            </w:r>
          </w:p>
        </w:tc>
        <w:tc>
          <w:tcPr>
            <w:tcW w:w="760" w:type="dxa"/>
            <w:vAlign w:val="bottom"/>
          </w:tcPr>
          <w:p>
            <w:pPr>
              <w:jc w:val="right"/>
              <w:spacing w:after="0"/>
              <w:rPr>
                <w:sz w:val="20"/>
                <w:szCs w:val="20"/>
                <w:color w:val="auto"/>
              </w:rPr>
            </w:pPr>
            <w:r>
              <w:rPr>
                <w:rFonts w:ascii="Times New Roman" w:cs="Times New Roman" w:eastAsia="Times New Roman" w:hAnsi="Times New Roman"/>
                <w:sz w:val="11"/>
                <w:szCs w:val="11"/>
                <w:color w:val="auto"/>
              </w:rPr>
              <w:t>9,763</w:t>
            </w:r>
          </w:p>
        </w:tc>
        <w:tc>
          <w:tcPr>
            <w:tcW w:w="0" w:type="dxa"/>
            <w:vAlign w:val="bottom"/>
          </w:tcPr>
          <w:p>
            <w:pPr>
              <w:spacing w:after="0"/>
              <w:rPr>
                <w:sz w:val="1"/>
                <w:szCs w:val="1"/>
                <w:color w:val="auto"/>
              </w:rPr>
            </w:pPr>
          </w:p>
        </w:tc>
      </w:tr>
      <w:tr>
        <w:trPr>
          <w:trHeight w:val="20"/>
        </w:trPr>
        <w:tc>
          <w:tcPr>
            <w:tcW w:w="680" w:type="dxa"/>
            <w:vAlign w:val="bottom"/>
            <w:vMerge w:val="restart"/>
          </w:tcPr>
          <w:p>
            <w:pPr>
              <w:jc w:val="right"/>
              <w:ind w:right="83"/>
              <w:spacing w:after="0"/>
              <w:rPr>
                <w:sz w:val="20"/>
                <w:szCs w:val="20"/>
                <w:color w:val="auto"/>
              </w:rPr>
            </w:pPr>
            <w:r>
              <w:rPr>
                <w:rFonts w:ascii="Times New Roman" w:cs="Times New Roman" w:eastAsia="Times New Roman" w:hAnsi="Times New Roman"/>
                <w:sz w:val="11"/>
                <w:szCs w:val="11"/>
                <w:color w:val="auto"/>
              </w:rPr>
              <w:t>5,148</w:t>
            </w:r>
          </w:p>
        </w:tc>
        <w:tc>
          <w:tcPr>
            <w:tcW w:w="940" w:type="dxa"/>
            <w:vAlign w:val="bottom"/>
            <w:vMerge w:val="restart"/>
          </w:tcPr>
          <w:p>
            <w:pPr>
              <w:jc w:val="right"/>
              <w:ind w:right="63"/>
              <w:spacing w:after="0"/>
              <w:rPr>
                <w:sz w:val="20"/>
                <w:szCs w:val="20"/>
                <w:color w:val="auto"/>
              </w:rPr>
            </w:pPr>
            <w:r>
              <w:rPr>
                <w:rFonts w:ascii="Times New Roman" w:cs="Times New Roman" w:eastAsia="Times New Roman" w:hAnsi="Times New Roman"/>
                <w:sz w:val="11"/>
                <w:szCs w:val="11"/>
                <w:color w:val="auto"/>
              </w:rPr>
              <w:t>(7)</w:t>
            </w:r>
          </w:p>
        </w:tc>
        <w:tc>
          <w:tcPr>
            <w:tcW w:w="100" w:type="dxa"/>
            <w:vAlign w:val="bottom"/>
          </w:tcPr>
          <w:p>
            <w:pPr>
              <w:spacing w:after="0" w:line="20" w:lineRule="exact"/>
              <w:rPr>
                <w:sz w:val="1"/>
                <w:szCs w:val="1"/>
                <w:color w:val="auto"/>
              </w:rPr>
            </w:pPr>
          </w:p>
        </w:tc>
        <w:tc>
          <w:tcPr>
            <w:tcW w:w="220" w:type="dxa"/>
            <w:vAlign w:val="bottom"/>
            <w:tcBorders>
              <w:top w:val="single" w:sz="8" w:color="auto"/>
              <w:bottom w:val="single" w:sz="8" w:color="auto"/>
            </w:tcBorders>
          </w:tcPr>
          <w:p>
            <w:pPr>
              <w:spacing w:after="0" w:line="20" w:lineRule="exact"/>
              <w:rPr>
                <w:sz w:val="1"/>
                <w:szCs w:val="1"/>
                <w:color w:val="auto"/>
              </w:rPr>
            </w:pPr>
          </w:p>
        </w:tc>
        <w:tc>
          <w:tcPr>
            <w:tcW w:w="740" w:type="dxa"/>
            <w:vAlign w:val="bottom"/>
            <w:tcBorders>
              <w:top w:val="single" w:sz="8" w:color="auto"/>
              <w:bottom w:val="single" w:sz="8" w:color="auto"/>
            </w:tcBorders>
          </w:tcPr>
          <w:p>
            <w:pPr>
              <w:spacing w:after="0" w:line="20" w:lineRule="exact"/>
              <w:rPr>
                <w:sz w:val="1"/>
                <w:szCs w:val="1"/>
                <w:color w:val="auto"/>
              </w:rPr>
            </w:pPr>
          </w:p>
        </w:tc>
        <w:tc>
          <w:tcPr>
            <w:tcW w:w="1020" w:type="dxa"/>
            <w:vAlign w:val="bottom"/>
            <w:gridSpan w:val="2"/>
            <w:vMerge w:val="restart"/>
          </w:tcPr>
          <w:p>
            <w:pPr>
              <w:ind w:left="720"/>
              <w:spacing w:after="0"/>
              <w:rPr>
                <w:sz w:val="20"/>
                <w:szCs w:val="20"/>
                <w:color w:val="auto"/>
              </w:rPr>
            </w:pPr>
            <w:r>
              <w:rPr>
                <w:rFonts w:ascii="Times New Roman" w:cs="Times New Roman" w:eastAsia="Times New Roman" w:hAnsi="Times New Roman"/>
                <w:sz w:val="11"/>
                <w:szCs w:val="11"/>
                <w:color w:val="auto"/>
              </w:rPr>
              <w:t>(15)</w:t>
            </w:r>
          </w:p>
        </w:tc>
        <w:tc>
          <w:tcPr>
            <w:tcW w:w="100" w:type="dxa"/>
            <w:vAlign w:val="bottom"/>
          </w:tcPr>
          <w:p>
            <w:pPr>
              <w:spacing w:after="0" w:line="20" w:lineRule="exact"/>
              <w:rPr>
                <w:sz w:val="1"/>
                <w:szCs w:val="1"/>
                <w:color w:val="auto"/>
              </w:rPr>
            </w:pPr>
          </w:p>
        </w:tc>
        <w:tc>
          <w:tcPr>
            <w:tcW w:w="220" w:type="dxa"/>
            <w:vAlign w:val="bottom"/>
            <w:tcBorders>
              <w:top w:val="single" w:sz="8" w:color="auto"/>
              <w:bottom w:val="single" w:sz="8" w:color="auto"/>
            </w:tcBorders>
          </w:tcPr>
          <w:p>
            <w:pPr>
              <w:spacing w:after="0" w:line="20" w:lineRule="exact"/>
              <w:rPr>
                <w:sz w:val="1"/>
                <w:szCs w:val="1"/>
                <w:color w:val="auto"/>
              </w:rPr>
            </w:pPr>
          </w:p>
        </w:tc>
        <w:tc>
          <w:tcPr>
            <w:tcW w:w="740" w:type="dxa"/>
            <w:vAlign w:val="bottom"/>
            <w:tcBorders>
              <w:top w:val="single" w:sz="8" w:color="auto"/>
              <w:bottom w:val="single" w:sz="8" w:color="auto"/>
            </w:tcBorders>
          </w:tcPr>
          <w:p>
            <w:pPr>
              <w:spacing w:after="0" w:line="20" w:lineRule="exact"/>
              <w:rPr>
                <w:sz w:val="1"/>
                <w:szCs w:val="1"/>
                <w:color w:val="auto"/>
              </w:rPr>
            </w:pPr>
          </w:p>
        </w:tc>
        <w:tc>
          <w:tcPr>
            <w:tcW w:w="1040" w:type="dxa"/>
            <w:vAlign w:val="bottom"/>
            <w:gridSpan w:val="2"/>
            <w:vMerge w:val="restart"/>
          </w:tcPr>
          <w:p>
            <w:pPr>
              <w:jc w:val="right"/>
              <w:ind w:right="103"/>
              <w:spacing w:after="0"/>
              <w:rPr>
                <w:sz w:val="20"/>
                <w:szCs w:val="20"/>
                <w:color w:val="auto"/>
              </w:rPr>
            </w:pPr>
            <w:r>
              <w:rPr>
                <w:rFonts w:ascii="Times New Roman" w:cs="Times New Roman" w:eastAsia="Times New Roman" w:hAnsi="Times New Roman"/>
                <w:sz w:val="11"/>
                <w:szCs w:val="11"/>
                <w:color w:val="auto"/>
              </w:rPr>
              <w:t>9</w:t>
            </w:r>
          </w:p>
        </w:tc>
        <w:tc>
          <w:tcPr>
            <w:tcW w:w="80" w:type="dxa"/>
            <w:vAlign w:val="bottom"/>
          </w:tcPr>
          <w:p>
            <w:pPr>
              <w:spacing w:after="0" w:line="20" w:lineRule="exact"/>
              <w:rPr>
                <w:sz w:val="1"/>
                <w:szCs w:val="1"/>
                <w:color w:val="auto"/>
              </w:rPr>
            </w:pPr>
          </w:p>
        </w:tc>
        <w:tc>
          <w:tcPr>
            <w:tcW w:w="620" w:type="dxa"/>
            <w:vAlign w:val="bottom"/>
            <w:tcBorders>
              <w:top w:val="single" w:sz="8" w:color="auto"/>
              <w:bottom w:val="single" w:sz="8" w:color="auto"/>
            </w:tcBorders>
          </w:tcPr>
          <w:p>
            <w:pPr>
              <w:spacing w:after="0" w:line="20" w:lineRule="exact"/>
              <w:rPr>
                <w:sz w:val="1"/>
                <w:szCs w:val="1"/>
                <w:color w:val="auto"/>
              </w:rPr>
            </w:pPr>
          </w:p>
        </w:tc>
        <w:tc>
          <w:tcPr>
            <w:tcW w:w="360" w:type="dxa"/>
            <w:vAlign w:val="bottom"/>
            <w:tcBorders>
              <w:top w:val="single" w:sz="8" w:color="auto"/>
              <w:bottom w:val="single" w:sz="8" w:color="auto"/>
            </w:tcBorders>
          </w:tcPr>
          <w:p>
            <w:pPr>
              <w:spacing w:after="0" w:line="20" w:lineRule="exact"/>
              <w:rPr>
                <w:sz w:val="1"/>
                <w:szCs w:val="1"/>
                <w:color w:val="auto"/>
              </w:rPr>
            </w:pPr>
          </w:p>
        </w:tc>
        <w:tc>
          <w:tcPr>
            <w:tcW w:w="1040" w:type="dxa"/>
            <w:vAlign w:val="bottom"/>
            <w:gridSpan w:val="2"/>
            <w:vMerge w:val="restart"/>
          </w:tcPr>
          <w:p>
            <w:pPr>
              <w:jc w:val="right"/>
              <w:ind w:right="103"/>
              <w:spacing w:after="0"/>
              <w:rPr>
                <w:sz w:val="20"/>
                <w:szCs w:val="20"/>
                <w:color w:val="auto"/>
              </w:rPr>
            </w:pPr>
            <w:r>
              <w:rPr>
                <w:rFonts w:ascii="Times New Roman" w:cs="Times New Roman" w:eastAsia="Times New Roman" w:hAnsi="Times New Roman"/>
                <w:sz w:val="11"/>
                <w:szCs w:val="11"/>
                <w:color w:val="auto"/>
              </w:rPr>
              <w:t>3</w:t>
            </w:r>
          </w:p>
        </w:tc>
        <w:tc>
          <w:tcPr>
            <w:tcW w:w="80" w:type="dxa"/>
            <w:vAlign w:val="bottom"/>
          </w:tcPr>
          <w:p>
            <w:pPr>
              <w:spacing w:after="0" w:line="20" w:lineRule="exact"/>
              <w:rPr>
                <w:sz w:val="1"/>
                <w:szCs w:val="1"/>
                <w:color w:val="auto"/>
              </w:rPr>
            </w:pPr>
          </w:p>
        </w:tc>
        <w:tc>
          <w:tcPr>
            <w:tcW w:w="220" w:type="dxa"/>
            <w:vAlign w:val="bottom"/>
            <w:tcBorders>
              <w:top w:val="single" w:sz="8" w:color="auto"/>
              <w:bottom w:val="single" w:sz="8" w:color="auto"/>
            </w:tcBorders>
          </w:tcPr>
          <w:p>
            <w:pPr>
              <w:spacing w:after="0" w:line="20" w:lineRule="exact"/>
              <w:rPr>
                <w:sz w:val="1"/>
                <w:szCs w:val="1"/>
                <w:color w:val="auto"/>
              </w:rPr>
            </w:pPr>
          </w:p>
        </w:tc>
        <w:tc>
          <w:tcPr>
            <w:tcW w:w="760" w:type="dxa"/>
            <w:vAlign w:val="bottom"/>
            <w:tcBorders>
              <w:top w:val="single" w:sz="8" w:color="auto"/>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29"/>
        </w:trPr>
        <w:tc>
          <w:tcPr>
            <w:tcW w:w="680" w:type="dxa"/>
            <w:vAlign w:val="bottom"/>
            <w:vMerge w:val="continue"/>
          </w:tcPr>
          <w:p>
            <w:pPr>
              <w:spacing w:after="0"/>
              <w:rPr>
                <w:sz w:val="11"/>
                <w:szCs w:val="11"/>
                <w:color w:val="auto"/>
              </w:rPr>
            </w:pPr>
          </w:p>
        </w:tc>
        <w:tc>
          <w:tcPr>
            <w:tcW w:w="940" w:type="dxa"/>
            <w:vAlign w:val="bottom"/>
            <w:vMerge w:val="continue"/>
          </w:tcPr>
          <w:p>
            <w:pPr>
              <w:spacing w:after="0"/>
              <w:rPr>
                <w:sz w:val="11"/>
                <w:szCs w:val="11"/>
                <w:color w:val="auto"/>
              </w:rPr>
            </w:pPr>
          </w:p>
        </w:tc>
        <w:tc>
          <w:tcPr>
            <w:tcW w:w="10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740" w:type="dxa"/>
            <w:vAlign w:val="bottom"/>
          </w:tcPr>
          <w:p>
            <w:pPr>
              <w:jc w:val="right"/>
              <w:ind w:right="3"/>
              <w:spacing w:after="0"/>
              <w:rPr>
                <w:sz w:val="20"/>
                <w:szCs w:val="20"/>
                <w:color w:val="auto"/>
              </w:rPr>
            </w:pPr>
            <w:r>
              <w:rPr>
                <w:rFonts w:ascii="Times New Roman" w:cs="Times New Roman" w:eastAsia="Times New Roman" w:hAnsi="Times New Roman"/>
                <w:sz w:val="11"/>
                <w:szCs w:val="11"/>
                <w:color w:val="auto"/>
              </w:rPr>
              <w:t>5,537</w:t>
            </w:r>
          </w:p>
        </w:tc>
        <w:tc>
          <w:tcPr>
            <w:tcW w:w="1020" w:type="dxa"/>
            <w:vAlign w:val="bottom"/>
            <w:gridSpan w:val="2"/>
            <w:vMerge w:val="continue"/>
          </w:tcPr>
          <w:p>
            <w:pPr>
              <w:spacing w:after="0"/>
              <w:rPr>
                <w:sz w:val="11"/>
                <w:szCs w:val="11"/>
                <w:color w:val="auto"/>
              </w:rPr>
            </w:pPr>
          </w:p>
        </w:tc>
        <w:tc>
          <w:tcPr>
            <w:tcW w:w="10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740" w:type="dxa"/>
            <w:vAlign w:val="bottom"/>
          </w:tcPr>
          <w:p>
            <w:pPr>
              <w:jc w:val="right"/>
              <w:spacing w:after="0"/>
              <w:rPr>
                <w:sz w:val="20"/>
                <w:szCs w:val="20"/>
                <w:color w:val="auto"/>
              </w:rPr>
            </w:pPr>
            <w:r>
              <w:rPr>
                <w:rFonts w:ascii="Times New Roman" w:cs="Times New Roman" w:eastAsia="Times New Roman" w:hAnsi="Times New Roman"/>
                <w:sz w:val="11"/>
                <w:szCs w:val="11"/>
                <w:color w:val="auto"/>
              </w:rPr>
              <w:t>6,518</w:t>
            </w:r>
          </w:p>
        </w:tc>
        <w:tc>
          <w:tcPr>
            <w:tcW w:w="1040" w:type="dxa"/>
            <w:vAlign w:val="bottom"/>
            <w:gridSpan w:val="2"/>
            <w:vMerge w:val="continue"/>
          </w:tcPr>
          <w:p>
            <w:pPr>
              <w:spacing w:after="0"/>
              <w:rPr>
                <w:sz w:val="11"/>
                <w:szCs w:val="11"/>
                <w:color w:val="auto"/>
              </w:rPr>
            </w:pPr>
          </w:p>
        </w:tc>
        <w:tc>
          <w:tcPr>
            <w:tcW w:w="8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360" w:type="dxa"/>
            <w:vAlign w:val="bottom"/>
          </w:tcPr>
          <w:p>
            <w:pPr>
              <w:jc w:val="right"/>
              <w:ind w:right="3"/>
              <w:spacing w:after="0"/>
              <w:rPr>
                <w:sz w:val="20"/>
                <w:szCs w:val="20"/>
                <w:color w:val="auto"/>
              </w:rPr>
            </w:pPr>
            <w:r>
              <w:rPr>
                <w:rFonts w:ascii="Times New Roman" w:cs="Times New Roman" w:eastAsia="Times New Roman" w:hAnsi="Times New Roman"/>
                <w:sz w:val="11"/>
                <w:szCs w:val="11"/>
                <w:color w:val="auto"/>
              </w:rPr>
              <w:t>6,001</w:t>
            </w:r>
          </w:p>
        </w:tc>
        <w:tc>
          <w:tcPr>
            <w:tcW w:w="1040" w:type="dxa"/>
            <w:vAlign w:val="bottom"/>
            <w:gridSpan w:val="2"/>
            <w:vMerge w:val="continue"/>
          </w:tcPr>
          <w:p>
            <w:pPr>
              <w:spacing w:after="0"/>
              <w:rPr>
                <w:sz w:val="11"/>
                <w:szCs w:val="11"/>
                <w:color w:val="auto"/>
              </w:rPr>
            </w:pPr>
          </w:p>
        </w:tc>
        <w:tc>
          <w:tcPr>
            <w:tcW w:w="8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760" w:type="dxa"/>
            <w:vAlign w:val="bottom"/>
          </w:tcPr>
          <w:p>
            <w:pPr>
              <w:jc w:val="right"/>
              <w:spacing w:after="0"/>
              <w:rPr>
                <w:sz w:val="20"/>
                <w:szCs w:val="20"/>
                <w:color w:val="auto"/>
              </w:rPr>
            </w:pPr>
            <w:r>
              <w:rPr>
                <w:rFonts w:ascii="Times New Roman" w:cs="Times New Roman" w:eastAsia="Times New Roman" w:hAnsi="Times New Roman"/>
                <w:sz w:val="11"/>
                <w:szCs w:val="11"/>
                <w:color w:val="auto"/>
              </w:rPr>
              <w:t>5,834</w:t>
            </w:r>
          </w:p>
        </w:tc>
        <w:tc>
          <w:tcPr>
            <w:tcW w:w="0" w:type="dxa"/>
            <w:vAlign w:val="bottom"/>
          </w:tcPr>
          <w:p>
            <w:pPr>
              <w:spacing w:after="0"/>
              <w:rPr>
                <w:sz w:val="1"/>
                <w:szCs w:val="1"/>
                <w:color w:val="auto"/>
              </w:rPr>
            </w:pPr>
          </w:p>
        </w:tc>
      </w:tr>
      <w:tr>
        <w:trPr>
          <w:trHeight w:val="152"/>
        </w:trPr>
        <w:tc>
          <w:tcPr>
            <w:tcW w:w="680" w:type="dxa"/>
            <w:vAlign w:val="bottom"/>
          </w:tcPr>
          <w:p>
            <w:pPr>
              <w:jc w:val="right"/>
              <w:ind w:right="83"/>
              <w:spacing w:after="0"/>
              <w:rPr>
                <w:sz w:val="20"/>
                <w:szCs w:val="20"/>
                <w:color w:val="auto"/>
              </w:rPr>
            </w:pPr>
            <w:r>
              <w:rPr>
                <w:rFonts w:ascii="Times New Roman" w:cs="Times New Roman" w:eastAsia="Times New Roman" w:hAnsi="Times New Roman"/>
                <w:sz w:val="11"/>
                <w:szCs w:val="11"/>
                <w:color w:val="auto"/>
              </w:rPr>
              <w:t>3,945</w:t>
            </w:r>
          </w:p>
        </w:tc>
        <w:tc>
          <w:tcPr>
            <w:tcW w:w="940" w:type="dxa"/>
            <w:vAlign w:val="bottom"/>
          </w:tcPr>
          <w:p>
            <w:pPr>
              <w:jc w:val="right"/>
              <w:ind w:right="63"/>
              <w:spacing w:after="0"/>
              <w:rPr>
                <w:sz w:val="20"/>
                <w:szCs w:val="20"/>
                <w:color w:val="auto"/>
              </w:rPr>
            </w:pPr>
            <w:r>
              <w:rPr>
                <w:rFonts w:ascii="Times New Roman" w:cs="Times New Roman" w:eastAsia="Times New Roman" w:hAnsi="Times New Roman"/>
                <w:sz w:val="11"/>
                <w:szCs w:val="11"/>
                <w:color w:val="auto"/>
              </w:rPr>
              <w:t>(5)</w:t>
            </w:r>
          </w:p>
        </w:tc>
        <w:tc>
          <w:tcPr>
            <w:tcW w:w="100" w:type="dxa"/>
            <w:vAlign w:val="bottom"/>
          </w:tcPr>
          <w:p>
            <w:pPr>
              <w:spacing w:after="0"/>
              <w:rPr>
                <w:sz w:val="13"/>
                <w:szCs w:val="13"/>
                <w:color w:val="auto"/>
              </w:rPr>
            </w:pPr>
          </w:p>
        </w:tc>
        <w:tc>
          <w:tcPr>
            <w:tcW w:w="220" w:type="dxa"/>
            <w:vAlign w:val="bottom"/>
          </w:tcPr>
          <w:p>
            <w:pPr>
              <w:spacing w:after="0"/>
              <w:rPr>
                <w:sz w:val="13"/>
                <w:szCs w:val="13"/>
                <w:color w:val="auto"/>
              </w:rPr>
            </w:pPr>
          </w:p>
        </w:tc>
        <w:tc>
          <w:tcPr>
            <w:tcW w:w="740" w:type="dxa"/>
            <w:vAlign w:val="bottom"/>
          </w:tcPr>
          <w:p>
            <w:pPr>
              <w:jc w:val="right"/>
              <w:ind w:right="3"/>
              <w:spacing w:after="0"/>
              <w:rPr>
                <w:sz w:val="20"/>
                <w:szCs w:val="20"/>
                <w:color w:val="auto"/>
              </w:rPr>
            </w:pPr>
            <w:r>
              <w:rPr>
                <w:rFonts w:ascii="Times New Roman" w:cs="Times New Roman" w:eastAsia="Times New Roman" w:hAnsi="Times New Roman"/>
                <w:sz w:val="11"/>
                <w:szCs w:val="11"/>
                <w:color w:val="auto"/>
              </w:rPr>
              <w:t>4,148</w:t>
            </w:r>
          </w:p>
        </w:tc>
        <w:tc>
          <w:tcPr>
            <w:tcW w:w="80" w:type="dxa"/>
            <w:vAlign w:val="bottom"/>
          </w:tcPr>
          <w:p>
            <w:pPr>
              <w:spacing w:after="0"/>
              <w:rPr>
                <w:sz w:val="13"/>
                <w:szCs w:val="13"/>
                <w:color w:val="auto"/>
              </w:rPr>
            </w:pPr>
          </w:p>
        </w:tc>
        <w:tc>
          <w:tcPr>
            <w:tcW w:w="1260" w:type="dxa"/>
            <w:vAlign w:val="bottom"/>
            <w:gridSpan w:val="3"/>
          </w:tcPr>
          <w:p>
            <w:pPr>
              <w:jc w:val="right"/>
              <w:ind w:right="460"/>
              <w:spacing w:after="0"/>
              <w:rPr>
                <w:sz w:val="20"/>
                <w:szCs w:val="20"/>
                <w:color w:val="auto"/>
              </w:rPr>
            </w:pPr>
            <w:r>
              <w:rPr>
                <w:rFonts w:ascii="Times New Roman" w:cs="Times New Roman" w:eastAsia="Times New Roman" w:hAnsi="Times New Roman"/>
                <w:sz w:val="11"/>
                <w:szCs w:val="11"/>
                <w:color w:val="auto"/>
              </w:rPr>
              <w:t>—</w:t>
            </w:r>
          </w:p>
        </w:tc>
        <w:tc>
          <w:tcPr>
            <w:tcW w:w="740" w:type="dxa"/>
            <w:vAlign w:val="bottom"/>
          </w:tcPr>
          <w:p>
            <w:pPr>
              <w:jc w:val="right"/>
              <w:spacing w:after="0"/>
              <w:rPr>
                <w:sz w:val="20"/>
                <w:szCs w:val="20"/>
                <w:color w:val="auto"/>
              </w:rPr>
            </w:pPr>
            <w:r>
              <w:rPr>
                <w:rFonts w:ascii="Times New Roman" w:cs="Times New Roman" w:eastAsia="Times New Roman" w:hAnsi="Times New Roman"/>
                <w:sz w:val="11"/>
                <w:szCs w:val="11"/>
                <w:color w:val="auto"/>
              </w:rPr>
              <w:t>4,149</w:t>
            </w:r>
          </w:p>
        </w:tc>
        <w:tc>
          <w:tcPr>
            <w:tcW w:w="1040" w:type="dxa"/>
            <w:vAlign w:val="bottom"/>
            <w:gridSpan w:val="2"/>
          </w:tcPr>
          <w:p>
            <w:pPr>
              <w:jc w:val="right"/>
              <w:ind w:right="103"/>
              <w:spacing w:after="0"/>
              <w:rPr>
                <w:sz w:val="20"/>
                <w:szCs w:val="20"/>
                <w:color w:val="auto"/>
              </w:rPr>
            </w:pPr>
            <w:r>
              <w:rPr>
                <w:rFonts w:ascii="Times New Roman" w:cs="Times New Roman" w:eastAsia="Times New Roman" w:hAnsi="Times New Roman"/>
                <w:sz w:val="11"/>
                <w:szCs w:val="11"/>
                <w:color w:val="auto"/>
              </w:rPr>
              <w:t>120</w:t>
            </w:r>
          </w:p>
        </w:tc>
        <w:tc>
          <w:tcPr>
            <w:tcW w:w="80" w:type="dxa"/>
            <w:vAlign w:val="bottom"/>
          </w:tcPr>
          <w:p>
            <w:pPr>
              <w:spacing w:after="0"/>
              <w:rPr>
                <w:sz w:val="13"/>
                <w:szCs w:val="13"/>
                <w:color w:val="auto"/>
              </w:rPr>
            </w:pPr>
          </w:p>
        </w:tc>
        <w:tc>
          <w:tcPr>
            <w:tcW w:w="620" w:type="dxa"/>
            <w:vAlign w:val="bottom"/>
          </w:tcPr>
          <w:p>
            <w:pPr>
              <w:spacing w:after="0"/>
              <w:rPr>
                <w:sz w:val="13"/>
                <w:szCs w:val="13"/>
                <w:color w:val="auto"/>
              </w:rPr>
            </w:pPr>
          </w:p>
        </w:tc>
        <w:tc>
          <w:tcPr>
            <w:tcW w:w="360" w:type="dxa"/>
            <w:vAlign w:val="bottom"/>
          </w:tcPr>
          <w:p>
            <w:pPr>
              <w:jc w:val="right"/>
              <w:ind w:right="3"/>
              <w:spacing w:after="0"/>
              <w:rPr>
                <w:sz w:val="20"/>
                <w:szCs w:val="20"/>
                <w:color w:val="auto"/>
              </w:rPr>
            </w:pPr>
            <w:r>
              <w:rPr>
                <w:rFonts w:ascii="Times New Roman" w:cs="Times New Roman" w:eastAsia="Times New Roman" w:hAnsi="Times New Roman"/>
                <w:sz w:val="11"/>
                <w:szCs w:val="11"/>
                <w:color w:val="auto"/>
              </w:rPr>
              <w:t>1,889</w:t>
            </w:r>
          </w:p>
        </w:tc>
        <w:tc>
          <w:tcPr>
            <w:tcW w:w="1040" w:type="dxa"/>
            <w:vAlign w:val="bottom"/>
            <w:gridSpan w:val="2"/>
          </w:tcPr>
          <w:p>
            <w:pPr>
              <w:jc w:val="right"/>
              <w:ind w:right="103"/>
              <w:spacing w:after="0"/>
              <w:rPr>
                <w:sz w:val="20"/>
                <w:szCs w:val="20"/>
                <w:color w:val="auto"/>
              </w:rPr>
            </w:pPr>
            <w:r>
              <w:rPr>
                <w:rFonts w:ascii="Times New Roman" w:cs="Times New Roman" w:eastAsia="Times New Roman" w:hAnsi="Times New Roman"/>
                <w:sz w:val="11"/>
                <w:szCs w:val="11"/>
                <w:color w:val="auto"/>
              </w:rPr>
              <w:t>16</w:t>
            </w:r>
          </w:p>
        </w:tc>
        <w:tc>
          <w:tcPr>
            <w:tcW w:w="80" w:type="dxa"/>
            <w:vAlign w:val="bottom"/>
          </w:tcPr>
          <w:p>
            <w:pPr>
              <w:spacing w:after="0"/>
              <w:rPr>
                <w:sz w:val="13"/>
                <w:szCs w:val="13"/>
                <w:color w:val="auto"/>
              </w:rPr>
            </w:pPr>
          </w:p>
        </w:tc>
        <w:tc>
          <w:tcPr>
            <w:tcW w:w="220" w:type="dxa"/>
            <w:vAlign w:val="bottom"/>
          </w:tcPr>
          <w:p>
            <w:pPr>
              <w:spacing w:after="0"/>
              <w:rPr>
                <w:sz w:val="13"/>
                <w:szCs w:val="13"/>
                <w:color w:val="auto"/>
              </w:rPr>
            </w:pPr>
          </w:p>
        </w:tc>
        <w:tc>
          <w:tcPr>
            <w:tcW w:w="760" w:type="dxa"/>
            <w:vAlign w:val="bottom"/>
          </w:tcPr>
          <w:p>
            <w:pPr>
              <w:jc w:val="right"/>
              <w:spacing w:after="0"/>
              <w:rPr>
                <w:sz w:val="20"/>
                <w:szCs w:val="20"/>
                <w:color w:val="auto"/>
              </w:rPr>
            </w:pPr>
            <w:r>
              <w:rPr>
                <w:rFonts w:ascii="Times New Roman" w:cs="Times New Roman" w:eastAsia="Times New Roman" w:hAnsi="Times New Roman"/>
                <w:sz w:val="11"/>
                <w:szCs w:val="11"/>
                <w:color w:val="auto"/>
              </w:rPr>
              <w:t>1,624</w:t>
            </w:r>
          </w:p>
        </w:tc>
        <w:tc>
          <w:tcPr>
            <w:tcW w:w="0" w:type="dxa"/>
            <w:vAlign w:val="bottom"/>
          </w:tcPr>
          <w:p>
            <w:pPr>
              <w:spacing w:after="0"/>
              <w:rPr>
                <w:sz w:val="1"/>
                <w:szCs w:val="1"/>
                <w:color w:val="auto"/>
              </w:rPr>
            </w:pPr>
          </w:p>
        </w:tc>
      </w:tr>
      <w:tr>
        <w:trPr>
          <w:trHeight w:val="265"/>
        </w:trPr>
        <w:tc>
          <w:tcPr>
            <w:tcW w:w="680" w:type="dxa"/>
            <w:vAlign w:val="bottom"/>
          </w:tcPr>
          <w:p>
            <w:pPr>
              <w:jc w:val="right"/>
              <w:ind w:right="83"/>
              <w:spacing w:after="0"/>
              <w:rPr>
                <w:sz w:val="20"/>
                <w:szCs w:val="20"/>
                <w:color w:val="auto"/>
              </w:rPr>
            </w:pPr>
            <w:r>
              <w:rPr>
                <w:rFonts w:ascii="Times New Roman" w:cs="Times New Roman" w:eastAsia="Times New Roman" w:hAnsi="Times New Roman"/>
                <w:sz w:val="11"/>
                <w:szCs w:val="11"/>
                <w:color w:val="auto"/>
              </w:rPr>
              <w:t>533</w:t>
            </w:r>
          </w:p>
        </w:tc>
        <w:tc>
          <w:tcPr>
            <w:tcW w:w="940" w:type="dxa"/>
            <w:vAlign w:val="bottom"/>
          </w:tcPr>
          <w:p>
            <w:pPr>
              <w:jc w:val="right"/>
              <w:ind w:right="83"/>
              <w:spacing w:after="0"/>
              <w:rPr>
                <w:sz w:val="20"/>
                <w:szCs w:val="20"/>
                <w:color w:val="auto"/>
              </w:rPr>
            </w:pPr>
            <w:r>
              <w:rPr>
                <w:rFonts w:ascii="Times New Roman" w:cs="Times New Roman" w:eastAsia="Times New Roman" w:hAnsi="Times New Roman"/>
                <w:sz w:val="11"/>
                <w:szCs w:val="11"/>
                <w:color w:val="auto"/>
              </w:rPr>
              <w:t>57</w:t>
            </w:r>
          </w:p>
        </w:tc>
        <w:tc>
          <w:tcPr>
            <w:tcW w:w="100" w:type="dxa"/>
            <w:vAlign w:val="bottom"/>
          </w:tcPr>
          <w:p>
            <w:pPr>
              <w:spacing w:after="0"/>
              <w:rPr>
                <w:sz w:val="23"/>
                <w:szCs w:val="23"/>
                <w:color w:val="auto"/>
              </w:rPr>
            </w:pPr>
          </w:p>
        </w:tc>
        <w:tc>
          <w:tcPr>
            <w:tcW w:w="220" w:type="dxa"/>
            <w:vAlign w:val="bottom"/>
          </w:tcPr>
          <w:p>
            <w:pPr>
              <w:spacing w:after="0"/>
              <w:rPr>
                <w:sz w:val="23"/>
                <w:szCs w:val="23"/>
                <w:color w:val="auto"/>
              </w:rPr>
            </w:pPr>
          </w:p>
        </w:tc>
        <w:tc>
          <w:tcPr>
            <w:tcW w:w="740" w:type="dxa"/>
            <w:vAlign w:val="bottom"/>
          </w:tcPr>
          <w:p>
            <w:pPr>
              <w:jc w:val="right"/>
              <w:ind w:right="3"/>
              <w:spacing w:after="0"/>
              <w:rPr>
                <w:sz w:val="20"/>
                <w:szCs w:val="20"/>
                <w:color w:val="auto"/>
              </w:rPr>
            </w:pPr>
            <w:r>
              <w:rPr>
                <w:rFonts w:ascii="Times New Roman" w:cs="Times New Roman" w:eastAsia="Times New Roman" w:hAnsi="Times New Roman"/>
                <w:sz w:val="11"/>
                <w:szCs w:val="11"/>
                <w:color w:val="auto"/>
              </w:rPr>
              <w:t>340</w:t>
            </w:r>
          </w:p>
        </w:tc>
        <w:tc>
          <w:tcPr>
            <w:tcW w:w="1020" w:type="dxa"/>
            <w:vAlign w:val="bottom"/>
            <w:gridSpan w:val="2"/>
          </w:tcPr>
          <w:p>
            <w:pPr>
              <w:ind w:left="720"/>
              <w:spacing w:after="0"/>
              <w:rPr>
                <w:sz w:val="20"/>
                <w:szCs w:val="20"/>
                <w:color w:val="auto"/>
              </w:rPr>
            </w:pPr>
            <w:r>
              <w:rPr>
                <w:rFonts w:ascii="Times New Roman" w:cs="Times New Roman" w:eastAsia="Times New Roman" w:hAnsi="Times New Roman"/>
                <w:sz w:val="11"/>
                <w:szCs w:val="11"/>
                <w:color w:val="auto"/>
              </w:rPr>
              <w:t>(32)</w:t>
            </w:r>
          </w:p>
        </w:tc>
        <w:tc>
          <w:tcPr>
            <w:tcW w:w="100" w:type="dxa"/>
            <w:vAlign w:val="bottom"/>
          </w:tcPr>
          <w:p>
            <w:pPr>
              <w:spacing w:after="0"/>
              <w:rPr>
                <w:sz w:val="23"/>
                <w:szCs w:val="23"/>
                <w:color w:val="auto"/>
              </w:rPr>
            </w:pPr>
          </w:p>
        </w:tc>
        <w:tc>
          <w:tcPr>
            <w:tcW w:w="220" w:type="dxa"/>
            <w:vAlign w:val="bottom"/>
          </w:tcPr>
          <w:p>
            <w:pPr>
              <w:spacing w:after="0"/>
              <w:rPr>
                <w:sz w:val="23"/>
                <w:szCs w:val="23"/>
                <w:color w:val="auto"/>
              </w:rPr>
            </w:pPr>
          </w:p>
        </w:tc>
        <w:tc>
          <w:tcPr>
            <w:tcW w:w="740" w:type="dxa"/>
            <w:vAlign w:val="bottom"/>
          </w:tcPr>
          <w:p>
            <w:pPr>
              <w:jc w:val="right"/>
              <w:spacing w:after="0"/>
              <w:rPr>
                <w:sz w:val="20"/>
                <w:szCs w:val="20"/>
                <w:color w:val="auto"/>
              </w:rPr>
            </w:pPr>
            <w:r>
              <w:rPr>
                <w:rFonts w:ascii="Times New Roman" w:cs="Times New Roman" w:eastAsia="Times New Roman" w:hAnsi="Times New Roman"/>
                <w:sz w:val="11"/>
                <w:szCs w:val="11"/>
                <w:color w:val="auto"/>
              </w:rPr>
              <w:t>500</w:t>
            </w:r>
          </w:p>
        </w:tc>
        <w:tc>
          <w:tcPr>
            <w:tcW w:w="1040" w:type="dxa"/>
            <w:vAlign w:val="bottom"/>
            <w:gridSpan w:val="2"/>
          </w:tcPr>
          <w:p>
            <w:pPr>
              <w:jc w:val="right"/>
              <w:ind w:right="103"/>
              <w:spacing w:after="0"/>
              <w:rPr>
                <w:sz w:val="20"/>
                <w:szCs w:val="20"/>
                <w:color w:val="auto"/>
              </w:rPr>
            </w:pPr>
            <w:r>
              <w:rPr>
                <w:rFonts w:ascii="Times New Roman" w:cs="Times New Roman" w:eastAsia="Times New Roman" w:hAnsi="Times New Roman"/>
                <w:sz w:val="11"/>
                <w:szCs w:val="11"/>
                <w:color w:val="auto"/>
              </w:rPr>
              <w:t>66</w:t>
            </w:r>
          </w:p>
        </w:tc>
        <w:tc>
          <w:tcPr>
            <w:tcW w:w="80" w:type="dxa"/>
            <w:vAlign w:val="bottom"/>
          </w:tcPr>
          <w:p>
            <w:pPr>
              <w:spacing w:after="0"/>
              <w:rPr>
                <w:sz w:val="23"/>
                <w:szCs w:val="23"/>
                <w:color w:val="auto"/>
              </w:rPr>
            </w:pPr>
          </w:p>
        </w:tc>
        <w:tc>
          <w:tcPr>
            <w:tcW w:w="620" w:type="dxa"/>
            <w:vAlign w:val="bottom"/>
          </w:tcPr>
          <w:p>
            <w:pPr>
              <w:spacing w:after="0"/>
              <w:rPr>
                <w:sz w:val="23"/>
                <w:szCs w:val="23"/>
                <w:color w:val="auto"/>
              </w:rPr>
            </w:pPr>
          </w:p>
        </w:tc>
        <w:tc>
          <w:tcPr>
            <w:tcW w:w="360" w:type="dxa"/>
            <w:vAlign w:val="bottom"/>
          </w:tcPr>
          <w:p>
            <w:pPr>
              <w:jc w:val="right"/>
              <w:ind w:right="3"/>
              <w:spacing w:after="0"/>
              <w:rPr>
                <w:sz w:val="20"/>
                <w:szCs w:val="20"/>
                <w:color w:val="auto"/>
              </w:rPr>
            </w:pPr>
            <w:r>
              <w:rPr>
                <w:rFonts w:ascii="Times New Roman" w:cs="Times New Roman" w:eastAsia="Times New Roman" w:hAnsi="Times New Roman"/>
                <w:sz w:val="11"/>
                <w:szCs w:val="11"/>
                <w:color w:val="auto"/>
              </w:rPr>
              <w:t>302</w:t>
            </w:r>
          </w:p>
        </w:tc>
        <w:tc>
          <w:tcPr>
            <w:tcW w:w="1040" w:type="dxa"/>
            <w:vAlign w:val="bottom"/>
            <w:gridSpan w:val="2"/>
          </w:tcPr>
          <w:p>
            <w:pPr>
              <w:jc w:val="right"/>
              <w:ind w:right="103"/>
              <w:spacing w:after="0"/>
              <w:rPr>
                <w:sz w:val="20"/>
                <w:szCs w:val="20"/>
                <w:color w:val="auto"/>
              </w:rPr>
            </w:pPr>
            <w:r>
              <w:rPr>
                <w:rFonts w:ascii="Times New Roman" w:cs="Times New Roman" w:eastAsia="Times New Roman" w:hAnsi="Times New Roman"/>
                <w:sz w:val="11"/>
                <w:szCs w:val="11"/>
                <w:color w:val="auto"/>
              </w:rPr>
              <w:t>27</w:t>
            </w:r>
          </w:p>
        </w:tc>
        <w:tc>
          <w:tcPr>
            <w:tcW w:w="80" w:type="dxa"/>
            <w:vAlign w:val="bottom"/>
          </w:tcPr>
          <w:p>
            <w:pPr>
              <w:spacing w:after="0"/>
              <w:rPr>
                <w:sz w:val="23"/>
                <w:szCs w:val="23"/>
                <w:color w:val="auto"/>
              </w:rPr>
            </w:pPr>
          </w:p>
        </w:tc>
        <w:tc>
          <w:tcPr>
            <w:tcW w:w="220" w:type="dxa"/>
            <w:vAlign w:val="bottom"/>
          </w:tcPr>
          <w:p>
            <w:pPr>
              <w:spacing w:after="0"/>
              <w:rPr>
                <w:sz w:val="23"/>
                <w:szCs w:val="23"/>
                <w:color w:val="auto"/>
              </w:rPr>
            </w:pPr>
          </w:p>
        </w:tc>
        <w:tc>
          <w:tcPr>
            <w:tcW w:w="760" w:type="dxa"/>
            <w:vAlign w:val="bottom"/>
          </w:tcPr>
          <w:p>
            <w:pPr>
              <w:jc w:val="right"/>
              <w:spacing w:after="0"/>
              <w:rPr>
                <w:sz w:val="20"/>
                <w:szCs w:val="20"/>
                <w:color w:val="auto"/>
              </w:rPr>
            </w:pPr>
            <w:r>
              <w:rPr>
                <w:rFonts w:ascii="Times New Roman" w:cs="Times New Roman" w:eastAsia="Times New Roman" w:hAnsi="Times New Roman"/>
                <w:sz w:val="11"/>
                <w:szCs w:val="11"/>
                <w:color w:val="auto"/>
              </w:rPr>
              <w:t>237</w:t>
            </w:r>
          </w:p>
        </w:tc>
        <w:tc>
          <w:tcPr>
            <w:tcW w:w="0" w:type="dxa"/>
            <w:vAlign w:val="bottom"/>
          </w:tcPr>
          <w:p>
            <w:pPr>
              <w:spacing w:after="0"/>
              <w:rPr>
                <w:sz w:val="1"/>
                <w:szCs w:val="1"/>
                <w:color w:val="auto"/>
              </w:rPr>
            </w:pPr>
          </w:p>
        </w:tc>
      </w:tr>
      <w:tr>
        <w:trPr>
          <w:trHeight w:val="265"/>
        </w:trPr>
        <w:tc>
          <w:tcPr>
            <w:tcW w:w="680" w:type="dxa"/>
            <w:vAlign w:val="bottom"/>
          </w:tcPr>
          <w:p>
            <w:pPr>
              <w:jc w:val="right"/>
              <w:ind w:right="43"/>
              <w:spacing w:after="0"/>
              <w:rPr>
                <w:sz w:val="20"/>
                <w:szCs w:val="20"/>
                <w:color w:val="auto"/>
              </w:rPr>
            </w:pPr>
            <w:r>
              <w:rPr>
                <w:rFonts w:ascii="Times New Roman" w:cs="Times New Roman" w:eastAsia="Times New Roman" w:hAnsi="Times New Roman"/>
                <w:sz w:val="11"/>
                <w:szCs w:val="11"/>
                <w:color w:val="auto"/>
              </w:rPr>
              <w:t>(2,388)</w:t>
            </w:r>
          </w:p>
        </w:tc>
        <w:tc>
          <w:tcPr>
            <w:tcW w:w="940" w:type="dxa"/>
            <w:vAlign w:val="bottom"/>
          </w:tcPr>
          <w:p>
            <w:pPr>
              <w:jc w:val="right"/>
              <w:ind w:right="63"/>
              <w:spacing w:after="0"/>
              <w:rPr>
                <w:sz w:val="20"/>
                <w:szCs w:val="20"/>
                <w:color w:val="auto"/>
              </w:rPr>
            </w:pPr>
            <w:r>
              <w:rPr>
                <w:rFonts w:ascii="Times New Roman" w:cs="Times New Roman" w:eastAsia="Times New Roman" w:hAnsi="Times New Roman"/>
                <w:sz w:val="11"/>
                <w:szCs w:val="11"/>
                <w:color w:val="auto"/>
              </w:rPr>
              <w:t>(55)</w:t>
            </w:r>
          </w:p>
        </w:tc>
        <w:tc>
          <w:tcPr>
            <w:tcW w:w="100" w:type="dxa"/>
            <w:vAlign w:val="bottom"/>
          </w:tcPr>
          <w:p>
            <w:pPr>
              <w:spacing w:after="0"/>
              <w:rPr>
                <w:sz w:val="23"/>
                <w:szCs w:val="23"/>
                <w:color w:val="auto"/>
              </w:rPr>
            </w:pPr>
          </w:p>
        </w:tc>
        <w:tc>
          <w:tcPr>
            <w:tcW w:w="220" w:type="dxa"/>
            <w:vAlign w:val="bottom"/>
          </w:tcPr>
          <w:p>
            <w:pPr>
              <w:spacing w:after="0"/>
              <w:rPr>
                <w:sz w:val="23"/>
                <w:szCs w:val="23"/>
                <w:color w:val="auto"/>
              </w:rPr>
            </w:pPr>
          </w:p>
        </w:tc>
        <w:tc>
          <w:tcPr>
            <w:tcW w:w="740" w:type="dxa"/>
            <w:vAlign w:val="bottom"/>
          </w:tcPr>
          <w:p>
            <w:pPr>
              <w:jc w:val="right"/>
              <w:spacing w:after="0"/>
              <w:rPr>
                <w:sz w:val="20"/>
                <w:szCs w:val="20"/>
                <w:color w:val="auto"/>
              </w:rPr>
            </w:pPr>
            <w:r>
              <w:rPr>
                <w:rFonts w:ascii="Times New Roman" w:cs="Times New Roman" w:eastAsia="Times New Roman" w:hAnsi="Times New Roman"/>
                <w:sz w:val="11"/>
                <w:szCs w:val="11"/>
                <w:color w:val="auto"/>
              </w:rPr>
              <w:t>(5,275)</w:t>
            </w:r>
          </w:p>
        </w:tc>
        <w:tc>
          <w:tcPr>
            <w:tcW w:w="1020" w:type="dxa"/>
            <w:vAlign w:val="bottom"/>
            <w:gridSpan w:val="2"/>
          </w:tcPr>
          <w:p>
            <w:pPr>
              <w:jc w:val="right"/>
              <w:ind w:right="83"/>
              <w:spacing w:after="0"/>
              <w:rPr>
                <w:sz w:val="20"/>
                <w:szCs w:val="20"/>
                <w:color w:val="auto"/>
              </w:rPr>
            </w:pPr>
            <w:r>
              <w:rPr>
                <w:rFonts w:ascii="Times New Roman" w:cs="Times New Roman" w:eastAsia="Times New Roman" w:hAnsi="Times New Roman"/>
                <w:sz w:val="11"/>
                <w:szCs w:val="11"/>
                <w:color w:val="auto"/>
              </w:rPr>
              <w:t>125</w:t>
            </w:r>
          </w:p>
        </w:tc>
        <w:tc>
          <w:tcPr>
            <w:tcW w:w="100" w:type="dxa"/>
            <w:vAlign w:val="bottom"/>
          </w:tcPr>
          <w:p>
            <w:pPr>
              <w:spacing w:after="0"/>
              <w:rPr>
                <w:sz w:val="23"/>
                <w:szCs w:val="23"/>
                <w:color w:val="auto"/>
              </w:rPr>
            </w:pPr>
          </w:p>
        </w:tc>
        <w:tc>
          <w:tcPr>
            <w:tcW w:w="220" w:type="dxa"/>
            <w:vAlign w:val="bottom"/>
          </w:tcPr>
          <w:p>
            <w:pPr>
              <w:spacing w:after="0"/>
              <w:rPr>
                <w:sz w:val="23"/>
                <w:szCs w:val="23"/>
                <w:color w:val="auto"/>
              </w:rPr>
            </w:pPr>
          </w:p>
        </w:tc>
        <w:tc>
          <w:tcPr>
            <w:tcW w:w="740" w:type="dxa"/>
            <w:vAlign w:val="bottom"/>
          </w:tcPr>
          <w:p>
            <w:pPr>
              <w:jc w:val="right"/>
              <w:spacing w:after="0"/>
              <w:rPr>
                <w:sz w:val="20"/>
                <w:szCs w:val="20"/>
                <w:color w:val="auto"/>
              </w:rPr>
            </w:pPr>
            <w:r>
              <w:rPr>
                <w:rFonts w:ascii="Times New Roman" w:cs="Times New Roman" w:eastAsia="Times New Roman" w:hAnsi="Times New Roman"/>
                <w:sz w:val="11"/>
                <w:szCs w:val="11"/>
                <w:color w:val="auto"/>
              </w:rPr>
              <w:t>(2,345)</w:t>
            </w:r>
          </w:p>
        </w:tc>
        <w:tc>
          <w:tcPr>
            <w:tcW w:w="1040" w:type="dxa"/>
            <w:vAlign w:val="bottom"/>
            <w:gridSpan w:val="2"/>
          </w:tcPr>
          <w:p>
            <w:pPr>
              <w:jc w:val="right"/>
              <w:ind w:right="103"/>
              <w:spacing w:after="0"/>
              <w:rPr>
                <w:sz w:val="20"/>
                <w:szCs w:val="20"/>
                <w:color w:val="auto"/>
              </w:rPr>
            </w:pPr>
            <w:r>
              <w:rPr>
                <w:rFonts w:ascii="Times New Roman" w:cs="Times New Roman" w:eastAsia="Times New Roman" w:hAnsi="Times New Roman"/>
                <w:sz w:val="11"/>
                <w:szCs w:val="11"/>
                <w:color w:val="auto"/>
              </w:rPr>
              <w:t>160</w:t>
            </w:r>
          </w:p>
        </w:tc>
        <w:tc>
          <w:tcPr>
            <w:tcW w:w="80" w:type="dxa"/>
            <w:vAlign w:val="bottom"/>
          </w:tcPr>
          <w:p>
            <w:pPr>
              <w:spacing w:after="0"/>
              <w:rPr>
                <w:sz w:val="23"/>
                <w:szCs w:val="23"/>
                <w:color w:val="auto"/>
              </w:rPr>
            </w:pPr>
          </w:p>
        </w:tc>
        <w:tc>
          <w:tcPr>
            <w:tcW w:w="620" w:type="dxa"/>
            <w:vAlign w:val="bottom"/>
          </w:tcPr>
          <w:p>
            <w:pPr>
              <w:spacing w:after="0"/>
              <w:rPr>
                <w:sz w:val="23"/>
                <w:szCs w:val="23"/>
                <w:color w:val="auto"/>
              </w:rPr>
            </w:pPr>
          </w:p>
        </w:tc>
        <w:tc>
          <w:tcPr>
            <w:tcW w:w="360" w:type="dxa"/>
            <w:vAlign w:val="bottom"/>
          </w:tcPr>
          <w:p>
            <w:pPr>
              <w:jc w:val="right"/>
              <w:spacing w:after="0"/>
              <w:rPr>
                <w:sz w:val="20"/>
                <w:szCs w:val="20"/>
                <w:color w:val="auto"/>
              </w:rPr>
            </w:pPr>
            <w:r>
              <w:rPr>
                <w:rFonts w:ascii="Times New Roman" w:cs="Times New Roman" w:eastAsia="Times New Roman" w:hAnsi="Times New Roman"/>
                <w:sz w:val="11"/>
                <w:szCs w:val="11"/>
                <w:color w:val="auto"/>
              </w:rPr>
              <w:t>(901)</w:t>
            </w:r>
          </w:p>
        </w:tc>
        <w:tc>
          <w:tcPr>
            <w:tcW w:w="1040" w:type="dxa"/>
            <w:vAlign w:val="bottom"/>
            <w:gridSpan w:val="2"/>
          </w:tcPr>
          <w:p>
            <w:pPr>
              <w:jc w:val="right"/>
              <w:ind w:right="63"/>
              <w:spacing w:after="0"/>
              <w:rPr>
                <w:sz w:val="20"/>
                <w:szCs w:val="20"/>
                <w:color w:val="auto"/>
              </w:rPr>
            </w:pPr>
            <w:r>
              <w:rPr>
                <w:rFonts w:ascii="Times New Roman" w:cs="Times New Roman" w:eastAsia="Times New Roman" w:hAnsi="Times New Roman"/>
                <w:sz w:val="11"/>
                <w:szCs w:val="11"/>
                <w:color w:val="auto"/>
              </w:rPr>
              <w:t>(61)</w:t>
            </w:r>
          </w:p>
        </w:tc>
        <w:tc>
          <w:tcPr>
            <w:tcW w:w="80" w:type="dxa"/>
            <w:vAlign w:val="bottom"/>
          </w:tcPr>
          <w:p>
            <w:pPr>
              <w:spacing w:after="0"/>
              <w:rPr>
                <w:sz w:val="23"/>
                <w:szCs w:val="23"/>
                <w:color w:val="auto"/>
              </w:rPr>
            </w:pPr>
          </w:p>
        </w:tc>
        <w:tc>
          <w:tcPr>
            <w:tcW w:w="220" w:type="dxa"/>
            <w:vAlign w:val="bottom"/>
          </w:tcPr>
          <w:p>
            <w:pPr>
              <w:spacing w:after="0"/>
              <w:rPr>
                <w:sz w:val="23"/>
                <w:szCs w:val="23"/>
                <w:color w:val="auto"/>
              </w:rPr>
            </w:pPr>
          </w:p>
        </w:tc>
        <w:tc>
          <w:tcPr>
            <w:tcW w:w="760" w:type="dxa"/>
            <w:vAlign w:val="bottom"/>
          </w:tcPr>
          <w:p>
            <w:pPr>
              <w:jc w:val="right"/>
              <w:spacing w:after="0"/>
              <w:rPr>
                <w:sz w:val="20"/>
                <w:szCs w:val="20"/>
                <w:color w:val="auto"/>
              </w:rPr>
            </w:pPr>
            <w:r>
              <w:rPr>
                <w:rFonts w:ascii="Times New Roman" w:cs="Times New Roman" w:eastAsia="Times New Roman" w:hAnsi="Times New Roman"/>
                <w:sz w:val="11"/>
                <w:szCs w:val="11"/>
                <w:color w:val="auto"/>
              </w:rPr>
              <w:t>(2,309)</w:t>
            </w: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-1469390</wp:posOffset>
            </wp:positionH>
            <wp:positionV relativeFrom="paragraph">
              <wp:posOffset>-425450</wp:posOffset>
            </wp:positionV>
            <wp:extent cx="7161530" cy="100965"/>
            <wp:wrapNone/>
            <wp:docPr id="41" name="Picture 4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1"/>
                    <pic:cNvPicPr>
                      <a:picLocks noChangeAspect="1" noChangeArrowheads="1"/>
                    </pic:cNvPicPr>
                  </pic:nvPicPr>
                  <pic:blipFill>
                    <a:blip r:embed="rId48">
                      <a:extLst>
                        <a:ext uri="{28A0092B-C50C-407E-A947-70E740481C1C}"/>
                      </a:extLst>
                    </a:blip>
                    <a:srcRect/>
                    <a:stretch>
                      <a:fillRect/>
                    </a:stretch>
                  </pic:blipFill>
                  <pic:spPr bwMode="auto">
                    <a:xfrm>
                      <a:off x="0" y="0"/>
                      <a:ext cx="7161530" cy="100965"/>
                    </a:xfrm>
                    <a:prstGeom prst="rect">
                      <a:avLst/>
                    </a:prstGeom>
                    <a:noFill/>
                  </pic:spPr>
                </pic:pic>
              </a:graphicData>
            </a:graphic>
          </wp:anchor>
        </w:drawing>
        <w:drawing>
          <wp:anchor simplePos="0" relativeHeight="251657728" behindDoc="1" locked="0" layoutInCell="0" allowOverlap="1">
            <wp:simplePos x="0" y="0"/>
            <wp:positionH relativeFrom="column">
              <wp:posOffset>-1469390</wp:posOffset>
            </wp:positionH>
            <wp:positionV relativeFrom="paragraph">
              <wp:posOffset>-155575</wp:posOffset>
            </wp:positionV>
            <wp:extent cx="7161530" cy="168275"/>
            <wp:wrapNone/>
            <wp:docPr id="42" name="Picture 4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2"/>
                    <pic:cNvPicPr>
                      <a:picLocks noChangeAspect="1" noChangeArrowheads="1"/>
                    </pic:cNvPicPr>
                  </pic:nvPicPr>
                  <pic:blipFill>
                    <a:blip r:embed="rId49">
                      <a:extLst>
                        <a:ext uri="{28A0092B-C50C-407E-A947-70E740481C1C}"/>
                      </a:extLst>
                    </a:blip>
                    <a:srcRect/>
                    <a:stretch>
                      <a:fillRect/>
                    </a:stretch>
                  </pic:blipFill>
                  <pic:spPr bwMode="auto">
                    <a:xfrm>
                      <a:off x="0" y="0"/>
                      <a:ext cx="7161530" cy="168275"/>
                    </a:xfrm>
                    <a:prstGeom prst="rect">
                      <a:avLst/>
                    </a:prstGeom>
                    <a:noFill/>
                  </pic:spPr>
                </pic:pic>
              </a:graphicData>
            </a:graphic>
          </wp:anchor>
        </w:drawing>
        <w:drawing>
          <wp:anchor simplePos="0" relativeHeight="251657728" behindDoc="1" locked="0" layoutInCell="0" allowOverlap="1">
            <wp:simplePos x="0" y="0"/>
            <wp:positionH relativeFrom="column">
              <wp:posOffset>-1469390</wp:posOffset>
            </wp:positionH>
            <wp:positionV relativeFrom="paragraph">
              <wp:posOffset>-708025</wp:posOffset>
            </wp:positionV>
            <wp:extent cx="7161530" cy="181610"/>
            <wp:wrapNone/>
            <wp:docPr id="43" name="Picture 4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3"/>
                    <pic:cNvPicPr>
                      <a:picLocks noChangeAspect="1" noChangeArrowheads="1"/>
                    </pic:cNvPicPr>
                  </pic:nvPicPr>
                  <pic:blipFill>
                    <a:blip r:embed="rId50">
                      <a:extLst>
                        <a:ext uri="{28A0092B-C50C-407E-A947-70E740481C1C}"/>
                      </a:extLst>
                    </a:blip>
                    <a:srcRect/>
                    <a:stretch>
                      <a:fillRect/>
                    </a:stretch>
                  </pic:blipFill>
                  <pic:spPr bwMode="auto">
                    <a:xfrm>
                      <a:off x="0" y="0"/>
                      <a:ext cx="7161530" cy="181610"/>
                    </a:xfrm>
                    <a:prstGeom prst="rect">
                      <a:avLst/>
                    </a:prstGeom>
                    <a:noFill/>
                  </pic:spPr>
                </pic:pic>
              </a:graphicData>
            </a:graphic>
          </wp:anchor>
        </w:drawing>
      </w:r>
    </w:p>
    <w:p>
      <w:pPr>
        <w:spacing w:after="0" w:line="11" w:lineRule="exact"/>
        <w:rPr>
          <w:sz w:val="20"/>
          <w:szCs w:val="20"/>
          <w:color w:val="auto"/>
        </w:rPr>
      </w:pPr>
    </w:p>
    <w:p>
      <w:pPr>
        <w:sectPr>
          <w:pgSz w:w="11900" w:h="16838" w:orient="portrait"/>
          <w:cols w:equalWidth="0" w:num="2">
            <w:col w:w="2020" w:space="300"/>
            <w:col w:w="8960"/>
          </w:cols>
          <w:pgMar w:left="300" w:top="814" w:right="319" w:bottom="1440" w:gutter="0" w:footer="0" w:header="0"/>
          <w:type w:val="continuous"/>
        </w:sectPr>
      </w:pPr>
    </w:p>
    <w:tbl>
      <w:tblPr>
        <w:tblLayout w:type="fixed"/>
        <w:tblInd w:w="0" w:type="dxa"/>
        <w:tblCellMar>
          <w:top w:w="0" w:type="dxa"/>
          <w:left w:w="0" w:type="dxa"/>
          <w:bottom w:w="0" w:type="dxa"/>
          <w:right w:w="0" w:type="dxa"/>
        </w:tblCellMar>
      </w:tblPr>
      <w:tr>
        <w:trPr>
          <w:trHeight w:val="158"/>
        </w:trPr>
        <w:tc>
          <w:tcPr>
            <w:tcW w:w="1960" w:type="dxa"/>
            <w:vAlign w:val="bottom"/>
          </w:tcPr>
          <w:p>
            <w:pPr>
              <w:ind w:left="20"/>
              <w:spacing w:after="0"/>
              <w:rPr>
                <w:sz w:val="20"/>
                <w:szCs w:val="20"/>
                <w:color w:val="auto"/>
              </w:rPr>
            </w:pPr>
            <w:r>
              <w:rPr>
                <w:rFonts w:ascii="Times New Roman" w:cs="Times New Roman" w:eastAsia="Times New Roman" w:hAnsi="Times New Roman"/>
                <w:sz w:val="11"/>
                <w:szCs w:val="11"/>
                <w:b w:val="1"/>
                <w:bCs w:val="1"/>
                <w:color w:val="auto"/>
              </w:rPr>
              <w:t>Economic Earnings</w:t>
            </w:r>
          </w:p>
        </w:tc>
        <w:tc>
          <w:tcPr>
            <w:tcW w:w="320" w:type="dxa"/>
            <w:vAlign w:val="bottom"/>
            <w:tcBorders>
              <w:top w:val="single" w:sz="8" w:color="auto"/>
              <w:bottom w:val="single" w:sz="8" w:color="auto"/>
            </w:tcBorders>
          </w:tcPr>
          <w:p>
            <w:pPr>
              <w:jc w:val="right"/>
              <w:ind w:right="203"/>
              <w:spacing w:after="0"/>
              <w:rPr>
                <w:sz w:val="20"/>
                <w:szCs w:val="20"/>
                <w:color w:val="auto"/>
              </w:rPr>
            </w:pPr>
            <w:r>
              <w:rPr>
                <w:rFonts w:ascii="Times New Roman" w:cs="Times New Roman" w:eastAsia="Times New Roman" w:hAnsi="Times New Roman"/>
                <w:sz w:val="11"/>
                <w:szCs w:val="11"/>
                <w:color w:val="auto"/>
                <w:w w:val="71"/>
              </w:rPr>
              <w:t>$</w:t>
            </w:r>
          </w:p>
        </w:tc>
        <w:tc>
          <w:tcPr>
            <w:tcW w:w="640" w:type="dxa"/>
            <w:vAlign w:val="bottom"/>
            <w:tcBorders>
              <w:top w:val="single" w:sz="8" w:color="auto"/>
              <w:bottom w:val="single" w:sz="8" w:color="auto"/>
            </w:tcBorders>
          </w:tcPr>
          <w:p>
            <w:pPr>
              <w:jc w:val="right"/>
              <w:ind w:right="3"/>
              <w:spacing w:after="0"/>
              <w:rPr>
                <w:sz w:val="20"/>
                <w:szCs w:val="20"/>
                <w:color w:val="auto"/>
              </w:rPr>
            </w:pPr>
            <w:r>
              <w:rPr>
                <w:rFonts w:ascii="Times New Roman" w:cs="Times New Roman" w:eastAsia="Times New Roman" w:hAnsi="Times New Roman"/>
                <w:sz w:val="11"/>
                <w:szCs w:val="11"/>
                <w:color w:val="auto"/>
              </w:rPr>
              <w:t>14,296</w:t>
            </w:r>
          </w:p>
        </w:tc>
        <w:tc>
          <w:tcPr>
            <w:tcW w:w="1120" w:type="dxa"/>
            <w:vAlign w:val="bottom"/>
          </w:tcPr>
          <w:p>
            <w:pPr>
              <w:jc w:val="right"/>
              <w:ind w:right="63"/>
              <w:spacing w:after="0"/>
              <w:rPr>
                <w:sz w:val="20"/>
                <w:szCs w:val="20"/>
                <w:color w:val="auto"/>
              </w:rPr>
            </w:pPr>
            <w:r>
              <w:rPr>
                <w:rFonts w:ascii="Times New Roman" w:cs="Times New Roman" w:eastAsia="Times New Roman" w:hAnsi="Times New Roman"/>
                <w:sz w:val="11"/>
                <w:szCs w:val="11"/>
                <w:color w:val="auto"/>
              </w:rPr>
              <w:t>105 %</w:t>
            </w:r>
          </w:p>
        </w:tc>
        <w:tc>
          <w:tcPr>
            <w:tcW w:w="360" w:type="dxa"/>
            <w:vAlign w:val="bottom"/>
            <w:tcBorders>
              <w:top w:val="single" w:sz="8" w:color="auto"/>
              <w:bottom w:val="single" w:sz="8" w:color="auto"/>
            </w:tcBorders>
          </w:tcPr>
          <w:p>
            <w:pPr>
              <w:jc w:val="right"/>
              <w:ind w:right="243"/>
              <w:spacing w:after="0"/>
              <w:rPr>
                <w:sz w:val="20"/>
                <w:szCs w:val="20"/>
                <w:color w:val="auto"/>
              </w:rPr>
            </w:pPr>
            <w:r>
              <w:rPr>
                <w:rFonts w:ascii="Times New Roman" w:cs="Times New Roman" w:eastAsia="Times New Roman" w:hAnsi="Times New Roman"/>
                <w:sz w:val="11"/>
                <w:szCs w:val="11"/>
                <w:color w:val="auto"/>
                <w:w w:val="71"/>
              </w:rPr>
              <w:t>$</w:t>
            </w:r>
          </w:p>
        </w:tc>
        <w:tc>
          <w:tcPr>
            <w:tcW w:w="600" w:type="dxa"/>
            <w:vAlign w:val="bottom"/>
            <w:tcBorders>
              <w:top w:val="single" w:sz="8" w:color="auto"/>
              <w:bottom w:val="single" w:sz="8" w:color="auto"/>
            </w:tcBorders>
          </w:tcPr>
          <w:p>
            <w:pPr>
              <w:jc w:val="right"/>
              <w:ind w:right="3"/>
              <w:spacing w:after="0"/>
              <w:rPr>
                <w:sz w:val="20"/>
                <w:szCs w:val="20"/>
                <w:color w:val="auto"/>
              </w:rPr>
            </w:pPr>
            <w:r>
              <w:rPr>
                <w:rFonts w:ascii="Times New Roman" w:cs="Times New Roman" w:eastAsia="Times New Roman" w:hAnsi="Times New Roman"/>
                <w:sz w:val="11"/>
                <w:szCs w:val="11"/>
                <w:color w:val="auto"/>
              </w:rPr>
              <w:t>6,965</w:t>
            </w:r>
          </w:p>
        </w:tc>
        <w:tc>
          <w:tcPr>
            <w:tcW w:w="1120" w:type="dxa"/>
            <w:vAlign w:val="bottom"/>
          </w:tcPr>
          <w:p>
            <w:pPr>
              <w:jc w:val="right"/>
              <w:ind w:right="63"/>
              <w:spacing w:after="0"/>
              <w:rPr>
                <w:sz w:val="20"/>
                <w:szCs w:val="20"/>
                <w:color w:val="auto"/>
              </w:rPr>
            </w:pPr>
            <w:r>
              <w:rPr>
                <w:rFonts w:ascii="Times New Roman" w:cs="Times New Roman" w:eastAsia="Times New Roman" w:hAnsi="Times New Roman"/>
                <w:sz w:val="11"/>
                <w:szCs w:val="11"/>
                <w:color w:val="auto"/>
              </w:rPr>
              <w:t>(62)%</w:t>
            </w:r>
          </w:p>
        </w:tc>
        <w:tc>
          <w:tcPr>
            <w:tcW w:w="340" w:type="dxa"/>
            <w:vAlign w:val="bottom"/>
            <w:tcBorders>
              <w:top w:val="single" w:sz="8" w:color="auto"/>
              <w:bottom w:val="single" w:sz="8" w:color="auto"/>
            </w:tcBorders>
          </w:tcPr>
          <w:p>
            <w:pPr>
              <w:jc w:val="right"/>
              <w:ind w:right="223"/>
              <w:spacing w:after="0"/>
              <w:rPr>
                <w:sz w:val="20"/>
                <w:szCs w:val="20"/>
                <w:color w:val="auto"/>
              </w:rPr>
            </w:pPr>
            <w:r>
              <w:rPr>
                <w:rFonts w:ascii="Times New Roman" w:cs="Times New Roman" w:eastAsia="Times New Roman" w:hAnsi="Times New Roman"/>
                <w:sz w:val="11"/>
                <w:szCs w:val="11"/>
                <w:color w:val="auto"/>
                <w:w w:val="71"/>
              </w:rPr>
              <w:t>$</w:t>
            </w:r>
          </w:p>
        </w:tc>
        <w:tc>
          <w:tcPr>
            <w:tcW w:w="62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1"/>
                <w:szCs w:val="11"/>
                <w:color w:val="auto"/>
              </w:rPr>
              <w:t>18,342</w:t>
            </w:r>
          </w:p>
        </w:tc>
        <w:tc>
          <w:tcPr>
            <w:tcW w:w="1120" w:type="dxa"/>
            <w:vAlign w:val="bottom"/>
          </w:tcPr>
          <w:p>
            <w:pPr>
              <w:jc w:val="right"/>
              <w:ind w:right="43"/>
              <w:spacing w:after="0"/>
              <w:rPr>
                <w:sz w:val="20"/>
                <w:szCs w:val="20"/>
                <w:color w:val="auto"/>
              </w:rPr>
            </w:pPr>
            <w:r>
              <w:rPr>
                <w:rFonts w:ascii="Times New Roman" w:cs="Times New Roman" w:eastAsia="Times New Roman" w:hAnsi="Times New Roman"/>
                <w:sz w:val="11"/>
                <w:szCs w:val="11"/>
                <w:color w:val="auto"/>
              </w:rPr>
              <w:t>589 %</w:t>
            </w:r>
          </w:p>
        </w:tc>
        <w:tc>
          <w:tcPr>
            <w:tcW w:w="380" w:type="dxa"/>
            <w:vAlign w:val="bottom"/>
            <w:tcBorders>
              <w:top w:val="single" w:sz="8" w:color="auto"/>
              <w:bottom w:val="single" w:sz="8" w:color="auto"/>
            </w:tcBorders>
          </w:tcPr>
          <w:p>
            <w:pPr>
              <w:jc w:val="right"/>
              <w:ind w:right="243"/>
              <w:spacing w:after="0"/>
              <w:rPr>
                <w:sz w:val="20"/>
                <w:szCs w:val="20"/>
                <w:color w:val="auto"/>
              </w:rPr>
            </w:pPr>
            <w:r>
              <w:rPr>
                <w:rFonts w:ascii="Times New Roman" w:cs="Times New Roman" w:eastAsia="Times New Roman" w:hAnsi="Times New Roman"/>
                <w:sz w:val="11"/>
                <w:szCs w:val="11"/>
                <w:color w:val="auto"/>
              </w:rPr>
              <w:t>$</w:t>
            </w:r>
          </w:p>
        </w:tc>
        <w:tc>
          <w:tcPr>
            <w:tcW w:w="600" w:type="dxa"/>
            <w:vAlign w:val="bottom"/>
            <w:tcBorders>
              <w:top w:val="single" w:sz="8" w:color="auto"/>
              <w:bottom w:val="single" w:sz="8" w:color="auto"/>
            </w:tcBorders>
          </w:tcPr>
          <w:p>
            <w:pPr>
              <w:jc w:val="right"/>
              <w:ind w:right="3"/>
              <w:spacing w:after="0"/>
              <w:rPr>
                <w:sz w:val="20"/>
                <w:szCs w:val="20"/>
                <w:color w:val="auto"/>
              </w:rPr>
            </w:pPr>
            <w:r>
              <w:rPr>
                <w:rFonts w:ascii="Times New Roman" w:cs="Times New Roman" w:eastAsia="Times New Roman" w:hAnsi="Times New Roman"/>
                <w:sz w:val="11"/>
                <w:szCs w:val="11"/>
                <w:color w:val="auto"/>
              </w:rPr>
              <w:t>2,663</w:t>
            </w:r>
          </w:p>
        </w:tc>
        <w:tc>
          <w:tcPr>
            <w:tcW w:w="1120" w:type="dxa"/>
            <w:vAlign w:val="bottom"/>
          </w:tcPr>
          <w:p>
            <w:pPr>
              <w:jc w:val="right"/>
              <w:ind w:right="43"/>
              <w:spacing w:after="0"/>
              <w:rPr>
                <w:sz w:val="20"/>
                <w:szCs w:val="20"/>
                <w:color w:val="auto"/>
              </w:rPr>
            </w:pPr>
            <w:r>
              <w:rPr>
                <w:rFonts w:ascii="Times New Roman" w:cs="Times New Roman" w:eastAsia="Times New Roman" w:hAnsi="Times New Roman"/>
                <w:sz w:val="11"/>
                <w:szCs w:val="11"/>
                <w:color w:val="auto"/>
              </w:rPr>
              <w:t>(82)%</w:t>
            </w:r>
          </w:p>
        </w:tc>
        <w:tc>
          <w:tcPr>
            <w:tcW w:w="360" w:type="dxa"/>
            <w:vAlign w:val="bottom"/>
            <w:tcBorders>
              <w:top w:val="single" w:sz="8" w:color="auto"/>
              <w:bottom w:val="single" w:sz="8" w:color="auto"/>
            </w:tcBorders>
          </w:tcPr>
          <w:p>
            <w:pPr>
              <w:jc w:val="right"/>
              <w:ind w:right="223"/>
              <w:spacing w:after="0"/>
              <w:rPr>
                <w:sz w:val="20"/>
                <w:szCs w:val="20"/>
                <w:color w:val="auto"/>
              </w:rPr>
            </w:pPr>
            <w:r>
              <w:rPr>
                <w:rFonts w:ascii="Times New Roman" w:cs="Times New Roman" w:eastAsia="Times New Roman" w:hAnsi="Times New Roman"/>
                <w:sz w:val="11"/>
                <w:szCs w:val="11"/>
                <w:color w:val="auto"/>
              </w:rPr>
              <w:t>$</w:t>
            </w:r>
          </w:p>
        </w:tc>
        <w:tc>
          <w:tcPr>
            <w:tcW w:w="62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1"/>
                <w:szCs w:val="11"/>
                <w:color w:val="auto"/>
              </w:rPr>
              <w:t>15,149</w:t>
            </w:r>
          </w:p>
        </w:tc>
      </w:tr>
      <w:tr>
        <w:trPr>
          <w:trHeight w:val="20"/>
        </w:trPr>
        <w:tc>
          <w:tcPr>
            <w:tcW w:w="1960" w:type="dxa"/>
            <w:vAlign w:val="bottom"/>
            <w:tcBorders>
              <w:bottom w:val="single" w:sz="8" w:color="CCEEFF"/>
            </w:tcBorders>
          </w:tcPr>
          <w:p>
            <w:pPr>
              <w:spacing w:after="0" w:line="20" w:lineRule="exact"/>
              <w:rPr>
                <w:sz w:val="1"/>
                <w:szCs w:val="1"/>
                <w:color w:val="auto"/>
              </w:rPr>
            </w:pPr>
          </w:p>
        </w:tc>
        <w:tc>
          <w:tcPr>
            <w:tcW w:w="320" w:type="dxa"/>
            <w:vAlign w:val="bottom"/>
            <w:tcBorders>
              <w:bottom w:val="single" w:sz="8" w:color="auto"/>
            </w:tcBorders>
          </w:tcPr>
          <w:p>
            <w:pPr>
              <w:spacing w:after="0" w:line="20" w:lineRule="exact"/>
              <w:rPr>
                <w:sz w:val="1"/>
                <w:szCs w:val="1"/>
                <w:color w:val="auto"/>
              </w:rPr>
            </w:pPr>
          </w:p>
        </w:tc>
        <w:tc>
          <w:tcPr>
            <w:tcW w:w="640" w:type="dxa"/>
            <w:vAlign w:val="bottom"/>
            <w:tcBorders>
              <w:bottom w:val="single" w:sz="8" w:color="auto"/>
            </w:tcBorders>
          </w:tcPr>
          <w:p>
            <w:pPr>
              <w:spacing w:after="0" w:line="20" w:lineRule="exact"/>
              <w:rPr>
                <w:sz w:val="1"/>
                <w:szCs w:val="1"/>
                <w:color w:val="auto"/>
              </w:rPr>
            </w:pPr>
          </w:p>
        </w:tc>
        <w:tc>
          <w:tcPr>
            <w:tcW w:w="1120" w:type="dxa"/>
            <w:vAlign w:val="bottom"/>
            <w:tcBorders>
              <w:bottom w:val="single" w:sz="8" w:color="CCEEFF"/>
            </w:tcBorders>
          </w:tcPr>
          <w:p>
            <w:pPr>
              <w:spacing w:after="0" w:line="20" w:lineRule="exact"/>
              <w:rPr>
                <w:sz w:val="1"/>
                <w:szCs w:val="1"/>
                <w:color w:val="auto"/>
              </w:rPr>
            </w:pPr>
          </w:p>
        </w:tc>
        <w:tc>
          <w:tcPr>
            <w:tcW w:w="360" w:type="dxa"/>
            <w:vAlign w:val="bottom"/>
            <w:tcBorders>
              <w:bottom w:val="single" w:sz="8" w:color="auto"/>
            </w:tcBorders>
          </w:tcPr>
          <w:p>
            <w:pPr>
              <w:spacing w:after="0" w:line="20" w:lineRule="exact"/>
              <w:rPr>
                <w:sz w:val="1"/>
                <w:szCs w:val="1"/>
                <w:color w:val="auto"/>
              </w:rPr>
            </w:pPr>
          </w:p>
        </w:tc>
        <w:tc>
          <w:tcPr>
            <w:tcW w:w="600" w:type="dxa"/>
            <w:vAlign w:val="bottom"/>
            <w:tcBorders>
              <w:bottom w:val="single" w:sz="8" w:color="auto"/>
            </w:tcBorders>
          </w:tcPr>
          <w:p>
            <w:pPr>
              <w:spacing w:after="0" w:line="20" w:lineRule="exact"/>
              <w:rPr>
                <w:sz w:val="1"/>
                <w:szCs w:val="1"/>
                <w:color w:val="auto"/>
              </w:rPr>
            </w:pPr>
          </w:p>
        </w:tc>
        <w:tc>
          <w:tcPr>
            <w:tcW w:w="1120" w:type="dxa"/>
            <w:vAlign w:val="bottom"/>
            <w:tcBorders>
              <w:bottom w:val="single" w:sz="8" w:color="CCEEFF"/>
            </w:tcBorders>
          </w:tcPr>
          <w:p>
            <w:pPr>
              <w:spacing w:after="0" w:line="20" w:lineRule="exact"/>
              <w:rPr>
                <w:sz w:val="1"/>
                <w:szCs w:val="1"/>
                <w:color w:val="auto"/>
              </w:rPr>
            </w:pPr>
          </w:p>
        </w:tc>
        <w:tc>
          <w:tcPr>
            <w:tcW w:w="340" w:type="dxa"/>
            <w:vAlign w:val="bottom"/>
            <w:tcBorders>
              <w:bottom w:val="single" w:sz="8" w:color="auto"/>
            </w:tcBorders>
          </w:tcPr>
          <w:p>
            <w:pPr>
              <w:spacing w:after="0" w:line="20" w:lineRule="exact"/>
              <w:rPr>
                <w:sz w:val="1"/>
                <w:szCs w:val="1"/>
                <w:color w:val="auto"/>
              </w:rPr>
            </w:pPr>
          </w:p>
        </w:tc>
        <w:tc>
          <w:tcPr>
            <w:tcW w:w="620" w:type="dxa"/>
            <w:vAlign w:val="bottom"/>
            <w:tcBorders>
              <w:bottom w:val="single" w:sz="8" w:color="auto"/>
            </w:tcBorders>
          </w:tcPr>
          <w:p>
            <w:pPr>
              <w:spacing w:after="0" w:line="20" w:lineRule="exact"/>
              <w:rPr>
                <w:sz w:val="1"/>
                <w:szCs w:val="1"/>
                <w:color w:val="auto"/>
              </w:rPr>
            </w:pPr>
          </w:p>
        </w:tc>
        <w:tc>
          <w:tcPr>
            <w:tcW w:w="1120" w:type="dxa"/>
            <w:vAlign w:val="bottom"/>
            <w:tcBorders>
              <w:bottom w:val="single" w:sz="8" w:color="CCEEFF"/>
            </w:tcBorders>
          </w:tcPr>
          <w:p>
            <w:pPr>
              <w:spacing w:after="0" w:line="20" w:lineRule="exact"/>
              <w:rPr>
                <w:sz w:val="1"/>
                <w:szCs w:val="1"/>
                <w:color w:val="auto"/>
              </w:rPr>
            </w:pPr>
          </w:p>
        </w:tc>
        <w:tc>
          <w:tcPr>
            <w:tcW w:w="380" w:type="dxa"/>
            <w:vAlign w:val="bottom"/>
            <w:tcBorders>
              <w:bottom w:val="single" w:sz="8" w:color="auto"/>
            </w:tcBorders>
          </w:tcPr>
          <w:p>
            <w:pPr>
              <w:spacing w:after="0" w:line="20" w:lineRule="exact"/>
              <w:rPr>
                <w:sz w:val="1"/>
                <w:szCs w:val="1"/>
                <w:color w:val="auto"/>
              </w:rPr>
            </w:pPr>
          </w:p>
        </w:tc>
        <w:tc>
          <w:tcPr>
            <w:tcW w:w="600" w:type="dxa"/>
            <w:vAlign w:val="bottom"/>
            <w:tcBorders>
              <w:bottom w:val="single" w:sz="8" w:color="auto"/>
            </w:tcBorders>
          </w:tcPr>
          <w:p>
            <w:pPr>
              <w:spacing w:after="0" w:line="20" w:lineRule="exact"/>
              <w:rPr>
                <w:sz w:val="1"/>
                <w:szCs w:val="1"/>
                <w:color w:val="auto"/>
              </w:rPr>
            </w:pPr>
          </w:p>
        </w:tc>
        <w:tc>
          <w:tcPr>
            <w:tcW w:w="1120" w:type="dxa"/>
            <w:vAlign w:val="bottom"/>
            <w:tcBorders>
              <w:bottom w:val="single" w:sz="8" w:color="CCEEFF"/>
            </w:tcBorders>
          </w:tcPr>
          <w:p>
            <w:pPr>
              <w:spacing w:after="0" w:line="20" w:lineRule="exact"/>
              <w:rPr>
                <w:sz w:val="1"/>
                <w:szCs w:val="1"/>
                <w:color w:val="auto"/>
              </w:rPr>
            </w:pPr>
          </w:p>
        </w:tc>
        <w:tc>
          <w:tcPr>
            <w:tcW w:w="360" w:type="dxa"/>
            <w:vAlign w:val="bottom"/>
            <w:tcBorders>
              <w:bottom w:val="single" w:sz="8" w:color="auto"/>
            </w:tcBorders>
          </w:tcPr>
          <w:p>
            <w:pPr>
              <w:spacing w:after="0" w:line="20" w:lineRule="exact"/>
              <w:rPr>
                <w:sz w:val="1"/>
                <w:szCs w:val="1"/>
                <w:color w:val="auto"/>
              </w:rPr>
            </w:pPr>
          </w:p>
        </w:tc>
        <w:tc>
          <w:tcPr>
            <w:tcW w:w="620" w:type="dxa"/>
            <w:vAlign w:val="bottom"/>
            <w:tcBorders>
              <w:bottom w:val="single" w:sz="8" w:color="auto"/>
            </w:tcBorders>
          </w:tcPr>
          <w:p>
            <w:pPr>
              <w:spacing w:after="0" w:line="20" w:lineRule="exact"/>
              <w:rPr>
                <w:sz w:val="1"/>
                <w:szCs w:val="1"/>
                <w:color w:val="auto"/>
              </w:rPr>
            </w:pPr>
          </w:p>
        </w:tc>
      </w:tr>
      <w:tr>
        <w:trPr>
          <w:trHeight w:val="142"/>
        </w:trPr>
        <w:tc>
          <w:tcPr>
            <w:tcW w:w="196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1"/>
                <w:szCs w:val="11"/>
                <w:b w:val="1"/>
                <w:bCs w:val="1"/>
                <w:color w:val="auto"/>
              </w:rPr>
              <w:t>Economic Earnings per Share</w:t>
            </w:r>
          </w:p>
        </w:tc>
        <w:tc>
          <w:tcPr>
            <w:tcW w:w="320" w:type="dxa"/>
            <w:vAlign w:val="bottom"/>
            <w:shd w:val="clear" w:color="auto" w:fill="CCEEFF"/>
          </w:tcPr>
          <w:p>
            <w:pPr>
              <w:jc w:val="right"/>
              <w:ind w:right="203"/>
              <w:spacing w:after="0"/>
              <w:rPr>
                <w:sz w:val="20"/>
                <w:szCs w:val="20"/>
                <w:color w:val="auto"/>
              </w:rPr>
            </w:pPr>
            <w:r>
              <w:rPr>
                <w:rFonts w:ascii="Times New Roman" w:cs="Times New Roman" w:eastAsia="Times New Roman" w:hAnsi="Times New Roman"/>
                <w:sz w:val="11"/>
                <w:szCs w:val="11"/>
                <w:color w:val="auto"/>
                <w:w w:val="71"/>
              </w:rPr>
              <w:t>$</w:t>
            </w:r>
          </w:p>
        </w:tc>
        <w:tc>
          <w:tcPr>
            <w:tcW w:w="640" w:type="dxa"/>
            <w:vAlign w:val="bottom"/>
            <w:shd w:val="clear" w:color="auto" w:fill="CCEEFF"/>
          </w:tcPr>
          <w:p>
            <w:pPr>
              <w:jc w:val="right"/>
              <w:ind w:right="3"/>
              <w:spacing w:after="0"/>
              <w:rPr>
                <w:sz w:val="20"/>
                <w:szCs w:val="20"/>
                <w:color w:val="auto"/>
              </w:rPr>
            </w:pPr>
            <w:r>
              <w:rPr>
                <w:rFonts w:ascii="Times New Roman" w:cs="Times New Roman" w:eastAsia="Times New Roman" w:hAnsi="Times New Roman"/>
                <w:sz w:val="11"/>
                <w:szCs w:val="11"/>
                <w:color w:val="auto"/>
              </w:rPr>
              <w:t>1.61</w:t>
            </w:r>
          </w:p>
        </w:tc>
        <w:tc>
          <w:tcPr>
            <w:tcW w:w="1120" w:type="dxa"/>
            <w:vAlign w:val="bottom"/>
            <w:shd w:val="clear" w:color="auto" w:fill="CCEEFF"/>
          </w:tcPr>
          <w:p>
            <w:pPr>
              <w:jc w:val="right"/>
              <w:ind w:right="63"/>
              <w:spacing w:after="0"/>
              <w:rPr>
                <w:sz w:val="20"/>
                <w:szCs w:val="20"/>
                <w:color w:val="auto"/>
              </w:rPr>
            </w:pPr>
            <w:r>
              <w:rPr>
                <w:rFonts w:ascii="Times New Roman" w:cs="Times New Roman" w:eastAsia="Times New Roman" w:hAnsi="Times New Roman"/>
                <w:sz w:val="11"/>
                <w:szCs w:val="11"/>
                <w:color w:val="auto"/>
              </w:rPr>
              <w:t>96 %</w:t>
            </w:r>
          </w:p>
        </w:tc>
        <w:tc>
          <w:tcPr>
            <w:tcW w:w="360" w:type="dxa"/>
            <w:vAlign w:val="bottom"/>
            <w:shd w:val="clear" w:color="auto" w:fill="CCEEFF"/>
          </w:tcPr>
          <w:p>
            <w:pPr>
              <w:jc w:val="right"/>
              <w:ind w:right="243"/>
              <w:spacing w:after="0"/>
              <w:rPr>
                <w:sz w:val="20"/>
                <w:szCs w:val="20"/>
                <w:color w:val="auto"/>
              </w:rPr>
            </w:pPr>
            <w:r>
              <w:rPr>
                <w:rFonts w:ascii="Times New Roman" w:cs="Times New Roman" w:eastAsia="Times New Roman" w:hAnsi="Times New Roman"/>
                <w:sz w:val="11"/>
                <w:szCs w:val="11"/>
                <w:color w:val="auto"/>
                <w:w w:val="71"/>
              </w:rPr>
              <w:t>$</w:t>
            </w:r>
          </w:p>
        </w:tc>
        <w:tc>
          <w:tcPr>
            <w:tcW w:w="600" w:type="dxa"/>
            <w:vAlign w:val="bottom"/>
            <w:shd w:val="clear" w:color="auto" w:fill="CCEEFF"/>
          </w:tcPr>
          <w:p>
            <w:pPr>
              <w:jc w:val="right"/>
              <w:ind w:right="3"/>
              <w:spacing w:after="0"/>
              <w:rPr>
                <w:sz w:val="20"/>
                <w:szCs w:val="20"/>
                <w:color w:val="auto"/>
              </w:rPr>
            </w:pPr>
            <w:r>
              <w:rPr>
                <w:rFonts w:ascii="Times New Roman" w:cs="Times New Roman" w:eastAsia="Times New Roman" w:hAnsi="Times New Roman"/>
                <w:sz w:val="11"/>
                <w:szCs w:val="11"/>
                <w:color w:val="auto"/>
              </w:rPr>
              <w:t>0.82</w:t>
            </w:r>
          </w:p>
        </w:tc>
        <w:tc>
          <w:tcPr>
            <w:tcW w:w="1120" w:type="dxa"/>
            <w:vAlign w:val="bottom"/>
            <w:shd w:val="clear" w:color="auto" w:fill="CCEEFF"/>
          </w:tcPr>
          <w:p>
            <w:pPr>
              <w:jc w:val="right"/>
              <w:ind w:right="63"/>
              <w:spacing w:after="0"/>
              <w:rPr>
                <w:sz w:val="20"/>
                <w:szCs w:val="20"/>
                <w:color w:val="auto"/>
              </w:rPr>
            </w:pPr>
            <w:r>
              <w:rPr>
                <w:rFonts w:ascii="Times New Roman" w:cs="Times New Roman" w:eastAsia="Times New Roman" w:hAnsi="Times New Roman"/>
                <w:sz w:val="11"/>
                <w:szCs w:val="11"/>
                <w:color w:val="auto"/>
              </w:rPr>
              <w:t>(64)%</w:t>
            </w:r>
          </w:p>
        </w:tc>
        <w:tc>
          <w:tcPr>
            <w:tcW w:w="340" w:type="dxa"/>
            <w:vAlign w:val="bottom"/>
            <w:shd w:val="clear" w:color="auto" w:fill="CCEEFF"/>
          </w:tcPr>
          <w:p>
            <w:pPr>
              <w:jc w:val="right"/>
              <w:ind w:right="223"/>
              <w:spacing w:after="0"/>
              <w:rPr>
                <w:sz w:val="20"/>
                <w:szCs w:val="20"/>
                <w:color w:val="auto"/>
              </w:rPr>
            </w:pPr>
            <w:r>
              <w:rPr>
                <w:rFonts w:ascii="Times New Roman" w:cs="Times New Roman" w:eastAsia="Times New Roman" w:hAnsi="Times New Roman"/>
                <w:sz w:val="11"/>
                <w:szCs w:val="11"/>
                <w:color w:val="auto"/>
                <w:w w:val="71"/>
              </w:rPr>
              <w:t>$</w:t>
            </w:r>
          </w:p>
        </w:tc>
        <w:tc>
          <w:tcPr>
            <w:tcW w:w="6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1"/>
                <w:szCs w:val="11"/>
                <w:color w:val="auto"/>
              </w:rPr>
              <w:t>2.26</w:t>
            </w:r>
          </w:p>
        </w:tc>
        <w:tc>
          <w:tcPr>
            <w:tcW w:w="1120" w:type="dxa"/>
            <w:vAlign w:val="bottom"/>
            <w:shd w:val="clear" w:color="auto" w:fill="CCEEFF"/>
          </w:tcPr>
          <w:p>
            <w:pPr>
              <w:jc w:val="right"/>
              <w:ind w:right="43"/>
              <w:spacing w:after="0"/>
              <w:rPr>
                <w:sz w:val="20"/>
                <w:szCs w:val="20"/>
                <w:color w:val="auto"/>
              </w:rPr>
            </w:pPr>
            <w:r>
              <w:rPr>
                <w:rFonts w:ascii="Times New Roman" w:cs="Times New Roman" w:eastAsia="Times New Roman" w:hAnsi="Times New Roman"/>
                <w:sz w:val="11"/>
                <w:szCs w:val="11"/>
                <w:color w:val="auto"/>
              </w:rPr>
              <w:t>402 %</w:t>
            </w:r>
          </w:p>
        </w:tc>
        <w:tc>
          <w:tcPr>
            <w:tcW w:w="380" w:type="dxa"/>
            <w:vAlign w:val="bottom"/>
            <w:shd w:val="clear" w:color="auto" w:fill="CCEEFF"/>
          </w:tcPr>
          <w:p>
            <w:pPr>
              <w:jc w:val="right"/>
              <w:ind w:right="243"/>
              <w:spacing w:after="0"/>
              <w:rPr>
                <w:sz w:val="20"/>
                <w:szCs w:val="20"/>
                <w:color w:val="auto"/>
              </w:rPr>
            </w:pPr>
            <w:r>
              <w:rPr>
                <w:rFonts w:ascii="Times New Roman" w:cs="Times New Roman" w:eastAsia="Times New Roman" w:hAnsi="Times New Roman"/>
                <w:sz w:val="11"/>
                <w:szCs w:val="11"/>
                <w:color w:val="auto"/>
              </w:rPr>
              <w:t>$</w:t>
            </w:r>
          </w:p>
        </w:tc>
        <w:tc>
          <w:tcPr>
            <w:tcW w:w="600" w:type="dxa"/>
            <w:vAlign w:val="bottom"/>
            <w:shd w:val="clear" w:color="auto" w:fill="CCEEFF"/>
          </w:tcPr>
          <w:p>
            <w:pPr>
              <w:jc w:val="right"/>
              <w:ind w:right="3"/>
              <w:spacing w:after="0"/>
              <w:rPr>
                <w:sz w:val="20"/>
                <w:szCs w:val="20"/>
                <w:color w:val="auto"/>
              </w:rPr>
            </w:pPr>
            <w:r>
              <w:rPr>
                <w:rFonts w:ascii="Times New Roman" w:cs="Times New Roman" w:eastAsia="Times New Roman" w:hAnsi="Times New Roman"/>
                <w:sz w:val="11"/>
                <w:szCs w:val="11"/>
                <w:color w:val="auto"/>
              </w:rPr>
              <w:t>0.45</w:t>
            </w:r>
          </w:p>
        </w:tc>
        <w:tc>
          <w:tcPr>
            <w:tcW w:w="1120" w:type="dxa"/>
            <w:vAlign w:val="bottom"/>
            <w:shd w:val="clear" w:color="auto" w:fill="CCEEFF"/>
          </w:tcPr>
          <w:p>
            <w:pPr>
              <w:jc w:val="right"/>
              <w:ind w:right="43"/>
              <w:spacing w:after="0"/>
              <w:rPr>
                <w:sz w:val="20"/>
                <w:szCs w:val="20"/>
                <w:color w:val="auto"/>
              </w:rPr>
            </w:pPr>
            <w:r>
              <w:rPr>
                <w:rFonts w:ascii="Times New Roman" w:cs="Times New Roman" w:eastAsia="Times New Roman" w:hAnsi="Times New Roman"/>
                <w:sz w:val="11"/>
                <w:szCs w:val="11"/>
                <w:color w:val="auto"/>
              </w:rPr>
              <w:t>(80)%</w:t>
            </w:r>
          </w:p>
        </w:tc>
        <w:tc>
          <w:tcPr>
            <w:tcW w:w="360" w:type="dxa"/>
            <w:vAlign w:val="bottom"/>
            <w:shd w:val="clear" w:color="auto" w:fill="CCEEFF"/>
          </w:tcPr>
          <w:p>
            <w:pPr>
              <w:jc w:val="right"/>
              <w:ind w:right="223"/>
              <w:spacing w:after="0"/>
              <w:rPr>
                <w:sz w:val="20"/>
                <w:szCs w:val="20"/>
                <w:color w:val="auto"/>
              </w:rPr>
            </w:pPr>
            <w:r>
              <w:rPr>
                <w:rFonts w:ascii="Times New Roman" w:cs="Times New Roman" w:eastAsia="Times New Roman" w:hAnsi="Times New Roman"/>
                <w:sz w:val="11"/>
                <w:szCs w:val="11"/>
                <w:color w:val="auto"/>
              </w:rPr>
              <w:t>$</w:t>
            </w:r>
          </w:p>
        </w:tc>
        <w:tc>
          <w:tcPr>
            <w:tcW w:w="6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1"/>
                <w:szCs w:val="11"/>
                <w:color w:val="auto"/>
              </w:rPr>
              <w:t>2.20</w:t>
            </w:r>
          </w:p>
        </w:tc>
      </w:tr>
    </w:tbl>
    <w:p>
      <w:pPr>
        <w:spacing w:after="0" w:line="335" w:lineRule="exact"/>
        <w:rPr>
          <w:sz w:val="20"/>
          <w:szCs w:val="20"/>
          <w:color w:val="auto"/>
        </w:rPr>
      </w:pPr>
    </w:p>
    <w:p>
      <w:pPr>
        <w:ind w:left="380"/>
        <w:spacing w:after="0"/>
        <w:rPr>
          <w:sz w:val="20"/>
          <w:szCs w:val="20"/>
          <w:color w:val="auto"/>
        </w:rPr>
      </w:pPr>
      <w:r>
        <w:rPr>
          <w:rFonts w:ascii="Times New Roman" w:cs="Times New Roman" w:eastAsia="Times New Roman" w:hAnsi="Times New Roman"/>
          <w:sz w:val="14"/>
          <w:szCs w:val="14"/>
          <w:color w:val="auto"/>
        </w:rPr>
        <w:t>The following tables provide Economic Earnings (Loss) by segment:</w:t>
      </w:r>
    </w:p>
    <w:p>
      <w:pPr>
        <w:spacing w:after="0" w:line="30" w:lineRule="exact"/>
        <w:rPr>
          <w:sz w:val="20"/>
          <w:szCs w:val="20"/>
          <w:color w:val="auto"/>
        </w:rPr>
      </w:pPr>
    </w:p>
    <w:p>
      <w:pPr>
        <w:ind w:left="5800"/>
        <w:spacing w:after="0"/>
        <w:rPr>
          <w:sz w:val="20"/>
          <w:szCs w:val="20"/>
          <w:color w:val="auto"/>
        </w:rPr>
      </w:pPr>
      <w:r>
        <w:rPr>
          <w:rFonts w:ascii="Times New Roman" w:cs="Times New Roman" w:eastAsia="Times New Roman" w:hAnsi="Times New Roman"/>
          <w:sz w:val="11"/>
          <w:szCs w:val="11"/>
          <w:b w:val="1"/>
          <w:bCs w:val="1"/>
          <w:color w:val="auto"/>
        </w:rPr>
        <w:t>For the years ended December 31,</w:t>
      </w:r>
    </w:p>
    <w:p>
      <w:pPr>
        <w:ind w:left="5800"/>
        <w:spacing w:after="0"/>
        <w:rPr>
          <w:sz w:val="20"/>
          <w:szCs w:val="20"/>
          <w:color w:val="auto"/>
        </w:rPr>
      </w:pPr>
      <w:r>
        <w:rPr>
          <w:rFonts w:ascii="Times New Roman" w:cs="Times New Roman" w:eastAsia="Times New Roman" w:hAnsi="Times New Roman"/>
          <w:sz w:val="11"/>
          <w:szCs w:val="11"/>
          <w:b w:val="1"/>
          <w:bCs w:val="1"/>
          <w:color w:val="auto"/>
        </w:rPr>
        <w:t>(in thousands, except percentages)</w:t>
      </w:r>
    </w:p>
    <w:p>
      <w:pPr>
        <w:spacing w:after="0" w:line="8" w:lineRule="exact"/>
        <w:rPr>
          <w:sz w:val="20"/>
          <w:szCs w:val="20"/>
          <w:color w:val="auto"/>
        </w:rPr>
      </w:pPr>
    </w:p>
    <w:tbl>
      <w:tblPr>
        <w:tblLayout w:type="fixed"/>
        <w:tblInd w:w="0" w:type="dxa"/>
        <w:tblCellMar>
          <w:top w:w="0" w:type="dxa"/>
          <w:left w:w="0" w:type="dxa"/>
          <w:bottom w:w="0" w:type="dxa"/>
          <w:right w:w="0" w:type="dxa"/>
        </w:tblCellMar>
      </w:tblPr>
      <w:tr>
        <w:trPr>
          <w:trHeight w:val="164"/>
        </w:trPr>
        <w:tc>
          <w:tcPr>
            <w:tcW w:w="1960" w:type="dxa"/>
            <w:vAlign w:val="bottom"/>
            <w:tcBorders>
              <w:bottom w:val="single" w:sz="8" w:color="CCEEFF"/>
            </w:tcBorders>
          </w:tcPr>
          <w:p>
            <w:pPr>
              <w:spacing w:after="0"/>
              <w:rPr>
                <w:sz w:val="14"/>
                <w:szCs w:val="14"/>
                <w:color w:val="auto"/>
              </w:rPr>
            </w:pPr>
          </w:p>
        </w:tc>
        <w:tc>
          <w:tcPr>
            <w:tcW w:w="58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1"/>
                <w:szCs w:val="11"/>
                <w:b w:val="1"/>
                <w:bCs w:val="1"/>
                <w:color w:val="auto"/>
              </w:rPr>
              <w:t>2025</w:t>
            </w:r>
          </w:p>
        </w:tc>
        <w:tc>
          <w:tcPr>
            <w:tcW w:w="380" w:type="dxa"/>
            <w:vAlign w:val="bottom"/>
            <w:tcBorders>
              <w:top w:val="single" w:sz="8" w:color="auto"/>
              <w:bottom w:val="single" w:sz="8" w:color="auto"/>
            </w:tcBorders>
          </w:tcPr>
          <w:p>
            <w:pPr>
              <w:spacing w:after="0"/>
              <w:rPr>
                <w:sz w:val="14"/>
                <w:szCs w:val="14"/>
                <w:color w:val="auto"/>
              </w:rPr>
            </w:pPr>
          </w:p>
        </w:tc>
        <w:tc>
          <w:tcPr>
            <w:tcW w:w="80" w:type="dxa"/>
            <w:vAlign w:val="bottom"/>
            <w:tcBorders>
              <w:top w:val="single" w:sz="8" w:color="auto"/>
              <w:bottom w:val="single" w:sz="8" w:color="CCEEFF"/>
            </w:tcBorders>
          </w:tcPr>
          <w:p>
            <w:pPr>
              <w:spacing w:after="0"/>
              <w:rPr>
                <w:sz w:val="14"/>
                <w:szCs w:val="14"/>
                <w:color w:val="auto"/>
              </w:rPr>
            </w:pPr>
          </w:p>
        </w:tc>
        <w:tc>
          <w:tcPr>
            <w:tcW w:w="940" w:type="dxa"/>
            <w:vAlign w:val="bottom"/>
            <w:tcBorders>
              <w:top w:val="single" w:sz="8" w:color="auto"/>
              <w:bottom w:val="single" w:sz="8" w:color="auto"/>
            </w:tcBorders>
          </w:tcPr>
          <w:p>
            <w:pPr>
              <w:jc w:val="right"/>
              <w:ind w:right="223"/>
              <w:spacing w:after="0"/>
              <w:rPr>
                <w:sz w:val="20"/>
                <w:szCs w:val="20"/>
                <w:color w:val="auto"/>
              </w:rPr>
            </w:pPr>
            <w:r>
              <w:rPr>
                <w:rFonts w:ascii="Times New Roman" w:cs="Times New Roman" w:eastAsia="Times New Roman" w:hAnsi="Times New Roman"/>
                <w:sz w:val="11"/>
                <w:szCs w:val="11"/>
                <w:b w:val="1"/>
                <w:bCs w:val="1"/>
                <w:color w:val="auto"/>
              </w:rPr>
              <w:t>Change</w:t>
            </w:r>
          </w:p>
        </w:tc>
        <w:tc>
          <w:tcPr>
            <w:tcW w:w="100" w:type="dxa"/>
            <w:vAlign w:val="bottom"/>
            <w:tcBorders>
              <w:top w:val="single" w:sz="8" w:color="auto"/>
              <w:bottom w:val="single" w:sz="8" w:color="CCEEFF"/>
            </w:tcBorders>
          </w:tcPr>
          <w:p>
            <w:pPr>
              <w:spacing w:after="0"/>
              <w:rPr>
                <w:sz w:val="14"/>
                <w:szCs w:val="14"/>
                <w:color w:val="auto"/>
              </w:rPr>
            </w:pPr>
          </w:p>
        </w:tc>
        <w:tc>
          <w:tcPr>
            <w:tcW w:w="220" w:type="dxa"/>
            <w:vAlign w:val="bottom"/>
            <w:tcBorders>
              <w:top w:val="single" w:sz="8" w:color="auto"/>
              <w:bottom w:val="single" w:sz="8" w:color="auto"/>
            </w:tcBorders>
          </w:tcPr>
          <w:p>
            <w:pPr>
              <w:spacing w:after="0"/>
              <w:rPr>
                <w:sz w:val="14"/>
                <w:szCs w:val="14"/>
                <w:color w:val="auto"/>
              </w:rPr>
            </w:pPr>
          </w:p>
        </w:tc>
        <w:tc>
          <w:tcPr>
            <w:tcW w:w="740" w:type="dxa"/>
            <w:vAlign w:val="bottom"/>
            <w:tcBorders>
              <w:top w:val="single" w:sz="8" w:color="auto"/>
              <w:bottom w:val="single" w:sz="8" w:color="auto"/>
            </w:tcBorders>
          </w:tcPr>
          <w:p>
            <w:pPr>
              <w:jc w:val="right"/>
              <w:ind w:right="303"/>
              <w:spacing w:after="0"/>
              <w:rPr>
                <w:sz w:val="20"/>
                <w:szCs w:val="20"/>
                <w:color w:val="auto"/>
              </w:rPr>
            </w:pPr>
            <w:r>
              <w:rPr>
                <w:rFonts w:ascii="Times New Roman" w:cs="Times New Roman" w:eastAsia="Times New Roman" w:hAnsi="Times New Roman"/>
                <w:sz w:val="11"/>
                <w:szCs w:val="11"/>
                <w:b w:val="1"/>
                <w:bCs w:val="1"/>
                <w:color w:val="auto"/>
              </w:rPr>
              <w:t>2024</w:t>
            </w:r>
          </w:p>
        </w:tc>
        <w:tc>
          <w:tcPr>
            <w:tcW w:w="100" w:type="dxa"/>
            <w:vAlign w:val="bottom"/>
            <w:tcBorders>
              <w:top w:val="single" w:sz="8" w:color="auto"/>
              <w:bottom w:val="single" w:sz="8" w:color="CCEEFF"/>
            </w:tcBorders>
          </w:tcPr>
          <w:p>
            <w:pPr>
              <w:spacing w:after="0"/>
              <w:rPr>
                <w:sz w:val="14"/>
                <w:szCs w:val="14"/>
                <w:color w:val="auto"/>
              </w:rPr>
            </w:pPr>
          </w:p>
        </w:tc>
        <w:tc>
          <w:tcPr>
            <w:tcW w:w="940" w:type="dxa"/>
            <w:vAlign w:val="bottom"/>
            <w:tcBorders>
              <w:top w:val="single" w:sz="8" w:color="auto"/>
              <w:bottom w:val="single" w:sz="8" w:color="auto"/>
            </w:tcBorders>
          </w:tcPr>
          <w:p>
            <w:pPr>
              <w:ind w:left="280"/>
              <w:spacing w:after="0"/>
              <w:rPr>
                <w:sz w:val="20"/>
                <w:szCs w:val="20"/>
                <w:color w:val="auto"/>
              </w:rPr>
            </w:pPr>
            <w:r>
              <w:rPr>
                <w:rFonts w:ascii="Times New Roman" w:cs="Times New Roman" w:eastAsia="Times New Roman" w:hAnsi="Times New Roman"/>
                <w:sz w:val="11"/>
                <w:szCs w:val="11"/>
                <w:b w:val="1"/>
                <w:bCs w:val="1"/>
                <w:color w:val="auto"/>
              </w:rPr>
              <w:t>Change</w:t>
            </w:r>
          </w:p>
        </w:tc>
        <w:tc>
          <w:tcPr>
            <w:tcW w:w="80" w:type="dxa"/>
            <w:vAlign w:val="bottom"/>
            <w:tcBorders>
              <w:top w:val="single" w:sz="8" w:color="auto"/>
              <w:bottom w:val="single" w:sz="8" w:color="CCEEFF"/>
            </w:tcBorders>
          </w:tcPr>
          <w:p>
            <w:pPr>
              <w:spacing w:after="0"/>
              <w:rPr>
                <w:sz w:val="14"/>
                <w:szCs w:val="14"/>
                <w:color w:val="auto"/>
              </w:rPr>
            </w:pPr>
          </w:p>
        </w:tc>
        <w:tc>
          <w:tcPr>
            <w:tcW w:w="220" w:type="dxa"/>
            <w:vAlign w:val="bottom"/>
            <w:tcBorders>
              <w:top w:val="single" w:sz="8" w:color="auto"/>
              <w:bottom w:val="single" w:sz="8" w:color="auto"/>
            </w:tcBorders>
          </w:tcPr>
          <w:p>
            <w:pPr>
              <w:spacing w:after="0"/>
              <w:rPr>
                <w:sz w:val="14"/>
                <w:szCs w:val="14"/>
                <w:color w:val="auto"/>
              </w:rPr>
            </w:pPr>
          </w:p>
        </w:tc>
        <w:tc>
          <w:tcPr>
            <w:tcW w:w="760" w:type="dxa"/>
            <w:vAlign w:val="bottom"/>
            <w:tcBorders>
              <w:top w:val="single" w:sz="8" w:color="auto"/>
              <w:bottom w:val="single" w:sz="8" w:color="auto"/>
            </w:tcBorders>
          </w:tcPr>
          <w:p>
            <w:pPr>
              <w:jc w:val="right"/>
              <w:ind w:right="323"/>
              <w:spacing w:after="0"/>
              <w:rPr>
                <w:sz w:val="20"/>
                <w:szCs w:val="20"/>
                <w:color w:val="auto"/>
              </w:rPr>
            </w:pPr>
            <w:r>
              <w:rPr>
                <w:rFonts w:ascii="Times New Roman" w:cs="Times New Roman" w:eastAsia="Times New Roman" w:hAnsi="Times New Roman"/>
                <w:sz w:val="11"/>
                <w:szCs w:val="11"/>
                <w:b w:val="1"/>
                <w:bCs w:val="1"/>
                <w:color w:val="auto"/>
              </w:rPr>
              <w:t>2023</w:t>
            </w:r>
          </w:p>
        </w:tc>
        <w:tc>
          <w:tcPr>
            <w:tcW w:w="80" w:type="dxa"/>
            <w:vAlign w:val="bottom"/>
            <w:tcBorders>
              <w:top w:val="single" w:sz="8" w:color="auto"/>
              <w:bottom w:val="single" w:sz="8" w:color="CCEEFF"/>
            </w:tcBorders>
          </w:tcPr>
          <w:p>
            <w:pPr>
              <w:spacing w:after="0"/>
              <w:rPr>
                <w:sz w:val="14"/>
                <w:szCs w:val="14"/>
                <w:color w:val="auto"/>
              </w:rPr>
            </w:pPr>
          </w:p>
        </w:tc>
        <w:tc>
          <w:tcPr>
            <w:tcW w:w="940" w:type="dxa"/>
            <w:vAlign w:val="bottom"/>
            <w:tcBorders>
              <w:top w:val="single" w:sz="8" w:color="auto"/>
              <w:bottom w:val="single" w:sz="8" w:color="auto"/>
            </w:tcBorders>
          </w:tcPr>
          <w:p>
            <w:pPr>
              <w:jc w:val="right"/>
              <w:ind w:right="223"/>
              <w:spacing w:after="0"/>
              <w:rPr>
                <w:sz w:val="20"/>
                <w:szCs w:val="20"/>
                <w:color w:val="auto"/>
              </w:rPr>
            </w:pPr>
            <w:r>
              <w:rPr>
                <w:rFonts w:ascii="Times New Roman" w:cs="Times New Roman" w:eastAsia="Times New Roman" w:hAnsi="Times New Roman"/>
                <w:sz w:val="11"/>
                <w:szCs w:val="11"/>
                <w:b w:val="1"/>
                <w:bCs w:val="1"/>
                <w:color w:val="auto"/>
              </w:rPr>
              <w:t>Change</w:t>
            </w:r>
          </w:p>
        </w:tc>
        <w:tc>
          <w:tcPr>
            <w:tcW w:w="100" w:type="dxa"/>
            <w:vAlign w:val="bottom"/>
            <w:tcBorders>
              <w:top w:val="single" w:sz="8" w:color="auto"/>
              <w:bottom w:val="single" w:sz="8" w:color="CCEEFF"/>
            </w:tcBorders>
          </w:tcPr>
          <w:p>
            <w:pPr>
              <w:spacing w:after="0"/>
              <w:rPr>
                <w:sz w:val="14"/>
                <w:szCs w:val="14"/>
                <w:color w:val="auto"/>
              </w:rPr>
            </w:pPr>
          </w:p>
        </w:tc>
        <w:tc>
          <w:tcPr>
            <w:tcW w:w="220" w:type="dxa"/>
            <w:vAlign w:val="bottom"/>
            <w:tcBorders>
              <w:top w:val="single" w:sz="8" w:color="auto"/>
              <w:bottom w:val="single" w:sz="8" w:color="auto"/>
            </w:tcBorders>
          </w:tcPr>
          <w:p>
            <w:pPr>
              <w:spacing w:after="0"/>
              <w:rPr>
                <w:sz w:val="14"/>
                <w:szCs w:val="14"/>
                <w:color w:val="auto"/>
              </w:rPr>
            </w:pPr>
          </w:p>
        </w:tc>
        <w:tc>
          <w:tcPr>
            <w:tcW w:w="740" w:type="dxa"/>
            <w:vAlign w:val="bottom"/>
            <w:tcBorders>
              <w:top w:val="single" w:sz="8" w:color="auto"/>
              <w:bottom w:val="single" w:sz="8" w:color="auto"/>
            </w:tcBorders>
          </w:tcPr>
          <w:p>
            <w:pPr>
              <w:jc w:val="right"/>
              <w:ind w:right="303"/>
              <w:spacing w:after="0"/>
              <w:rPr>
                <w:sz w:val="20"/>
                <w:szCs w:val="20"/>
                <w:color w:val="auto"/>
              </w:rPr>
            </w:pPr>
            <w:r>
              <w:rPr>
                <w:rFonts w:ascii="Times New Roman" w:cs="Times New Roman" w:eastAsia="Times New Roman" w:hAnsi="Times New Roman"/>
                <w:sz w:val="11"/>
                <w:szCs w:val="11"/>
                <w:b w:val="1"/>
                <w:bCs w:val="1"/>
                <w:color w:val="auto"/>
              </w:rPr>
              <w:t>2022</w:t>
            </w:r>
          </w:p>
        </w:tc>
        <w:tc>
          <w:tcPr>
            <w:tcW w:w="100" w:type="dxa"/>
            <w:vAlign w:val="bottom"/>
            <w:tcBorders>
              <w:top w:val="single" w:sz="8" w:color="auto"/>
              <w:bottom w:val="single" w:sz="8" w:color="CCEEFF"/>
            </w:tcBorders>
          </w:tcPr>
          <w:p>
            <w:pPr>
              <w:spacing w:after="0"/>
              <w:rPr>
                <w:sz w:val="14"/>
                <w:szCs w:val="14"/>
                <w:color w:val="auto"/>
              </w:rPr>
            </w:pPr>
          </w:p>
        </w:tc>
        <w:tc>
          <w:tcPr>
            <w:tcW w:w="940" w:type="dxa"/>
            <w:vAlign w:val="bottom"/>
            <w:tcBorders>
              <w:top w:val="single" w:sz="8" w:color="auto"/>
              <w:bottom w:val="single" w:sz="8" w:color="auto"/>
            </w:tcBorders>
          </w:tcPr>
          <w:p>
            <w:pPr>
              <w:jc w:val="right"/>
              <w:ind w:right="223"/>
              <w:spacing w:after="0"/>
              <w:rPr>
                <w:sz w:val="20"/>
                <w:szCs w:val="20"/>
                <w:color w:val="auto"/>
              </w:rPr>
            </w:pPr>
            <w:r>
              <w:rPr>
                <w:rFonts w:ascii="Times New Roman" w:cs="Times New Roman" w:eastAsia="Times New Roman" w:hAnsi="Times New Roman"/>
                <w:sz w:val="11"/>
                <w:szCs w:val="11"/>
                <w:b w:val="1"/>
                <w:bCs w:val="1"/>
                <w:color w:val="auto"/>
              </w:rPr>
              <w:t>Change</w:t>
            </w:r>
          </w:p>
        </w:tc>
        <w:tc>
          <w:tcPr>
            <w:tcW w:w="80" w:type="dxa"/>
            <w:vAlign w:val="bottom"/>
            <w:tcBorders>
              <w:top w:val="single" w:sz="8" w:color="auto"/>
              <w:bottom w:val="single" w:sz="8" w:color="CCEEFF"/>
            </w:tcBorders>
          </w:tcPr>
          <w:p>
            <w:pPr>
              <w:spacing w:after="0"/>
              <w:rPr>
                <w:sz w:val="14"/>
                <w:szCs w:val="14"/>
                <w:color w:val="auto"/>
              </w:rPr>
            </w:pPr>
          </w:p>
        </w:tc>
        <w:tc>
          <w:tcPr>
            <w:tcW w:w="220" w:type="dxa"/>
            <w:vAlign w:val="bottom"/>
            <w:tcBorders>
              <w:top w:val="single" w:sz="8" w:color="auto"/>
              <w:bottom w:val="single" w:sz="8" w:color="auto"/>
            </w:tcBorders>
          </w:tcPr>
          <w:p>
            <w:pPr>
              <w:spacing w:after="0"/>
              <w:rPr>
                <w:sz w:val="14"/>
                <w:szCs w:val="14"/>
                <w:color w:val="auto"/>
              </w:rPr>
            </w:pPr>
          </w:p>
        </w:tc>
        <w:tc>
          <w:tcPr>
            <w:tcW w:w="760" w:type="dxa"/>
            <w:vAlign w:val="bottom"/>
            <w:tcBorders>
              <w:top w:val="single" w:sz="8" w:color="auto"/>
              <w:bottom w:val="single" w:sz="8" w:color="auto"/>
            </w:tcBorders>
          </w:tcPr>
          <w:p>
            <w:pPr>
              <w:jc w:val="right"/>
              <w:ind w:right="323"/>
              <w:spacing w:after="0"/>
              <w:rPr>
                <w:sz w:val="20"/>
                <w:szCs w:val="20"/>
                <w:color w:val="auto"/>
              </w:rPr>
            </w:pPr>
            <w:r>
              <w:rPr>
                <w:rFonts w:ascii="Times New Roman" w:cs="Times New Roman" w:eastAsia="Times New Roman" w:hAnsi="Times New Roman"/>
                <w:sz w:val="11"/>
                <w:szCs w:val="11"/>
                <w:b w:val="1"/>
                <w:bCs w:val="1"/>
                <w:color w:val="auto"/>
              </w:rPr>
              <w:t>2021</w:t>
            </w:r>
          </w:p>
        </w:tc>
        <w:tc>
          <w:tcPr>
            <w:tcW w:w="0" w:type="dxa"/>
            <w:vAlign w:val="bottom"/>
          </w:tcPr>
          <w:p>
            <w:pPr>
              <w:spacing w:after="0"/>
              <w:rPr>
                <w:sz w:val="1"/>
                <w:szCs w:val="1"/>
                <w:color w:val="auto"/>
              </w:rPr>
            </w:pPr>
          </w:p>
        </w:tc>
      </w:tr>
      <w:tr>
        <w:trPr>
          <w:trHeight w:val="180"/>
        </w:trPr>
        <w:tc>
          <w:tcPr>
            <w:tcW w:w="196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1"/>
                <w:szCs w:val="11"/>
                <w:b w:val="1"/>
                <w:bCs w:val="1"/>
                <w:color w:val="auto"/>
              </w:rPr>
              <w:t>Advisory net income</w:t>
            </w:r>
          </w:p>
        </w:tc>
        <w:tc>
          <w:tcPr>
            <w:tcW w:w="580" w:type="dxa"/>
            <w:vAlign w:val="bottom"/>
            <w:tcBorders>
              <w:bottom w:val="single" w:sz="8" w:color="auto"/>
            </w:tcBorders>
            <w:shd w:val="clear" w:color="auto" w:fill="CCEEFF"/>
          </w:tcPr>
          <w:p>
            <w:pPr>
              <w:jc w:val="right"/>
              <w:ind w:right="463"/>
              <w:spacing w:after="0"/>
              <w:rPr>
                <w:sz w:val="20"/>
                <w:szCs w:val="20"/>
                <w:color w:val="auto"/>
              </w:rPr>
            </w:pPr>
            <w:r>
              <w:rPr>
                <w:rFonts w:ascii="Times New Roman" w:cs="Times New Roman" w:eastAsia="Times New Roman" w:hAnsi="Times New Roman"/>
                <w:sz w:val="11"/>
                <w:szCs w:val="11"/>
                <w:color w:val="auto"/>
                <w:w w:val="71"/>
              </w:rPr>
              <w:t>$</w:t>
            </w:r>
          </w:p>
        </w:tc>
        <w:tc>
          <w:tcPr>
            <w:tcW w:w="380" w:type="dxa"/>
            <w:vAlign w:val="bottom"/>
            <w:tcBorders>
              <w:bottom w:val="single" w:sz="8" w:color="auto"/>
            </w:tcBorders>
            <w:shd w:val="clear" w:color="auto" w:fill="CCEEFF"/>
          </w:tcPr>
          <w:p>
            <w:pPr>
              <w:jc w:val="right"/>
              <w:ind w:right="3"/>
              <w:spacing w:after="0"/>
              <w:rPr>
                <w:sz w:val="20"/>
                <w:szCs w:val="20"/>
                <w:color w:val="auto"/>
              </w:rPr>
            </w:pPr>
            <w:r>
              <w:rPr>
                <w:rFonts w:ascii="Times New Roman" w:cs="Times New Roman" w:eastAsia="Times New Roman" w:hAnsi="Times New Roman"/>
                <w:sz w:val="11"/>
                <w:szCs w:val="11"/>
                <w:color w:val="auto"/>
                <w:w w:val="99"/>
              </w:rPr>
              <w:t>19,862</w:t>
            </w:r>
          </w:p>
        </w:tc>
        <w:tc>
          <w:tcPr>
            <w:tcW w:w="1020" w:type="dxa"/>
            <w:vAlign w:val="bottom"/>
            <w:tcBorders>
              <w:bottom w:val="single" w:sz="8" w:color="CCEEFF"/>
            </w:tcBorders>
            <w:gridSpan w:val="2"/>
            <w:shd w:val="clear" w:color="auto" w:fill="CCEEFF"/>
          </w:tcPr>
          <w:p>
            <w:pPr>
              <w:jc w:val="right"/>
              <w:spacing w:after="0"/>
              <w:rPr>
                <w:sz w:val="20"/>
                <w:szCs w:val="20"/>
                <w:color w:val="auto"/>
              </w:rPr>
            </w:pPr>
            <w:r>
              <w:rPr>
                <w:rFonts w:ascii="Times New Roman" w:cs="Times New Roman" w:eastAsia="Times New Roman" w:hAnsi="Times New Roman"/>
                <w:sz w:val="11"/>
                <w:szCs w:val="11"/>
                <w:color w:val="auto"/>
              </w:rPr>
              <w:t>13 %</w:t>
            </w:r>
          </w:p>
        </w:tc>
        <w:tc>
          <w:tcPr>
            <w:tcW w:w="100" w:type="dxa"/>
            <w:vAlign w:val="bottom"/>
            <w:tcBorders>
              <w:bottom w:val="single" w:sz="8" w:color="CCEEFF"/>
            </w:tcBorders>
            <w:shd w:val="clear" w:color="auto" w:fill="CCEEFF"/>
          </w:tcPr>
          <w:p>
            <w:pPr>
              <w:spacing w:after="0"/>
              <w:rPr>
                <w:sz w:val="15"/>
                <w:szCs w:val="15"/>
                <w:color w:val="auto"/>
              </w:rPr>
            </w:pPr>
          </w:p>
        </w:tc>
        <w:tc>
          <w:tcPr>
            <w:tcW w:w="220" w:type="dxa"/>
            <w:vAlign w:val="bottom"/>
            <w:tcBorders>
              <w:bottom w:val="single" w:sz="8" w:color="auto"/>
            </w:tcBorders>
            <w:shd w:val="clear" w:color="auto" w:fill="CCEEFF"/>
          </w:tcPr>
          <w:p>
            <w:pPr>
              <w:jc w:val="right"/>
              <w:ind w:right="103"/>
              <w:spacing w:after="0"/>
              <w:rPr>
                <w:sz w:val="20"/>
                <w:szCs w:val="20"/>
                <w:color w:val="auto"/>
              </w:rPr>
            </w:pPr>
            <w:r>
              <w:rPr>
                <w:rFonts w:ascii="Times New Roman" w:cs="Times New Roman" w:eastAsia="Times New Roman" w:hAnsi="Times New Roman"/>
                <w:sz w:val="11"/>
                <w:szCs w:val="11"/>
                <w:color w:val="auto"/>
                <w:w w:val="71"/>
              </w:rPr>
              <w:t>$</w:t>
            </w:r>
          </w:p>
        </w:tc>
        <w:tc>
          <w:tcPr>
            <w:tcW w:w="7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1"/>
                <w:szCs w:val="11"/>
                <w:color w:val="auto"/>
              </w:rPr>
              <w:t>17,653</w:t>
            </w:r>
          </w:p>
        </w:tc>
        <w:tc>
          <w:tcPr>
            <w:tcW w:w="1040" w:type="dxa"/>
            <w:vAlign w:val="bottom"/>
            <w:tcBorders>
              <w:bottom w:val="single" w:sz="8" w:color="CCEEFF"/>
            </w:tcBorders>
            <w:gridSpan w:val="2"/>
            <w:shd w:val="clear" w:color="auto" w:fill="CCEEFF"/>
          </w:tcPr>
          <w:p>
            <w:pPr>
              <w:ind w:left="780"/>
              <w:spacing w:after="0"/>
              <w:rPr>
                <w:sz w:val="20"/>
                <w:szCs w:val="20"/>
                <w:color w:val="auto"/>
              </w:rPr>
            </w:pPr>
            <w:r>
              <w:rPr>
                <w:rFonts w:ascii="Times New Roman" w:cs="Times New Roman" w:eastAsia="Times New Roman" w:hAnsi="Times New Roman"/>
                <w:sz w:val="11"/>
                <w:szCs w:val="11"/>
                <w:color w:val="auto"/>
              </w:rPr>
              <w:t>30 %</w:t>
            </w:r>
          </w:p>
        </w:tc>
        <w:tc>
          <w:tcPr>
            <w:tcW w:w="80" w:type="dxa"/>
            <w:vAlign w:val="bottom"/>
            <w:tcBorders>
              <w:bottom w:val="single" w:sz="8" w:color="CCEEFF"/>
            </w:tcBorders>
            <w:shd w:val="clear" w:color="auto" w:fill="CCEEFF"/>
          </w:tcPr>
          <w:p>
            <w:pPr>
              <w:spacing w:after="0"/>
              <w:rPr>
                <w:sz w:val="15"/>
                <w:szCs w:val="15"/>
                <w:color w:val="auto"/>
              </w:rPr>
            </w:pPr>
          </w:p>
        </w:tc>
        <w:tc>
          <w:tcPr>
            <w:tcW w:w="220" w:type="dxa"/>
            <w:vAlign w:val="bottom"/>
            <w:tcBorders>
              <w:bottom w:val="single" w:sz="8" w:color="auto"/>
            </w:tcBorders>
            <w:shd w:val="clear" w:color="auto" w:fill="CCEEFF"/>
          </w:tcPr>
          <w:p>
            <w:pPr>
              <w:jc w:val="right"/>
              <w:ind w:right="83"/>
              <w:spacing w:after="0"/>
              <w:rPr>
                <w:sz w:val="20"/>
                <w:szCs w:val="20"/>
                <w:color w:val="auto"/>
              </w:rPr>
            </w:pPr>
            <w:r>
              <w:rPr>
                <w:rFonts w:ascii="Times New Roman" w:cs="Times New Roman" w:eastAsia="Times New Roman" w:hAnsi="Times New Roman"/>
                <w:sz w:val="11"/>
                <w:szCs w:val="11"/>
                <w:color w:val="auto"/>
              </w:rPr>
              <w:t>$</w:t>
            </w:r>
          </w:p>
        </w:tc>
        <w:tc>
          <w:tcPr>
            <w:tcW w:w="760" w:type="dxa"/>
            <w:vAlign w:val="bottom"/>
            <w:tcBorders>
              <w:bottom w:val="single" w:sz="8" w:color="auto"/>
            </w:tcBorders>
            <w:shd w:val="clear" w:color="auto" w:fill="CCEEFF"/>
          </w:tcPr>
          <w:p>
            <w:pPr>
              <w:jc w:val="right"/>
              <w:ind w:right="3"/>
              <w:spacing w:after="0"/>
              <w:rPr>
                <w:sz w:val="20"/>
                <w:szCs w:val="20"/>
                <w:color w:val="auto"/>
              </w:rPr>
            </w:pPr>
            <w:r>
              <w:rPr>
                <w:rFonts w:ascii="Times New Roman" w:cs="Times New Roman" w:eastAsia="Times New Roman" w:hAnsi="Times New Roman"/>
                <w:sz w:val="11"/>
                <w:szCs w:val="11"/>
                <w:color w:val="auto"/>
              </w:rPr>
              <w:t>13,585</w:t>
            </w:r>
          </w:p>
        </w:tc>
        <w:tc>
          <w:tcPr>
            <w:tcW w:w="1020" w:type="dxa"/>
            <w:vAlign w:val="bottom"/>
            <w:tcBorders>
              <w:bottom w:val="single" w:sz="8" w:color="CCEEFF"/>
            </w:tcBorders>
            <w:gridSpan w:val="2"/>
            <w:shd w:val="clear" w:color="auto" w:fill="CCEEFF"/>
          </w:tcPr>
          <w:p>
            <w:pPr>
              <w:jc w:val="right"/>
              <w:spacing w:after="0"/>
              <w:rPr>
                <w:sz w:val="20"/>
                <w:szCs w:val="20"/>
                <w:color w:val="auto"/>
              </w:rPr>
            </w:pPr>
            <w:r>
              <w:rPr>
                <w:rFonts w:ascii="Times New Roman" w:cs="Times New Roman" w:eastAsia="Times New Roman" w:hAnsi="Times New Roman"/>
                <w:sz w:val="11"/>
                <w:szCs w:val="11"/>
                <w:color w:val="auto"/>
              </w:rPr>
              <w:t>23 %</w:t>
            </w:r>
          </w:p>
        </w:tc>
        <w:tc>
          <w:tcPr>
            <w:tcW w:w="100" w:type="dxa"/>
            <w:vAlign w:val="bottom"/>
            <w:tcBorders>
              <w:bottom w:val="single" w:sz="8" w:color="CCEEFF"/>
            </w:tcBorders>
            <w:shd w:val="clear" w:color="auto" w:fill="CCEEFF"/>
          </w:tcPr>
          <w:p>
            <w:pPr>
              <w:spacing w:after="0"/>
              <w:rPr>
                <w:sz w:val="15"/>
                <w:szCs w:val="15"/>
                <w:color w:val="auto"/>
              </w:rPr>
            </w:pPr>
          </w:p>
        </w:tc>
        <w:tc>
          <w:tcPr>
            <w:tcW w:w="220" w:type="dxa"/>
            <w:vAlign w:val="bottom"/>
            <w:tcBorders>
              <w:bottom w:val="single" w:sz="8" w:color="auto"/>
            </w:tcBorders>
            <w:shd w:val="clear" w:color="auto" w:fill="CCEEFF"/>
          </w:tcPr>
          <w:p>
            <w:pPr>
              <w:jc w:val="right"/>
              <w:ind w:right="103"/>
              <w:spacing w:after="0"/>
              <w:rPr>
                <w:sz w:val="20"/>
                <w:szCs w:val="20"/>
                <w:color w:val="auto"/>
              </w:rPr>
            </w:pPr>
            <w:r>
              <w:rPr>
                <w:rFonts w:ascii="Times New Roman" w:cs="Times New Roman" w:eastAsia="Times New Roman" w:hAnsi="Times New Roman"/>
                <w:sz w:val="11"/>
                <w:szCs w:val="11"/>
                <w:color w:val="auto"/>
                <w:w w:val="71"/>
              </w:rPr>
              <w:t>$</w:t>
            </w:r>
          </w:p>
        </w:tc>
        <w:tc>
          <w:tcPr>
            <w:tcW w:w="7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1"/>
                <w:szCs w:val="11"/>
                <w:color w:val="auto"/>
              </w:rPr>
              <w:t>11,010</w:t>
            </w:r>
          </w:p>
        </w:tc>
        <w:tc>
          <w:tcPr>
            <w:tcW w:w="1040" w:type="dxa"/>
            <w:vAlign w:val="bottom"/>
            <w:tcBorders>
              <w:bottom w:val="single" w:sz="8" w:color="CCEEFF"/>
            </w:tcBorders>
            <w:gridSpan w:val="2"/>
            <w:shd w:val="clear" w:color="auto" w:fill="CCEEFF"/>
          </w:tcPr>
          <w:p>
            <w:pPr>
              <w:jc w:val="right"/>
              <w:spacing w:after="0"/>
              <w:rPr>
                <w:sz w:val="20"/>
                <w:szCs w:val="20"/>
                <w:color w:val="auto"/>
              </w:rPr>
            </w:pPr>
            <w:r>
              <w:rPr>
                <w:rFonts w:ascii="Times New Roman" w:cs="Times New Roman" w:eastAsia="Times New Roman" w:hAnsi="Times New Roman"/>
                <w:sz w:val="11"/>
                <w:szCs w:val="11"/>
                <w:color w:val="auto"/>
              </w:rPr>
              <w:t>(34)%</w:t>
            </w:r>
          </w:p>
        </w:tc>
        <w:tc>
          <w:tcPr>
            <w:tcW w:w="80" w:type="dxa"/>
            <w:vAlign w:val="bottom"/>
            <w:tcBorders>
              <w:bottom w:val="single" w:sz="8" w:color="CCEEFF"/>
            </w:tcBorders>
            <w:shd w:val="clear" w:color="auto" w:fill="CCEEFF"/>
          </w:tcPr>
          <w:p>
            <w:pPr>
              <w:spacing w:after="0"/>
              <w:rPr>
                <w:sz w:val="15"/>
                <w:szCs w:val="15"/>
                <w:color w:val="auto"/>
              </w:rPr>
            </w:pPr>
          </w:p>
        </w:tc>
        <w:tc>
          <w:tcPr>
            <w:tcW w:w="220" w:type="dxa"/>
            <w:vAlign w:val="bottom"/>
            <w:tcBorders>
              <w:bottom w:val="single" w:sz="8" w:color="auto"/>
            </w:tcBorders>
            <w:shd w:val="clear" w:color="auto" w:fill="CCEEFF"/>
          </w:tcPr>
          <w:p>
            <w:pPr>
              <w:jc w:val="right"/>
              <w:ind w:right="83"/>
              <w:spacing w:after="0"/>
              <w:rPr>
                <w:sz w:val="20"/>
                <w:szCs w:val="20"/>
                <w:color w:val="auto"/>
              </w:rPr>
            </w:pPr>
            <w:r>
              <w:rPr>
                <w:rFonts w:ascii="Times New Roman" w:cs="Times New Roman" w:eastAsia="Times New Roman" w:hAnsi="Times New Roman"/>
                <w:sz w:val="11"/>
                <w:szCs w:val="11"/>
                <w:color w:val="auto"/>
              </w:rPr>
              <w:t>$</w:t>
            </w:r>
          </w:p>
        </w:tc>
        <w:tc>
          <w:tcPr>
            <w:tcW w:w="7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1"/>
                <w:szCs w:val="11"/>
                <w:color w:val="auto"/>
              </w:rPr>
              <w:t>16,783</w:t>
            </w:r>
          </w:p>
        </w:tc>
        <w:tc>
          <w:tcPr>
            <w:tcW w:w="0" w:type="dxa"/>
            <w:vAlign w:val="bottom"/>
          </w:tcPr>
          <w:p>
            <w:pPr>
              <w:spacing w:after="0"/>
              <w:rPr>
                <w:sz w:val="1"/>
                <w:szCs w:val="1"/>
                <w:color w:val="auto"/>
              </w:rPr>
            </w:pPr>
          </w:p>
        </w:tc>
      </w:tr>
      <w:tr>
        <w:trPr>
          <w:trHeight w:val="20"/>
        </w:trPr>
        <w:tc>
          <w:tcPr>
            <w:tcW w:w="1960" w:type="dxa"/>
            <w:vAlign w:val="bottom"/>
            <w:tcBorders>
              <w:top w:val="single" w:sz="8" w:color="CCEEFF"/>
              <w:bottom w:val="single" w:sz="8" w:color="CCEEFF"/>
            </w:tcBorders>
            <w:vMerge w:val="restart"/>
          </w:tcPr>
          <w:p>
            <w:pPr>
              <w:ind w:left="180"/>
              <w:spacing w:after="0"/>
              <w:rPr>
                <w:sz w:val="20"/>
                <w:szCs w:val="20"/>
                <w:color w:val="auto"/>
              </w:rPr>
            </w:pPr>
            <w:r>
              <w:rPr>
                <w:rFonts w:ascii="Times New Roman" w:cs="Times New Roman" w:eastAsia="Times New Roman" w:hAnsi="Times New Roman"/>
                <w:sz w:val="11"/>
                <w:szCs w:val="11"/>
                <w:color w:val="auto"/>
              </w:rPr>
              <w:t>Stock-based compensation expense</w:t>
            </w:r>
          </w:p>
        </w:tc>
        <w:tc>
          <w:tcPr>
            <w:tcW w:w="580" w:type="dxa"/>
            <w:vAlign w:val="bottom"/>
            <w:tcBorders>
              <w:top w:val="single" w:sz="8" w:color="CCEEFF"/>
              <w:bottom w:val="single" w:sz="8" w:color="auto"/>
            </w:tcBorders>
          </w:tcPr>
          <w:p>
            <w:pPr>
              <w:spacing w:after="0" w:line="20" w:lineRule="exact"/>
              <w:rPr>
                <w:sz w:val="1"/>
                <w:szCs w:val="1"/>
                <w:color w:val="auto"/>
              </w:rPr>
            </w:pPr>
          </w:p>
        </w:tc>
        <w:tc>
          <w:tcPr>
            <w:tcW w:w="380" w:type="dxa"/>
            <w:vAlign w:val="bottom"/>
            <w:tcBorders>
              <w:top w:val="single" w:sz="8" w:color="CCEEFF"/>
              <w:bottom w:val="single" w:sz="8" w:color="auto"/>
            </w:tcBorders>
          </w:tcPr>
          <w:p>
            <w:pPr>
              <w:spacing w:after="0" w:line="20" w:lineRule="exact"/>
              <w:rPr>
                <w:sz w:val="1"/>
                <w:szCs w:val="1"/>
                <w:color w:val="auto"/>
              </w:rPr>
            </w:pPr>
          </w:p>
        </w:tc>
        <w:tc>
          <w:tcPr>
            <w:tcW w:w="1020" w:type="dxa"/>
            <w:vAlign w:val="bottom"/>
            <w:tcBorders>
              <w:top w:val="single" w:sz="8" w:color="CCEEFF"/>
              <w:bottom w:val="single" w:sz="8" w:color="CCEEFF"/>
            </w:tcBorders>
            <w:gridSpan w:val="2"/>
            <w:vMerge w:val="restart"/>
          </w:tcPr>
          <w:p>
            <w:pPr>
              <w:jc w:val="right"/>
              <w:ind w:right="63"/>
              <w:spacing w:after="0"/>
              <w:rPr>
                <w:sz w:val="20"/>
                <w:szCs w:val="20"/>
                <w:color w:val="auto"/>
              </w:rPr>
            </w:pPr>
            <w:r>
              <w:rPr>
                <w:rFonts w:ascii="Times New Roman" w:cs="Times New Roman" w:eastAsia="Times New Roman" w:hAnsi="Times New Roman"/>
                <w:sz w:val="11"/>
                <w:szCs w:val="11"/>
                <w:color w:val="auto"/>
              </w:rPr>
              <w:t>(17)</w:t>
            </w:r>
          </w:p>
        </w:tc>
        <w:tc>
          <w:tcPr>
            <w:tcW w:w="100" w:type="dxa"/>
            <w:vAlign w:val="bottom"/>
            <w:tcBorders>
              <w:top w:val="single" w:sz="8" w:color="CCEEFF"/>
            </w:tcBorders>
          </w:tcPr>
          <w:p>
            <w:pPr>
              <w:spacing w:after="0" w:line="20" w:lineRule="exact"/>
              <w:rPr>
                <w:sz w:val="1"/>
                <w:szCs w:val="1"/>
                <w:color w:val="auto"/>
              </w:rPr>
            </w:pPr>
          </w:p>
        </w:tc>
        <w:tc>
          <w:tcPr>
            <w:tcW w:w="220" w:type="dxa"/>
            <w:vAlign w:val="bottom"/>
            <w:tcBorders>
              <w:top w:val="single" w:sz="8" w:color="CCEEFF"/>
              <w:bottom w:val="single" w:sz="8" w:color="auto"/>
            </w:tcBorders>
          </w:tcPr>
          <w:p>
            <w:pPr>
              <w:spacing w:after="0" w:line="20" w:lineRule="exact"/>
              <w:rPr>
                <w:sz w:val="1"/>
                <w:szCs w:val="1"/>
                <w:color w:val="auto"/>
              </w:rPr>
            </w:pPr>
          </w:p>
        </w:tc>
        <w:tc>
          <w:tcPr>
            <w:tcW w:w="740" w:type="dxa"/>
            <w:vAlign w:val="bottom"/>
            <w:tcBorders>
              <w:top w:val="single" w:sz="8" w:color="CCEEFF"/>
              <w:bottom w:val="single" w:sz="8" w:color="auto"/>
            </w:tcBorders>
          </w:tcPr>
          <w:p>
            <w:pPr>
              <w:spacing w:after="0" w:line="20" w:lineRule="exact"/>
              <w:rPr>
                <w:sz w:val="1"/>
                <w:szCs w:val="1"/>
                <w:color w:val="auto"/>
              </w:rPr>
            </w:pPr>
          </w:p>
        </w:tc>
        <w:tc>
          <w:tcPr>
            <w:tcW w:w="1040" w:type="dxa"/>
            <w:vAlign w:val="bottom"/>
            <w:tcBorders>
              <w:top w:val="single" w:sz="8" w:color="CCEEFF"/>
              <w:bottom w:val="single" w:sz="8" w:color="CCEEFF"/>
            </w:tcBorders>
            <w:gridSpan w:val="2"/>
            <w:vMerge w:val="restart"/>
          </w:tcPr>
          <w:p>
            <w:pPr>
              <w:jc w:val="right"/>
              <w:ind w:right="63"/>
              <w:spacing w:after="0"/>
              <w:rPr>
                <w:sz w:val="20"/>
                <w:szCs w:val="20"/>
                <w:color w:val="auto"/>
              </w:rPr>
            </w:pPr>
            <w:r>
              <w:rPr>
                <w:rFonts w:ascii="Times New Roman" w:cs="Times New Roman" w:eastAsia="Times New Roman" w:hAnsi="Times New Roman"/>
                <w:sz w:val="11"/>
                <w:szCs w:val="11"/>
                <w:color w:val="auto"/>
              </w:rPr>
              <w:t>(16)</w:t>
            </w:r>
          </w:p>
        </w:tc>
        <w:tc>
          <w:tcPr>
            <w:tcW w:w="80" w:type="dxa"/>
            <w:vAlign w:val="bottom"/>
            <w:tcBorders>
              <w:top w:val="single" w:sz="8" w:color="CCEEFF"/>
            </w:tcBorders>
          </w:tcPr>
          <w:p>
            <w:pPr>
              <w:spacing w:after="0" w:line="20" w:lineRule="exact"/>
              <w:rPr>
                <w:sz w:val="1"/>
                <w:szCs w:val="1"/>
                <w:color w:val="auto"/>
              </w:rPr>
            </w:pPr>
          </w:p>
        </w:tc>
        <w:tc>
          <w:tcPr>
            <w:tcW w:w="220" w:type="dxa"/>
            <w:vAlign w:val="bottom"/>
            <w:tcBorders>
              <w:top w:val="single" w:sz="8" w:color="CCEEFF"/>
              <w:bottom w:val="single" w:sz="8" w:color="auto"/>
            </w:tcBorders>
          </w:tcPr>
          <w:p>
            <w:pPr>
              <w:spacing w:after="0" w:line="20" w:lineRule="exact"/>
              <w:rPr>
                <w:sz w:val="1"/>
                <w:szCs w:val="1"/>
                <w:color w:val="auto"/>
              </w:rPr>
            </w:pPr>
          </w:p>
        </w:tc>
        <w:tc>
          <w:tcPr>
            <w:tcW w:w="760" w:type="dxa"/>
            <w:vAlign w:val="bottom"/>
            <w:tcBorders>
              <w:top w:val="single" w:sz="8" w:color="CCEEFF"/>
              <w:bottom w:val="single" w:sz="8" w:color="auto"/>
            </w:tcBorders>
          </w:tcPr>
          <w:p>
            <w:pPr>
              <w:spacing w:after="0" w:line="20" w:lineRule="exact"/>
              <w:rPr>
                <w:sz w:val="1"/>
                <w:szCs w:val="1"/>
                <w:color w:val="auto"/>
              </w:rPr>
            </w:pPr>
          </w:p>
        </w:tc>
        <w:tc>
          <w:tcPr>
            <w:tcW w:w="1020" w:type="dxa"/>
            <w:vAlign w:val="bottom"/>
            <w:tcBorders>
              <w:top w:val="single" w:sz="8" w:color="CCEEFF"/>
              <w:bottom w:val="single" w:sz="8" w:color="CCEEFF"/>
            </w:tcBorders>
            <w:gridSpan w:val="2"/>
            <w:vMerge w:val="restart"/>
          </w:tcPr>
          <w:p>
            <w:pPr>
              <w:jc w:val="right"/>
              <w:ind w:right="83"/>
              <w:spacing w:after="0"/>
              <w:rPr>
                <w:sz w:val="20"/>
                <w:szCs w:val="20"/>
                <w:color w:val="auto"/>
              </w:rPr>
            </w:pPr>
            <w:r>
              <w:rPr>
                <w:rFonts w:ascii="Times New Roman" w:cs="Times New Roman" w:eastAsia="Times New Roman" w:hAnsi="Times New Roman"/>
                <w:sz w:val="11"/>
                <w:szCs w:val="11"/>
                <w:color w:val="auto"/>
              </w:rPr>
              <w:t>16</w:t>
            </w:r>
          </w:p>
        </w:tc>
        <w:tc>
          <w:tcPr>
            <w:tcW w:w="100" w:type="dxa"/>
            <w:vAlign w:val="bottom"/>
            <w:tcBorders>
              <w:top w:val="single" w:sz="8" w:color="CCEEFF"/>
            </w:tcBorders>
          </w:tcPr>
          <w:p>
            <w:pPr>
              <w:spacing w:after="0" w:line="20" w:lineRule="exact"/>
              <w:rPr>
                <w:sz w:val="1"/>
                <w:szCs w:val="1"/>
                <w:color w:val="auto"/>
              </w:rPr>
            </w:pPr>
          </w:p>
        </w:tc>
        <w:tc>
          <w:tcPr>
            <w:tcW w:w="220" w:type="dxa"/>
            <w:vAlign w:val="bottom"/>
            <w:tcBorders>
              <w:top w:val="single" w:sz="8" w:color="CCEEFF"/>
              <w:bottom w:val="single" w:sz="8" w:color="auto"/>
            </w:tcBorders>
          </w:tcPr>
          <w:p>
            <w:pPr>
              <w:spacing w:after="0" w:line="20" w:lineRule="exact"/>
              <w:rPr>
                <w:sz w:val="1"/>
                <w:szCs w:val="1"/>
                <w:color w:val="auto"/>
              </w:rPr>
            </w:pPr>
          </w:p>
        </w:tc>
        <w:tc>
          <w:tcPr>
            <w:tcW w:w="740" w:type="dxa"/>
            <w:vAlign w:val="bottom"/>
            <w:tcBorders>
              <w:top w:val="single" w:sz="8" w:color="CCEEFF"/>
              <w:bottom w:val="single" w:sz="8" w:color="auto"/>
            </w:tcBorders>
          </w:tcPr>
          <w:p>
            <w:pPr>
              <w:spacing w:after="0" w:line="20" w:lineRule="exact"/>
              <w:rPr>
                <w:sz w:val="1"/>
                <w:szCs w:val="1"/>
                <w:color w:val="auto"/>
              </w:rPr>
            </w:pPr>
          </w:p>
        </w:tc>
        <w:tc>
          <w:tcPr>
            <w:tcW w:w="1040" w:type="dxa"/>
            <w:vAlign w:val="bottom"/>
            <w:tcBorders>
              <w:top w:val="single" w:sz="8" w:color="CCEEFF"/>
              <w:bottom w:val="single" w:sz="8" w:color="CCEEFF"/>
            </w:tcBorders>
            <w:gridSpan w:val="2"/>
            <w:vMerge w:val="restart"/>
          </w:tcPr>
          <w:p>
            <w:pPr>
              <w:jc w:val="right"/>
              <w:ind w:right="103"/>
              <w:spacing w:after="0"/>
              <w:rPr>
                <w:sz w:val="20"/>
                <w:szCs w:val="20"/>
                <w:color w:val="auto"/>
              </w:rPr>
            </w:pPr>
            <w:r>
              <w:rPr>
                <w:rFonts w:ascii="Times New Roman" w:cs="Times New Roman" w:eastAsia="Times New Roman" w:hAnsi="Times New Roman"/>
                <w:sz w:val="11"/>
                <w:szCs w:val="11"/>
                <w:color w:val="auto"/>
              </w:rPr>
              <w:t>15</w:t>
            </w:r>
          </w:p>
        </w:tc>
        <w:tc>
          <w:tcPr>
            <w:tcW w:w="80" w:type="dxa"/>
            <w:vAlign w:val="bottom"/>
            <w:tcBorders>
              <w:top w:val="single" w:sz="8" w:color="CCEEFF"/>
            </w:tcBorders>
          </w:tcPr>
          <w:p>
            <w:pPr>
              <w:spacing w:after="0" w:line="20" w:lineRule="exact"/>
              <w:rPr>
                <w:sz w:val="1"/>
                <w:szCs w:val="1"/>
                <w:color w:val="auto"/>
              </w:rPr>
            </w:pPr>
          </w:p>
        </w:tc>
        <w:tc>
          <w:tcPr>
            <w:tcW w:w="220" w:type="dxa"/>
            <w:vAlign w:val="bottom"/>
            <w:tcBorders>
              <w:top w:val="single" w:sz="8" w:color="CCEEFF"/>
              <w:bottom w:val="single" w:sz="8" w:color="auto"/>
            </w:tcBorders>
          </w:tcPr>
          <w:p>
            <w:pPr>
              <w:spacing w:after="0" w:line="20" w:lineRule="exact"/>
              <w:rPr>
                <w:sz w:val="1"/>
                <w:szCs w:val="1"/>
                <w:color w:val="auto"/>
              </w:rPr>
            </w:pPr>
          </w:p>
        </w:tc>
        <w:tc>
          <w:tcPr>
            <w:tcW w:w="760" w:type="dxa"/>
            <w:vAlign w:val="bottom"/>
            <w:tcBorders>
              <w:top w:val="single" w:sz="8" w:color="CCEEFF"/>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15"/>
        </w:trPr>
        <w:tc>
          <w:tcPr>
            <w:tcW w:w="1960" w:type="dxa"/>
            <w:vAlign w:val="bottom"/>
            <w:vMerge w:val="continue"/>
          </w:tcPr>
          <w:p>
            <w:pPr>
              <w:spacing w:after="0"/>
              <w:rPr>
                <w:sz w:val="10"/>
                <w:szCs w:val="10"/>
                <w:color w:val="auto"/>
              </w:rPr>
            </w:pPr>
          </w:p>
        </w:tc>
        <w:tc>
          <w:tcPr>
            <w:tcW w:w="580" w:type="dxa"/>
            <w:vAlign w:val="bottom"/>
          </w:tcPr>
          <w:p>
            <w:pPr>
              <w:spacing w:after="0"/>
              <w:rPr>
                <w:sz w:val="10"/>
                <w:szCs w:val="10"/>
                <w:color w:val="auto"/>
              </w:rPr>
            </w:pPr>
          </w:p>
        </w:tc>
        <w:tc>
          <w:tcPr>
            <w:tcW w:w="380" w:type="dxa"/>
            <w:vAlign w:val="bottom"/>
          </w:tcPr>
          <w:p>
            <w:pPr>
              <w:jc w:val="right"/>
              <w:ind w:right="3"/>
              <w:spacing w:after="0" w:line="115" w:lineRule="exact"/>
              <w:rPr>
                <w:sz w:val="20"/>
                <w:szCs w:val="20"/>
                <w:color w:val="auto"/>
              </w:rPr>
            </w:pPr>
            <w:r>
              <w:rPr>
                <w:rFonts w:ascii="Times New Roman" w:cs="Times New Roman" w:eastAsia="Times New Roman" w:hAnsi="Times New Roman"/>
                <w:sz w:val="11"/>
                <w:szCs w:val="11"/>
                <w:color w:val="auto"/>
              </w:rPr>
              <w:t>3,106</w:t>
            </w:r>
          </w:p>
        </w:tc>
        <w:tc>
          <w:tcPr>
            <w:tcW w:w="1020" w:type="dxa"/>
            <w:vAlign w:val="bottom"/>
            <w:gridSpan w:val="2"/>
            <w:vMerge w:val="continue"/>
          </w:tcPr>
          <w:p>
            <w:pPr>
              <w:spacing w:after="0"/>
              <w:rPr>
                <w:sz w:val="10"/>
                <w:szCs w:val="10"/>
                <w:color w:val="auto"/>
              </w:rPr>
            </w:pPr>
          </w:p>
        </w:tc>
        <w:tc>
          <w:tcPr>
            <w:tcW w:w="100" w:type="dxa"/>
            <w:vAlign w:val="bottom"/>
          </w:tcPr>
          <w:p>
            <w:pPr>
              <w:spacing w:after="0"/>
              <w:rPr>
                <w:sz w:val="10"/>
                <w:szCs w:val="10"/>
                <w:color w:val="auto"/>
              </w:rPr>
            </w:pPr>
          </w:p>
        </w:tc>
        <w:tc>
          <w:tcPr>
            <w:tcW w:w="220" w:type="dxa"/>
            <w:vAlign w:val="bottom"/>
          </w:tcPr>
          <w:p>
            <w:pPr>
              <w:spacing w:after="0"/>
              <w:rPr>
                <w:sz w:val="10"/>
                <w:szCs w:val="10"/>
                <w:color w:val="auto"/>
              </w:rPr>
            </w:pPr>
          </w:p>
        </w:tc>
        <w:tc>
          <w:tcPr>
            <w:tcW w:w="740" w:type="dxa"/>
            <w:vAlign w:val="bottom"/>
          </w:tcPr>
          <w:p>
            <w:pPr>
              <w:jc w:val="right"/>
              <w:spacing w:after="0" w:line="115" w:lineRule="exact"/>
              <w:rPr>
                <w:sz w:val="20"/>
                <w:szCs w:val="20"/>
                <w:color w:val="auto"/>
              </w:rPr>
            </w:pPr>
            <w:r>
              <w:rPr>
                <w:rFonts w:ascii="Times New Roman" w:cs="Times New Roman" w:eastAsia="Times New Roman" w:hAnsi="Times New Roman"/>
                <w:sz w:val="11"/>
                <w:szCs w:val="11"/>
                <w:color w:val="auto"/>
              </w:rPr>
              <w:t>3,762</w:t>
            </w:r>
          </w:p>
        </w:tc>
        <w:tc>
          <w:tcPr>
            <w:tcW w:w="1040" w:type="dxa"/>
            <w:vAlign w:val="bottom"/>
            <w:gridSpan w:val="2"/>
            <w:vMerge w:val="continue"/>
          </w:tcPr>
          <w:p>
            <w:pPr>
              <w:spacing w:after="0"/>
              <w:rPr>
                <w:sz w:val="10"/>
                <w:szCs w:val="10"/>
                <w:color w:val="auto"/>
              </w:rPr>
            </w:pPr>
          </w:p>
        </w:tc>
        <w:tc>
          <w:tcPr>
            <w:tcW w:w="80" w:type="dxa"/>
            <w:vAlign w:val="bottom"/>
          </w:tcPr>
          <w:p>
            <w:pPr>
              <w:spacing w:after="0"/>
              <w:rPr>
                <w:sz w:val="10"/>
                <w:szCs w:val="10"/>
                <w:color w:val="auto"/>
              </w:rPr>
            </w:pPr>
          </w:p>
        </w:tc>
        <w:tc>
          <w:tcPr>
            <w:tcW w:w="220" w:type="dxa"/>
            <w:vAlign w:val="bottom"/>
          </w:tcPr>
          <w:p>
            <w:pPr>
              <w:spacing w:after="0"/>
              <w:rPr>
                <w:sz w:val="10"/>
                <w:szCs w:val="10"/>
                <w:color w:val="auto"/>
              </w:rPr>
            </w:pPr>
          </w:p>
        </w:tc>
        <w:tc>
          <w:tcPr>
            <w:tcW w:w="760" w:type="dxa"/>
            <w:vAlign w:val="bottom"/>
          </w:tcPr>
          <w:p>
            <w:pPr>
              <w:jc w:val="right"/>
              <w:ind w:right="3"/>
              <w:spacing w:after="0" w:line="115" w:lineRule="exact"/>
              <w:rPr>
                <w:sz w:val="20"/>
                <w:szCs w:val="20"/>
                <w:color w:val="auto"/>
              </w:rPr>
            </w:pPr>
            <w:r>
              <w:rPr>
                <w:rFonts w:ascii="Times New Roman" w:cs="Times New Roman" w:eastAsia="Times New Roman" w:hAnsi="Times New Roman"/>
                <w:sz w:val="11"/>
                <w:szCs w:val="11"/>
                <w:color w:val="auto"/>
              </w:rPr>
              <w:t>4,456</w:t>
            </w:r>
          </w:p>
        </w:tc>
        <w:tc>
          <w:tcPr>
            <w:tcW w:w="1020" w:type="dxa"/>
            <w:vAlign w:val="bottom"/>
            <w:gridSpan w:val="2"/>
            <w:vMerge w:val="continue"/>
          </w:tcPr>
          <w:p>
            <w:pPr>
              <w:spacing w:after="0"/>
              <w:rPr>
                <w:sz w:val="10"/>
                <w:szCs w:val="10"/>
                <w:color w:val="auto"/>
              </w:rPr>
            </w:pPr>
          </w:p>
        </w:tc>
        <w:tc>
          <w:tcPr>
            <w:tcW w:w="100" w:type="dxa"/>
            <w:vAlign w:val="bottom"/>
          </w:tcPr>
          <w:p>
            <w:pPr>
              <w:spacing w:after="0"/>
              <w:rPr>
                <w:sz w:val="10"/>
                <w:szCs w:val="10"/>
                <w:color w:val="auto"/>
              </w:rPr>
            </w:pPr>
          </w:p>
        </w:tc>
        <w:tc>
          <w:tcPr>
            <w:tcW w:w="220" w:type="dxa"/>
            <w:vAlign w:val="bottom"/>
          </w:tcPr>
          <w:p>
            <w:pPr>
              <w:spacing w:after="0"/>
              <w:rPr>
                <w:sz w:val="10"/>
                <w:szCs w:val="10"/>
                <w:color w:val="auto"/>
              </w:rPr>
            </w:pPr>
          </w:p>
        </w:tc>
        <w:tc>
          <w:tcPr>
            <w:tcW w:w="740" w:type="dxa"/>
            <w:vAlign w:val="bottom"/>
          </w:tcPr>
          <w:p>
            <w:pPr>
              <w:jc w:val="right"/>
              <w:spacing w:after="0" w:line="115" w:lineRule="exact"/>
              <w:rPr>
                <w:sz w:val="20"/>
                <w:szCs w:val="20"/>
                <w:color w:val="auto"/>
              </w:rPr>
            </w:pPr>
            <w:r>
              <w:rPr>
                <w:rFonts w:ascii="Times New Roman" w:cs="Times New Roman" w:eastAsia="Times New Roman" w:hAnsi="Times New Roman"/>
                <w:sz w:val="11"/>
                <w:szCs w:val="11"/>
                <w:color w:val="auto"/>
              </w:rPr>
              <w:t>3,847</w:t>
            </w:r>
          </w:p>
        </w:tc>
        <w:tc>
          <w:tcPr>
            <w:tcW w:w="1040" w:type="dxa"/>
            <w:vAlign w:val="bottom"/>
            <w:gridSpan w:val="2"/>
            <w:vMerge w:val="continue"/>
          </w:tcPr>
          <w:p>
            <w:pPr>
              <w:spacing w:after="0"/>
              <w:rPr>
                <w:sz w:val="10"/>
                <w:szCs w:val="10"/>
                <w:color w:val="auto"/>
              </w:rPr>
            </w:pPr>
          </w:p>
        </w:tc>
        <w:tc>
          <w:tcPr>
            <w:tcW w:w="80" w:type="dxa"/>
            <w:vAlign w:val="bottom"/>
          </w:tcPr>
          <w:p>
            <w:pPr>
              <w:spacing w:after="0"/>
              <w:rPr>
                <w:sz w:val="10"/>
                <w:szCs w:val="10"/>
                <w:color w:val="auto"/>
              </w:rPr>
            </w:pPr>
          </w:p>
        </w:tc>
        <w:tc>
          <w:tcPr>
            <w:tcW w:w="220" w:type="dxa"/>
            <w:vAlign w:val="bottom"/>
          </w:tcPr>
          <w:p>
            <w:pPr>
              <w:spacing w:after="0"/>
              <w:rPr>
                <w:sz w:val="10"/>
                <w:szCs w:val="10"/>
                <w:color w:val="auto"/>
              </w:rPr>
            </w:pPr>
          </w:p>
        </w:tc>
        <w:tc>
          <w:tcPr>
            <w:tcW w:w="760" w:type="dxa"/>
            <w:vAlign w:val="bottom"/>
          </w:tcPr>
          <w:p>
            <w:pPr>
              <w:jc w:val="right"/>
              <w:spacing w:after="0" w:line="115" w:lineRule="exact"/>
              <w:rPr>
                <w:sz w:val="20"/>
                <w:szCs w:val="20"/>
                <w:color w:val="auto"/>
              </w:rPr>
            </w:pPr>
            <w:r>
              <w:rPr>
                <w:rFonts w:ascii="Times New Roman" w:cs="Times New Roman" w:eastAsia="Times New Roman" w:hAnsi="Times New Roman"/>
                <w:sz w:val="11"/>
                <w:szCs w:val="11"/>
                <w:color w:val="auto"/>
              </w:rPr>
              <w:t>3,347</w:t>
            </w:r>
          </w:p>
        </w:tc>
        <w:tc>
          <w:tcPr>
            <w:tcW w:w="0" w:type="dxa"/>
            <w:vAlign w:val="bottom"/>
          </w:tcPr>
          <w:p>
            <w:pPr>
              <w:spacing w:after="0"/>
              <w:rPr>
                <w:sz w:val="1"/>
                <w:szCs w:val="1"/>
                <w:color w:val="auto"/>
              </w:rPr>
            </w:pPr>
          </w:p>
        </w:tc>
      </w:tr>
      <w:tr>
        <w:trPr>
          <w:trHeight w:val="165"/>
        </w:trPr>
        <w:tc>
          <w:tcPr>
            <w:tcW w:w="1960" w:type="dxa"/>
            <w:vAlign w:val="bottom"/>
            <w:shd w:val="clear" w:color="auto" w:fill="CCEEFF"/>
          </w:tcPr>
          <w:p>
            <w:pPr>
              <w:ind w:left="180"/>
              <w:spacing w:after="0"/>
              <w:rPr>
                <w:sz w:val="20"/>
                <w:szCs w:val="20"/>
                <w:color w:val="auto"/>
              </w:rPr>
            </w:pPr>
            <w:r>
              <w:rPr>
                <w:rFonts w:ascii="Times New Roman" w:cs="Times New Roman" w:eastAsia="Times New Roman" w:hAnsi="Times New Roman"/>
                <w:sz w:val="11"/>
                <w:szCs w:val="11"/>
                <w:color w:val="auto"/>
              </w:rPr>
              <w:t>Intangible amortization</w:t>
            </w:r>
          </w:p>
        </w:tc>
        <w:tc>
          <w:tcPr>
            <w:tcW w:w="580" w:type="dxa"/>
            <w:vAlign w:val="bottom"/>
            <w:shd w:val="clear" w:color="auto" w:fill="CCEEFF"/>
          </w:tcPr>
          <w:p>
            <w:pPr>
              <w:spacing w:after="0"/>
              <w:rPr>
                <w:sz w:val="14"/>
                <w:szCs w:val="14"/>
                <w:color w:val="auto"/>
              </w:rPr>
            </w:pPr>
          </w:p>
        </w:tc>
        <w:tc>
          <w:tcPr>
            <w:tcW w:w="380" w:type="dxa"/>
            <w:vAlign w:val="bottom"/>
            <w:shd w:val="clear" w:color="auto" w:fill="CCEEFF"/>
          </w:tcPr>
          <w:p>
            <w:pPr>
              <w:jc w:val="right"/>
              <w:ind w:right="3"/>
              <w:spacing w:after="0"/>
              <w:rPr>
                <w:sz w:val="20"/>
                <w:szCs w:val="20"/>
                <w:color w:val="auto"/>
              </w:rPr>
            </w:pPr>
            <w:r>
              <w:rPr>
                <w:rFonts w:ascii="Times New Roman" w:cs="Times New Roman" w:eastAsia="Times New Roman" w:hAnsi="Times New Roman"/>
                <w:sz w:val="11"/>
                <w:szCs w:val="11"/>
                <w:color w:val="auto"/>
              </w:rPr>
              <w:t>2,543</w:t>
            </w:r>
          </w:p>
        </w:tc>
        <w:tc>
          <w:tcPr>
            <w:tcW w:w="1020" w:type="dxa"/>
            <w:vAlign w:val="bottom"/>
            <w:gridSpan w:val="2"/>
            <w:shd w:val="clear" w:color="auto" w:fill="CCEEFF"/>
          </w:tcPr>
          <w:p>
            <w:pPr>
              <w:jc w:val="right"/>
              <w:ind w:right="63"/>
              <w:spacing w:after="0"/>
              <w:rPr>
                <w:sz w:val="20"/>
                <w:szCs w:val="20"/>
                <w:color w:val="auto"/>
              </w:rPr>
            </w:pPr>
            <w:r>
              <w:rPr>
                <w:rFonts w:ascii="Times New Roman" w:cs="Times New Roman" w:eastAsia="Times New Roman" w:hAnsi="Times New Roman"/>
                <w:sz w:val="11"/>
                <w:szCs w:val="11"/>
                <w:color w:val="auto"/>
              </w:rPr>
              <w:t>(5)</w:t>
            </w:r>
          </w:p>
        </w:tc>
        <w:tc>
          <w:tcPr>
            <w:tcW w:w="100" w:type="dxa"/>
            <w:vAlign w:val="bottom"/>
            <w:shd w:val="clear" w:color="auto" w:fill="CCEEFF"/>
          </w:tcPr>
          <w:p>
            <w:pPr>
              <w:spacing w:after="0"/>
              <w:rPr>
                <w:sz w:val="14"/>
                <w:szCs w:val="14"/>
                <w:color w:val="auto"/>
              </w:rPr>
            </w:pPr>
          </w:p>
        </w:tc>
        <w:tc>
          <w:tcPr>
            <w:tcW w:w="220" w:type="dxa"/>
            <w:vAlign w:val="bottom"/>
            <w:shd w:val="clear" w:color="auto" w:fill="CCEEFF"/>
          </w:tcPr>
          <w:p>
            <w:pPr>
              <w:spacing w:after="0"/>
              <w:rPr>
                <w:sz w:val="14"/>
                <w:szCs w:val="14"/>
                <w:color w:val="auto"/>
              </w:rPr>
            </w:pPr>
          </w:p>
        </w:tc>
        <w:tc>
          <w:tcPr>
            <w:tcW w:w="7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1"/>
                <w:szCs w:val="11"/>
                <w:color w:val="auto"/>
              </w:rPr>
              <w:t>2,665</w:t>
            </w:r>
          </w:p>
        </w:tc>
        <w:tc>
          <w:tcPr>
            <w:tcW w:w="100" w:type="dxa"/>
            <w:vAlign w:val="bottom"/>
            <w:shd w:val="clear" w:color="auto" w:fill="CCEEFF"/>
          </w:tcPr>
          <w:p>
            <w:pPr>
              <w:spacing w:after="0"/>
              <w:rPr>
                <w:sz w:val="14"/>
                <w:szCs w:val="14"/>
                <w:color w:val="auto"/>
              </w:rPr>
            </w:pPr>
          </w:p>
        </w:tc>
        <w:tc>
          <w:tcPr>
            <w:tcW w:w="1020" w:type="dxa"/>
            <w:vAlign w:val="bottom"/>
            <w:gridSpan w:val="2"/>
            <w:shd w:val="clear" w:color="auto" w:fill="CCEEFF"/>
          </w:tcPr>
          <w:p>
            <w:pPr>
              <w:ind w:left="680"/>
              <w:spacing w:after="0"/>
              <w:rPr>
                <w:sz w:val="20"/>
                <w:szCs w:val="20"/>
                <w:color w:val="auto"/>
              </w:rPr>
            </w:pPr>
            <w:r>
              <w:rPr>
                <w:rFonts w:ascii="Times New Roman" w:cs="Times New Roman" w:eastAsia="Times New Roman" w:hAnsi="Times New Roman"/>
                <w:sz w:val="11"/>
                <w:szCs w:val="11"/>
                <w:color w:val="auto"/>
              </w:rPr>
              <w:t>—</w:t>
            </w:r>
          </w:p>
        </w:tc>
        <w:tc>
          <w:tcPr>
            <w:tcW w:w="220" w:type="dxa"/>
            <w:vAlign w:val="bottom"/>
            <w:shd w:val="clear" w:color="auto" w:fill="CCEEFF"/>
          </w:tcPr>
          <w:p>
            <w:pPr>
              <w:spacing w:after="0"/>
              <w:rPr>
                <w:sz w:val="14"/>
                <w:szCs w:val="14"/>
                <w:color w:val="auto"/>
              </w:rPr>
            </w:pPr>
          </w:p>
        </w:tc>
        <w:tc>
          <w:tcPr>
            <w:tcW w:w="760" w:type="dxa"/>
            <w:vAlign w:val="bottom"/>
            <w:shd w:val="clear" w:color="auto" w:fill="CCEEFF"/>
          </w:tcPr>
          <w:p>
            <w:pPr>
              <w:jc w:val="right"/>
              <w:ind w:right="3"/>
              <w:spacing w:after="0"/>
              <w:rPr>
                <w:sz w:val="20"/>
                <w:szCs w:val="20"/>
                <w:color w:val="auto"/>
              </w:rPr>
            </w:pPr>
            <w:r>
              <w:rPr>
                <w:rFonts w:ascii="Times New Roman" w:cs="Times New Roman" w:eastAsia="Times New Roman" w:hAnsi="Times New Roman"/>
                <w:sz w:val="11"/>
                <w:szCs w:val="11"/>
                <w:color w:val="auto"/>
              </w:rPr>
              <w:t>2,674</w:t>
            </w:r>
          </w:p>
        </w:tc>
        <w:tc>
          <w:tcPr>
            <w:tcW w:w="1020" w:type="dxa"/>
            <w:vAlign w:val="bottom"/>
            <w:gridSpan w:val="2"/>
            <w:shd w:val="clear" w:color="auto" w:fill="CCEEFF"/>
          </w:tcPr>
          <w:p>
            <w:pPr>
              <w:jc w:val="right"/>
              <w:ind w:right="83"/>
              <w:spacing w:after="0"/>
              <w:rPr>
                <w:sz w:val="20"/>
                <w:szCs w:val="20"/>
                <w:color w:val="auto"/>
              </w:rPr>
            </w:pPr>
            <w:r>
              <w:rPr>
                <w:rFonts w:ascii="Times New Roman" w:cs="Times New Roman" w:eastAsia="Times New Roman" w:hAnsi="Times New Roman"/>
                <w:sz w:val="11"/>
                <w:szCs w:val="11"/>
                <w:color w:val="auto"/>
              </w:rPr>
              <w:t>633</w:t>
            </w:r>
          </w:p>
        </w:tc>
        <w:tc>
          <w:tcPr>
            <w:tcW w:w="100" w:type="dxa"/>
            <w:vAlign w:val="bottom"/>
            <w:shd w:val="clear" w:color="auto" w:fill="CCEEFF"/>
          </w:tcPr>
          <w:p>
            <w:pPr>
              <w:spacing w:after="0"/>
              <w:rPr>
                <w:sz w:val="14"/>
                <w:szCs w:val="14"/>
                <w:color w:val="auto"/>
              </w:rPr>
            </w:pPr>
          </w:p>
        </w:tc>
        <w:tc>
          <w:tcPr>
            <w:tcW w:w="220" w:type="dxa"/>
            <w:vAlign w:val="bottom"/>
            <w:shd w:val="clear" w:color="auto" w:fill="CCEEFF"/>
          </w:tcPr>
          <w:p>
            <w:pPr>
              <w:spacing w:after="0"/>
              <w:rPr>
                <w:sz w:val="14"/>
                <w:szCs w:val="14"/>
                <w:color w:val="auto"/>
              </w:rPr>
            </w:pPr>
          </w:p>
        </w:tc>
        <w:tc>
          <w:tcPr>
            <w:tcW w:w="7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1"/>
                <w:szCs w:val="11"/>
                <w:color w:val="auto"/>
              </w:rPr>
              <w:t>365</w:t>
            </w:r>
          </w:p>
        </w:tc>
        <w:tc>
          <w:tcPr>
            <w:tcW w:w="1040" w:type="dxa"/>
            <w:vAlign w:val="bottom"/>
            <w:gridSpan w:val="2"/>
            <w:shd w:val="clear" w:color="auto" w:fill="CCEEFF"/>
          </w:tcPr>
          <w:p>
            <w:pPr>
              <w:jc w:val="right"/>
              <w:ind w:right="103"/>
              <w:spacing w:after="0"/>
              <w:rPr>
                <w:sz w:val="20"/>
                <w:szCs w:val="20"/>
                <w:color w:val="auto"/>
              </w:rPr>
            </w:pPr>
            <w:r>
              <w:rPr>
                <w:rFonts w:ascii="Times New Roman" w:cs="Times New Roman" w:eastAsia="Times New Roman" w:hAnsi="Times New Roman"/>
                <w:sz w:val="11"/>
                <w:szCs w:val="11"/>
                <w:color w:val="auto"/>
              </w:rPr>
              <w:t>183</w:t>
            </w:r>
          </w:p>
        </w:tc>
        <w:tc>
          <w:tcPr>
            <w:tcW w:w="80" w:type="dxa"/>
            <w:vAlign w:val="bottom"/>
            <w:shd w:val="clear" w:color="auto" w:fill="CCEEFF"/>
          </w:tcPr>
          <w:p>
            <w:pPr>
              <w:spacing w:after="0"/>
              <w:rPr>
                <w:sz w:val="14"/>
                <w:szCs w:val="14"/>
                <w:color w:val="auto"/>
              </w:rPr>
            </w:pPr>
          </w:p>
        </w:tc>
        <w:tc>
          <w:tcPr>
            <w:tcW w:w="220" w:type="dxa"/>
            <w:vAlign w:val="bottom"/>
            <w:shd w:val="clear" w:color="auto" w:fill="CCEEFF"/>
          </w:tcPr>
          <w:p>
            <w:pPr>
              <w:spacing w:after="0"/>
              <w:rPr>
                <w:sz w:val="14"/>
                <w:szCs w:val="14"/>
                <w:color w:val="auto"/>
              </w:rPr>
            </w:pPr>
          </w:p>
        </w:tc>
        <w:tc>
          <w:tcPr>
            <w:tcW w:w="7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1"/>
                <w:szCs w:val="11"/>
                <w:color w:val="auto"/>
              </w:rPr>
              <w:t>129</w:t>
            </w:r>
          </w:p>
        </w:tc>
        <w:tc>
          <w:tcPr>
            <w:tcW w:w="0" w:type="dxa"/>
            <w:vAlign w:val="bottom"/>
          </w:tcPr>
          <w:p>
            <w:pPr>
              <w:spacing w:after="0"/>
              <w:rPr>
                <w:sz w:val="1"/>
                <w:szCs w:val="1"/>
                <w:color w:val="auto"/>
              </w:rPr>
            </w:pPr>
          </w:p>
        </w:tc>
      </w:tr>
      <w:tr>
        <w:trPr>
          <w:trHeight w:val="106"/>
        </w:trPr>
        <w:tc>
          <w:tcPr>
            <w:tcW w:w="1960" w:type="dxa"/>
            <w:vAlign w:val="bottom"/>
          </w:tcPr>
          <w:p>
            <w:pPr>
              <w:ind w:left="180"/>
              <w:spacing w:after="0" w:line="106" w:lineRule="exact"/>
              <w:rPr>
                <w:sz w:val="20"/>
                <w:szCs w:val="20"/>
                <w:color w:val="auto"/>
              </w:rPr>
            </w:pPr>
            <w:r>
              <w:rPr>
                <w:rFonts w:ascii="Times New Roman" w:cs="Times New Roman" w:eastAsia="Times New Roman" w:hAnsi="Times New Roman"/>
                <w:sz w:val="11"/>
                <w:szCs w:val="11"/>
                <w:color w:val="auto"/>
              </w:rPr>
              <w:t>Tax benefit from goodwill</w:t>
            </w:r>
          </w:p>
        </w:tc>
        <w:tc>
          <w:tcPr>
            <w:tcW w:w="580" w:type="dxa"/>
            <w:vAlign w:val="bottom"/>
          </w:tcPr>
          <w:p>
            <w:pPr>
              <w:spacing w:after="0"/>
              <w:rPr>
                <w:sz w:val="9"/>
                <w:szCs w:val="9"/>
                <w:color w:val="auto"/>
              </w:rPr>
            </w:pPr>
          </w:p>
        </w:tc>
        <w:tc>
          <w:tcPr>
            <w:tcW w:w="380" w:type="dxa"/>
            <w:vAlign w:val="bottom"/>
            <w:vMerge w:val="restart"/>
          </w:tcPr>
          <w:p>
            <w:pPr>
              <w:jc w:val="right"/>
              <w:ind w:right="3"/>
              <w:spacing w:after="0"/>
              <w:rPr>
                <w:sz w:val="20"/>
                <w:szCs w:val="20"/>
                <w:color w:val="auto"/>
              </w:rPr>
            </w:pPr>
            <w:r>
              <w:rPr>
                <w:rFonts w:ascii="Times New Roman" w:cs="Times New Roman" w:eastAsia="Times New Roman" w:hAnsi="Times New Roman"/>
                <w:sz w:val="11"/>
                <w:szCs w:val="11"/>
                <w:color w:val="auto"/>
              </w:rPr>
              <w:t>297</w:t>
            </w:r>
          </w:p>
        </w:tc>
        <w:tc>
          <w:tcPr>
            <w:tcW w:w="1020" w:type="dxa"/>
            <w:vAlign w:val="bottom"/>
            <w:gridSpan w:val="2"/>
            <w:vMerge w:val="restart"/>
          </w:tcPr>
          <w:p>
            <w:pPr>
              <w:jc w:val="right"/>
              <w:ind w:right="83"/>
              <w:spacing w:after="0"/>
              <w:rPr>
                <w:sz w:val="20"/>
                <w:szCs w:val="20"/>
                <w:color w:val="auto"/>
              </w:rPr>
            </w:pPr>
            <w:r>
              <w:rPr>
                <w:rFonts w:ascii="Times New Roman" w:cs="Times New Roman" w:eastAsia="Times New Roman" w:hAnsi="Times New Roman"/>
                <w:sz w:val="11"/>
                <w:szCs w:val="11"/>
                <w:color w:val="auto"/>
              </w:rPr>
              <w:t>186</w:t>
            </w:r>
          </w:p>
        </w:tc>
        <w:tc>
          <w:tcPr>
            <w:tcW w:w="100" w:type="dxa"/>
            <w:vAlign w:val="bottom"/>
          </w:tcPr>
          <w:p>
            <w:pPr>
              <w:spacing w:after="0"/>
              <w:rPr>
                <w:sz w:val="9"/>
                <w:szCs w:val="9"/>
                <w:color w:val="auto"/>
              </w:rPr>
            </w:pPr>
          </w:p>
        </w:tc>
        <w:tc>
          <w:tcPr>
            <w:tcW w:w="220" w:type="dxa"/>
            <w:vAlign w:val="bottom"/>
          </w:tcPr>
          <w:p>
            <w:pPr>
              <w:spacing w:after="0"/>
              <w:rPr>
                <w:sz w:val="9"/>
                <w:szCs w:val="9"/>
                <w:color w:val="auto"/>
              </w:rPr>
            </w:pPr>
          </w:p>
        </w:tc>
        <w:tc>
          <w:tcPr>
            <w:tcW w:w="740" w:type="dxa"/>
            <w:vAlign w:val="bottom"/>
            <w:vMerge w:val="restart"/>
          </w:tcPr>
          <w:p>
            <w:pPr>
              <w:jc w:val="right"/>
              <w:spacing w:after="0"/>
              <w:rPr>
                <w:sz w:val="20"/>
                <w:szCs w:val="20"/>
                <w:color w:val="auto"/>
              </w:rPr>
            </w:pPr>
            <w:r>
              <w:rPr>
                <w:rFonts w:ascii="Times New Roman" w:cs="Times New Roman" w:eastAsia="Times New Roman" w:hAnsi="Times New Roman"/>
                <w:sz w:val="11"/>
                <w:szCs w:val="11"/>
                <w:color w:val="auto"/>
              </w:rPr>
              <w:t>104</w:t>
            </w:r>
          </w:p>
        </w:tc>
        <w:tc>
          <w:tcPr>
            <w:tcW w:w="100" w:type="dxa"/>
            <w:vAlign w:val="bottom"/>
          </w:tcPr>
          <w:p>
            <w:pPr>
              <w:spacing w:after="0"/>
              <w:rPr>
                <w:sz w:val="9"/>
                <w:szCs w:val="9"/>
                <w:color w:val="auto"/>
              </w:rPr>
            </w:pPr>
          </w:p>
        </w:tc>
        <w:tc>
          <w:tcPr>
            <w:tcW w:w="1020" w:type="dxa"/>
            <w:vAlign w:val="bottom"/>
            <w:gridSpan w:val="2"/>
            <w:vMerge w:val="restart"/>
          </w:tcPr>
          <w:p>
            <w:pPr>
              <w:ind w:left="740"/>
              <w:spacing w:after="0"/>
              <w:rPr>
                <w:sz w:val="20"/>
                <w:szCs w:val="20"/>
                <w:color w:val="auto"/>
              </w:rPr>
            </w:pPr>
            <w:r>
              <w:rPr>
                <w:rFonts w:ascii="Times New Roman" w:cs="Times New Roman" w:eastAsia="Times New Roman" w:hAnsi="Times New Roman"/>
                <w:sz w:val="11"/>
                <w:szCs w:val="11"/>
                <w:color w:val="auto"/>
              </w:rPr>
              <w:t>NM</w:t>
            </w:r>
          </w:p>
        </w:tc>
        <w:tc>
          <w:tcPr>
            <w:tcW w:w="220" w:type="dxa"/>
            <w:vAlign w:val="bottom"/>
          </w:tcPr>
          <w:p>
            <w:pPr>
              <w:spacing w:after="0"/>
              <w:rPr>
                <w:sz w:val="9"/>
                <w:szCs w:val="9"/>
                <w:color w:val="auto"/>
              </w:rPr>
            </w:pPr>
          </w:p>
        </w:tc>
        <w:tc>
          <w:tcPr>
            <w:tcW w:w="760" w:type="dxa"/>
            <w:vAlign w:val="bottom"/>
            <w:vMerge w:val="restart"/>
          </w:tcPr>
          <w:p>
            <w:pPr>
              <w:jc w:val="right"/>
              <w:ind w:right="3"/>
              <w:spacing w:after="0"/>
              <w:rPr>
                <w:sz w:val="20"/>
                <w:szCs w:val="20"/>
                <w:color w:val="auto"/>
              </w:rPr>
            </w:pPr>
            <w:r>
              <w:rPr>
                <w:rFonts w:ascii="Times New Roman" w:cs="Times New Roman" w:eastAsia="Times New Roman" w:hAnsi="Times New Roman"/>
                <w:sz w:val="11"/>
                <w:szCs w:val="11"/>
                <w:color w:val="auto"/>
              </w:rPr>
              <w:t>262</w:t>
            </w:r>
          </w:p>
        </w:tc>
        <w:tc>
          <w:tcPr>
            <w:tcW w:w="80" w:type="dxa"/>
            <w:vAlign w:val="bottom"/>
          </w:tcPr>
          <w:p>
            <w:pPr>
              <w:spacing w:after="0"/>
              <w:rPr>
                <w:sz w:val="9"/>
                <w:szCs w:val="9"/>
                <w:color w:val="auto"/>
              </w:rPr>
            </w:pPr>
          </w:p>
        </w:tc>
        <w:tc>
          <w:tcPr>
            <w:tcW w:w="1040" w:type="dxa"/>
            <w:vAlign w:val="bottom"/>
            <w:gridSpan w:val="2"/>
            <w:vMerge w:val="restart"/>
          </w:tcPr>
          <w:p>
            <w:pPr>
              <w:ind w:left="740"/>
              <w:spacing w:after="0"/>
              <w:rPr>
                <w:sz w:val="20"/>
                <w:szCs w:val="20"/>
                <w:color w:val="auto"/>
              </w:rPr>
            </w:pPr>
            <w:r>
              <w:rPr>
                <w:rFonts w:ascii="Times New Roman" w:cs="Times New Roman" w:eastAsia="Times New Roman" w:hAnsi="Times New Roman"/>
                <w:sz w:val="11"/>
                <w:szCs w:val="11"/>
                <w:color w:val="auto"/>
              </w:rPr>
              <w:t>NM</w:t>
            </w:r>
          </w:p>
        </w:tc>
        <w:tc>
          <w:tcPr>
            <w:tcW w:w="220" w:type="dxa"/>
            <w:vAlign w:val="bottom"/>
          </w:tcPr>
          <w:p>
            <w:pPr>
              <w:spacing w:after="0"/>
              <w:rPr>
                <w:sz w:val="9"/>
                <w:szCs w:val="9"/>
                <w:color w:val="auto"/>
              </w:rPr>
            </w:pPr>
          </w:p>
        </w:tc>
        <w:tc>
          <w:tcPr>
            <w:tcW w:w="740" w:type="dxa"/>
            <w:vAlign w:val="bottom"/>
            <w:vMerge w:val="restart"/>
          </w:tcPr>
          <w:p>
            <w:pPr>
              <w:jc w:val="right"/>
              <w:spacing w:after="0"/>
              <w:rPr>
                <w:sz w:val="20"/>
                <w:szCs w:val="20"/>
                <w:color w:val="auto"/>
              </w:rPr>
            </w:pPr>
            <w:r>
              <w:rPr>
                <w:rFonts w:ascii="Times New Roman" w:cs="Times New Roman" w:eastAsia="Times New Roman" w:hAnsi="Times New Roman"/>
                <w:sz w:val="11"/>
                <w:szCs w:val="11"/>
                <w:color w:val="auto"/>
              </w:rPr>
              <w:t>66</w:t>
            </w:r>
          </w:p>
        </w:tc>
        <w:tc>
          <w:tcPr>
            <w:tcW w:w="100" w:type="dxa"/>
            <w:vAlign w:val="bottom"/>
          </w:tcPr>
          <w:p>
            <w:pPr>
              <w:spacing w:after="0"/>
              <w:rPr>
                <w:sz w:val="9"/>
                <w:szCs w:val="9"/>
                <w:color w:val="auto"/>
              </w:rPr>
            </w:pPr>
          </w:p>
        </w:tc>
        <w:tc>
          <w:tcPr>
            <w:tcW w:w="1020" w:type="dxa"/>
            <w:vAlign w:val="bottom"/>
            <w:gridSpan w:val="2"/>
            <w:vMerge w:val="restart"/>
          </w:tcPr>
          <w:p>
            <w:pPr>
              <w:jc w:val="right"/>
              <w:ind w:right="100"/>
              <w:spacing w:after="0"/>
              <w:rPr>
                <w:sz w:val="20"/>
                <w:szCs w:val="20"/>
                <w:color w:val="auto"/>
              </w:rPr>
            </w:pPr>
            <w:r>
              <w:rPr>
                <w:rFonts w:ascii="Times New Roman" w:cs="Times New Roman" w:eastAsia="Times New Roman" w:hAnsi="Times New Roman"/>
                <w:sz w:val="11"/>
                <w:szCs w:val="11"/>
                <w:color w:val="auto"/>
              </w:rPr>
              <w:t>NM</w:t>
            </w:r>
          </w:p>
        </w:tc>
        <w:tc>
          <w:tcPr>
            <w:tcW w:w="220" w:type="dxa"/>
            <w:vAlign w:val="bottom"/>
          </w:tcPr>
          <w:p>
            <w:pPr>
              <w:spacing w:after="0"/>
              <w:rPr>
                <w:sz w:val="9"/>
                <w:szCs w:val="9"/>
                <w:color w:val="auto"/>
              </w:rPr>
            </w:pPr>
          </w:p>
        </w:tc>
        <w:tc>
          <w:tcPr>
            <w:tcW w:w="760" w:type="dxa"/>
            <w:vAlign w:val="bottom"/>
            <w:vMerge w:val="restart"/>
          </w:tcPr>
          <w:p>
            <w:pPr>
              <w:jc w:val="right"/>
              <w:spacing w:after="0"/>
              <w:rPr>
                <w:sz w:val="20"/>
                <w:szCs w:val="20"/>
                <w:color w:val="auto"/>
              </w:rPr>
            </w:pPr>
            <w:r>
              <w:rPr>
                <w:rFonts w:ascii="Times New Roman" w:cs="Times New Roman" w:eastAsia="Times New Roman" w:hAnsi="Times New Roman"/>
                <w:sz w:val="11"/>
                <w:szCs w:val="11"/>
                <w:color w:val="auto"/>
              </w:rPr>
              <w:t>—</w:t>
            </w:r>
          </w:p>
        </w:tc>
        <w:tc>
          <w:tcPr>
            <w:tcW w:w="0" w:type="dxa"/>
            <w:vAlign w:val="bottom"/>
          </w:tcPr>
          <w:p>
            <w:pPr>
              <w:spacing w:after="0"/>
              <w:rPr>
                <w:sz w:val="1"/>
                <w:szCs w:val="1"/>
                <w:color w:val="auto"/>
              </w:rPr>
            </w:pPr>
          </w:p>
        </w:tc>
      </w:tr>
      <w:tr>
        <w:trPr>
          <w:trHeight w:val="153"/>
        </w:trPr>
        <w:tc>
          <w:tcPr>
            <w:tcW w:w="1960" w:type="dxa"/>
            <w:vAlign w:val="bottom"/>
          </w:tcPr>
          <w:p>
            <w:pPr>
              <w:ind w:left="180"/>
              <w:spacing w:after="0"/>
              <w:rPr>
                <w:sz w:val="20"/>
                <w:szCs w:val="20"/>
                <w:color w:val="auto"/>
              </w:rPr>
            </w:pPr>
            <w:r>
              <w:rPr>
                <w:rFonts w:ascii="Times New Roman" w:cs="Times New Roman" w:eastAsia="Times New Roman" w:hAnsi="Times New Roman"/>
                <w:sz w:val="11"/>
                <w:szCs w:val="11"/>
                <w:color w:val="auto"/>
              </w:rPr>
              <w:t>amortization</w:t>
            </w:r>
          </w:p>
        </w:tc>
        <w:tc>
          <w:tcPr>
            <w:tcW w:w="580" w:type="dxa"/>
            <w:vAlign w:val="bottom"/>
          </w:tcPr>
          <w:p>
            <w:pPr>
              <w:spacing w:after="0"/>
              <w:rPr>
                <w:sz w:val="13"/>
                <w:szCs w:val="13"/>
                <w:color w:val="auto"/>
              </w:rPr>
            </w:pPr>
          </w:p>
        </w:tc>
        <w:tc>
          <w:tcPr>
            <w:tcW w:w="380" w:type="dxa"/>
            <w:vAlign w:val="bottom"/>
            <w:vMerge w:val="continue"/>
          </w:tcPr>
          <w:p>
            <w:pPr>
              <w:spacing w:after="0"/>
              <w:rPr>
                <w:sz w:val="13"/>
                <w:szCs w:val="13"/>
                <w:color w:val="auto"/>
              </w:rPr>
            </w:pPr>
          </w:p>
        </w:tc>
        <w:tc>
          <w:tcPr>
            <w:tcW w:w="1020" w:type="dxa"/>
            <w:vAlign w:val="bottom"/>
            <w:gridSpan w:val="2"/>
            <w:vMerge w:val="continue"/>
          </w:tcPr>
          <w:p>
            <w:pPr>
              <w:spacing w:after="0"/>
              <w:rPr>
                <w:sz w:val="13"/>
                <w:szCs w:val="13"/>
                <w:color w:val="auto"/>
              </w:rPr>
            </w:pPr>
          </w:p>
        </w:tc>
        <w:tc>
          <w:tcPr>
            <w:tcW w:w="100" w:type="dxa"/>
            <w:vAlign w:val="bottom"/>
          </w:tcPr>
          <w:p>
            <w:pPr>
              <w:spacing w:after="0"/>
              <w:rPr>
                <w:sz w:val="13"/>
                <w:szCs w:val="13"/>
                <w:color w:val="auto"/>
              </w:rPr>
            </w:pPr>
          </w:p>
        </w:tc>
        <w:tc>
          <w:tcPr>
            <w:tcW w:w="220" w:type="dxa"/>
            <w:vAlign w:val="bottom"/>
          </w:tcPr>
          <w:p>
            <w:pPr>
              <w:spacing w:after="0"/>
              <w:rPr>
                <w:sz w:val="13"/>
                <w:szCs w:val="13"/>
                <w:color w:val="auto"/>
              </w:rPr>
            </w:pPr>
          </w:p>
        </w:tc>
        <w:tc>
          <w:tcPr>
            <w:tcW w:w="740" w:type="dxa"/>
            <w:vAlign w:val="bottom"/>
            <w:vMerge w:val="continue"/>
          </w:tcPr>
          <w:p>
            <w:pPr>
              <w:spacing w:after="0"/>
              <w:rPr>
                <w:sz w:val="13"/>
                <w:szCs w:val="13"/>
                <w:color w:val="auto"/>
              </w:rPr>
            </w:pPr>
          </w:p>
        </w:tc>
        <w:tc>
          <w:tcPr>
            <w:tcW w:w="100" w:type="dxa"/>
            <w:vAlign w:val="bottom"/>
          </w:tcPr>
          <w:p>
            <w:pPr>
              <w:spacing w:after="0"/>
              <w:rPr>
                <w:sz w:val="13"/>
                <w:szCs w:val="13"/>
                <w:color w:val="auto"/>
              </w:rPr>
            </w:pPr>
          </w:p>
        </w:tc>
        <w:tc>
          <w:tcPr>
            <w:tcW w:w="1020" w:type="dxa"/>
            <w:vAlign w:val="bottom"/>
            <w:gridSpan w:val="2"/>
            <w:vMerge w:val="continue"/>
          </w:tcPr>
          <w:p>
            <w:pPr>
              <w:spacing w:after="0"/>
              <w:rPr>
                <w:sz w:val="13"/>
                <w:szCs w:val="13"/>
                <w:color w:val="auto"/>
              </w:rPr>
            </w:pPr>
          </w:p>
        </w:tc>
        <w:tc>
          <w:tcPr>
            <w:tcW w:w="220" w:type="dxa"/>
            <w:vAlign w:val="bottom"/>
          </w:tcPr>
          <w:p>
            <w:pPr>
              <w:spacing w:after="0"/>
              <w:rPr>
                <w:sz w:val="13"/>
                <w:szCs w:val="13"/>
                <w:color w:val="auto"/>
              </w:rPr>
            </w:pPr>
          </w:p>
        </w:tc>
        <w:tc>
          <w:tcPr>
            <w:tcW w:w="760" w:type="dxa"/>
            <w:vAlign w:val="bottom"/>
            <w:vMerge w:val="continue"/>
          </w:tcPr>
          <w:p>
            <w:pPr>
              <w:spacing w:after="0"/>
              <w:rPr>
                <w:sz w:val="13"/>
                <w:szCs w:val="13"/>
                <w:color w:val="auto"/>
              </w:rPr>
            </w:pPr>
          </w:p>
        </w:tc>
        <w:tc>
          <w:tcPr>
            <w:tcW w:w="80" w:type="dxa"/>
            <w:vAlign w:val="bottom"/>
          </w:tcPr>
          <w:p>
            <w:pPr>
              <w:spacing w:after="0"/>
              <w:rPr>
                <w:sz w:val="13"/>
                <w:szCs w:val="13"/>
                <w:color w:val="auto"/>
              </w:rPr>
            </w:pPr>
          </w:p>
        </w:tc>
        <w:tc>
          <w:tcPr>
            <w:tcW w:w="1040" w:type="dxa"/>
            <w:vAlign w:val="bottom"/>
            <w:gridSpan w:val="2"/>
            <w:vMerge w:val="continue"/>
          </w:tcPr>
          <w:p>
            <w:pPr>
              <w:spacing w:after="0"/>
              <w:rPr>
                <w:sz w:val="13"/>
                <w:szCs w:val="13"/>
                <w:color w:val="auto"/>
              </w:rPr>
            </w:pPr>
          </w:p>
        </w:tc>
        <w:tc>
          <w:tcPr>
            <w:tcW w:w="220" w:type="dxa"/>
            <w:vAlign w:val="bottom"/>
          </w:tcPr>
          <w:p>
            <w:pPr>
              <w:spacing w:after="0"/>
              <w:rPr>
                <w:sz w:val="13"/>
                <w:szCs w:val="13"/>
                <w:color w:val="auto"/>
              </w:rPr>
            </w:pPr>
          </w:p>
        </w:tc>
        <w:tc>
          <w:tcPr>
            <w:tcW w:w="740" w:type="dxa"/>
            <w:vAlign w:val="bottom"/>
            <w:vMerge w:val="continue"/>
          </w:tcPr>
          <w:p>
            <w:pPr>
              <w:spacing w:after="0"/>
              <w:rPr>
                <w:sz w:val="13"/>
                <w:szCs w:val="13"/>
                <w:color w:val="auto"/>
              </w:rPr>
            </w:pPr>
          </w:p>
        </w:tc>
        <w:tc>
          <w:tcPr>
            <w:tcW w:w="100" w:type="dxa"/>
            <w:vAlign w:val="bottom"/>
          </w:tcPr>
          <w:p>
            <w:pPr>
              <w:spacing w:after="0"/>
              <w:rPr>
                <w:sz w:val="13"/>
                <w:szCs w:val="13"/>
                <w:color w:val="auto"/>
              </w:rPr>
            </w:pPr>
          </w:p>
        </w:tc>
        <w:tc>
          <w:tcPr>
            <w:tcW w:w="1020" w:type="dxa"/>
            <w:vAlign w:val="bottom"/>
            <w:gridSpan w:val="2"/>
            <w:vMerge w:val="continue"/>
          </w:tcPr>
          <w:p>
            <w:pPr>
              <w:spacing w:after="0"/>
              <w:rPr>
                <w:sz w:val="13"/>
                <w:szCs w:val="13"/>
                <w:color w:val="auto"/>
              </w:rPr>
            </w:pPr>
          </w:p>
        </w:tc>
        <w:tc>
          <w:tcPr>
            <w:tcW w:w="220" w:type="dxa"/>
            <w:vAlign w:val="bottom"/>
          </w:tcPr>
          <w:p>
            <w:pPr>
              <w:spacing w:after="0"/>
              <w:rPr>
                <w:sz w:val="13"/>
                <w:szCs w:val="13"/>
                <w:color w:val="auto"/>
              </w:rPr>
            </w:pPr>
          </w:p>
        </w:tc>
        <w:tc>
          <w:tcPr>
            <w:tcW w:w="760" w:type="dxa"/>
            <w:vAlign w:val="bottom"/>
            <w:vMerge w:val="continue"/>
          </w:tcPr>
          <w:p>
            <w:pPr>
              <w:spacing w:after="0"/>
              <w:rPr>
                <w:sz w:val="13"/>
                <w:szCs w:val="13"/>
                <w:color w:val="auto"/>
              </w:rPr>
            </w:pPr>
          </w:p>
        </w:tc>
        <w:tc>
          <w:tcPr>
            <w:tcW w:w="0" w:type="dxa"/>
            <w:vAlign w:val="bottom"/>
          </w:tcPr>
          <w:p>
            <w:pPr>
              <w:spacing w:after="0"/>
              <w:rPr>
                <w:sz w:val="1"/>
                <w:szCs w:val="1"/>
                <w:color w:val="auto"/>
              </w:rPr>
            </w:pPr>
          </w:p>
        </w:tc>
      </w:tr>
      <w:tr>
        <w:trPr>
          <w:trHeight w:val="112"/>
        </w:trPr>
        <w:tc>
          <w:tcPr>
            <w:tcW w:w="1960" w:type="dxa"/>
            <w:vAlign w:val="bottom"/>
            <w:shd w:val="clear" w:color="auto" w:fill="CCEEFF"/>
          </w:tcPr>
          <w:p>
            <w:pPr>
              <w:ind w:left="180"/>
              <w:spacing w:after="0" w:line="113" w:lineRule="exact"/>
              <w:rPr>
                <w:sz w:val="20"/>
                <w:szCs w:val="20"/>
                <w:color w:val="auto"/>
              </w:rPr>
            </w:pPr>
            <w:r>
              <w:rPr>
                <w:rFonts w:ascii="Times New Roman" w:cs="Times New Roman" w:eastAsia="Times New Roman" w:hAnsi="Times New Roman"/>
                <w:sz w:val="11"/>
                <w:szCs w:val="11"/>
                <w:color w:val="auto"/>
              </w:rPr>
              <w:t>Tax impact of adjustments to GAAP</w:t>
            </w:r>
          </w:p>
        </w:tc>
        <w:tc>
          <w:tcPr>
            <w:tcW w:w="580" w:type="dxa"/>
            <w:vAlign w:val="bottom"/>
            <w:shd w:val="clear" w:color="auto" w:fill="CCEEFF"/>
          </w:tcPr>
          <w:p>
            <w:pPr>
              <w:spacing w:after="0"/>
              <w:rPr>
                <w:sz w:val="9"/>
                <w:szCs w:val="9"/>
                <w:color w:val="auto"/>
              </w:rPr>
            </w:pPr>
          </w:p>
        </w:tc>
        <w:tc>
          <w:tcPr>
            <w:tcW w:w="380" w:type="dxa"/>
            <w:vAlign w:val="bottom"/>
            <w:vMerge w:val="restart"/>
            <w:shd w:val="clear" w:color="auto" w:fill="CCEEFF"/>
          </w:tcPr>
          <w:p>
            <w:pPr>
              <w:jc w:val="right"/>
              <w:spacing w:after="0"/>
              <w:rPr>
                <w:sz w:val="20"/>
                <w:szCs w:val="20"/>
                <w:color w:val="auto"/>
              </w:rPr>
            </w:pPr>
            <w:r>
              <w:rPr>
                <w:rFonts w:ascii="Times New Roman" w:cs="Times New Roman" w:eastAsia="Times New Roman" w:hAnsi="Times New Roman"/>
                <w:sz w:val="11"/>
                <w:szCs w:val="11"/>
                <w:color w:val="auto"/>
              </w:rPr>
              <w:t>(1,483)</w:t>
            </w:r>
          </w:p>
        </w:tc>
        <w:tc>
          <w:tcPr>
            <w:tcW w:w="1020" w:type="dxa"/>
            <w:vAlign w:val="bottom"/>
            <w:gridSpan w:val="2"/>
            <w:vMerge w:val="restart"/>
            <w:shd w:val="clear" w:color="auto" w:fill="CCEEFF"/>
          </w:tcPr>
          <w:p>
            <w:pPr>
              <w:jc w:val="right"/>
              <w:ind w:right="63"/>
              <w:spacing w:after="0"/>
              <w:rPr>
                <w:sz w:val="20"/>
                <w:szCs w:val="20"/>
                <w:color w:val="auto"/>
              </w:rPr>
            </w:pPr>
            <w:r>
              <w:rPr>
                <w:rFonts w:ascii="Times New Roman" w:cs="Times New Roman" w:eastAsia="Times New Roman" w:hAnsi="Times New Roman"/>
                <w:sz w:val="11"/>
                <w:szCs w:val="11"/>
                <w:color w:val="auto"/>
              </w:rPr>
              <w:t>(58)</w:t>
            </w:r>
          </w:p>
        </w:tc>
        <w:tc>
          <w:tcPr>
            <w:tcW w:w="100" w:type="dxa"/>
            <w:vAlign w:val="bottom"/>
            <w:shd w:val="clear" w:color="auto" w:fill="CCEEFF"/>
          </w:tcPr>
          <w:p>
            <w:pPr>
              <w:spacing w:after="0"/>
              <w:rPr>
                <w:sz w:val="9"/>
                <w:szCs w:val="9"/>
                <w:color w:val="auto"/>
              </w:rPr>
            </w:pPr>
          </w:p>
        </w:tc>
        <w:tc>
          <w:tcPr>
            <w:tcW w:w="220" w:type="dxa"/>
            <w:vAlign w:val="bottom"/>
            <w:shd w:val="clear" w:color="auto" w:fill="CCEEFF"/>
          </w:tcPr>
          <w:p>
            <w:pPr>
              <w:spacing w:after="0"/>
              <w:rPr>
                <w:sz w:val="9"/>
                <w:szCs w:val="9"/>
                <w:color w:val="auto"/>
              </w:rPr>
            </w:pPr>
          </w:p>
        </w:tc>
        <w:tc>
          <w:tcPr>
            <w:tcW w:w="740" w:type="dxa"/>
            <w:vAlign w:val="bottom"/>
            <w:vMerge w:val="restart"/>
            <w:shd w:val="clear" w:color="auto" w:fill="CCEEFF"/>
          </w:tcPr>
          <w:p>
            <w:pPr>
              <w:jc w:val="right"/>
              <w:spacing w:after="0"/>
              <w:rPr>
                <w:sz w:val="20"/>
                <w:szCs w:val="20"/>
                <w:color w:val="auto"/>
              </w:rPr>
            </w:pPr>
            <w:r>
              <w:rPr>
                <w:rFonts w:ascii="Times New Roman" w:cs="Times New Roman" w:eastAsia="Times New Roman" w:hAnsi="Times New Roman"/>
                <w:sz w:val="11"/>
                <w:szCs w:val="11"/>
                <w:color w:val="auto"/>
              </w:rPr>
              <w:t>(3,500)</w:t>
            </w:r>
          </w:p>
        </w:tc>
        <w:tc>
          <w:tcPr>
            <w:tcW w:w="1040" w:type="dxa"/>
            <w:vAlign w:val="bottom"/>
            <w:gridSpan w:val="2"/>
            <w:vMerge w:val="restart"/>
            <w:shd w:val="clear" w:color="auto" w:fill="CCEEFF"/>
          </w:tcPr>
          <w:p>
            <w:pPr>
              <w:ind w:left="780"/>
              <w:spacing w:after="0"/>
              <w:rPr>
                <w:sz w:val="20"/>
                <w:szCs w:val="20"/>
                <w:color w:val="auto"/>
              </w:rPr>
            </w:pPr>
            <w:r>
              <w:rPr>
                <w:rFonts w:ascii="Times New Roman" w:cs="Times New Roman" w:eastAsia="Times New Roman" w:hAnsi="Times New Roman"/>
                <w:sz w:val="11"/>
                <w:szCs w:val="11"/>
                <w:color w:val="auto"/>
              </w:rPr>
              <w:t>46</w:t>
            </w:r>
          </w:p>
        </w:tc>
        <w:tc>
          <w:tcPr>
            <w:tcW w:w="80" w:type="dxa"/>
            <w:vAlign w:val="bottom"/>
            <w:shd w:val="clear" w:color="auto" w:fill="CCEEFF"/>
          </w:tcPr>
          <w:p>
            <w:pPr>
              <w:spacing w:after="0"/>
              <w:rPr>
                <w:sz w:val="9"/>
                <w:szCs w:val="9"/>
                <w:color w:val="auto"/>
              </w:rPr>
            </w:pPr>
          </w:p>
        </w:tc>
        <w:tc>
          <w:tcPr>
            <w:tcW w:w="220" w:type="dxa"/>
            <w:vAlign w:val="bottom"/>
            <w:shd w:val="clear" w:color="auto" w:fill="CCEEFF"/>
          </w:tcPr>
          <w:p>
            <w:pPr>
              <w:spacing w:after="0"/>
              <w:rPr>
                <w:sz w:val="9"/>
                <w:szCs w:val="9"/>
                <w:color w:val="auto"/>
              </w:rPr>
            </w:pPr>
          </w:p>
        </w:tc>
        <w:tc>
          <w:tcPr>
            <w:tcW w:w="760" w:type="dxa"/>
            <w:vAlign w:val="bottom"/>
            <w:vMerge w:val="restart"/>
            <w:shd w:val="clear" w:color="auto" w:fill="CCEEFF"/>
          </w:tcPr>
          <w:p>
            <w:pPr>
              <w:jc w:val="right"/>
              <w:spacing w:after="0"/>
              <w:rPr>
                <w:sz w:val="20"/>
                <w:szCs w:val="20"/>
                <w:color w:val="auto"/>
              </w:rPr>
            </w:pPr>
            <w:r>
              <w:rPr>
                <w:rFonts w:ascii="Times New Roman" w:cs="Times New Roman" w:eastAsia="Times New Roman" w:hAnsi="Times New Roman"/>
                <w:sz w:val="11"/>
                <w:szCs w:val="11"/>
                <w:color w:val="auto"/>
              </w:rPr>
              <w:t>(2,404)</w:t>
            </w:r>
          </w:p>
        </w:tc>
        <w:tc>
          <w:tcPr>
            <w:tcW w:w="1020" w:type="dxa"/>
            <w:vAlign w:val="bottom"/>
            <w:gridSpan w:val="2"/>
            <w:vMerge w:val="restart"/>
            <w:shd w:val="clear" w:color="auto" w:fill="CCEEFF"/>
          </w:tcPr>
          <w:p>
            <w:pPr>
              <w:jc w:val="right"/>
              <w:ind w:right="63"/>
              <w:spacing w:after="0"/>
              <w:rPr>
                <w:sz w:val="20"/>
                <w:szCs w:val="20"/>
                <w:color w:val="auto"/>
              </w:rPr>
            </w:pPr>
            <w:r>
              <w:rPr>
                <w:rFonts w:ascii="Times New Roman" w:cs="Times New Roman" w:eastAsia="Times New Roman" w:hAnsi="Times New Roman"/>
                <w:sz w:val="11"/>
                <w:szCs w:val="11"/>
                <w:color w:val="auto"/>
              </w:rPr>
              <w:t>(38)</w:t>
            </w:r>
          </w:p>
        </w:tc>
        <w:tc>
          <w:tcPr>
            <w:tcW w:w="100" w:type="dxa"/>
            <w:vAlign w:val="bottom"/>
            <w:shd w:val="clear" w:color="auto" w:fill="CCEEFF"/>
          </w:tcPr>
          <w:p>
            <w:pPr>
              <w:spacing w:after="0"/>
              <w:rPr>
                <w:sz w:val="9"/>
                <w:szCs w:val="9"/>
                <w:color w:val="auto"/>
              </w:rPr>
            </w:pPr>
          </w:p>
        </w:tc>
        <w:tc>
          <w:tcPr>
            <w:tcW w:w="220" w:type="dxa"/>
            <w:vAlign w:val="bottom"/>
            <w:shd w:val="clear" w:color="auto" w:fill="CCEEFF"/>
          </w:tcPr>
          <w:p>
            <w:pPr>
              <w:spacing w:after="0"/>
              <w:rPr>
                <w:sz w:val="9"/>
                <w:szCs w:val="9"/>
                <w:color w:val="auto"/>
              </w:rPr>
            </w:pPr>
          </w:p>
        </w:tc>
        <w:tc>
          <w:tcPr>
            <w:tcW w:w="740" w:type="dxa"/>
            <w:vAlign w:val="bottom"/>
            <w:vMerge w:val="restart"/>
            <w:shd w:val="clear" w:color="auto" w:fill="CCEEFF"/>
          </w:tcPr>
          <w:p>
            <w:pPr>
              <w:jc w:val="right"/>
              <w:spacing w:after="0"/>
              <w:rPr>
                <w:sz w:val="20"/>
                <w:szCs w:val="20"/>
                <w:color w:val="auto"/>
              </w:rPr>
            </w:pPr>
            <w:r>
              <w:rPr>
                <w:rFonts w:ascii="Times New Roman" w:cs="Times New Roman" w:eastAsia="Times New Roman" w:hAnsi="Times New Roman"/>
                <w:sz w:val="11"/>
                <w:szCs w:val="11"/>
                <w:color w:val="auto"/>
              </w:rPr>
              <w:t>(3,865)</w:t>
            </w:r>
          </w:p>
        </w:tc>
        <w:tc>
          <w:tcPr>
            <w:tcW w:w="1040" w:type="dxa"/>
            <w:vAlign w:val="bottom"/>
            <w:gridSpan w:val="2"/>
            <w:vMerge w:val="restart"/>
            <w:shd w:val="clear" w:color="auto" w:fill="CCEEFF"/>
          </w:tcPr>
          <w:p>
            <w:pPr>
              <w:jc w:val="right"/>
              <w:ind w:right="103"/>
              <w:spacing w:after="0"/>
              <w:rPr>
                <w:sz w:val="20"/>
                <w:szCs w:val="20"/>
                <w:color w:val="auto"/>
              </w:rPr>
            </w:pPr>
            <w:r>
              <w:rPr>
                <w:rFonts w:ascii="Times New Roman" w:cs="Times New Roman" w:eastAsia="Times New Roman" w:hAnsi="Times New Roman"/>
                <w:sz w:val="11"/>
                <w:szCs w:val="11"/>
                <w:color w:val="auto"/>
              </w:rPr>
              <w:t>44</w:t>
            </w:r>
          </w:p>
        </w:tc>
        <w:tc>
          <w:tcPr>
            <w:tcW w:w="80" w:type="dxa"/>
            <w:vAlign w:val="bottom"/>
            <w:shd w:val="clear" w:color="auto" w:fill="CCEEFF"/>
          </w:tcPr>
          <w:p>
            <w:pPr>
              <w:spacing w:after="0"/>
              <w:rPr>
                <w:sz w:val="9"/>
                <w:szCs w:val="9"/>
                <w:color w:val="auto"/>
              </w:rPr>
            </w:pPr>
          </w:p>
        </w:tc>
        <w:tc>
          <w:tcPr>
            <w:tcW w:w="220" w:type="dxa"/>
            <w:vAlign w:val="bottom"/>
            <w:shd w:val="clear" w:color="auto" w:fill="CCEEFF"/>
          </w:tcPr>
          <w:p>
            <w:pPr>
              <w:spacing w:after="0"/>
              <w:rPr>
                <w:sz w:val="9"/>
                <w:szCs w:val="9"/>
                <w:color w:val="auto"/>
              </w:rPr>
            </w:pPr>
          </w:p>
        </w:tc>
        <w:tc>
          <w:tcPr>
            <w:tcW w:w="760" w:type="dxa"/>
            <w:vAlign w:val="bottom"/>
            <w:vMerge w:val="restart"/>
            <w:shd w:val="clear" w:color="auto" w:fill="CCEEFF"/>
          </w:tcPr>
          <w:p>
            <w:pPr>
              <w:jc w:val="right"/>
              <w:spacing w:after="0"/>
              <w:rPr>
                <w:sz w:val="20"/>
                <w:szCs w:val="20"/>
                <w:color w:val="auto"/>
              </w:rPr>
            </w:pPr>
            <w:r>
              <w:rPr>
                <w:rFonts w:ascii="Times New Roman" w:cs="Times New Roman" w:eastAsia="Times New Roman" w:hAnsi="Times New Roman"/>
                <w:sz w:val="11"/>
                <w:szCs w:val="11"/>
                <w:color w:val="auto"/>
              </w:rPr>
              <w:t>(2,679)</w:t>
            </w:r>
          </w:p>
        </w:tc>
        <w:tc>
          <w:tcPr>
            <w:tcW w:w="0" w:type="dxa"/>
            <w:vAlign w:val="bottom"/>
          </w:tcPr>
          <w:p>
            <w:pPr>
              <w:spacing w:after="0"/>
              <w:rPr>
                <w:sz w:val="1"/>
                <w:szCs w:val="1"/>
                <w:color w:val="auto"/>
              </w:rPr>
            </w:pPr>
          </w:p>
        </w:tc>
      </w:tr>
      <w:tr>
        <w:trPr>
          <w:trHeight w:val="159"/>
        </w:trPr>
        <w:tc>
          <w:tcPr>
            <w:tcW w:w="1960" w:type="dxa"/>
            <w:vAlign w:val="bottom"/>
            <w:shd w:val="clear" w:color="auto" w:fill="CCEEFF"/>
          </w:tcPr>
          <w:p>
            <w:pPr>
              <w:ind w:left="180"/>
              <w:spacing w:after="0"/>
              <w:rPr>
                <w:sz w:val="20"/>
                <w:szCs w:val="20"/>
                <w:color w:val="auto"/>
              </w:rPr>
            </w:pPr>
            <w:r>
              <w:rPr>
                <w:rFonts w:ascii="Times New Roman" w:cs="Times New Roman" w:eastAsia="Times New Roman" w:hAnsi="Times New Roman"/>
                <w:sz w:val="11"/>
                <w:szCs w:val="11"/>
                <w:color w:val="auto"/>
              </w:rPr>
              <w:t>net income</w:t>
            </w:r>
          </w:p>
        </w:tc>
        <w:tc>
          <w:tcPr>
            <w:tcW w:w="580" w:type="dxa"/>
            <w:vAlign w:val="bottom"/>
            <w:tcBorders>
              <w:bottom w:val="single" w:sz="8" w:color="auto"/>
            </w:tcBorders>
            <w:shd w:val="clear" w:color="auto" w:fill="CCEEFF"/>
          </w:tcPr>
          <w:p>
            <w:pPr>
              <w:spacing w:after="0"/>
              <w:rPr>
                <w:sz w:val="13"/>
                <w:szCs w:val="13"/>
                <w:color w:val="auto"/>
              </w:rPr>
            </w:pPr>
          </w:p>
        </w:tc>
        <w:tc>
          <w:tcPr>
            <w:tcW w:w="380" w:type="dxa"/>
            <w:vAlign w:val="bottom"/>
            <w:tcBorders>
              <w:bottom w:val="single" w:sz="8" w:color="auto"/>
            </w:tcBorders>
            <w:vMerge w:val="continue"/>
            <w:shd w:val="clear" w:color="auto" w:fill="CCEEFF"/>
          </w:tcPr>
          <w:p>
            <w:pPr>
              <w:spacing w:after="0"/>
              <w:rPr>
                <w:sz w:val="13"/>
                <w:szCs w:val="13"/>
                <w:color w:val="auto"/>
              </w:rPr>
            </w:pPr>
          </w:p>
        </w:tc>
        <w:tc>
          <w:tcPr>
            <w:tcW w:w="1020" w:type="dxa"/>
            <w:vAlign w:val="bottom"/>
            <w:gridSpan w:val="2"/>
            <w:vMerge w:val="continue"/>
            <w:shd w:val="clear" w:color="auto" w:fill="CCEEFF"/>
          </w:tcPr>
          <w:p>
            <w:pPr>
              <w:spacing w:after="0"/>
              <w:rPr>
                <w:sz w:val="13"/>
                <w:szCs w:val="13"/>
                <w:color w:val="auto"/>
              </w:rPr>
            </w:pPr>
          </w:p>
        </w:tc>
        <w:tc>
          <w:tcPr>
            <w:tcW w:w="100" w:type="dxa"/>
            <w:vAlign w:val="bottom"/>
            <w:shd w:val="clear" w:color="auto" w:fill="CCEEFF"/>
          </w:tcPr>
          <w:p>
            <w:pPr>
              <w:spacing w:after="0"/>
              <w:rPr>
                <w:sz w:val="13"/>
                <w:szCs w:val="13"/>
                <w:color w:val="auto"/>
              </w:rPr>
            </w:pPr>
          </w:p>
        </w:tc>
        <w:tc>
          <w:tcPr>
            <w:tcW w:w="220" w:type="dxa"/>
            <w:vAlign w:val="bottom"/>
            <w:tcBorders>
              <w:bottom w:val="single" w:sz="8" w:color="auto"/>
            </w:tcBorders>
            <w:shd w:val="clear" w:color="auto" w:fill="CCEEFF"/>
          </w:tcPr>
          <w:p>
            <w:pPr>
              <w:spacing w:after="0"/>
              <w:rPr>
                <w:sz w:val="13"/>
                <w:szCs w:val="13"/>
                <w:color w:val="auto"/>
              </w:rPr>
            </w:pPr>
          </w:p>
        </w:tc>
        <w:tc>
          <w:tcPr>
            <w:tcW w:w="740" w:type="dxa"/>
            <w:vAlign w:val="bottom"/>
            <w:tcBorders>
              <w:bottom w:val="single" w:sz="8" w:color="auto"/>
            </w:tcBorders>
            <w:vMerge w:val="continue"/>
            <w:shd w:val="clear" w:color="auto" w:fill="CCEEFF"/>
          </w:tcPr>
          <w:p>
            <w:pPr>
              <w:spacing w:after="0"/>
              <w:rPr>
                <w:sz w:val="13"/>
                <w:szCs w:val="13"/>
                <w:color w:val="auto"/>
              </w:rPr>
            </w:pPr>
          </w:p>
        </w:tc>
        <w:tc>
          <w:tcPr>
            <w:tcW w:w="1040" w:type="dxa"/>
            <w:vAlign w:val="bottom"/>
            <w:gridSpan w:val="2"/>
            <w:vMerge w:val="continue"/>
            <w:shd w:val="clear" w:color="auto" w:fill="CCEEFF"/>
          </w:tcPr>
          <w:p>
            <w:pPr>
              <w:spacing w:after="0"/>
              <w:rPr>
                <w:sz w:val="13"/>
                <w:szCs w:val="13"/>
                <w:color w:val="auto"/>
              </w:rPr>
            </w:pPr>
          </w:p>
        </w:tc>
        <w:tc>
          <w:tcPr>
            <w:tcW w:w="80" w:type="dxa"/>
            <w:vAlign w:val="bottom"/>
            <w:shd w:val="clear" w:color="auto" w:fill="CCEEFF"/>
          </w:tcPr>
          <w:p>
            <w:pPr>
              <w:spacing w:after="0"/>
              <w:rPr>
                <w:sz w:val="13"/>
                <w:szCs w:val="13"/>
                <w:color w:val="auto"/>
              </w:rPr>
            </w:pPr>
          </w:p>
        </w:tc>
        <w:tc>
          <w:tcPr>
            <w:tcW w:w="220" w:type="dxa"/>
            <w:vAlign w:val="bottom"/>
            <w:tcBorders>
              <w:bottom w:val="single" w:sz="8" w:color="auto"/>
            </w:tcBorders>
            <w:shd w:val="clear" w:color="auto" w:fill="CCEEFF"/>
          </w:tcPr>
          <w:p>
            <w:pPr>
              <w:spacing w:after="0"/>
              <w:rPr>
                <w:sz w:val="13"/>
                <w:szCs w:val="13"/>
                <w:color w:val="auto"/>
              </w:rPr>
            </w:pPr>
          </w:p>
        </w:tc>
        <w:tc>
          <w:tcPr>
            <w:tcW w:w="760" w:type="dxa"/>
            <w:vAlign w:val="bottom"/>
            <w:tcBorders>
              <w:bottom w:val="single" w:sz="8" w:color="auto"/>
            </w:tcBorders>
            <w:vMerge w:val="continue"/>
            <w:shd w:val="clear" w:color="auto" w:fill="CCEEFF"/>
          </w:tcPr>
          <w:p>
            <w:pPr>
              <w:spacing w:after="0"/>
              <w:rPr>
                <w:sz w:val="13"/>
                <w:szCs w:val="13"/>
                <w:color w:val="auto"/>
              </w:rPr>
            </w:pPr>
          </w:p>
        </w:tc>
        <w:tc>
          <w:tcPr>
            <w:tcW w:w="1020" w:type="dxa"/>
            <w:vAlign w:val="bottom"/>
            <w:gridSpan w:val="2"/>
            <w:vMerge w:val="continue"/>
            <w:shd w:val="clear" w:color="auto" w:fill="CCEEFF"/>
          </w:tcPr>
          <w:p>
            <w:pPr>
              <w:spacing w:after="0"/>
              <w:rPr>
                <w:sz w:val="13"/>
                <w:szCs w:val="13"/>
                <w:color w:val="auto"/>
              </w:rPr>
            </w:pPr>
          </w:p>
        </w:tc>
        <w:tc>
          <w:tcPr>
            <w:tcW w:w="100" w:type="dxa"/>
            <w:vAlign w:val="bottom"/>
            <w:shd w:val="clear" w:color="auto" w:fill="CCEEFF"/>
          </w:tcPr>
          <w:p>
            <w:pPr>
              <w:spacing w:after="0"/>
              <w:rPr>
                <w:sz w:val="13"/>
                <w:szCs w:val="13"/>
                <w:color w:val="auto"/>
              </w:rPr>
            </w:pPr>
          </w:p>
        </w:tc>
        <w:tc>
          <w:tcPr>
            <w:tcW w:w="220" w:type="dxa"/>
            <w:vAlign w:val="bottom"/>
            <w:tcBorders>
              <w:bottom w:val="single" w:sz="8" w:color="auto"/>
            </w:tcBorders>
            <w:shd w:val="clear" w:color="auto" w:fill="CCEEFF"/>
          </w:tcPr>
          <w:p>
            <w:pPr>
              <w:spacing w:after="0"/>
              <w:rPr>
                <w:sz w:val="13"/>
                <w:szCs w:val="13"/>
                <w:color w:val="auto"/>
              </w:rPr>
            </w:pPr>
          </w:p>
        </w:tc>
        <w:tc>
          <w:tcPr>
            <w:tcW w:w="740" w:type="dxa"/>
            <w:vAlign w:val="bottom"/>
            <w:tcBorders>
              <w:bottom w:val="single" w:sz="8" w:color="auto"/>
            </w:tcBorders>
            <w:vMerge w:val="continue"/>
            <w:shd w:val="clear" w:color="auto" w:fill="CCEEFF"/>
          </w:tcPr>
          <w:p>
            <w:pPr>
              <w:spacing w:after="0"/>
              <w:rPr>
                <w:sz w:val="13"/>
                <w:szCs w:val="13"/>
                <w:color w:val="auto"/>
              </w:rPr>
            </w:pPr>
          </w:p>
        </w:tc>
        <w:tc>
          <w:tcPr>
            <w:tcW w:w="1040" w:type="dxa"/>
            <w:vAlign w:val="bottom"/>
            <w:gridSpan w:val="2"/>
            <w:vMerge w:val="continue"/>
            <w:shd w:val="clear" w:color="auto" w:fill="CCEEFF"/>
          </w:tcPr>
          <w:p>
            <w:pPr>
              <w:spacing w:after="0"/>
              <w:rPr>
                <w:sz w:val="13"/>
                <w:szCs w:val="13"/>
                <w:color w:val="auto"/>
              </w:rPr>
            </w:pPr>
          </w:p>
        </w:tc>
        <w:tc>
          <w:tcPr>
            <w:tcW w:w="80" w:type="dxa"/>
            <w:vAlign w:val="bottom"/>
            <w:shd w:val="clear" w:color="auto" w:fill="CCEEFF"/>
          </w:tcPr>
          <w:p>
            <w:pPr>
              <w:spacing w:after="0"/>
              <w:rPr>
                <w:sz w:val="13"/>
                <w:szCs w:val="13"/>
                <w:color w:val="auto"/>
              </w:rPr>
            </w:pPr>
          </w:p>
        </w:tc>
        <w:tc>
          <w:tcPr>
            <w:tcW w:w="220" w:type="dxa"/>
            <w:vAlign w:val="bottom"/>
            <w:tcBorders>
              <w:bottom w:val="single" w:sz="8" w:color="auto"/>
            </w:tcBorders>
            <w:shd w:val="clear" w:color="auto" w:fill="CCEEFF"/>
          </w:tcPr>
          <w:p>
            <w:pPr>
              <w:spacing w:after="0"/>
              <w:rPr>
                <w:sz w:val="13"/>
                <w:szCs w:val="13"/>
                <w:color w:val="auto"/>
              </w:rPr>
            </w:pPr>
          </w:p>
        </w:tc>
        <w:tc>
          <w:tcPr>
            <w:tcW w:w="760" w:type="dxa"/>
            <w:vAlign w:val="bottom"/>
            <w:tcBorders>
              <w:bottom w:val="single" w:sz="8" w:color="auto"/>
            </w:tcBorders>
            <w:vMerge w:val="continue"/>
            <w:shd w:val="clear" w:color="auto" w:fill="CCEEFF"/>
          </w:tcPr>
          <w:p>
            <w:pPr>
              <w:spacing w:after="0"/>
              <w:rPr>
                <w:sz w:val="13"/>
                <w:szCs w:val="13"/>
                <w:color w:val="auto"/>
              </w:rPr>
            </w:pPr>
          </w:p>
        </w:tc>
        <w:tc>
          <w:tcPr>
            <w:tcW w:w="0" w:type="dxa"/>
            <w:vAlign w:val="bottom"/>
          </w:tcPr>
          <w:p>
            <w:pPr>
              <w:spacing w:after="0"/>
              <w:rPr>
                <w:sz w:val="1"/>
                <w:szCs w:val="1"/>
                <w:color w:val="auto"/>
              </w:rPr>
            </w:pPr>
          </w:p>
        </w:tc>
      </w:tr>
      <w:tr>
        <w:trPr>
          <w:trHeight w:val="150"/>
        </w:trPr>
        <w:tc>
          <w:tcPr>
            <w:tcW w:w="1960" w:type="dxa"/>
            <w:vAlign w:val="bottom"/>
          </w:tcPr>
          <w:p>
            <w:pPr>
              <w:ind w:left="20"/>
              <w:spacing w:after="0"/>
              <w:rPr>
                <w:sz w:val="20"/>
                <w:szCs w:val="20"/>
                <w:color w:val="auto"/>
              </w:rPr>
            </w:pPr>
            <w:r>
              <w:rPr>
                <w:rFonts w:ascii="Times New Roman" w:cs="Times New Roman" w:eastAsia="Times New Roman" w:hAnsi="Times New Roman"/>
                <w:sz w:val="11"/>
                <w:szCs w:val="11"/>
                <w:b w:val="1"/>
                <w:bCs w:val="1"/>
                <w:color w:val="auto"/>
              </w:rPr>
              <w:t>Economic Earnings</w:t>
            </w:r>
          </w:p>
        </w:tc>
        <w:tc>
          <w:tcPr>
            <w:tcW w:w="580" w:type="dxa"/>
            <w:vAlign w:val="bottom"/>
            <w:tcBorders>
              <w:bottom w:val="single" w:sz="8" w:color="auto"/>
            </w:tcBorders>
          </w:tcPr>
          <w:p>
            <w:pPr>
              <w:jc w:val="right"/>
              <w:ind w:right="463"/>
              <w:spacing w:after="0"/>
              <w:rPr>
                <w:sz w:val="20"/>
                <w:szCs w:val="20"/>
                <w:color w:val="auto"/>
              </w:rPr>
            </w:pPr>
            <w:r>
              <w:rPr>
                <w:rFonts w:ascii="Times New Roman" w:cs="Times New Roman" w:eastAsia="Times New Roman" w:hAnsi="Times New Roman"/>
                <w:sz w:val="11"/>
                <w:szCs w:val="11"/>
                <w:color w:val="auto"/>
                <w:w w:val="71"/>
              </w:rPr>
              <w:t>$</w:t>
            </w:r>
          </w:p>
        </w:tc>
        <w:tc>
          <w:tcPr>
            <w:tcW w:w="380" w:type="dxa"/>
            <w:vAlign w:val="bottom"/>
            <w:tcBorders>
              <w:bottom w:val="single" w:sz="8" w:color="auto"/>
            </w:tcBorders>
          </w:tcPr>
          <w:p>
            <w:pPr>
              <w:jc w:val="right"/>
              <w:ind w:right="3"/>
              <w:spacing w:after="0"/>
              <w:rPr>
                <w:sz w:val="20"/>
                <w:szCs w:val="20"/>
                <w:color w:val="auto"/>
              </w:rPr>
            </w:pPr>
            <w:r>
              <w:rPr>
                <w:rFonts w:ascii="Times New Roman" w:cs="Times New Roman" w:eastAsia="Times New Roman" w:hAnsi="Times New Roman"/>
                <w:sz w:val="11"/>
                <w:szCs w:val="11"/>
                <w:color w:val="auto"/>
                <w:w w:val="99"/>
              </w:rPr>
              <w:t>24,325</w:t>
            </w:r>
          </w:p>
        </w:tc>
        <w:tc>
          <w:tcPr>
            <w:tcW w:w="1020" w:type="dxa"/>
            <w:vAlign w:val="bottom"/>
            <w:gridSpan w:val="2"/>
          </w:tcPr>
          <w:p>
            <w:pPr>
              <w:jc w:val="right"/>
              <w:spacing w:after="0"/>
              <w:rPr>
                <w:sz w:val="20"/>
                <w:szCs w:val="20"/>
                <w:color w:val="auto"/>
              </w:rPr>
            </w:pPr>
            <w:r>
              <w:rPr>
                <w:rFonts w:ascii="Times New Roman" w:cs="Times New Roman" w:eastAsia="Times New Roman" w:hAnsi="Times New Roman"/>
                <w:sz w:val="11"/>
                <w:szCs w:val="11"/>
                <w:color w:val="auto"/>
              </w:rPr>
              <w:t>18 %</w:t>
            </w:r>
          </w:p>
        </w:tc>
        <w:tc>
          <w:tcPr>
            <w:tcW w:w="100" w:type="dxa"/>
            <w:vAlign w:val="bottom"/>
          </w:tcPr>
          <w:p>
            <w:pPr>
              <w:spacing w:after="0"/>
              <w:rPr>
                <w:sz w:val="13"/>
                <w:szCs w:val="13"/>
                <w:color w:val="auto"/>
              </w:rPr>
            </w:pPr>
          </w:p>
        </w:tc>
        <w:tc>
          <w:tcPr>
            <w:tcW w:w="220" w:type="dxa"/>
            <w:vAlign w:val="bottom"/>
            <w:tcBorders>
              <w:bottom w:val="single" w:sz="8" w:color="auto"/>
            </w:tcBorders>
          </w:tcPr>
          <w:p>
            <w:pPr>
              <w:jc w:val="right"/>
              <w:ind w:right="103"/>
              <w:spacing w:after="0"/>
              <w:rPr>
                <w:sz w:val="20"/>
                <w:szCs w:val="20"/>
                <w:color w:val="auto"/>
              </w:rPr>
            </w:pPr>
            <w:r>
              <w:rPr>
                <w:rFonts w:ascii="Times New Roman" w:cs="Times New Roman" w:eastAsia="Times New Roman" w:hAnsi="Times New Roman"/>
                <w:sz w:val="11"/>
                <w:szCs w:val="11"/>
                <w:color w:val="auto"/>
                <w:w w:val="71"/>
              </w:rPr>
              <w:t>$</w:t>
            </w:r>
          </w:p>
        </w:tc>
        <w:tc>
          <w:tcPr>
            <w:tcW w:w="7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1"/>
                <w:szCs w:val="11"/>
                <w:color w:val="auto"/>
              </w:rPr>
              <w:t>20,684</w:t>
            </w:r>
          </w:p>
        </w:tc>
        <w:tc>
          <w:tcPr>
            <w:tcW w:w="1040" w:type="dxa"/>
            <w:vAlign w:val="bottom"/>
            <w:gridSpan w:val="2"/>
          </w:tcPr>
          <w:p>
            <w:pPr>
              <w:ind w:left="780"/>
              <w:spacing w:after="0"/>
              <w:rPr>
                <w:sz w:val="20"/>
                <w:szCs w:val="20"/>
                <w:color w:val="auto"/>
              </w:rPr>
            </w:pPr>
            <w:r>
              <w:rPr>
                <w:rFonts w:ascii="Times New Roman" w:cs="Times New Roman" w:eastAsia="Times New Roman" w:hAnsi="Times New Roman"/>
                <w:sz w:val="11"/>
                <w:szCs w:val="11"/>
                <w:color w:val="auto"/>
              </w:rPr>
              <w:t>11 %</w:t>
            </w:r>
          </w:p>
        </w:tc>
        <w:tc>
          <w:tcPr>
            <w:tcW w:w="80" w:type="dxa"/>
            <w:vAlign w:val="bottom"/>
          </w:tcPr>
          <w:p>
            <w:pPr>
              <w:spacing w:after="0"/>
              <w:rPr>
                <w:sz w:val="13"/>
                <w:szCs w:val="13"/>
                <w:color w:val="auto"/>
              </w:rPr>
            </w:pPr>
          </w:p>
        </w:tc>
        <w:tc>
          <w:tcPr>
            <w:tcW w:w="220" w:type="dxa"/>
            <w:vAlign w:val="bottom"/>
            <w:tcBorders>
              <w:bottom w:val="single" w:sz="8" w:color="auto"/>
            </w:tcBorders>
          </w:tcPr>
          <w:p>
            <w:pPr>
              <w:jc w:val="right"/>
              <w:ind w:right="83"/>
              <w:spacing w:after="0"/>
              <w:rPr>
                <w:sz w:val="20"/>
                <w:szCs w:val="20"/>
                <w:color w:val="auto"/>
              </w:rPr>
            </w:pPr>
            <w:r>
              <w:rPr>
                <w:rFonts w:ascii="Times New Roman" w:cs="Times New Roman" w:eastAsia="Times New Roman" w:hAnsi="Times New Roman"/>
                <w:sz w:val="11"/>
                <w:szCs w:val="11"/>
                <w:color w:val="auto"/>
              </w:rPr>
              <w:t>$</w:t>
            </w:r>
          </w:p>
        </w:tc>
        <w:tc>
          <w:tcPr>
            <w:tcW w:w="760" w:type="dxa"/>
            <w:vAlign w:val="bottom"/>
            <w:tcBorders>
              <w:bottom w:val="single" w:sz="8" w:color="auto"/>
            </w:tcBorders>
          </w:tcPr>
          <w:p>
            <w:pPr>
              <w:jc w:val="right"/>
              <w:ind w:right="3"/>
              <w:spacing w:after="0"/>
              <w:rPr>
                <w:sz w:val="20"/>
                <w:szCs w:val="20"/>
                <w:color w:val="auto"/>
              </w:rPr>
            </w:pPr>
            <w:r>
              <w:rPr>
                <w:rFonts w:ascii="Times New Roman" w:cs="Times New Roman" w:eastAsia="Times New Roman" w:hAnsi="Times New Roman"/>
                <w:sz w:val="11"/>
                <w:szCs w:val="11"/>
                <w:color w:val="auto"/>
              </w:rPr>
              <w:t>18,573</w:t>
            </w:r>
          </w:p>
        </w:tc>
        <w:tc>
          <w:tcPr>
            <w:tcW w:w="1020" w:type="dxa"/>
            <w:vAlign w:val="bottom"/>
            <w:gridSpan w:val="2"/>
          </w:tcPr>
          <w:p>
            <w:pPr>
              <w:jc w:val="right"/>
              <w:spacing w:after="0"/>
              <w:rPr>
                <w:sz w:val="20"/>
                <w:szCs w:val="20"/>
                <w:color w:val="auto"/>
              </w:rPr>
            </w:pPr>
            <w:r>
              <w:rPr>
                <w:rFonts w:ascii="Times New Roman" w:cs="Times New Roman" w:eastAsia="Times New Roman" w:hAnsi="Times New Roman"/>
                <w:sz w:val="11"/>
                <w:szCs w:val="11"/>
                <w:color w:val="auto"/>
              </w:rPr>
              <w:t>63 %</w:t>
            </w:r>
          </w:p>
        </w:tc>
        <w:tc>
          <w:tcPr>
            <w:tcW w:w="100" w:type="dxa"/>
            <w:vAlign w:val="bottom"/>
          </w:tcPr>
          <w:p>
            <w:pPr>
              <w:spacing w:after="0"/>
              <w:rPr>
                <w:sz w:val="13"/>
                <w:szCs w:val="13"/>
                <w:color w:val="auto"/>
              </w:rPr>
            </w:pPr>
          </w:p>
        </w:tc>
        <w:tc>
          <w:tcPr>
            <w:tcW w:w="220" w:type="dxa"/>
            <w:vAlign w:val="bottom"/>
            <w:tcBorders>
              <w:bottom w:val="single" w:sz="8" w:color="auto"/>
            </w:tcBorders>
          </w:tcPr>
          <w:p>
            <w:pPr>
              <w:jc w:val="right"/>
              <w:ind w:right="103"/>
              <w:spacing w:after="0"/>
              <w:rPr>
                <w:sz w:val="20"/>
                <w:szCs w:val="20"/>
                <w:color w:val="auto"/>
              </w:rPr>
            </w:pPr>
            <w:r>
              <w:rPr>
                <w:rFonts w:ascii="Times New Roman" w:cs="Times New Roman" w:eastAsia="Times New Roman" w:hAnsi="Times New Roman"/>
                <w:sz w:val="11"/>
                <w:szCs w:val="11"/>
                <w:color w:val="auto"/>
                <w:w w:val="71"/>
              </w:rPr>
              <w:t>$</w:t>
            </w:r>
          </w:p>
        </w:tc>
        <w:tc>
          <w:tcPr>
            <w:tcW w:w="7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1"/>
                <w:szCs w:val="11"/>
                <w:color w:val="auto"/>
              </w:rPr>
              <w:t>11,423</w:t>
            </w:r>
          </w:p>
        </w:tc>
        <w:tc>
          <w:tcPr>
            <w:tcW w:w="1040" w:type="dxa"/>
            <w:vAlign w:val="bottom"/>
            <w:gridSpan w:val="2"/>
          </w:tcPr>
          <w:p>
            <w:pPr>
              <w:jc w:val="right"/>
              <w:spacing w:after="0"/>
              <w:rPr>
                <w:sz w:val="20"/>
                <w:szCs w:val="20"/>
                <w:color w:val="auto"/>
              </w:rPr>
            </w:pPr>
            <w:r>
              <w:rPr>
                <w:rFonts w:ascii="Times New Roman" w:cs="Times New Roman" w:eastAsia="Times New Roman" w:hAnsi="Times New Roman"/>
                <w:sz w:val="11"/>
                <w:szCs w:val="11"/>
                <w:color w:val="auto"/>
              </w:rPr>
              <w:t>(35)%</w:t>
            </w:r>
          </w:p>
        </w:tc>
        <w:tc>
          <w:tcPr>
            <w:tcW w:w="80" w:type="dxa"/>
            <w:vAlign w:val="bottom"/>
          </w:tcPr>
          <w:p>
            <w:pPr>
              <w:spacing w:after="0"/>
              <w:rPr>
                <w:sz w:val="13"/>
                <w:szCs w:val="13"/>
                <w:color w:val="auto"/>
              </w:rPr>
            </w:pPr>
          </w:p>
        </w:tc>
        <w:tc>
          <w:tcPr>
            <w:tcW w:w="220" w:type="dxa"/>
            <w:vAlign w:val="bottom"/>
            <w:tcBorders>
              <w:bottom w:val="single" w:sz="8" w:color="auto"/>
            </w:tcBorders>
          </w:tcPr>
          <w:p>
            <w:pPr>
              <w:jc w:val="right"/>
              <w:ind w:right="83"/>
              <w:spacing w:after="0"/>
              <w:rPr>
                <w:sz w:val="20"/>
                <w:szCs w:val="20"/>
                <w:color w:val="auto"/>
              </w:rPr>
            </w:pPr>
            <w:r>
              <w:rPr>
                <w:rFonts w:ascii="Times New Roman" w:cs="Times New Roman" w:eastAsia="Times New Roman" w:hAnsi="Times New Roman"/>
                <w:sz w:val="11"/>
                <w:szCs w:val="11"/>
                <w:color w:val="auto"/>
              </w:rPr>
              <w:t>$</w:t>
            </w:r>
          </w:p>
        </w:tc>
        <w:tc>
          <w:tcPr>
            <w:tcW w:w="7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1"/>
                <w:szCs w:val="11"/>
                <w:color w:val="auto"/>
              </w:rPr>
              <w:t>17,580</w:t>
            </w:r>
          </w:p>
        </w:tc>
        <w:tc>
          <w:tcPr>
            <w:tcW w:w="0" w:type="dxa"/>
            <w:vAlign w:val="bottom"/>
          </w:tcPr>
          <w:p>
            <w:pPr>
              <w:spacing w:after="0"/>
              <w:rPr>
                <w:sz w:val="1"/>
                <w:szCs w:val="1"/>
                <w:color w:val="auto"/>
              </w:rPr>
            </w:pPr>
          </w:p>
        </w:tc>
      </w:tr>
      <w:tr>
        <w:trPr>
          <w:trHeight w:val="20"/>
        </w:trPr>
        <w:tc>
          <w:tcPr>
            <w:tcW w:w="1960" w:type="dxa"/>
            <w:vAlign w:val="bottom"/>
          </w:tcPr>
          <w:p>
            <w:pPr>
              <w:spacing w:after="0" w:line="20" w:lineRule="exact"/>
              <w:rPr>
                <w:sz w:val="1"/>
                <w:szCs w:val="1"/>
                <w:color w:val="auto"/>
              </w:rPr>
            </w:pPr>
          </w:p>
        </w:tc>
        <w:tc>
          <w:tcPr>
            <w:tcW w:w="580" w:type="dxa"/>
            <w:vAlign w:val="bottom"/>
            <w:tcBorders>
              <w:bottom w:val="single" w:sz="8" w:color="auto"/>
            </w:tcBorders>
          </w:tcPr>
          <w:p>
            <w:pPr>
              <w:spacing w:after="0" w:line="20" w:lineRule="exact"/>
              <w:rPr>
                <w:sz w:val="1"/>
                <w:szCs w:val="1"/>
                <w:color w:val="auto"/>
              </w:rPr>
            </w:pPr>
          </w:p>
        </w:tc>
        <w:tc>
          <w:tcPr>
            <w:tcW w:w="38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94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74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94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76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94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74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94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76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76" w:lineRule="exact"/>
        <w:rPr>
          <w:sz w:val="20"/>
          <w:szCs w:val="20"/>
          <w:color w:val="auto"/>
        </w:rPr>
      </w:pPr>
    </w:p>
    <w:p>
      <w:pPr>
        <w:ind w:left="5800"/>
        <w:spacing w:after="0"/>
        <w:rPr>
          <w:sz w:val="20"/>
          <w:szCs w:val="20"/>
          <w:color w:val="auto"/>
        </w:rPr>
      </w:pPr>
      <w:r>
        <w:rPr>
          <w:rFonts w:ascii="Times New Roman" w:cs="Times New Roman" w:eastAsia="Times New Roman" w:hAnsi="Times New Roman"/>
          <w:sz w:val="11"/>
          <w:szCs w:val="11"/>
          <w:b w:val="1"/>
          <w:bCs w:val="1"/>
          <w:color w:val="auto"/>
        </w:rPr>
        <w:t>For the years ended December 31,</w:t>
      </w:r>
    </w:p>
    <w:p>
      <w:pPr>
        <w:spacing w:after="0" w:line="4" w:lineRule="exact"/>
        <w:rPr>
          <w:sz w:val="20"/>
          <w:szCs w:val="20"/>
          <w:color w:val="auto"/>
        </w:rPr>
      </w:pPr>
    </w:p>
    <w:p>
      <w:pPr>
        <w:ind w:left="5800"/>
        <w:spacing w:after="0"/>
        <w:rPr>
          <w:sz w:val="20"/>
          <w:szCs w:val="20"/>
          <w:color w:val="auto"/>
        </w:rPr>
      </w:pPr>
      <w:r>
        <w:rPr>
          <w:rFonts w:ascii="Times New Roman" w:cs="Times New Roman" w:eastAsia="Times New Roman" w:hAnsi="Times New Roman"/>
          <w:sz w:val="11"/>
          <w:szCs w:val="11"/>
          <w:b w:val="1"/>
          <w:bCs w:val="1"/>
          <w:color w:val="auto"/>
        </w:rPr>
        <w:t>(in thousands, except percentages)</w:t>
      </w:r>
    </w:p>
    <w:p>
      <w:pPr>
        <w:spacing w:after="0" w:line="8" w:lineRule="exact"/>
        <w:rPr>
          <w:sz w:val="20"/>
          <w:szCs w:val="20"/>
          <w:color w:val="auto"/>
        </w:rPr>
      </w:pPr>
    </w:p>
    <w:tbl>
      <w:tblPr>
        <w:tblLayout w:type="fixed"/>
        <w:tblInd w:w="0" w:type="dxa"/>
        <w:tblCellMar>
          <w:top w:w="0" w:type="dxa"/>
          <w:left w:w="0" w:type="dxa"/>
          <w:bottom w:w="0" w:type="dxa"/>
          <w:right w:w="0" w:type="dxa"/>
        </w:tblCellMar>
      </w:tblPr>
      <w:tr>
        <w:trPr>
          <w:trHeight w:val="153"/>
        </w:trPr>
        <w:tc>
          <w:tcPr>
            <w:tcW w:w="1960" w:type="dxa"/>
            <w:vAlign w:val="bottom"/>
            <w:tcBorders>
              <w:bottom w:val="single" w:sz="8" w:color="CCEEFF"/>
            </w:tcBorders>
          </w:tcPr>
          <w:p>
            <w:pPr>
              <w:spacing w:after="0"/>
              <w:rPr>
                <w:sz w:val="13"/>
                <w:szCs w:val="13"/>
                <w:color w:val="auto"/>
              </w:rPr>
            </w:pPr>
          </w:p>
        </w:tc>
        <w:tc>
          <w:tcPr>
            <w:tcW w:w="62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1"/>
                <w:szCs w:val="11"/>
                <w:b w:val="1"/>
                <w:bCs w:val="1"/>
                <w:color w:val="auto"/>
              </w:rPr>
              <w:t>2025</w:t>
            </w:r>
          </w:p>
        </w:tc>
        <w:tc>
          <w:tcPr>
            <w:tcW w:w="340" w:type="dxa"/>
            <w:vAlign w:val="bottom"/>
            <w:tcBorders>
              <w:top w:val="single" w:sz="8" w:color="auto"/>
              <w:bottom w:val="single" w:sz="8" w:color="auto"/>
            </w:tcBorders>
          </w:tcPr>
          <w:p>
            <w:pPr>
              <w:spacing w:after="0"/>
              <w:rPr>
                <w:sz w:val="13"/>
                <w:szCs w:val="13"/>
                <w:color w:val="auto"/>
              </w:rPr>
            </w:pPr>
          </w:p>
        </w:tc>
        <w:tc>
          <w:tcPr>
            <w:tcW w:w="80" w:type="dxa"/>
            <w:vAlign w:val="bottom"/>
            <w:tcBorders>
              <w:top w:val="single" w:sz="8" w:color="auto"/>
              <w:bottom w:val="single" w:sz="8" w:color="CCEEFF"/>
            </w:tcBorders>
          </w:tcPr>
          <w:p>
            <w:pPr>
              <w:spacing w:after="0"/>
              <w:rPr>
                <w:sz w:val="13"/>
                <w:szCs w:val="13"/>
                <w:color w:val="auto"/>
              </w:rPr>
            </w:pPr>
          </w:p>
        </w:tc>
        <w:tc>
          <w:tcPr>
            <w:tcW w:w="940" w:type="dxa"/>
            <w:vAlign w:val="bottom"/>
            <w:tcBorders>
              <w:top w:val="single" w:sz="8" w:color="auto"/>
              <w:bottom w:val="single" w:sz="8" w:color="auto"/>
            </w:tcBorders>
          </w:tcPr>
          <w:p>
            <w:pPr>
              <w:jc w:val="right"/>
              <w:ind w:right="223"/>
              <w:spacing w:after="0"/>
              <w:rPr>
                <w:sz w:val="20"/>
                <w:szCs w:val="20"/>
                <w:color w:val="auto"/>
              </w:rPr>
            </w:pPr>
            <w:r>
              <w:rPr>
                <w:rFonts w:ascii="Times New Roman" w:cs="Times New Roman" w:eastAsia="Times New Roman" w:hAnsi="Times New Roman"/>
                <w:sz w:val="11"/>
                <w:szCs w:val="11"/>
                <w:b w:val="1"/>
                <w:bCs w:val="1"/>
                <w:color w:val="auto"/>
              </w:rPr>
              <w:t>Change</w:t>
            </w:r>
          </w:p>
        </w:tc>
        <w:tc>
          <w:tcPr>
            <w:tcW w:w="100" w:type="dxa"/>
            <w:vAlign w:val="bottom"/>
            <w:tcBorders>
              <w:top w:val="single" w:sz="8" w:color="auto"/>
              <w:bottom w:val="single" w:sz="8" w:color="CCEEFF"/>
            </w:tcBorders>
          </w:tcPr>
          <w:p>
            <w:pPr>
              <w:spacing w:after="0"/>
              <w:rPr>
                <w:sz w:val="13"/>
                <w:szCs w:val="13"/>
                <w:color w:val="auto"/>
              </w:rPr>
            </w:pPr>
          </w:p>
        </w:tc>
        <w:tc>
          <w:tcPr>
            <w:tcW w:w="62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1"/>
                <w:szCs w:val="11"/>
                <w:b w:val="1"/>
                <w:bCs w:val="1"/>
                <w:color w:val="auto"/>
              </w:rPr>
              <w:t>2024</w:t>
            </w:r>
          </w:p>
        </w:tc>
        <w:tc>
          <w:tcPr>
            <w:tcW w:w="340" w:type="dxa"/>
            <w:vAlign w:val="bottom"/>
            <w:tcBorders>
              <w:top w:val="single" w:sz="8" w:color="auto"/>
              <w:bottom w:val="single" w:sz="8" w:color="auto"/>
            </w:tcBorders>
          </w:tcPr>
          <w:p>
            <w:pPr>
              <w:spacing w:after="0"/>
              <w:rPr>
                <w:sz w:val="13"/>
                <w:szCs w:val="13"/>
                <w:color w:val="auto"/>
              </w:rPr>
            </w:pPr>
          </w:p>
        </w:tc>
        <w:tc>
          <w:tcPr>
            <w:tcW w:w="100" w:type="dxa"/>
            <w:vAlign w:val="bottom"/>
            <w:tcBorders>
              <w:top w:val="single" w:sz="8" w:color="auto"/>
              <w:bottom w:val="single" w:sz="8" w:color="CCEEFF"/>
            </w:tcBorders>
          </w:tcPr>
          <w:p>
            <w:pPr>
              <w:spacing w:after="0"/>
              <w:rPr>
                <w:sz w:val="13"/>
                <w:szCs w:val="13"/>
                <w:color w:val="auto"/>
              </w:rPr>
            </w:pPr>
          </w:p>
        </w:tc>
        <w:tc>
          <w:tcPr>
            <w:tcW w:w="940" w:type="dxa"/>
            <w:vAlign w:val="bottom"/>
            <w:tcBorders>
              <w:top w:val="single" w:sz="8" w:color="auto"/>
              <w:bottom w:val="single" w:sz="8" w:color="auto"/>
            </w:tcBorders>
          </w:tcPr>
          <w:p>
            <w:pPr>
              <w:ind w:left="280"/>
              <w:spacing w:after="0"/>
              <w:rPr>
                <w:sz w:val="20"/>
                <w:szCs w:val="20"/>
                <w:color w:val="auto"/>
              </w:rPr>
            </w:pPr>
            <w:r>
              <w:rPr>
                <w:rFonts w:ascii="Times New Roman" w:cs="Times New Roman" w:eastAsia="Times New Roman" w:hAnsi="Times New Roman"/>
                <w:sz w:val="11"/>
                <w:szCs w:val="11"/>
                <w:b w:val="1"/>
                <w:bCs w:val="1"/>
                <w:color w:val="auto"/>
              </w:rPr>
              <w:t>Change</w:t>
            </w:r>
          </w:p>
        </w:tc>
        <w:tc>
          <w:tcPr>
            <w:tcW w:w="80" w:type="dxa"/>
            <w:vAlign w:val="bottom"/>
            <w:tcBorders>
              <w:top w:val="single" w:sz="8" w:color="auto"/>
              <w:bottom w:val="single" w:sz="8" w:color="CCEEFF"/>
            </w:tcBorders>
          </w:tcPr>
          <w:p>
            <w:pPr>
              <w:spacing w:after="0"/>
              <w:rPr>
                <w:sz w:val="13"/>
                <w:szCs w:val="13"/>
                <w:color w:val="auto"/>
              </w:rPr>
            </w:pPr>
          </w:p>
        </w:tc>
        <w:tc>
          <w:tcPr>
            <w:tcW w:w="220" w:type="dxa"/>
            <w:vAlign w:val="bottom"/>
            <w:tcBorders>
              <w:top w:val="single" w:sz="8" w:color="auto"/>
              <w:bottom w:val="single" w:sz="8" w:color="auto"/>
            </w:tcBorders>
          </w:tcPr>
          <w:p>
            <w:pPr>
              <w:spacing w:after="0"/>
              <w:rPr>
                <w:sz w:val="13"/>
                <w:szCs w:val="13"/>
                <w:color w:val="auto"/>
              </w:rPr>
            </w:pPr>
          </w:p>
        </w:tc>
        <w:tc>
          <w:tcPr>
            <w:tcW w:w="760" w:type="dxa"/>
            <w:vAlign w:val="bottom"/>
            <w:tcBorders>
              <w:top w:val="single" w:sz="8" w:color="auto"/>
              <w:bottom w:val="single" w:sz="8" w:color="auto"/>
            </w:tcBorders>
          </w:tcPr>
          <w:p>
            <w:pPr>
              <w:jc w:val="right"/>
              <w:ind w:right="323"/>
              <w:spacing w:after="0"/>
              <w:rPr>
                <w:sz w:val="20"/>
                <w:szCs w:val="20"/>
                <w:color w:val="auto"/>
              </w:rPr>
            </w:pPr>
            <w:r>
              <w:rPr>
                <w:rFonts w:ascii="Times New Roman" w:cs="Times New Roman" w:eastAsia="Times New Roman" w:hAnsi="Times New Roman"/>
                <w:sz w:val="11"/>
                <w:szCs w:val="11"/>
                <w:b w:val="1"/>
                <w:bCs w:val="1"/>
                <w:color w:val="auto"/>
              </w:rPr>
              <w:t>2023</w:t>
            </w:r>
          </w:p>
        </w:tc>
        <w:tc>
          <w:tcPr>
            <w:tcW w:w="80" w:type="dxa"/>
            <w:vAlign w:val="bottom"/>
            <w:tcBorders>
              <w:top w:val="single" w:sz="8" w:color="auto"/>
              <w:bottom w:val="single" w:sz="8" w:color="CCEEFF"/>
            </w:tcBorders>
          </w:tcPr>
          <w:p>
            <w:pPr>
              <w:spacing w:after="0"/>
              <w:rPr>
                <w:sz w:val="13"/>
                <w:szCs w:val="13"/>
                <w:color w:val="auto"/>
              </w:rPr>
            </w:pPr>
          </w:p>
        </w:tc>
        <w:tc>
          <w:tcPr>
            <w:tcW w:w="940" w:type="dxa"/>
            <w:vAlign w:val="bottom"/>
            <w:tcBorders>
              <w:top w:val="single" w:sz="8" w:color="auto"/>
              <w:bottom w:val="single" w:sz="8" w:color="auto"/>
            </w:tcBorders>
          </w:tcPr>
          <w:p>
            <w:pPr>
              <w:jc w:val="right"/>
              <w:ind w:right="223"/>
              <w:spacing w:after="0"/>
              <w:rPr>
                <w:sz w:val="20"/>
                <w:szCs w:val="20"/>
                <w:color w:val="auto"/>
              </w:rPr>
            </w:pPr>
            <w:r>
              <w:rPr>
                <w:rFonts w:ascii="Times New Roman" w:cs="Times New Roman" w:eastAsia="Times New Roman" w:hAnsi="Times New Roman"/>
                <w:sz w:val="11"/>
                <w:szCs w:val="11"/>
                <w:b w:val="1"/>
                <w:bCs w:val="1"/>
                <w:color w:val="auto"/>
              </w:rPr>
              <w:t>Change</w:t>
            </w:r>
          </w:p>
        </w:tc>
        <w:tc>
          <w:tcPr>
            <w:tcW w:w="100" w:type="dxa"/>
            <w:vAlign w:val="bottom"/>
            <w:tcBorders>
              <w:top w:val="single" w:sz="8" w:color="auto"/>
              <w:bottom w:val="single" w:sz="8" w:color="CCEEFF"/>
            </w:tcBorders>
          </w:tcPr>
          <w:p>
            <w:pPr>
              <w:spacing w:after="0"/>
              <w:rPr>
                <w:sz w:val="13"/>
                <w:szCs w:val="13"/>
                <w:color w:val="auto"/>
              </w:rPr>
            </w:pPr>
          </w:p>
        </w:tc>
        <w:tc>
          <w:tcPr>
            <w:tcW w:w="62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1"/>
                <w:szCs w:val="11"/>
                <w:b w:val="1"/>
                <w:bCs w:val="1"/>
                <w:color w:val="auto"/>
              </w:rPr>
              <w:t>2022</w:t>
            </w:r>
          </w:p>
        </w:tc>
        <w:tc>
          <w:tcPr>
            <w:tcW w:w="340" w:type="dxa"/>
            <w:vAlign w:val="bottom"/>
            <w:tcBorders>
              <w:top w:val="single" w:sz="8" w:color="auto"/>
              <w:bottom w:val="single" w:sz="8" w:color="auto"/>
            </w:tcBorders>
          </w:tcPr>
          <w:p>
            <w:pPr>
              <w:spacing w:after="0"/>
              <w:rPr>
                <w:sz w:val="13"/>
                <w:szCs w:val="13"/>
                <w:color w:val="auto"/>
              </w:rPr>
            </w:pPr>
          </w:p>
        </w:tc>
        <w:tc>
          <w:tcPr>
            <w:tcW w:w="100" w:type="dxa"/>
            <w:vAlign w:val="bottom"/>
            <w:tcBorders>
              <w:top w:val="single" w:sz="8" w:color="auto"/>
              <w:bottom w:val="single" w:sz="8" w:color="CCEEFF"/>
            </w:tcBorders>
          </w:tcPr>
          <w:p>
            <w:pPr>
              <w:spacing w:after="0"/>
              <w:rPr>
                <w:sz w:val="13"/>
                <w:szCs w:val="13"/>
                <w:color w:val="auto"/>
              </w:rPr>
            </w:pPr>
          </w:p>
        </w:tc>
        <w:tc>
          <w:tcPr>
            <w:tcW w:w="940" w:type="dxa"/>
            <w:vAlign w:val="bottom"/>
            <w:tcBorders>
              <w:top w:val="single" w:sz="8" w:color="auto"/>
              <w:bottom w:val="single" w:sz="8" w:color="auto"/>
            </w:tcBorders>
          </w:tcPr>
          <w:p>
            <w:pPr>
              <w:ind w:left="280"/>
              <w:spacing w:after="0"/>
              <w:rPr>
                <w:sz w:val="20"/>
                <w:szCs w:val="20"/>
                <w:color w:val="auto"/>
              </w:rPr>
            </w:pPr>
            <w:r>
              <w:rPr>
                <w:rFonts w:ascii="Times New Roman" w:cs="Times New Roman" w:eastAsia="Times New Roman" w:hAnsi="Times New Roman"/>
                <w:sz w:val="11"/>
                <w:szCs w:val="11"/>
                <w:b w:val="1"/>
                <w:bCs w:val="1"/>
                <w:color w:val="auto"/>
              </w:rPr>
              <w:t>Change</w:t>
            </w:r>
          </w:p>
        </w:tc>
        <w:tc>
          <w:tcPr>
            <w:tcW w:w="100" w:type="dxa"/>
            <w:vAlign w:val="bottom"/>
            <w:tcBorders>
              <w:top w:val="single" w:sz="8" w:color="auto"/>
              <w:bottom w:val="single" w:sz="8" w:color="CCEEFF"/>
            </w:tcBorders>
          </w:tcPr>
          <w:p>
            <w:pPr>
              <w:spacing w:after="0"/>
              <w:rPr>
                <w:sz w:val="13"/>
                <w:szCs w:val="13"/>
                <w:color w:val="auto"/>
              </w:rPr>
            </w:pPr>
          </w:p>
        </w:tc>
        <w:tc>
          <w:tcPr>
            <w:tcW w:w="220" w:type="dxa"/>
            <w:vAlign w:val="bottom"/>
            <w:tcBorders>
              <w:top w:val="single" w:sz="8" w:color="auto"/>
              <w:bottom w:val="single" w:sz="8" w:color="auto"/>
            </w:tcBorders>
          </w:tcPr>
          <w:p>
            <w:pPr>
              <w:spacing w:after="0"/>
              <w:rPr>
                <w:sz w:val="13"/>
                <w:szCs w:val="13"/>
                <w:color w:val="auto"/>
              </w:rPr>
            </w:pPr>
          </w:p>
        </w:tc>
        <w:tc>
          <w:tcPr>
            <w:tcW w:w="740" w:type="dxa"/>
            <w:vAlign w:val="bottom"/>
            <w:tcBorders>
              <w:top w:val="single" w:sz="8" w:color="auto"/>
              <w:bottom w:val="single" w:sz="8" w:color="auto"/>
            </w:tcBorders>
          </w:tcPr>
          <w:p>
            <w:pPr>
              <w:jc w:val="right"/>
              <w:ind w:right="303"/>
              <w:spacing w:after="0"/>
              <w:rPr>
                <w:sz w:val="20"/>
                <w:szCs w:val="20"/>
                <w:color w:val="auto"/>
              </w:rPr>
            </w:pPr>
            <w:r>
              <w:rPr>
                <w:rFonts w:ascii="Times New Roman" w:cs="Times New Roman" w:eastAsia="Times New Roman" w:hAnsi="Times New Roman"/>
                <w:sz w:val="11"/>
                <w:szCs w:val="11"/>
                <w:b w:val="1"/>
                <w:bCs w:val="1"/>
                <w:color w:val="auto"/>
              </w:rPr>
              <w:t>2021</w:t>
            </w:r>
          </w:p>
        </w:tc>
        <w:tc>
          <w:tcPr>
            <w:tcW w:w="0" w:type="dxa"/>
            <w:vAlign w:val="bottom"/>
          </w:tcPr>
          <w:p>
            <w:pPr>
              <w:spacing w:after="0"/>
              <w:rPr>
                <w:sz w:val="1"/>
                <w:szCs w:val="1"/>
                <w:color w:val="auto"/>
              </w:rPr>
            </w:pPr>
          </w:p>
        </w:tc>
      </w:tr>
      <w:tr>
        <w:trPr>
          <w:trHeight w:val="179"/>
        </w:trPr>
        <w:tc>
          <w:tcPr>
            <w:tcW w:w="196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1"/>
                <w:szCs w:val="11"/>
                <w:b w:val="1"/>
                <w:bCs w:val="1"/>
                <w:color w:val="auto"/>
              </w:rPr>
              <w:t>Trust net income</w:t>
            </w:r>
          </w:p>
        </w:tc>
        <w:tc>
          <w:tcPr>
            <w:tcW w:w="620" w:type="dxa"/>
            <w:vAlign w:val="bottom"/>
            <w:tcBorders>
              <w:bottom w:val="single" w:sz="8" w:color="auto"/>
            </w:tcBorders>
            <w:shd w:val="clear" w:color="auto" w:fill="CCEEFF"/>
          </w:tcPr>
          <w:p>
            <w:pPr>
              <w:jc w:val="right"/>
              <w:ind w:right="503"/>
              <w:spacing w:after="0"/>
              <w:rPr>
                <w:sz w:val="20"/>
                <w:szCs w:val="20"/>
                <w:color w:val="auto"/>
              </w:rPr>
            </w:pPr>
            <w:r>
              <w:rPr>
                <w:rFonts w:ascii="Times New Roman" w:cs="Times New Roman" w:eastAsia="Times New Roman" w:hAnsi="Times New Roman"/>
                <w:sz w:val="11"/>
                <w:szCs w:val="11"/>
                <w:color w:val="auto"/>
                <w:w w:val="71"/>
              </w:rPr>
              <w:t>$</w:t>
            </w:r>
          </w:p>
        </w:tc>
        <w:tc>
          <w:tcPr>
            <w:tcW w:w="340" w:type="dxa"/>
            <w:vAlign w:val="bottom"/>
            <w:tcBorders>
              <w:bottom w:val="single" w:sz="8" w:color="auto"/>
            </w:tcBorders>
            <w:shd w:val="clear" w:color="auto" w:fill="CCEEFF"/>
          </w:tcPr>
          <w:p>
            <w:pPr>
              <w:jc w:val="right"/>
              <w:ind w:right="3"/>
              <w:spacing w:after="0"/>
              <w:rPr>
                <w:sz w:val="20"/>
                <w:szCs w:val="20"/>
                <w:color w:val="auto"/>
              </w:rPr>
            </w:pPr>
            <w:r>
              <w:rPr>
                <w:rFonts w:ascii="Times New Roman" w:cs="Times New Roman" w:eastAsia="Times New Roman" w:hAnsi="Times New Roman"/>
                <w:sz w:val="11"/>
                <w:szCs w:val="11"/>
                <w:color w:val="auto"/>
              </w:rPr>
              <w:t>2,910</w:t>
            </w:r>
          </w:p>
        </w:tc>
        <w:tc>
          <w:tcPr>
            <w:tcW w:w="1020" w:type="dxa"/>
            <w:vAlign w:val="bottom"/>
            <w:tcBorders>
              <w:bottom w:val="single" w:sz="8" w:color="CCEEFF"/>
            </w:tcBorders>
            <w:gridSpan w:val="2"/>
            <w:shd w:val="clear" w:color="auto" w:fill="CCEEFF"/>
          </w:tcPr>
          <w:p>
            <w:pPr>
              <w:jc w:val="right"/>
              <w:spacing w:after="0"/>
              <w:rPr>
                <w:sz w:val="20"/>
                <w:szCs w:val="20"/>
                <w:color w:val="auto"/>
              </w:rPr>
            </w:pPr>
            <w:r>
              <w:rPr>
                <w:rFonts w:ascii="Times New Roman" w:cs="Times New Roman" w:eastAsia="Times New Roman" w:hAnsi="Times New Roman"/>
                <w:sz w:val="11"/>
                <w:szCs w:val="11"/>
                <w:color w:val="auto"/>
              </w:rPr>
              <w:t>6 %</w:t>
            </w:r>
          </w:p>
        </w:tc>
        <w:tc>
          <w:tcPr>
            <w:tcW w:w="100" w:type="dxa"/>
            <w:vAlign w:val="bottom"/>
            <w:tcBorders>
              <w:bottom w:val="single" w:sz="8" w:color="CCEEFF"/>
            </w:tcBorders>
            <w:shd w:val="clear" w:color="auto" w:fill="CCEEFF"/>
          </w:tcPr>
          <w:p>
            <w:pPr>
              <w:spacing w:after="0"/>
              <w:rPr>
                <w:sz w:val="15"/>
                <w:szCs w:val="15"/>
                <w:color w:val="auto"/>
              </w:rPr>
            </w:pPr>
          </w:p>
        </w:tc>
        <w:tc>
          <w:tcPr>
            <w:tcW w:w="620" w:type="dxa"/>
            <w:vAlign w:val="bottom"/>
            <w:tcBorders>
              <w:bottom w:val="single" w:sz="8" w:color="auto"/>
            </w:tcBorders>
            <w:shd w:val="clear" w:color="auto" w:fill="CCEEFF"/>
          </w:tcPr>
          <w:p>
            <w:pPr>
              <w:jc w:val="right"/>
              <w:ind w:right="503"/>
              <w:spacing w:after="0"/>
              <w:rPr>
                <w:sz w:val="20"/>
                <w:szCs w:val="20"/>
                <w:color w:val="auto"/>
              </w:rPr>
            </w:pPr>
            <w:r>
              <w:rPr>
                <w:rFonts w:ascii="Times New Roman" w:cs="Times New Roman" w:eastAsia="Times New Roman" w:hAnsi="Times New Roman"/>
                <w:sz w:val="11"/>
                <w:szCs w:val="11"/>
                <w:color w:val="auto"/>
                <w:w w:val="71"/>
              </w:rPr>
              <w:t>$</w:t>
            </w:r>
          </w:p>
        </w:tc>
        <w:tc>
          <w:tcPr>
            <w:tcW w:w="3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1"/>
                <w:szCs w:val="11"/>
                <w:color w:val="auto"/>
              </w:rPr>
              <w:t>2,756</w:t>
            </w:r>
          </w:p>
        </w:tc>
        <w:tc>
          <w:tcPr>
            <w:tcW w:w="1040" w:type="dxa"/>
            <w:vAlign w:val="bottom"/>
            <w:tcBorders>
              <w:bottom w:val="single" w:sz="8" w:color="CCEEFF"/>
            </w:tcBorders>
            <w:gridSpan w:val="2"/>
            <w:shd w:val="clear" w:color="auto" w:fill="CCEEFF"/>
          </w:tcPr>
          <w:p>
            <w:pPr>
              <w:ind w:left="780"/>
              <w:spacing w:after="0"/>
              <w:rPr>
                <w:sz w:val="20"/>
                <w:szCs w:val="20"/>
                <w:color w:val="auto"/>
              </w:rPr>
            </w:pPr>
            <w:r>
              <w:rPr>
                <w:rFonts w:ascii="Times New Roman" w:cs="Times New Roman" w:eastAsia="Times New Roman" w:hAnsi="Times New Roman"/>
                <w:sz w:val="11"/>
                <w:szCs w:val="11"/>
                <w:color w:val="auto"/>
              </w:rPr>
              <w:t>55 %</w:t>
            </w:r>
          </w:p>
        </w:tc>
        <w:tc>
          <w:tcPr>
            <w:tcW w:w="80" w:type="dxa"/>
            <w:vAlign w:val="bottom"/>
            <w:tcBorders>
              <w:bottom w:val="single" w:sz="8" w:color="CCEEFF"/>
            </w:tcBorders>
            <w:shd w:val="clear" w:color="auto" w:fill="CCEEFF"/>
          </w:tcPr>
          <w:p>
            <w:pPr>
              <w:spacing w:after="0"/>
              <w:rPr>
                <w:sz w:val="15"/>
                <w:szCs w:val="15"/>
                <w:color w:val="auto"/>
              </w:rPr>
            </w:pPr>
          </w:p>
        </w:tc>
        <w:tc>
          <w:tcPr>
            <w:tcW w:w="220" w:type="dxa"/>
            <w:vAlign w:val="bottom"/>
            <w:tcBorders>
              <w:bottom w:val="single" w:sz="8" w:color="auto"/>
            </w:tcBorders>
            <w:shd w:val="clear" w:color="auto" w:fill="CCEEFF"/>
          </w:tcPr>
          <w:p>
            <w:pPr>
              <w:jc w:val="right"/>
              <w:ind w:right="83"/>
              <w:spacing w:after="0"/>
              <w:rPr>
                <w:sz w:val="20"/>
                <w:szCs w:val="20"/>
                <w:color w:val="auto"/>
              </w:rPr>
            </w:pPr>
            <w:r>
              <w:rPr>
                <w:rFonts w:ascii="Times New Roman" w:cs="Times New Roman" w:eastAsia="Times New Roman" w:hAnsi="Times New Roman"/>
                <w:sz w:val="11"/>
                <w:szCs w:val="11"/>
                <w:color w:val="auto"/>
              </w:rPr>
              <w:t>$</w:t>
            </w:r>
          </w:p>
        </w:tc>
        <w:tc>
          <w:tcPr>
            <w:tcW w:w="760" w:type="dxa"/>
            <w:vAlign w:val="bottom"/>
            <w:tcBorders>
              <w:bottom w:val="single" w:sz="8" w:color="auto"/>
            </w:tcBorders>
            <w:shd w:val="clear" w:color="auto" w:fill="CCEEFF"/>
          </w:tcPr>
          <w:p>
            <w:pPr>
              <w:jc w:val="right"/>
              <w:ind w:right="3"/>
              <w:spacing w:after="0"/>
              <w:rPr>
                <w:sz w:val="20"/>
                <w:szCs w:val="20"/>
                <w:color w:val="auto"/>
              </w:rPr>
            </w:pPr>
            <w:r>
              <w:rPr>
                <w:rFonts w:ascii="Times New Roman" w:cs="Times New Roman" w:eastAsia="Times New Roman" w:hAnsi="Times New Roman"/>
                <w:sz w:val="11"/>
                <w:szCs w:val="11"/>
                <w:color w:val="auto"/>
              </w:rPr>
              <w:t>1,777</w:t>
            </w:r>
          </w:p>
        </w:tc>
        <w:tc>
          <w:tcPr>
            <w:tcW w:w="1020" w:type="dxa"/>
            <w:vAlign w:val="bottom"/>
            <w:tcBorders>
              <w:bottom w:val="single" w:sz="8" w:color="CCEEFF"/>
            </w:tcBorders>
            <w:gridSpan w:val="2"/>
            <w:shd w:val="clear" w:color="auto" w:fill="CCEEFF"/>
          </w:tcPr>
          <w:p>
            <w:pPr>
              <w:jc w:val="right"/>
              <w:spacing w:after="0"/>
              <w:rPr>
                <w:sz w:val="20"/>
                <w:szCs w:val="20"/>
                <w:color w:val="auto"/>
              </w:rPr>
            </w:pPr>
            <w:r>
              <w:rPr>
                <w:rFonts w:ascii="Times New Roman" w:cs="Times New Roman" w:eastAsia="Times New Roman" w:hAnsi="Times New Roman"/>
                <w:sz w:val="11"/>
                <w:szCs w:val="11"/>
                <w:color w:val="auto"/>
              </w:rPr>
              <w:t>78 %</w:t>
            </w:r>
          </w:p>
        </w:tc>
        <w:tc>
          <w:tcPr>
            <w:tcW w:w="100" w:type="dxa"/>
            <w:vAlign w:val="bottom"/>
            <w:tcBorders>
              <w:bottom w:val="single" w:sz="8" w:color="CCEEFF"/>
            </w:tcBorders>
            <w:shd w:val="clear" w:color="auto" w:fill="CCEEFF"/>
          </w:tcPr>
          <w:p>
            <w:pPr>
              <w:spacing w:after="0"/>
              <w:rPr>
                <w:sz w:val="15"/>
                <w:szCs w:val="15"/>
                <w:color w:val="auto"/>
              </w:rPr>
            </w:pPr>
          </w:p>
        </w:tc>
        <w:tc>
          <w:tcPr>
            <w:tcW w:w="620" w:type="dxa"/>
            <w:vAlign w:val="bottom"/>
            <w:tcBorders>
              <w:bottom w:val="single" w:sz="8" w:color="auto"/>
            </w:tcBorders>
            <w:shd w:val="clear" w:color="auto" w:fill="CCEEFF"/>
          </w:tcPr>
          <w:p>
            <w:pPr>
              <w:jc w:val="right"/>
              <w:ind w:right="503"/>
              <w:spacing w:after="0"/>
              <w:rPr>
                <w:sz w:val="20"/>
                <w:szCs w:val="20"/>
                <w:color w:val="auto"/>
              </w:rPr>
            </w:pPr>
            <w:r>
              <w:rPr>
                <w:rFonts w:ascii="Times New Roman" w:cs="Times New Roman" w:eastAsia="Times New Roman" w:hAnsi="Times New Roman"/>
                <w:sz w:val="11"/>
                <w:szCs w:val="11"/>
                <w:color w:val="auto"/>
                <w:w w:val="71"/>
              </w:rPr>
              <w:t>$</w:t>
            </w:r>
          </w:p>
        </w:tc>
        <w:tc>
          <w:tcPr>
            <w:tcW w:w="3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1"/>
                <w:szCs w:val="11"/>
                <w:color w:val="auto"/>
              </w:rPr>
              <w:t>1,000</w:t>
            </w:r>
          </w:p>
        </w:tc>
        <w:tc>
          <w:tcPr>
            <w:tcW w:w="1040" w:type="dxa"/>
            <w:vAlign w:val="bottom"/>
            <w:tcBorders>
              <w:bottom w:val="single" w:sz="8" w:color="CCEEFF"/>
            </w:tcBorders>
            <w:gridSpan w:val="2"/>
            <w:shd w:val="clear" w:color="auto" w:fill="CCEEFF"/>
          </w:tcPr>
          <w:p>
            <w:pPr>
              <w:ind w:left="740"/>
              <w:spacing w:after="0"/>
              <w:rPr>
                <w:sz w:val="20"/>
                <w:szCs w:val="20"/>
                <w:color w:val="auto"/>
              </w:rPr>
            </w:pPr>
            <w:r>
              <w:rPr>
                <w:rFonts w:ascii="Times New Roman" w:cs="Times New Roman" w:eastAsia="Times New Roman" w:hAnsi="Times New Roman"/>
                <w:sz w:val="11"/>
                <w:szCs w:val="11"/>
                <w:color w:val="auto"/>
              </w:rPr>
              <w:t>(82)%</w:t>
            </w:r>
          </w:p>
        </w:tc>
        <w:tc>
          <w:tcPr>
            <w:tcW w:w="100" w:type="dxa"/>
            <w:vAlign w:val="bottom"/>
            <w:tcBorders>
              <w:bottom w:val="single" w:sz="8" w:color="CCEEFF"/>
            </w:tcBorders>
            <w:shd w:val="clear" w:color="auto" w:fill="CCEEFF"/>
          </w:tcPr>
          <w:p>
            <w:pPr>
              <w:spacing w:after="0"/>
              <w:rPr>
                <w:sz w:val="15"/>
                <w:szCs w:val="15"/>
                <w:color w:val="auto"/>
              </w:rPr>
            </w:pPr>
          </w:p>
        </w:tc>
        <w:tc>
          <w:tcPr>
            <w:tcW w:w="220" w:type="dxa"/>
            <w:vAlign w:val="bottom"/>
            <w:tcBorders>
              <w:bottom w:val="single" w:sz="8" w:color="auto"/>
            </w:tcBorders>
            <w:shd w:val="clear" w:color="auto" w:fill="CCEEFF"/>
          </w:tcPr>
          <w:p>
            <w:pPr>
              <w:jc w:val="right"/>
              <w:ind w:right="103"/>
              <w:spacing w:after="0"/>
              <w:rPr>
                <w:sz w:val="20"/>
                <w:szCs w:val="20"/>
                <w:color w:val="auto"/>
              </w:rPr>
            </w:pPr>
            <w:r>
              <w:rPr>
                <w:rFonts w:ascii="Times New Roman" w:cs="Times New Roman" w:eastAsia="Times New Roman" w:hAnsi="Times New Roman"/>
                <w:sz w:val="11"/>
                <w:szCs w:val="11"/>
                <w:color w:val="auto"/>
                <w:w w:val="71"/>
              </w:rPr>
              <w:t>$</w:t>
            </w:r>
          </w:p>
        </w:tc>
        <w:tc>
          <w:tcPr>
            <w:tcW w:w="7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1"/>
                <w:szCs w:val="11"/>
                <w:color w:val="auto"/>
              </w:rPr>
              <w:t>5,660</w:t>
            </w:r>
          </w:p>
        </w:tc>
        <w:tc>
          <w:tcPr>
            <w:tcW w:w="0" w:type="dxa"/>
            <w:vAlign w:val="bottom"/>
          </w:tcPr>
          <w:p>
            <w:pPr>
              <w:spacing w:after="0"/>
              <w:rPr>
                <w:sz w:val="1"/>
                <w:szCs w:val="1"/>
                <w:color w:val="auto"/>
              </w:rPr>
            </w:pPr>
          </w:p>
        </w:tc>
      </w:tr>
      <w:tr>
        <w:trPr>
          <w:trHeight w:val="20"/>
        </w:trPr>
        <w:tc>
          <w:tcPr>
            <w:tcW w:w="1960" w:type="dxa"/>
            <w:vAlign w:val="bottom"/>
            <w:tcBorders>
              <w:top w:val="single" w:sz="8" w:color="CCEEFF"/>
              <w:bottom w:val="single" w:sz="8" w:color="CCEEFF"/>
            </w:tcBorders>
            <w:vMerge w:val="restart"/>
          </w:tcPr>
          <w:p>
            <w:pPr>
              <w:ind w:left="180"/>
              <w:spacing w:after="0"/>
              <w:rPr>
                <w:sz w:val="20"/>
                <w:szCs w:val="20"/>
                <w:color w:val="auto"/>
              </w:rPr>
            </w:pPr>
            <w:r>
              <w:rPr>
                <w:rFonts w:ascii="Times New Roman" w:cs="Times New Roman" w:eastAsia="Times New Roman" w:hAnsi="Times New Roman"/>
                <w:sz w:val="11"/>
                <w:szCs w:val="11"/>
                <w:color w:val="auto"/>
              </w:rPr>
              <w:t>Stock-based compensation expense</w:t>
            </w:r>
          </w:p>
        </w:tc>
        <w:tc>
          <w:tcPr>
            <w:tcW w:w="620" w:type="dxa"/>
            <w:vAlign w:val="bottom"/>
            <w:tcBorders>
              <w:top w:val="single" w:sz="8" w:color="CCEEFF"/>
              <w:bottom w:val="single" w:sz="8" w:color="auto"/>
            </w:tcBorders>
          </w:tcPr>
          <w:p>
            <w:pPr>
              <w:spacing w:after="0" w:line="20" w:lineRule="exact"/>
              <w:rPr>
                <w:sz w:val="1"/>
                <w:szCs w:val="1"/>
                <w:color w:val="auto"/>
              </w:rPr>
            </w:pPr>
          </w:p>
        </w:tc>
        <w:tc>
          <w:tcPr>
            <w:tcW w:w="340" w:type="dxa"/>
            <w:vAlign w:val="bottom"/>
            <w:tcBorders>
              <w:top w:val="single" w:sz="8" w:color="CCEEFF"/>
              <w:bottom w:val="single" w:sz="8" w:color="auto"/>
            </w:tcBorders>
          </w:tcPr>
          <w:p>
            <w:pPr>
              <w:spacing w:after="0" w:line="20" w:lineRule="exact"/>
              <w:rPr>
                <w:sz w:val="1"/>
                <w:szCs w:val="1"/>
                <w:color w:val="auto"/>
              </w:rPr>
            </w:pPr>
          </w:p>
        </w:tc>
        <w:tc>
          <w:tcPr>
            <w:tcW w:w="1020" w:type="dxa"/>
            <w:vAlign w:val="bottom"/>
            <w:tcBorders>
              <w:top w:val="single" w:sz="8" w:color="CCEEFF"/>
              <w:bottom w:val="single" w:sz="8" w:color="CCEEFF"/>
            </w:tcBorders>
            <w:gridSpan w:val="2"/>
            <w:vMerge w:val="restart"/>
          </w:tcPr>
          <w:p>
            <w:pPr>
              <w:jc w:val="right"/>
              <w:ind w:right="63"/>
              <w:spacing w:after="0"/>
              <w:rPr>
                <w:sz w:val="20"/>
                <w:szCs w:val="20"/>
                <w:color w:val="auto"/>
              </w:rPr>
            </w:pPr>
            <w:r>
              <w:rPr>
                <w:rFonts w:ascii="Times New Roman" w:cs="Times New Roman" w:eastAsia="Times New Roman" w:hAnsi="Times New Roman"/>
                <w:sz w:val="11"/>
                <w:szCs w:val="11"/>
                <w:color w:val="auto"/>
              </w:rPr>
              <w:t>(36)</w:t>
            </w:r>
          </w:p>
        </w:tc>
        <w:tc>
          <w:tcPr>
            <w:tcW w:w="100" w:type="dxa"/>
            <w:vAlign w:val="bottom"/>
            <w:tcBorders>
              <w:top w:val="single" w:sz="8" w:color="CCEEFF"/>
            </w:tcBorders>
          </w:tcPr>
          <w:p>
            <w:pPr>
              <w:spacing w:after="0" w:line="20" w:lineRule="exact"/>
              <w:rPr>
                <w:sz w:val="1"/>
                <w:szCs w:val="1"/>
                <w:color w:val="auto"/>
              </w:rPr>
            </w:pPr>
          </w:p>
        </w:tc>
        <w:tc>
          <w:tcPr>
            <w:tcW w:w="620" w:type="dxa"/>
            <w:vAlign w:val="bottom"/>
            <w:tcBorders>
              <w:top w:val="single" w:sz="8" w:color="CCEEFF"/>
              <w:bottom w:val="single" w:sz="8" w:color="auto"/>
            </w:tcBorders>
          </w:tcPr>
          <w:p>
            <w:pPr>
              <w:spacing w:after="0" w:line="20" w:lineRule="exact"/>
              <w:rPr>
                <w:sz w:val="1"/>
                <w:szCs w:val="1"/>
                <w:color w:val="auto"/>
              </w:rPr>
            </w:pPr>
          </w:p>
        </w:tc>
        <w:tc>
          <w:tcPr>
            <w:tcW w:w="340" w:type="dxa"/>
            <w:vAlign w:val="bottom"/>
            <w:tcBorders>
              <w:top w:val="single" w:sz="8" w:color="CCEEFF"/>
              <w:bottom w:val="single" w:sz="8" w:color="auto"/>
            </w:tcBorders>
          </w:tcPr>
          <w:p>
            <w:pPr>
              <w:spacing w:after="0" w:line="20" w:lineRule="exact"/>
              <w:rPr>
                <w:sz w:val="1"/>
                <w:szCs w:val="1"/>
                <w:color w:val="auto"/>
              </w:rPr>
            </w:pPr>
          </w:p>
        </w:tc>
        <w:tc>
          <w:tcPr>
            <w:tcW w:w="1040" w:type="dxa"/>
            <w:vAlign w:val="bottom"/>
            <w:tcBorders>
              <w:top w:val="single" w:sz="8" w:color="CCEEFF"/>
              <w:bottom w:val="single" w:sz="8" w:color="CCEEFF"/>
            </w:tcBorders>
            <w:gridSpan w:val="2"/>
            <w:vMerge w:val="restart"/>
          </w:tcPr>
          <w:p>
            <w:pPr>
              <w:jc w:val="right"/>
              <w:ind w:right="63"/>
              <w:spacing w:after="0"/>
              <w:rPr>
                <w:sz w:val="20"/>
                <w:szCs w:val="20"/>
                <w:color w:val="auto"/>
              </w:rPr>
            </w:pPr>
            <w:r>
              <w:rPr>
                <w:rFonts w:ascii="Times New Roman" w:cs="Times New Roman" w:eastAsia="Times New Roman" w:hAnsi="Times New Roman"/>
                <w:sz w:val="11"/>
                <w:szCs w:val="11"/>
                <w:color w:val="auto"/>
              </w:rPr>
              <w:t>(77)</w:t>
            </w:r>
          </w:p>
        </w:tc>
        <w:tc>
          <w:tcPr>
            <w:tcW w:w="80" w:type="dxa"/>
            <w:vAlign w:val="bottom"/>
            <w:tcBorders>
              <w:top w:val="single" w:sz="8" w:color="CCEEFF"/>
            </w:tcBorders>
          </w:tcPr>
          <w:p>
            <w:pPr>
              <w:spacing w:after="0" w:line="20" w:lineRule="exact"/>
              <w:rPr>
                <w:sz w:val="1"/>
                <w:szCs w:val="1"/>
                <w:color w:val="auto"/>
              </w:rPr>
            </w:pPr>
          </w:p>
        </w:tc>
        <w:tc>
          <w:tcPr>
            <w:tcW w:w="220" w:type="dxa"/>
            <w:vAlign w:val="bottom"/>
            <w:tcBorders>
              <w:top w:val="single" w:sz="8" w:color="CCEEFF"/>
              <w:bottom w:val="single" w:sz="8" w:color="auto"/>
            </w:tcBorders>
          </w:tcPr>
          <w:p>
            <w:pPr>
              <w:spacing w:after="0" w:line="20" w:lineRule="exact"/>
              <w:rPr>
                <w:sz w:val="1"/>
                <w:szCs w:val="1"/>
                <w:color w:val="auto"/>
              </w:rPr>
            </w:pPr>
          </w:p>
        </w:tc>
        <w:tc>
          <w:tcPr>
            <w:tcW w:w="760" w:type="dxa"/>
            <w:vAlign w:val="bottom"/>
            <w:tcBorders>
              <w:top w:val="single" w:sz="8" w:color="CCEEFF"/>
              <w:bottom w:val="single" w:sz="8" w:color="auto"/>
            </w:tcBorders>
          </w:tcPr>
          <w:p>
            <w:pPr>
              <w:spacing w:after="0" w:line="20" w:lineRule="exact"/>
              <w:rPr>
                <w:sz w:val="1"/>
                <w:szCs w:val="1"/>
                <w:color w:val="auto"/>
              </w:rPr>
            </w:pPr>
          </w:p>
        </w:tc>
        <w:tc>
          <w:tcPr>
            <w:tcW w:w="1020" w:type="dxa"/>
            <w:vAlign w:val="bottom"/>
            <w:tcBorders>
              <w:top w:val="single" w:sz="8" w:color="CCEEFF"/>
              <w:bottom w:val="single" w:sz="8" w:color="CCEEFF"/>
            </w:tcBorders>
            <w:gridSpan w:val="2"/>
            <w:vMerge w:val="restart"/>
          </w:tcPr>
          <w:p>
            <w:pPr>
              <w:jc w:val="right"/>
              <w:ind w:right="63"/>
              <w:spacing w:after="0"/>
              <w:rPr>
                <w:sz w:val="20"/>
                <w:szCs w:val="20"/>
                <w:color w:val="auto"/>
              </w:rPr>
            </w:pPr>
            <w:r>
              <w:rPr>
                <w:rFonts w:ascii="Times New Roman" w:cs="Times New Roman" w:eastAsia="Times New Roman" w:hAnsi="Times New Roman"/>
                <w:sz w:val="11"/>
                <w:szCs w:val="11"/>
                <w:color w:val="auto"/>
              </w:rPr>
              <w:t>(31)</w:t>
            </w:r>
          </w:p>
        </w:tc>
        <w:tc>
          <w:tcPr>
            <w:tcW w:w="100" w:type="dxa"/>
            <w:vAlign w:val="bottom"/>
            <w:tcBorders>
              <w:top w:val="single" w:sz="8" w:color="CCEEFF"/>
            </w:tcBorders>
          </w:tcPr>
          <w:p>
            <w:pPr>
              <w:spacing w:after="0" w:line="20" w:lineRule="exact"/>
              <w:rPr>
                <w:sz w:val="1"/>
                <w:szCs w:val="1"/>
                <w:color w:val="auto"/>
              </w:rPr>
            </w:pPr>
          </w:p>
        </w:tc>
        <w:tc>
          <w:tcPr>
            <w:tcW w:w="620" w:type="dxa"/>
            <w:vAlign w:val="bottom"/>
            <w:tcBorders>
              <w:top w:val="single" w:sz="8" w:color="CCEEFF"/>
              <w:bottom w:val="single" w:sz="8" w:color="auto"/>
            </w:tcBorders>
          </w:tcPr>
          <w:p>
            <w:pPr>
              <w:spacing w:after="0" w:line="20" w:lineRule="exact"/>
              <w:rPr>
                <w:sz w:val="1"/>
                <w:szCs w:val="1"/>
                <w:color w:val="auto"/>
              </w:rPr>
            </w:pPr>
          </w:p>
        </w:tc>
        <w:tc>
          <w:tcPr>
            <w:tcW w:w="340" w:type="dxa"/>
            <w:vAlign w:val="bottom"/>
            <w:tcBorders>
              <w:top w:val="single" w:sz="8" w:color="CCEEFF"/>
              <w:bottom w:val="single" w:sz="8" w:color="auto"/>
            </w:tcBorders>
          </w:tcPr>
          <w:p>
            <w:pPr>
              <w:spacing w:after="0" w:line="20" w:lineRule="exact"/>
              <w:rPr>
                <w:sz w:val="1"/>
                <w:szCs w:val="1"/>
                <w:color w:val="auto"/>
              </w:rPr>
            </w:pPr>
          </w:p>
        </w:tc>
        <w:tc>
          <w:tcPr>
            <w:tcW w:w="1040" w:type="dxa"/>
            <w:vAlign w:val="bottom"/>
            <w:tcBorders>
              <w:top w:val="single" w:sz="8" w:color="CCEEFF"/>
              <w:bottom w:val="single" w:sz="8" w:color="CCEEFF"/>
            </w:tcBorders>
            <w:gridSpan w:val="2"/>
            <w:vMerge w:val="restart"/>
          </w:tcPr>
          <w:p>
            <w:pPr>
              <w:ind w:left="740"/>
              <w:spacing w:after="0"/>
              <w:rPr>
                <w:sz w:val="20"/>
                <w:szCs w:val="20"/>
                <w:color w:val="auto"/>
              </w:rPr>
            </w:pPr>
            <w:r>
              <w:rPr>
                <w:rFonts w:ascii="Times New Roman" w:cs="Times New Roman" w:eastAsia="Times New Roman" w:hAnsi="Times New Roman"/>
                <w:sz w:val="11"/>
                <w:szCs w:val="11"/>
                <w:color w:val="auto"/>
              </w:rPr>
              <w:t>(37)</w:t>
            </w:r>
          </w:p>
        </w:tc>
        <w:tc>
          <w:tcPr>
            <w:tcW w:w="100" w:type="dxa"/>
            <w:vAlign w:val="bottom"/>
            <w:tcBorders>
              <w:top w:val="single" w:sz="8" w:color="CCEEFF"/>
            </w:tcBorders>
          </w:tcPr>
          <w:p>
            <w:pPr>
              <w:spacing w:after="0" w:line="20" w:lineRule="exact"/>
              <w:rPr>
                <w:sz w:val="1"/>
                <w:szCs w:val="1"/>
                <w:color w:val="auto"/>
              </w:rPr>
            </w:pPr>
          </w:p>
        </w:tc>
        <w:tc>
          <w:tcPr>
            <w:tcW w:w="220" w:type="dxa"/>
            <w:vAlign w:val="bottom"/>
            <w:tcBorders>
              <w:top w:val="single" w:sz="8" w:color="CCEEFF"/>
              <w:bottom w:val="single" w:sz="8" w:color="auto"/>
            </w:tcBorders>
          </w:tcPr>
          <w:p>
            <w:pPr>
              <w:spacing w:after="0" w:line="20" w:lineRule="exact"/>
              <w:rPr>
                <w:sz w:val="1"/>
                <w:szCs w:val="1"/>
                <w:color w:val="auto"/>
              </w:rPr>
            </w:pPr>
          </w:p>
        </w:tc>
        <w:tc>
          <w:tcPr>
            <w:tcW w:w="740" w:type="dxa"/>
            <w:vAlign w:val="bottom"/>
            <w:tcBorders>
              <w:top w:val="single" w:sz="8" w:color="CCEEFF"/>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15"/>
        </w:trPr>
        <w:tc>
          <w:tcPr>
            <w:tcW w:w="1960" w:type="dxa"/>
            <w:vAlign w:val="bottom"/>
            <w:vMerge w:val="continue"/>
          </w:tcPr>
          <w:p>
            <w:pPr>
              <w:spacing w:after="0"/>
              <w:rPr>
                <w:sz w:val="10"/>
                <w:szCs w:val="10"/>
                <w:color w:val="auto"/>
              </w:rPr>
            </w:pPr>
          </w:p>
        </w:tc>
        <w:tc>
          <w:tcPr>
            <w:tcW w:w="620" w:type="dxa"/>
            <w:vAlign w:val="bottom"/>
          </w:tcPr>
          <w:p>
            <w:pPr>
              <w:spacing w:after="0"/>
              <w:rPr>
                <w:sz w:val="10"/>
                <w:szCs w:val="10"/>
                <w:color w:val="auto"/>
              </w:rPr>
            </w:pPr>
          </w:p>
        </w:tc>
        <w:tc>
          <w:tcPr>
            <w:tcW w:w="340" w:type="dxa"/>
            <w:vAlign w:val="bottom"/>
          </w:tcPr>
          <w:p>
            <w:pPr>
              <w:jc w:val="right"/>
              <w:ind w:right="3"/>
              <w:spacing w:after="0" w:line="115" w:lineRule="exact"/>
              <w:rPr>
                <w:sz w:val="20"/>
                <w:szCs w:val="20"/>
                <w:color w:val="auto"/>
              </w:rPr>
            </w:pPr>
            <w:r>
              <w:rPr>
                <w:rFonts w:ascii="Times New Roman" w:cs="Times New Roman" w:eastAsia="Times New Roman" w:hAnsi="Times New Roman"/>
                <w:sz w:val="11"/>
                <w:szCs w:val="11"/>
                <w:color w:val="auto"/>
              </w:rPr>
              <w:t>47</w:t>
            </w:r>
          </w:p>
        </w:tc>
        <w:tc>
          <w:tcPr>
            <w:tcW w:w="1020" w:type="dxa"/>
            <w:vAlign w:val="bottom"/>
            <w:gridSpan w:val="2"/>
            <w:vMerge w:val="continue"/>
          </w:tcPr>
          <w:p>
            <w:pPr>
              <w:spacing w:after="0"/>
              <w:rPr>
                <w:sz w:val="10"/>
                <w:szCs w:val="10"/>
                <w:color w:val="auto"/>
              </w:rPr>
            </w:pPr>
          </w:p>
        </w:tc>
        <w:tc>
          <w:tcPr>
            <w:tcW w:w="100" w:type="dxa"/>
            <w:vAlign w:val="bottom"/>
          </w:tcPr>
          <w:p>
            <w:pPr>
              <w:spacing w:after="0"/>
              <w:rPr>
                <w:sz w:val="10"/>
                <w:szCs w:val="10"/>
                <w:color w:val="auto"/>
              </w:rPr>
            </w:pPr>
          </w:p>
        </w:tc>
        <w:tc>
          <w:tcPr>
            <w:tcW w:w="620" w:type="dxa"/>
            <w:vAlign w:val="bottom"/>
          </w:tcPr>
          <w:p>
            <w:pPr>
              <w:spacing w:after="0"/>
              <w:rPr>
                <w:sz w:val="10"/>
                <w:szCs w:val="10"/>
                <w:color w:val="auto"/>
              </w:rPr>
            </w:pPr>
          </w:p>
        </w:tc>
        <w:tc>
          <w:tcPr>
            <w:tcW w:w="340" w:type="dxa"/>
            <w:vAlign w:val="bottom"/>
          </w:tcPr>
          <w:p>
            <w:pPr>
              <w:jc w:val="right"/>
              <w:spacing w:after="0" w:line="115" w:lineRule="exact"/>
              <w:rPr>
                <w:sz w:val="20"/>
                <w:szCs w:val="20"/>
                <w:color w:val="auto"/>
              </w:rPr>
            </w:pPr>
            <w:r>
              <w:rPr>
                <w:rFonts w:ascii="Times New Roman" w:cs="Times New Roman" w:eastAsia="Times New Roman" w:hAnsi="Times New Roman"/>
                <w:sz w:val="11"/>
                <w:szCs w:val="11"/>
                <w:color w:val="auto"/>
              </w:rPr>
              <w:t>74</w:t>
            </w:r>
          </w:p>
        </w:tc>
        <w:tc>
          <w:tcPr>
            <w:tcW w:w="1040" w:type="dxa"/>
            <w:vAlign w:val="bottom"/>
            <w:gridSpan w:val="2"/>
            <w:vMerge w:val="continue"/>
          </w:tcPr>
          <w:p>
            <w:pPr>
              <w:spacing w:after="0"/>
              <w:rPr>
                <w:sz w:val="10"/>
                <w:szCs w:val="10"/>
                <w:color w:val="auto"/>
              </w:rPr>
            </w:pPr>
          </w:p>
        </w:tc>
        <w:tc>
          <w:tcPr>
            <w:tcW w:w="80" w:type="dxa"/>
            <w:vAlign w:val="bottom"/>
          </w:tcPr>
          <w:p>
            <w:pPr>
              <w:spacing w:after="0"/>
              <w:rPr>
                <w:sz w:val="10"/>
                <w:szCs w:val="10"/>
                <w:color w:val="auto"/>
              </w:rPr>
            </w:pPr>
          </w:p>
        </w:tc>
        <w:tc>
          <w:tcPr>
            <w:tcW w:w="220" w:type="dxa"/>
            <w:vAlign w:val="bottom"/>
          </w:tcPr>
          <w:p>
            <w:pPr>
              <w:spacing w:after="0"/>
              <w:rPr>
                <w:sz w:val="10"/>
                <w:szCs w:val="10"/>
                <w:color w:val="auto"/>
              </w:rPr>
            </w:pPr>
          </w:p>
        </w:tc>
        <w:tc>
          <w:tcPr>
            <w:tcW w:w="760" w:type="dxa"/>
            <w:vAlign w:val="bottom"/>
          </w:tcPr>
          <w:p>
            <w:pPr>
              <w:jc w:val="right"/>
              <w:ind w:right="3"/>
              <w:spacing w:after="0" w:line="115" w:lineRule="exact"/>
              <w:rPr>
                <w:sz w:val="20"/>
                <w:szCs w:val="20"/>
                <w:color w:val="auto"/>
              </w:rPr>
            </w:pPr>
            <w:r>
              <w:rPr>
                <w:rFonts w:ascii="Times New Roman" w:cs="Times New Roman" w:eastAsia="Times New Roman" w:hAnsi="Times New Roman"/>
                <w:sz w:val="11"/>
                <w:szCs w:val="11"/>
                <w:color w:val="auto"/>
              </w:rPr>
              <w:t>326</w:t>
            </w:r>
          </w:p>
        </w:tc>
        <w:tc>
          <w:tcPr>
            <w:tcW w:w="1020" w:type="dxa"/>
            <w:vAlign w:val="bottom"/>
            <w:gridSpan w:val="2"/>
            <w:vMerge w:val="continue"/>
          </w:tcPr>
          <w:p>
            <w:pPr>
              <w:spacing w:after="0"/>
              <w:rPr>
                <w:sz w:val="10"/>
                <w:szCs w:val="10"/>
                <w:color w:val="auto"/>
              </w:rPr>
            </w:pPr>
          </w:p>
        </w:tc>
        <w:tc>
          <w:tcPr>
            <w:tcW w:w="100" w:type="dxa"/>
            <w:vAlign w:val="bottom"/>
          </w:tcPr>
          <w:p>
            <w:pPr>
              <w:spacing w:after="0"/>
              <w:rPr>
                <w:sz w:val="10"/>
                <w:szCs w:val="10"/>
                <w:color w:val="auto"/>
              </w:rPr>
            </w:pPr>
          </w:p>
        </w:tc>
        <w:tc>
          <w:tcPr>
            <w:tcW w:w="620" w:type="dxa"/>
            <w:vAlign w:val="bottom"/>
          </w:tcPr>
          <w:p>
            <w:pPr>
              <w:spacing w:after="0"/>
              <w:rPr>
                <w:sz w:val="10"/>
                <w:szCs w:val="10"/>
                <w:color w:val="auto"/>
              </w:rPr>
            </w:pPr>
          </w:p>
        </w:tc>
        <w:tc>
          <w:tcPr>
            <w:tcW w:w="340" w:type="dxa"/>
            <w:vAlign w:val="bottom"/>
          </w:tcPr>
          <w:p>
            <w:pPr>
              <w:jc w:val="right"/>
              <w:spacing w:after="0" w:line="115" w:lineRule="exact"/>
              <w:rPr>
                <w:sz w:val="20"/>
                <w:szCs w:val="20"/>
                <w:color w:val="auto"/>
              </w:rPr>
            </w:pPr>
            <w:r>
              <w:rPr>
                <w:rFonts w:ascii="Times New Roman" w:cs="Times New Roman" w:eastAsia="Times New Roman" w:hAnsi="Times New Roman"/>
                <w:sz w:val="11"/>
                <w:szCs w:val="11"/>
                <w:color w:val="auto"/>
              </w:rPr>
              <w:t>471</w:t>
            </w:r>
          </w:p>
        </w:tc>
        <w:tc>
          <w:tcPr>
            <w:tcW w:w="1040" w:type="dxa"/>
            <w:vAlign w:val="bottom"/>
            <w:gridSpan w:val="2"/>
            <w:vMerge w:val="continue"/>
          </w:tcPr>
          <w:p>
            <w:pPr>
              <w:spacing w:after="0"/>
              <w:rPr>
                <w:sz w:val="10"/>
                <w:szCs w:val="10"/>
                <w:color w:val="auto"/>
              </w:rPr>
            </w:pPr>
          </w:p>
        </w:tc>
        <w:tc>
          <w:tcPr>
            <w:tcW w:w="100" w:type="dxa"/>
            <w:vAlign w:val="bottom"/>
          </w:tcPr>
          <w:p>
            <w:pPr>
              <w:spacing w:after="0"/>
              <w:rPr>
                <w:sz w:val="10"/>
                <w:szCs w:val="10"/>
                <w:color w:val="auto"/>
              </w:rPr>
            </w:pPr>
          </w:p>
        </w:tc>
        <w:tc>
          <w:tcPr>
            <w:tcW w:w="220" w:type="dxa"/>
            <w:vAlign w:val="bottom"/>
          </w:tcPr>
          <w:p>
            <w:pPr>
              <w:spacing w:after="0"/>
              <w:rPr>
                <w:sz w:val="10"/>
                <w:szCs w:val="10"/>
                <w:color w:val="auto"/>
              </w:rPr>
            </w:pPr>
          </w:p>
        </w:tc>
        <w:tc>
          <w:tcPr>
            <w:tcW w:w="740" w:type="dxa"/>
            <w:vAlign w:val="bottom"/>
          </w:tcPr>
          <w:p>
            <w:pPr>
              <w:jc w:val="right"/>
              <w:spacing w:after="0" w:line="115" w:lineRule="exact"/>
              <w:rPr>
                <w:sz w:val="20"/>
                <w:szCs w:val="20"/>
                <w:color w:val="auto"/>
              </w:rPr>
            </w:pPr>
            <w:r>
              <w:rPr>
                <w:rFonts w:ascii="Times New Roman" w:cs="Times New Roman" w:eastAsia="Times New Roman" w:hAnsi="Times New Roman"/>
                <w:sz w:val="11"/>
                <w:szCs w:val="11"/>
                <w:color w:val="auto"/>
              </w:rPr>
              <w:t>743</w:t>
            </w:r>
          </w:p>
        </w:tc>
        <w:tc>
          <w:tcPr>
            <w:tcW w:w="0" w:type="dxa"/>
            <w:vAlign w:val="bottom"/>
          </w:tcPr>
          <w:p>
            <w:pPr>
              <w:spacing w:after="0"/>
              <w:rPr>
                <w:sz w:val="1"/>
                <w:szCs w:val="1"/>
                <w:color w:val="auto"/>
              </w:rPr>
            </w:pPr>
          </w:p>
        </w:tc>
      </w:tr>
      <w:tr>
        <w:trPr>
          <w:trHeight w:val="165"/>
        </w:trPr>
        <w:tc>
          <w:tcPr>
            <w:tcW w:w="1960" w:type="dxa"/>
            <w:vAlign w:val="bottom"/>
            <w:shd w:val="clear" w:color="auto" w:fill="CCEEFF"/>
          </w:tcPr>
          <w:p>
            <w:pPr>
              <w:ind w:left="180"/>
              <w:spacing w:after="0"/>
              <w:rPr>
                <w:sz w:val="20"/>
                <w:szCs w:val="20"/>
                <w:color w:val="auto"/>
              </w:rPr>
            </w:pPr>
            <w:r>
              <w:rPr>
                <w:rFonts w:ascii="Times New Roman" w:cs="Times New Roman" w:eastAsia="Times New Roman" w:hAnsi="Times New Roman"/>
                <w:sz w:val="11"/>
                <w:szCs w:val="11"/>
                <w:color w:val="auto"/>
              </w:rPr>
              <w:t>Intangible amortization</w:t>
            </w:r>
          </w:p>
        </w:tc>
        <w:tc>
          <w:tcPr>
            <w:tcW w:w="620" w:type="dxa"/>
            <w:vAlign w:val="bottom"/>
            <w:shd w:val="clear" w:color="auto" w:fill="CCEEFF"/>
          </w:tcPr>
          <w:p>
            <w:pPr>
              <w:spacing w:after="0"/>
              <w:rPr>
                <w:sz w:val="14"/>
                <w:szCs w:val="14"/>
                <w:color w:val="auto"/>
              </w:rPr>
            </w:pPr>
          </w:p>
        </w:tc>
        <w:tc>
          <w:tcPr>
            <w:tcW w:w="340" w:type="dxa"/>
            <w:vAlign w:val="bottom"/>
            <w:shd w:val="clear" w:color="auto" w:fill="CCEEFF"/>
          </w:tcPr>
          <w:p>
            <w:pPr>
              <w:jc w:val="right"/>
              <w:ind w:right="3"/>
              <w:spacing w:after="0"/>
              <w:rPr>
                <w:sz w:val="20"/>
                <w:szCs w:val="20"/>
                <w:color w:val="auto"/>
              </w:rPr>
            </w:pPr>
            <w:r>
              <w:rPr>
                <w:rFonts w:ascii="Times New Roman" w:cs="Times New Roman" w:eastAsia="Times New Roman" w:hAnsi="Times New Roman"/>
                <w:sz w:val="11"/>
                <w:szCs w:val="11"/>
                <w:color w:val="auto"/>
              </w:rPr>
              <w:t>1,359</w:t>
            </w:r>
          </w:p>
        </w:tc>
        <w:tc>
          <w:tcPr>
            <w:tcW w:w="80" w:type="dxa"/>
            <w:vAlign w:val="bottom"/>
            <w:shd w:val="clear" w:color="auto" w:fill="CCEEFF"/>
          </w:tcPr>
          <w:p>
            <w:pPr>
              <w:spacing w:after="0"/>
              <w:rPr>
                <w:sz w:val="14"/>
                <w:szCs w:val="14"/>
                <w:color w:val="auto"/>
              </w:rPr>
            </w:pPr>
          </w:p>
        </w:tc>
        <w:tc>
          <w:tcPr>
            <w:tcW w:w="1040" w:type="dxa"/>
            <w:vAlign w:val="bottom"/>
            <w:gridSpan w:val="2"/>
            <w:shd w:val="clear" w:color="auto" w:fill="CCEEFF"/>
          </w:tcPr>
          <w:p>
            <w:pPr>
              <w:jc w:val="right"/>
              <w:ind w:right="240"/>
              <w:spacing w:after="0"/>
              <w:rPr>
                <w:sz w:val="20"/>
                <w:szCs w:val="20"/>
                <w:color w:val="auto"/>
              </w:rPr>
            </w:pPr>
            <w:r>
              <w:rPr>
                <w:rFonts w:ascii="Times New Roman" w:cs="Times New Roman" w:eastAsia="Times New Roman" w:hAnsi="Times New Roman"/>
                <w:sz w:val="11"/>
                <w:szCs w:val="11"/>
                <w:color w:val="auto"/>
              </w:rPr>
              <w:t>—</w:t>
            </w:r>
          </w:p>
        </w:tc>
        <w:tc>
          <w:tcPr>
            <w:tcW w:w="620" w:type="dxa"/>
            <w:vAlign w:val="bottom"/>
            <w:shd w:val="clear" w:color="auto" w:fill="CCEEFF"/>
          </w:tcPr>
          <w:p>
            <w:pPr>
              <w:spacing w:after="0"/>
              <w:rPr>
                <w:sz w:val="14"/>
                <w:szCs w:val="14"/>
                <w:color w:val="auto"/>
              </w:rPr>
            </w:pPr>
          </w:p>
        </w:tc>
        <w:tc>
          <w:tcPr>
            <w:tcW w:w="3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1"/>
                <w:szCs w:val="11"/>
                <w:color w:val="auto"/>
              </w:rPr>
              <w:t>1,359</w:t>
            </w:r>
          </w:p>
        </w:tc>
        <w:tc>
          <w:tcPr>
            <w:tcW w:w="100" w:type="dxa"/>
            <w:vAlign w:val="bottom"/>
            <w:shd w:val="clear" w:color="auto" w:fill="CCEEFF"/>
          </w:tcPr>
          <w:p>
            <w:pPr>
              <w:spacing w:after="0"/>
              <w:rPr>
                <w:sz w:val="14"/>
                <w:szCs w:val="14"/>
                <w:color w:val="auto"/>
              </w:rPr>
            </w:pPr>
          </w:p>
        </w:tc>
        <w:tc>
          <w:tcPr>
            <w:tcW w:w="1020" w:type="dxa"/>
            <w:vAlign w:val="bottom"/>
            <w:gridSpan w:val="2"/>
            <w:shd w:val="clear" w:color="auto" w:fill="CCEEFF"/>
          </w:tcPr>
          <w:p>
            <w:pPr>
              <w:ind w:left="680"/>
              <w:spacing w:after="0"/>
              <w:rPr>
                <w:sz w:val="20"/>
                <w:szCs w:val="20"/>
                <w:color w:val="auto"/>
              </w:rPr>
            </w:pPr>
            <w:r>
              <w:rPr>
                <w:rFonts w:ascii="Times New Roman" w:cs="Times New Roman" w:eastAsia="Times New Roman" w:hAnsi="Times New Roman"/>
                <w:sz w:val="11"/>
                <w:szCs w:val="11"/>
                <w:color w:val="auto"/>
              </w:rPr>
              <w:t>—</w:t>
            </w:r>
          </w:p>
        </w:tc>
        <w:tc>
          <w:tcPr>
            <w:tcW w:w="220" w:type="dxa"/>
            <w:vAlign w:val="bottom"/>
            <w:shd w:val="clear" w:color="auto" w:fill="CCEEFF"/>
          </w:tcPr>
          <w:p>
            <w:pPr>
              <w:spacing w:after="0"/>
              <w:rPr>
                <w:sz w:val="14"/>
                <w:szCs w:val="14"/>
                <w:color w:val="auto"/>
              </w:rPr>
            </w:pPr>
          </w:p>
        </w:tc>
        <w:tc>
          <w:tcPr>
            <w:tcW w:w="760" w:type="dxa"/>
            <w:vAlign w:val="bottom"/>
            <w:shd w:val="clear" w:color="auto" w:fill="CCEEFF"/>
          </w:tcPr>
          <w:p>
            <w:pPr>
              <w:jc w:val="right"/>
              <w:ind w:right="3"/>
              <w:spacing w:after="0"/>
              <w:rPr>
                <w:sz w:val="20"/>
                <w:szCs w:val="20"/>
                <w:color w:val="auto"/>
              </w:rPr>
            </w:pPr>
            <w:r>
              <w:rPr>
                <w:rFonts w:ascii="Times New Roman" w:cs="Times New Roman" w:eastAsia="Times New Roman" w:hAnsi="Times New Roman"/>
                <w:sz w:val="11"/>
                <w:szCs w:val="11"/>
                <w:color w:val="auto"/>
              </w:rPr>
              <w:t>1,359</w:t>
            </w:r>
          </w:p>
        </w:tc>
        <w:tc>
          <w:tcPr>
            <w:tcW w:w="1020" w:type="dxa"/>
            <w:vAlign w:val="bottom"/>
            <w:gridSpan w:val="2"/>
            <w:shd w:val="clear" w:color="auto" w:fill="CCEEFF"/>
          </w:tcPr>
          <w:p>
            <w:pPr>
              <w:jc w:val="right"/>
              <w:ind w:right="63"/>
              <w:spacing w:after="0"/>
              <w:rPr>
                <w:sz w:val="20"/>
                <w:szCs w:val="20"/>
                <w:color w:val="auto"/>
              </w:rPr>
            </w:pPr>
            <w:r>
              <w:rPr>
                <w:rFonts w:ascii="Times New Roman" w:cs="Times New Roman" w:eastAsia="Times New Roman" w:hAnsi="Times New Roman"/>
                <w:sz w:val="11"/>
                <w:szCs w:val="11"/>
                <w:color w:val="auto"/>
              </w:rPr>
              <w:t>(1)</w:t>
            </w:r>
          </w:p>
        </w:tc>
        <w:tc>
          <w:tcPr>
            <w:tcW w:w="100" w:type="dxa"/>
            <w:vAlign w:val="bottom"/>
            <w:shd w:val="clear" w:color="auto" w:fill="CCEEFF"/>
          </w:tcPr>
          <w:p>
            <w:pPr>
              <w:spacing w:after="0"/>
              <w:rPr>
                <w:sz w:val="14"/>
                <w:szCs w:val="14"/>
                <w:color w:val="auto"/>
              </w:rPr>
            </w:pPr>
          </w:p>
        </w:tc>
        <w:tc>
          <w:tcPr>
            <w:tcW w:w="620" w:type="dxa"/>
            <w:vAlign w:val="bottom"/>
            <w:shd w:val="clear" w:color="auto" w:fill="CCEEFF"/>
          </w:tcPr>
          <w:p>
            <w:pPr>
              <w:spacing w:after="0"/>
              <w:rPr>
                <w:sz w:val="14"/>
                <w:szCs w:val="14"/>
                <w:color w:val="auto"/>
              </w:rPr>
            </w:pPr>
          </w:p>
        </w:tc>
        <w:tc>
          <w:tcPr>
            <w:tcW w:w="3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1"/>
                <w:szCs w:val="11"/>
                <w:color w:val="auto"/>
              </w:rPr>
              <w:t>1,379</w:t>
            </w:r>
          </w:p>
        </w:tc>
        <w:tc>
          <w:tcPr>
            <w:tcW w:w="100" w:type="dxa"/>
            <w:vAlign w:val="bottom"/>
            <w:shd w:val="clear" w:color="auto" w:fill="CCEEFF"/>
          </w:tcPr>
          <w:p>
            <w:pPr>
              <w:spacing w:after="0"/>
              <w:rPr>
                <w:sz w:val="14"/>
                <w:szCs w:val="14"/>
                <w:color w:val="auto"/>
              </w:rPr>
            </w:pPr>
          </w:p>
        </w:tc>
        <w:tc>
          <w:tcPr>
            <w:tcW w:w="1040" w:type="dxa"/>
            <w:vAlign w:val="bottom"/>
            <w:gridSpan w:val="2"/>
            <w:shd w:val="clear" w:color="auto" w:fill="CCEEFF"/>
          </w:tcPr>
          <w:p>
            <w:pPr>
              <w:ind w:left="680"/>
              <w:spacing w:after="0"/>
              <w:rPr>
                <w:sz w:val="20"/>
                <w:szCs w:val="20"/>
                <w:color w:val="auto"/>
              </w:rPr>
            </w:pPr>
            <w:r>
              <w:rPr>
                <w:rFonts w:ascii="Times New Roman" w:cs="Times New Roman" w:eastAsia="Times New Roman" w:hAnsi="Times New Roman"/>
                <w:sz w:val="11"/>
                <w:szCs w:val="11"/>
                <w:color w:val="auto"/>
              </w:rPr>
              <w:t>—</w:t>
            </w:r>
          </w:p>
        </w:tc>
        <w:tc>
          <w:tcPr>
            <w:tcW w:w="220" w:type="dxa"/>
            <w:vAlign w:val="bottom"/>
            <w:shd w:val="clear" w:color="auto" w:fill="CCEEFF"/>
          </w:tcPr>
          <w:p>
            <w:pPr>
              <w:spacing w:after="0"/>
              <w:rPr>
                <w:sz w:val="14"/>
                <w:szCs w:val="14"/>
                <w:color w:val="auto"/>
              </w:rPr>
            </w:pPr>
          </w:p>
        </w:tc>
        <w:tc>
          <w:tcPr>
            <w:tcW w:w="7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1"/>
                <w:szCs w:val="11"/>
                <w:color w:val="auto"/>
              </w:rPr>
              <w:t>1,378</w:t>
            </w:r>
          </w:p>
        </w:tc>
        <w:tc>
          <w:tcPr>
            <w:tcW w:w="0" w:type="dxa"/>
            <w:vAlign w:val="bottom"/>
          </w:tcPr>
          <w:p>
            <w:pPr>
              <w:spacing w:after="0"/>
              <w:rPr>
                <w:sz w:val="1"/>
                <w:szCs w:val="1"/>
                <w:color w:val="auto"/>
              </w:rPr>
            </w:pPr>
          </w:p>
        </w:tc>
      </w:tr>
      <w:tr>
        <w:trPr>
          <w:trHeight w:val="110"/>
        </w:trPr>
        <w:tc>
          <w:tcPr>
            <w:tcW w:w="1960" w:type="dxa"/>
            <w:vAlign w:val="bottom"/>
          </w:tcPr>
          <w:p>
            <w:pPr>
              <w:ind w:left="180"/>
              <w:spacing w:after="0" w:line="110" w:lineRule="exact"/>
              <w:rPr>
                <w:sz w:val="20"/>
                <w:szCs w:val="20"/>
                <w:color w:val="auto"/>
              </w:rPr>
            </w:pPr>
            <w:r>
              <w:rPr>
                <w:rFonts w:ascii="Times New Roman" w:cs="Times New Roman" w:eastAsia="Times New Roman" w:hAnsi="Times New Roman"/>
                <w:sz w:val="11"/>
                <w:szCs w:val="11"/>
                <w:color w:val="auto"/>
              </w:rPr>
              <w:t>Tax benefit from goodwill</w:t>
            </w:r>
          </w:p>
        </w:tc>
        <w:tc>
          <w:tcPr>
            <w:tcW w:w="620" w:type="dxa"/>
            <w:vAlign w:val="bottom"/>
          </w:tcPr>
          <w:p>
            <w:pPr>
              <w:spacing w:after="0"/>
              <w:rPr>
                <w:sz w:val="9"/>
                <w:szCs w:val="9"/>
                <w:color w:val="auto"/>
              </w:rPr>
            </w:pPr>
          </w:p>
        </w:tc>
        <w:tc>
          <w:tcPr>
            <w:tcW w:w="340" w:type="dxa"/>
            <w:vAlign w:val="bottom"/>
            <w:vMerge w:val="restart"/>
          </w:tcPr>
          <w:p>
            <w:pPr>
              <w:jc w:val="right"/>
              <w:ind w:right="3"/>
              <w:spacing w:after="0"/>
              <w:rPr>
                <w:sz w:val="20"/>
                <w:szCs w:val="20"/>
                <w:color w:val="auto"/>
              </w:rPr>
            </w:pPr>
            <w:r>
              <w:rPr>
                <w:rFonts w:ascii="Times New Roman" w:cs="Times New Roman" w:eastAsia="Times New Roman" w:hAnsi="Times New Roman"/>
                <w:sz w:val="11"/>
                <w:szCs w:val="11"/>
                <w:color w:val="auto"/>
              </w:rPr>
              <w:t>236</w:t>
            </w:r>
          </w:p>
        </w:tc>
        <w:tc>
          <w:tcPr>
            <w:tcW w:w="80" w:type="dxa"/>
            <w:vAlign w:val="bottom"/>
          </w:tcPr>
          <w:p>
            <w:pPr>
              <w:spacing w:after="0"/>
              <w:rPr>
                <w:sz w:val="9"/>
                <w:szCs w:val="9"/>
                <w:color w:val="auto"/>
              </w:rPr>
            </w:pPr>
          </w:p>
        </w:tc>
        <w:tc>
          <w:tcPr>
            <w:tcW w:w="1040" w:type="dxa"/>
            <w:vAlign w:val="bottom"/>
            <w:gridSpan w:val="2"/>
            <w:vMerge w:val="restart"/>
          </w:tcPr>
          <w:p>
            <w:pPr>
              <w:jc w:val="right"/>
              <w:ind w:right="240"/>
              <w:spacing w:after="0"/>
              <w:rPr>
                <w:sz w:val="20"/>
                <w:szCs w:val="20"/>
                <w:color w:val="auto"/>
              </w:rPr>
            </w:pPr>
            <w:r>
              <w:rPr>
                <w:rFonts w:ascii="Times New Roman" w:cs="Times New Roman" w:eastAsia="Times New Roman" w:hAnsi="Times New Roman"/>
                <w:sz w:val="11"/>
                <w:szCs w:val="11"/>
                <w:color w:val="auto"/>
              </w:rPr>
              <w:t>—</w:t>
            </w:r>
          </w:p>
        </w:tc>
        <w:tc>
          <w:tcPr>
            <w:tcW w:w="620" w:type="dxa"/>
            <w:vAlign w:val="bottom"/>
          </w:tcPr>
          <w:p>
            <w:pPr>
              <w:spacing w:after="0"/>
              <w:rPr>
                <w:sz w:val="9"/>
                <w:szCs w:val="9"/>
                <w:color w:val="auto"/>
              </w:rPr>
            </w:pPr>
          </w:p>
        </w:tc>
        <w:tc>
          <w:tcPr>
            <w:tcW w:w="340" w:type="dxa"/>
            <w:vAlign w:val="bottom"/>
            <w:vMerge w:val="restart"/>
          </w:tcPr>
          <w:p>
            <w:pPr>
              <w:jc w:val="right"/>
              <w:spacing w:after="0"/>
              <w:rPr>
                <w:sz w:val="20"/>
                <w:szCs w:val="20"/>
                <w:color w:val="auto"/>
              </w:rPr>
            </w:pPr>
            <w:r>
              <w:rPr>
                <w:rFonts w:ascii="Times New Roman" w:cs="Times New Roman" w:eastAsia="Times New Roman" w:hAnsi="Times New Roman"/>
                <w:sz w:val="11"/>
                <w:szCs w:val="11"/>
                <w:color w:val="auto"/>
              </w:rPr>
              <w:t>236</w:t>
            </w:r>
          </w:p>
        </w:tc>
        <w:tc>
          <w:tcPr>
            <w:tcW w:w="1040" w:type="dxa"/>
            <w:vAlign w:val="bottom"/>
            <w:gridSpan w:val="2"/>
            <w:vMerge w:val="restart"/>
          </w:tcPr>
          <w:p>
            <w:pPr>
              <w:ind w:left="780"/>
              <w:spacing w:after="0"/>
              <w:rPr>
                <w:sz w:val="20"/>
                <w:szCs w:val="20"/>
                <w:color w:val="auto"/>
              </w:rPr>
            </w:pPr>
            <w:r>
              <w:rPr>
                <w:rFonts w:ascii="Times New Roman" w:cs="Times New Roman" w:eastAsia="Times New Roman" w:hAnsi="Times New Roman"/>
                <w:sz w:val="11"/>
                <w:szCs w:val="11"/>
                <w:color w:val="auto"/>
              </w:rPr>
              <w:t>(1)</w:t>
            </w:r>
          </w:p>
        </w:tc>
        <w:tc>
          <w:tcPr>
            <w:tcW w:w="80" w:type="dxa"/>
            <w:vAlign w:val="bottom"/>
          </w:tcPr>
          <w:p>
            <w:pPr>
              <w:spacing w:after="0"/>
              <w:rPr>
                <w:sz w:val="9"/>
                <w:szCs w:val="9"/>
                <w:color w:val="auto"/>
              </w:rPr>
            </w:pPr>
          </w:p>
        </w:tc>
        <w:tc>
          <w:tcPr>
            <w:tcW w:w="220" w:type="dxa"/>
            <w:vAlign w:val="bottom"/>
          </w:tcPr>
          <w:p>
            <w:pPr>
              <w:spacing w:after="0"/>
              <w:rPr>
                <w:sz w:val="9"/>
                <w:szCs w:val="9"/>
                <w:color w:val="auto"/>
              </w:rPr>
            </w:pPr>
          </w:p>
        </w:tc>
        <w:tc>
          <w:tcPr>
            <w:tcW w:w="760" w:type="dxa"/>
            <w:vAlign w:val="bottom"/>
            <w:vMerge w:val="restart"/>
          </w:tcPr>
          <w:p>
            <w:pPr>
              <w:jc w:val="right"/>
              <w:ind w:right="3"/>
              <w:spacing w:after="0"/>
              <w:rPr>
                <w:sz w:val="20"/>
                <w:szCs w:val="20"/>
                <w:color w:val="auto"/>
              </w:rPr>
            </w:pPr>
            <w:r>
              <w:rPr>
                <w:rFonts w:ascii="Times New Roman" w:cs="Times New Roman" w:eastAsia="Times New Roman" w:hAnsi="Times New Roman"/>
                <w:sz w:val="11"/>
                <w:szCs w:val="11"/>
                <w:color w:val="auto"/>
              </w:rPr>
              <w:t>238</w:t>
            </w:r>
          </w:p>
        </w:tc>
        <w:tc>
          <w:tcPr>
            <w:tcW w:w="1020" w:type="dxa"/>
            <w:vAlign w:val="bottom"/>
            <w:gridSpan w:val="2"/>
            <w:vMerge w:val="restart"/>
          </w:tcPr>
          <w:p>
            <w:pPr>
              <w:jc w:val="right"/>
              <w:ind w:right="83"/>
              <w:spacing w:after="0"/>
              <w:rPr>
                <w:sz w:val="20"/>
                <w:szCs w:val="20"/>
                <w:color w:val="auto"/>
              </w:rPr>
            </w:pPr>
            <w:r>
              <w:rPr>
                <w:rFonts w:ascii="Times New Roman" w:cs="Times New Roman" w:eastAsia="Times New Roman" w:hAnsi="Times New Roman"/>
                <w:sz w:val="11"/>
                <w:szCs w:val="11"/>
                <w:color w:val="auto"/>
              </w:rPr>
              <w:t>1</w:t>
            </w:r>
          </w:p>
        </w:tc>
        <w:tc>
          <w:tcPr>
            <w:tcW w:w="100" w:type="dxa"/>
            <w:vAlign w:val="bottom"/>
          </w:tcPr>
          <w:p>
            <w:pPr>
              <w:spacing w:after="0"/>
              <w:rPr>
                <w:sz w:val="9"/>
                <w:szCs w:val="9"/>
                <w:color w:val="auto"/>
              </w:rPr>
            </w:pPr>
          </w:p>
        </w:tc>
        <w:tc>
          <w:tcPr>
            <w:tcW w:w="620" w:type="dxa"/>
            <w:vAlign w:val="bottom"/>
          </w:tcPr>
          <w:p>
            <w:pPr>
              <w:spacing w:after="0"/>
              <w:rPr>
                <w:sz w:val="9"/>
                <w:szCs w:val="9"/>
                <w:color w:val="auto"/>
              </w:rPr>
            </w:pPr>
          </w:p>
        </w:tc>
        <w:tc>
          <w:tcPr>
            <w:tcW w:w="340" w:type="dxa"/>
            <w:vAlign w:val="bottom"/>
            <w:vMerge w:val="restart"/>
          </w:tcPr>
          <w:p>
            <w:pPr>
              <w:jc w:val="right"/>
              <w:spacing w:after="0"/>
              <w:rPr>
                <w:sz w:val="20"/>
                <w:szCs w:val="20"/>
                <w:color w:val="auto"/>
              </w:rPr>
            </w:pPr>
            <w:r>
              <w:rPr>
                <w:rFonts w:ascii="Times New Roman" w:cs="Times New Roman" w:eastAsia="Times New Roman" w:hAnsi="Times New Roman"/>
                <w:sz w:val="11"/>
                <w:szCs w:val="11"/>
                <w:color w:val="auto"/>
              </w:rPr>
              <w:t>236</w:t>
            </w:r>
          </w:p>
        </w:tc>
        <w:tc>
          <w:tcPr>
            <w:tcW w:w="100" w:type="dxa"/>
            <w:vAlign w:val="bottom"/>
          </w:tcPr>
          <w:p>
            <w:pPr>
              <w:spacing w:after="0"/>
              <w:rPr>
                <w:sz w:val="9"/>
                <w:szCs w:val="9"/>
                <w:color w:val="auto"/>
              </w:rPr>
            </w:pPr>
          </w:p>
        </w:tc>
        <w:tc>
          <w:tcPr>
            <w:tcW w:w="1040" w:type="dxa"/>
            <w:vAlign w:val="bottom"/>
            <w:gridSpan w:val="2"/>
            <w:vMerge w:val="restart"/>
          </w:tcPr>
          <w:p>
            <w:pPr>
              <w:ind w:left="680"/>
              <w:spacing w:after="0"/>
              <w:rPr>
                <w:sz w:val="20"/>
                <w:szCs w:val="20"/>
                <w:color w:val="auto"/>
              </w:rPr>
            </w:pPr>
            <w:r>
              <w:rPr>
                <w:rFonts w:ascii="Times New Roman" w:cs="Times New Roman" w:eastAsia="Times New Roman" w:hAnsi="Times New Roman"/>
                <w:sz w:val="11"/>
                <w:szCs w:val="11"/>
                <w:color w:val="auto"/>
              </w:rPr>
              <w:t>—</w:t>
            </w:r>
          </w:p>
        </w:tc>
        <w:tc>
          <w:tcPr>
            <w:tcW w:w="220" w:type="dxa"/>
            <w:vAlign w:val="bottom"/>
          </w:tcPr>
          <w:p>
            <w:pPr>
              <w:spacing w:after="0"/>
              <w:rPr>
                <w:sz w:val="9"/>
                <w:szCs w:val="9"/>
                <w:color w:val="auto"/>
              </w:rPr>
            </w:pPr>
          </w:p>
        </w:tc>
        <w:tc>
          <w:tcPr>
            <w:tcW w:w="740" w:type="dxa"/>
            <w:vAlign w:val="bottom"/>
            <w:vMerge w:val="restart"/>
          </w:tcPr>
          <w:p>
            <w:pPr>
              <w:jc w:val="right"/>
              <w:spacing w:after="0"/>
              <w:rPr>
                <w:sz w:val="20"/>
                <w:szCs w:val="20"/>
                <w:color w:val="auto"/>
              </w:rPr>
            </w:pPr>
            <w:r>
              <w:rPr>
                <w:rFonts w:ascii="Times New Roman" w:cs="Times New Roman" w:eastAsia="Times New Roman" w:hAnsi="Times New Roman"/>
                <w:sz w:val="11"/>
                <w:szCs w:val="11"/>
                <w:color w:val="auto"/>
              </w:rPr>
              <w:t>237</w:t>
            </w:r>
          </w:p>
        </w:tc>
        <w:tc>
          <w:tcPr>
            <w:tcW w:w="0" w:type="dxa"/>
            <w:vAlign w:val="bottom"/>
          </w:tcPr>
          <w:p>
            <w:pPr>
              <w:spacing w:after="0"/>
              <w:rPr>
                <w:sz w:val="1"/>
                <w:szCs w:val="1"/>
                <w:color w:val="auto"/>
              </w:rPr>
            </w:pPr>
          </w:p>
        </w:tc>
      </w:tr>
      <w:tr>
        <w:trPr>
          <w:trHeight w:val="151"/>
        </w:trPr>
        <w:tc>
          <w:tcPr>
            <w:tcW w:w="1960" w:type="dxa"/>
            <w:vAlign w:val="bottom"/>
          </w:tcPr>
          <w:p>
            <w:pPr>
              <w:ind w:left="180"/>
              <w:spacing w:after="0"/>
              <w:rPr>
                <w:sz w:val="20"/>
                <w:szCs w:val="20"/>
                <w:color w:val="auto"/>
              </w:rPr>
            </w:pPr>
            <w:r>
              <w:rPr>
                <w:rFonts w:ascii="Times New Roman" w:cs="Times New Roman" w:eastAsia="Times New Roman" w:hAnsi="Times New Roman"/>
                <w:sz w:val="11"/>
                <w:szCs w:val="11"/>
                <w:color w:val="auto"/>
              </w:rPr>
              <w:t>amortization</w:t>
            </w:r>
          </w:p>
        </w:tc>
        <w:tc>
          <w:tcPr>
            <w:tcW w:w="620" w:type="dxa"/>
            <w:vAlign w:val="bottom"/>
          </w:tcPr>
          <w:p>
            <w:pPr>
              <w:spacing w:after="0"/>
              <w:rPr>
                <w:sz w:val="13"/>
                <w:szCs w:val="13"/>
                <w:color w:val="auto"/>
              </w:rPr>
            </w:pPr>
          </w:p>
        </w:tc>
        <w:tc>
          <w:tcPr>
            <w:tcW w:w="340" w:type="dxa"/>
            <w:vAlign w:val="bottom"/>
            <w:vMerge w:val="continue"/>
          </w:tcPr>
          <w:p>
            <w:pPr>
              <w:spacing w:after="0"/>
              <w:rPr>
                <w:sz w:val="13"/>
                <w:szCs w:val="13"/>
                <w:color w:val="auto"/>
              </w:rPr>
            </w:pPr>
          </w:p>
        </w:tc>
        <w:tc>
          <w:tcPr>
            <w:tcW w:w="80" w:type="dxa"/>
            <w:vAlign w:val="bottom"/>
          </w:tcPr>
          <w:p>
            <w:pPr>
              <w:spacing w:after="0"/>
              <w:rPr>
                <w:sz w:val="13"/>
                <w:szCs w:val="13"/>
                <w:color w:val="auto"/>
              </w:rPr>
            </w:pPr>
          </w:p>
        </w:tc>
        <w:tc>
          <w:tcPr>
            <w:tcW w:w="1040" w:type="dxa"/>
            <w:vAlign w:val="bottom"/>
            <w:gridSpan w:val="2"/>
            <w:vMerge w:val="continue"/>
          </w:tcPr>
          <w:p>
            <w:pPr>
              <w:spacing w:after="0"/>
              <w:rPr>
                <w:sz w:val="13"/>
                <w:szCs w:val="13"/>
                <w:color w:val="auto"/>
              </w:rPr>
            </w:pPr>
          </w:p>
        </w:tc>
        <w:tc>
          <w:tcPr>
            <w:tcW w:w="620" w:type="dxa"/>
            <w:vAlign w:val="bottom"/>
          </w:tcPr>
          <w:p>
            <w:pPr>
              <w:spacing w:after="0"/>
              <w:rPr>
                <w:sz w:val="13"/>
                <w:szCs w:val="13"/>
                <w:color w:val="auto"/>
              </w:rPr>
            </w:pPr>
          </w:p>
        </w:tc>
        <w:tc>
          <w:tcPr>
            <w:tcW w:w="340" w:type="dxa"/>
            <w:vAlign w:val="bottom"/>
            <w:vMerge w:val="continue"/>
          </w:tcPr>
          <w:p>
            <w:pPr>
              <w:spacing w:after="0"/>
              <w:rPr>
                <w:sz w:val="13"/>
                <w:szCs w:val="13"/>
                <w:color w:val="auto"/>
              </w:rPr>
            </w:pPr>
          </w:p>
        </w:tc>
        <w:tc>
          <w:tcPr>
            <w:tcW w:w="1040" w:type="dxa"/>
            <w:vAlign w:val="bottom"/>
            <w:gridSpan w:val="2"/>
            <w:vMerge w:val="continue"/>
          </w:tcPr>
          <w:p>
            <w:pPr>
              <w:spacing w:after="0"/>
              <w:rPr>
                <w:sz w:val="13"/>
                <w:szCs w:val="13"/>
                <w:color w:val="auto"/>
              </w:rPr>
            </w:pPr>
          </w:p>
        </w:tc>
        <w:tc>
          <w:tcPr>
            <w:tcW w:w="80" w:type="dxa"/>
            <w:vAlign w:val="bottom"/>
          </w:tcPr>
          <w:p>
            <w:pPr>
              <w:spacing w:after="0"/>
              <w:rPr>
                <w:sz w:val="13"/>
                <w:szCs w:val="13"/>
                <w:color w:val="auto"/>
              </w:rPr>
            </w:pPr>
          </w:p>
        </w:tc>
        <w:tc>
          <w:tcPr>
            <w:tcW w:w="220" w:type="dxa"/>
            <w:vAlign w:val="bottom"/>
          </w:tcPr>
          <w:p>
            <w:pPr>
              <w:spacing w:after="0"/>
              <w:rPr>
                <w:sz w:val="13"/>
                <w:szCs w:val="13"/>
                <w:color w:val="auto"/>
              </w:rPr>
            </w:pPr>
          </w:p>
        </w:tc>
        <w:tc>
          <w:tcPr>
            <w:tcW w:w="760" w:type="dxa"/>
            <w:vAlign w:val="bottom"/>
            <w:vMerge w:val="continue"/>
          </w:tcPr>
          <w:p>
            <w:pPr>
              <w:spacing w:after="0"/>
              <w:rPr>
                <w:sz w:val="13"/>
                <w:szCs w:val="13"/>
                <w:color w:val="auto"/>
              </w:rPr>
            </w:pPr>
          </w:p>
        </w:tc>
        <w:tc>
          <w:tcPr>
            <w:tcW w:w="1020" w:type="dxa"/>
            <w:vAlign w:val="bottom"/>
            <w:gridSpan w:val="2"/>
            <w:vMerge w:val="continue"/>
          </w:tcPr>
          <w:p>
            <w:pPr>
              <w:spacing w:after="0"/>
              <w:rPr>
                <w:sz w:val="13"/>
                <w:szCs w:val="13"/>
                <w:color w:val="auto"/>
              </w:rPr>
            </w:pPr>
          </w:p>
        </w:tc>
        <w:tc>
          <w:tcPr>
            <w:tcW w:w="100" w:type="dxa"/>
            <w:vAlign w:val="bottom"/>
          </w:tcPr>
          <w:p>
            <w:pPr>
              <w:spacing w:after="0"/>
              <w:rPr>
                <w:sz w:val="13"/>
                <w:szCs w:val="13"/>
                <w:color w:val="auto"/>
              </w:rPr>
            </w:pPr>
          </w:p>
        </w:tc>
        <w:tc>
          <w:tcPr>
            <w:tcW w:w="620" w:type="dxa"/>
            <w:vAlign w:val="bottom"/>
          </w:tcPr>
          <w:p>
            <w:pPr>
              <w:spacing w:after="0"/>
              <w:rPr>
                <w:sz w:val="13"/>
                <w:szCs w:val="13"/>
                <w:color w:val="auto"/>
              </w:rPr>
            </w:pPr>
          </w:p>
        </w:tc>
        <w:tc>
          <w:tcPr>
            <w:tcW w:w="340" w:type="dxa"/>
            <w:vAlign w:val="bottom"/>
            <w:vMerge w:val="continue"/>
          </w:tcPr>
          <w:p>
            <w:pPr>
              <w:spacing w:after="0"/>
              <w:rPr>
                <w:sz w:val="13"/>
                <w:szCs w:val="13"/>
                <w:color w:val="auto"/>
              </w:rPr>
            </w:pPr>
          </w:p>
        </w:tc>
        <w:tc>
          <w:tcPr>
            <w:tcW w:w="100" w:type="dxa"/>
            <w:vAlign w:val="bottom"/>
          </w:tcPr>
          <w:p>
            <w:pPr>
              <w:spacing w:after="0"/>
              <w:rPr>
                <w:sz w:val="13"/>
                <w:szCs w:val="13"/>
                <w:color w:val="auto"/>
              </w:rPr>
            </w:pPr>
          </w:p>
        </w:tc>
        <w:tc>
          <w:tcPr>
            <w:tcW w:w="1040" w:type="dxa"/>
            <w:vAlign w:val="bottom"/>
            <w:gridSpan w:val="2"/>
            <w:vMerge w:val="continue"/>
          </w:tcPr>
          <w:p>
            <w:pPr>
              <w:spacing w:after="0"/>
              <w:rPr>
                <w:sz w:val="13"/>
                <w:szCs w:val="13"/>
                <w:color w:val="auto"/>
              </w:rPr>
            </w:pPr>
          </w:p>
        </w:tc>
        <w:tc>
          <w:tcPr>
            <w:tcW w:w="220" w:type="dxa"/>
            <w:vAlign w:val="bottom"/>
          </w:tcPr>
          <w:p>
            <w:pPr>
              <w:spacing w:after="0"/>
              <w:rPr>
                <w:sz w:val="13"/>
                <w:szCs w:val="13"/>
                <w:color w:val="auto"/>
              </w:rPr>
            </w:pPr>
          </w:p>
        </w:tc>
        <w:tc>
          <w:tcPr>
            <w:tcW w:w="740" w:type="dxa"/>
            <w:vAlign w:val="bottom"/>
            <w:vMerge w:val="continue"/>
          </w:tcPr>
          <w:p>
            <w:pPr>
              <w:spacing w:after="0"/>
              <w:rPr>
                <w:sz w:val="13"/>
                <w:szCs w:val="13"/>
                <w:color w:val="auto"/>
              </w:rPr>
            </w:pPr>
          </w:p>
        </w:tc>
        <w:tc>
          <w:tcPr>
            <w:tcW w:w="0" w:type="dxa"/>
            <w:vAlign w:val="bottom"/>
          </w:tcPr>
          <w:p>
            <w:pPr>
              <w:spacing w:after="0"/>
              <w:rPr>
                <w:sz w:val="1"/>
                <w:szCs w:val="1"/>
                <w:color w:val="auto"/>
              </w:rPr>
            </w:pPr>
          </w:p>
        </w:tc>
      </w:tr>
      <w:tr>
        <w:trPr>
          <w:trHeight w:val="114"/>
        </w:trPr>
        <w:tc>
          <w:tcPr>
            <w:tcW w:w="1960" w:type="dxa"/>
            <w:vAlign w:val="bottom"/>
            <w:shd w:val="clear" w:color="auto" w:fill="CCEEFF"/>
          </w:tcPr>
          <w:p>
            <w:pPr>
              <w:ind w:left="180"/>
              <w:spacing w:after="0" w:line="114" w:lineRule="exact"/>
              <w:rPr>
                <w:sz w:val="20"/>
                <w:szCs w:val="20"/>
                <w:color w:val="auto"/>
              </w:rPr>
            </w:pPr>
            <w:r>
              <w:rPr>
                <w:rFonts w:ascii="Times New Roman" w:cs="Times New Roman" w:eastAsia="Times New Roman" w:hAnsi="Times New Roman"/>
                <w:sz w:val="11"/>
                <w:szCs w:val="11"/>
                <w:color w:val="auto"/>
              </w:rPr>
              <w:t>Tax impact of adjustments to GAAP</w:t>
            </w:r>
          </w:p>
        </w:tc>
        <w:tc>
          <w:tcPr>
            <w:tcW w:w="620" w:type="dxa"/>
            <w:vAlign w:val="bottom"/>
            <w:shd w:val="clear" w:color="auto" w:fill="CCEEFF"/>
          </w:tcPr>
          <w:p>
            <w:pPr>
              <w:spacing w:after="0"/>
              <w:rPr>
                <w:sz w:val="9"/>
                <w:szCs w:val="9"/>
                <w:color w:val="auto"/>
              </w:rPr>
            </w:pPr>
          </w:p>
        </w:tc>
        <w:tc>
          <w:tcPr>
            <w:tcW w:w="340" w:type="dxa"/>
            <w:vAlign w:val="bottom"/>
            <w:vMerge w:val="restart"/>
            <w:shd w:val="clear" w:color="auto" w:fill="CCEEFF"/>
          </w:tcPr>
          <w:p>
            <w:pPr>
              <w:jc w:val="right"/>
              <w:spacing w:after="0"/>
              <w:rPr>
                <w:sz w:val="20"/>
                <w:szCs w:val="20"/>
                <w:color w:val="auto"/>
              </w:rPr>
            </w:pPr>
            <w:r>
              <w:rPr>
                <w:rFonts w:ascii="Times New Roman" w:cs="Times New Roman" w:eastAsia="Times New Roman" w:hAnsi="Times New Roman"/>
                <w:sz w:val="11"/>
                <w:szCs w:val="11"/>
                <w:color w:val="auto"/>
              </w:rPr>
              <w:t>(369)</w:t>
            </w:r>
          </w:p>
        </w:tc>
        <w:tc>
          <w:tcPr>
            <w:tcW w:w="1020" w:type="dxa"/>
            <w:vAlign w:val="bottom"/>
            <w:gridSpan w:val="2"/>
            <w:vMerge w:val="restart"/>
            <w:shd w:val="clear" w:color="auto" w:fill="CCEEFF"/>
          </w:tcPr>
          <w:p>
            <w:pPr>
              <w:jc w:val="right"/>
              <w:ind w:right="63"/>
              <w:spacing w:after="0"/>
              <w:rPr>
                <w:sz w:val="20"/>
                <w:szCs w:val="20"/>
                <w:color w:val="auto"/>
              </w:rPr>
            </w:pPr>
            <w:r>
              <w:rPr>
                <w:rFonts w:ascii="Times New Roman" w:cs="Times New Roman" w:eastAsia="Times New Roman" w:hAnsi="Times New Roman"/>
                <w:sz w:val="11"/>
                <w:szCs w:val="11"/>
                <w:color w:val="auto"/>
              </w:rPr>
              <w:t>(53)</w:t>
            </w:r>
          </w:p>
        </w:tc>
        <w:tc>
          <w:tcPr>
            <w:tcW w:w="100" w:type="dxa"/>
            <w:vAlign w:val="bottom"/>
            <w:shd w:val="clear" w:color="auto" w:fill="CCEEFF"/>
          </w:tcPr>
          <w:p>
            <w:pPr>
              <w:spacing w:after="0"/>
              <w:rPr>
                <w:sz w:val="9"/>
                <w:szCs w:val="9"/>
                <w:color w:val="auto"/>
              </w:rPr>
            </w:pPr>
          </w:p>
        </w:tc>
        <w:tc>
          <w:tcPr>
            <w:tcW w:w="620" w:type="dxa"/>
            <w:vAlign w:val="bottom"/>
            <w:shd w:val="clear" w:color="auto" w:fill="CCEEFF"/>
          </w:tcPr>
          <w:p>
            <w:pPr>
              <w:spacing w:after="0"/>
              <w:rPr>
                <w:sz w:val="9"/>
                <w:szCs w:val="9"/>
                <w:color w:val="auto"/>
              </w:rPr>
            </w:pPr>
          </w:p>
        </w:tc>
        <w:tc>
          <w:tcPr>
            <w:tcW w:w="340" w:type="dxa"/>
            <w:vAlign w:val="bottom"/>
            <w:vMerge w:val="restart"/>
            <w:shd w:val="clear" w:color="auto" w:fill="CCEEFF"/>
          </w:tcPr>
          <w:p>
            <w:pPr>
              <w:jc w:val="right"/>
              <w:spacing w:after="0"/>
              <w:rPr>
                <w:sz w:val="20"/>
                <w:szCs w:val="20"/>
                <w:color w:val="auto"/>
              </w:rPr>
            </w:pPr>
            <w:r>
              <w:rPr>
                <w:rFonts w:ascii="Times New Roman" w:cs="Times New Roman" w:eastAsia="Times New Roman" w:hAnsi="Times New Roman"/>
                <w:sz w:val="11"/>
                <w:szCs w:val="11"/>
                <w:color w:val="auto"/>
              </w:rPr>
              <w:t>(780)</w:t>
            </w:r>
          </w:p>
        </w:tc>
        <w:tc>
          <w:tcPr>
            <w:tcW w:w="1040" w:type="dxa"/>
            <w:vAlign w:val="bottom"/>
            <w:gridSpan w:val="2"/>
            <w:vMerge w:val="restart"/>
            <w:shd w:val="clear" w:color="auto" w:fill="CCEEFF"/>
          </w:tcPr>
          <w:p>
            <w:pPr>
              <w:ind w:left="780"/>
              <w:spacing w:after="0"/>
              <w:rPr>
                <w:sz w:val="20"/>
                <w:szCs w:val="20"/>
                <w:color w:val="auto"/>
              </w:rPr>
            </w:pPr>
            <w:r>
              <w:rPr>
                <w:rFonts w:ascii="Times New Roman" w:cs="Times New Roman" w:eastAsia="Times New Roman" w:hAnsi="Times New Roman"/>
                <w:sz w:val="11"/>
                <w:szCs w:val="11"/>
                <w:color w:val="auto"/>
              </w:rPr>
              <w:t>84</w:t>
            </w:r>
          </w:p>
        </w:tc>
        <w:tc>
          <w:tcPr>
            <w:tcW w:w="80" w:type="dxa"/>
            <w:vAlign w:val="bottom"/>
            <w:shd w:val="clear" w:color="auto" w:fill="CCEEFF"/>
          </w:tcPr>
          <w:p>
            <w:pPr>
              <w:spacing w:after="0"/>
              <w:rPr>
                <w:sz w:val="9"/>
                <w:szCs w:val="9"/>
                <w:color w:val="auto"/>
              </w:rPr>
            </w:pPr>
          </w:p>
        </w:tc>
        <w:tc>
          <w:tcPr>
            <w:tcW w:w="220" w:type="dxa"/>
            <w:vAlign w:val="bottom"/>
            <w:shd w:val="clear" w:color="auto" w:fill="CCEEFF"/>
          </w:tcPr>
          <w:p>
            <w:pPr>
              <w:spacing w:after="0"/>
              <w:rPr>
                <w:sz w:val="9"/>
                <w:szCs w:val="9"/>
                <w:color w:val="auto"/>
              </w:rPr>
            </w:pPr>
          </w:p>
        </w:tc>
        <w:tc>
          <w:tcPr>
            <w:tcW w:w="760" w:type="dxa"/>
            <w:vAlign w:val="bottom"/>
            <w:vMerge w:val="restart"/>
            <w:shd w:val="clear" w:color="auto" w:fill="CCEEFF"/>
          </w:tcPr>
          <w:p>
            <w:pPr>
              <w:jc w:val="right"/>
              <w:spacing w:after="0"/>
              <w:rPr>
                <w:sz w:val="20"/>
                <w:szCs w:val="20"/>
                <w:color w:val="auto"/>
              </w:rPr>
            </w:pPr>
            <w:r>
              <w:rPr>
                <w:rFonts w:ascii="Times New Roman" w:cs="Times New Roman" w:eastAsia="Times New Roman" w:hAnsi="Times New Roman"/>
                <w:sz w:val="11"/>
                <w:szCs w:val="11"/>
                <w:color w:val="auto"/>
              </w:rPr>
              <w:t>(424)</w:t>
            </w:r>
          </w:p>
        </w:tc>
        <w:tc>
          <w:tcPr>
            <w:tcW w:w="1020" w:type="dxa"/>
            <w:vAlign w:val="bottom"/>
            <w:gridSpan w:val="2"/>
            <w:vMerge w:val="restart"/>
            <w:shd w:val="clear" w:color="auto" w:fill="CCEEFF"/>
          </w:tcPr>
          <w:p>
            <w:pPr>
              <w:jc w:val="right"/>
              <w:ind w:right="63"/>
              <w:spacing w:after="0"/>
              <w:rPr>
                <w:sz w:val="20"/>
                <w:szCs w:val="20"/>
                <w:color w:val="auto"/>
              </w:rPr>
            </w:pPr>
            <w:r>
              <w:rPr>
                <w:rFonts w:ascii="Times New Roman" w:cs="Times New Roman" w:eastAsia="Times New Roman" w:hAnsi="Times New Roman"/>
                <w:sz w:val="11"/>
                <w:szCs w:val="11"/>
                <w:color w:val="auto"/>
              </w:rPr>
              <w:t>(46)</w:t>
            </w:r>
          </w:p>
        </w:tc>
        <w:tc>
          <w:tcPr>
            <w:tcW w:w="100" w:type="dxa"/>
            <w:vAlign w:val="bottom"/>
            <w:shd w:val="clear" w:color="auto" w:fill="CCEEFF"/>
          </w:tcPr>
          <w:p>
            <w:pPr>
              <w:spacing w:after="0"/>
              <w:rPr>
                <w:sz w:val="9"/>
                <w:szCs w:val="9"/>
                <w:color w:val="auto"/>
              </w:rPr>
            </w:pPr>
          </w:p>
        </w:tc>
        <w:tc>
          <w:tcPr>
            <w:tcW w:w="620" w:type="dxa"/>
            <w:vAlign w:val="bottom"/>
            <w:shd w:val="clear" w:color="auto" w:fill="CCEEFF"/>
          </w:tcPr>
          <w:p>
            <w:pPr>
              <w:spacing w:after="0"/>
              <w:rPr>
                <w:sz w:val="9"/>
                <w:szCs w:val="9"/>
                <w:color w:val="auto"/>
              </w:rPr>
            </w:pPr>
          </w:p>
        </w:tc>
        <w:tc>
          <w:tcPr>
            <w:tcW w:w="340" w:type="dxa"/>
            <w:vAlign w:val="bottom"/>
            <w:vMerge w:val="restart"/>
            <w:shd w:val="clear" w:color="auto" w:fill="CCEEFF"/>
          </w:tcPr>
          <w:p>
            <w:pPr>
              <w:jc w:val="right"/>
              <w:spacing w:after="0"/>
              <w:rPr>
                <w:sz w:val="20"/>
                <w:szCs w:val="20"/>
                <w:color w:val="auto"/>
              </w:rPr>
            </w:pPr>
            <w:r>
              <w:rPr>
                <w:rFonts w:ascii="Times New Roman" w:cs="Times New Roman" w:eastAsia="Times New Roman" w:hAnsi="Times New Roman"/>
                <w:sz w:val="11"/>
                <w:szCs w:val="11"/>
                <w:color w:val="auto"/>
              </w:rPr>
              <w:t>(779)</w:t>
            </w:r>
          </w:p>
        </w:tc>
        <w:tc>
          <w:tcPr>
            <w:tcW w:w="1040" w:type="dxa"/>
            <w:vAlign w:val="bottom"/>
            <w:gridSpan w:val="2"/>
            <w:vMerge w:val="restart"/>
            <w:shd w:val="clear" w:color="auto" w:fill="CCEEFF"/>
          </w:tcPr>
          <w:p>
            <w:pPr>
              <w:ind w:left="740"/>
              <w:spacing w:after="0"/>
              <w:rPr>
                <w:sz w:val="20"/>
                <w:szCs w:val="20"/>
                <w:color w:val="auto"/>
              </w:rPr>
            </w:pPr>
            <w:r>
              <w:rPr>
                <w:rFonts w:ascii="Times New Roman" w:cs="Times New Roman" w:eastAsia="Times New Roman" w:hAnsi="Times New Roman"/>
                <w:sz w:val="11"/>
                <w:szCs w:val="11"/>
                <w:color w:val="auto"/>
              </w:rPr>
              <w:t>(27)</w:t>
            </w:r>
          </w:p>
        </w:tc>
        <w:tc>
          <w:tcPr>
            <w:tcW w:w="100" w:type="dxa"/>
            <w:vAlign w:val="bottom"/>
            <w:shd w:val="clear" w:color="auto" w:fill="CCEEFF"/>
          </w:tcPr>
          <w:p>
            <w:pPr>
              <w:spacing w:after="0"/>
              <w:rPr>
                <w:sz w:val="9"/>
                <w:szCs w:val="9"/>
                <w:color w:val="auto"/>
              </w:rPr>
            </w:pPr>
          </w:p>
        </w:tc>
        <w:tc>
          <w:tcPr>
            <w:tcW w:w="220" w:type="dxa"/>
            <w:vAlign w:val="bottom"/>
            <w:shd w:val="clear" w:color="auto" w:fill="CCEEFF"/>
          </w:tcPr>
          <w:p>
            <w:pPr>
              <w:spacing w:after="0"/>
              <w:rPr>
                <w:sz w:val="9"/>
                <w:szCs w:val="9"/>
                <w:color w:val="auto"/>
              </w:rPr>
            </w:pPr>
          </w:p>
        </w:tc>
        <w:tc>
          <w:tcPr>
            <w:tcW w:w="740" w:type="dxa"/>
            <w:vAlign w:val="bottom"/>
            <w:vMerge w:val="restart"/>
            <w:shd w:val="clear" w:color="auto" w:fill="CCEEFF"/>
          </w:tcPr>
          <w:p>
            <w:pPr>
              <w:jc w:val="right"/>
              <w:spacing w:after="0"/>
              <w:rPr>
                <w:sz w:val="20"/>
                <w:szCs w:val="20"/>
                <w:color w:val="auto"/>
              </w:rPr>
            </w:pPr>
            <w:r>
              <w:rPr>
                <w:rFonts w:ascii="Times New Roman" w:cs="Times New Roman" w:eastAsia="Times New Roman" w:hAnsi="Times New Roman"/>
                <w:sz w:val="11"/>
                <w:szCs w:val="11"/>
                <w:color w:val="auto"/>
              </w:rPr>
              <w:t>(1,060)</w:t>
            </w:r>
          </w:p>
        </w:tc>
        <w:tc>
          <w:tcPr>
            <w:tcW w:w="0" w:type="dxa"/>
            <w:vAlign w:val="bottom"/>
          </w:tcPr>
          <w:p>
            <w:pPr>
              <w:spacing w:after="0"/>
              <w:rPr>
                <w:sz w:val="1"/>
                <w:szCs w:val="1"/>
                <w:color w:val="auto"/>
              </w:rPr>
            </w:pPr>
          </w:p>
        </w:tc>
      </w:tr>
      <w:tr>
        <w:trPr>
          <w:trHeight w:val="155"/>
        </w:trPr>
        <w:tc>
          <w:tcPr>
            <w:tcW w:w="1960" w:type="dxa"/>
            <w:vAlign w:val="bottom"/>
            <w:shd w:val="clear" w:color="auto" w:fill="CCEEFF"/>
          </w:tcPr>
          <w:p>
            <w:pPr>
              <w:ind w:left="180"/>
              <w:spacing w:after="0"/>
              <w:rPr>
                <w:sz w:val="20"/>
                <w:szCs w:val="20"/>
                <w:color w:val="auto"/>
              </w:rPr>
            </w:pPr>
            <w:r>
              <w:rPr>
                <w:rFonts w:ascii="Times New Roman" w:cs="Times New Roman" w:eastAsia="Times New Roman" w:hAnsi="Times New Roman"/>
                <w:sz w:val="11"/>
                <w:szCs w:val="11"/>
                <w:color w:val="auto"/>
              </w:rPr>
              <w:t>net income</w:t>
            </w:r>
          </w:p>
        </w:tc>
        <w:tc>
          <w:tcPr>
            <w:tcW w:w="620" w:type="dxa"/>
            <w:vAlign w:val="bottom"/>
            <w:tcBorders>
              <w:bottom w:val="single" w:sz="8" w:color="auto"/>
            </w:tcBorders>
            <w:shd w:val="clear" w:color="auto" w:fill="CCEEFF"/>
          </w:tcPr>
          <w:p>
            <w:pPr>
              <w:spacing w:after="0"/>
              <w:rPr>
                <w:sz w:val="13"/>
                <w:szCs w:val="13"/>
                <w:color w:val="auto"/>
              </w:rPr>
            </w:pPr>
          </w:p>
        </w:tc>
        <w:tc>
          <w:tcPr>
            <w:tcW w:w="340" w:type="dxa"/>
            <w:vAlign w:val="bottom"/>
            <w:tcBorders>
              <w:bottom w:val="single" w:sz="8" w:color="auto"/>
            </w:tcBorders>
            <w:vMerge w:val="continue"/>
            <w:shd w:val="clear" w:color="auto" w:fill="CCEEFF"/>
          </w:tcPr>
          <w:p>
            <w:pPr>
              <w:spacing w:after="0"/>
              <w:rPr>
                <w:sz w:val="13"/>
                <w:szCs w:val="13"/>
                <w:color w:val="auto"/>
              </w:rPr>
            </w:pPr>
          </w:p>
        </w:tc>
        <w:tc>
          <w:tcPr>
            <w:tcW w:w="1020" w:type="dxa"/>
            <w:vAlign w:val="bottom"/>
            <w:gridSpan w:val="2"/>
            <w:vMerge w:val="continue"/>
            <w:shd w:val="clear" w:color="auto" w:fill="CCEEFF"/>
          </w:tcPr>
          <w:p>
            <w:pPr>
              <w:spacing w:after="0"/>
              <w:rPr>
                <w:sz w:val="13"/>
                <w:szCs w:val="13"/>
                <w:color w:val="auto"/>
              </w:rPr>
            </w:pPr>
          </w:p>
        </w:tc>
        <w:tc>
          <w:tcPr>
            <w:tcW w:w="100" w:type="dxa"/>
            <w:vAlign w:val="bottom"/>
            <w:shd w:val="clear" w:color="auto" w:fill="CCEEFF"/>
          </w:tcPr>
          <w:p>
            <w:pPr>
              <w:spacing w:after="0"/>
              <w:rPr>
                <w:sz w:val="13"/>
                <w:szCs w:val="13"/>
                <w:color w:val="auto"/>
              </w:rPr>
            </w:pPr>
          </w:p>
        </w:tc>
        <w:tc>
          <w:tcPr>
            <w:tcW w:w="620" w:type="dxa"/>
            <w:vAlign w:val="bottom"/>
            <w:tcBorders>
              <w:bottom w:val="single" w:sz="8" w:color="auto"/>
            </w:tcBorders>
            <w:shd w:val="clear" w:color="auto" w:fill="CCEEFF"/>
          </w:tcPr>
          <w:p>
            <w:pPr>
              <w:spacing w:after="0"/>
              <w:rPr>
                <w:sz w:val="13"/>
                <w:szCs w:val="13"/>
                <w:color w:val="auto"/>
              </w:rPr>
            </w:pPr>
          </w:p>
        </w:tc>
        <w:tc>
          <w:tcPr>
            <w:tcW w:w="340" w:type="dxa"/>
            <w:vAlign w:val="bottom"/>
            <w:tcBorders>
              <w:bottom w:val="single" w:sz="8" w:color="auto"/>
            </w:tcBorders>
            <w:vMerge w:val="continue"/>
            <w:shd w:val="clear" w:color="auto" w:fill="CCEEFF"/>
          </w:tcPr>
          <w:p>
            <w:pPr>
              <w:spacing w:after="0"/>
              <w:rPr>
                <w:sz w:val="13"/>
                <w:szCs w:val="13"/>
                <w:color w:val="auto"/>
              </w:rPr>
            </w:pPr>
          </w:p>
        </w:tc>
        <w:tc>
          <w:tcPr>
            <w:tcW w:w="1040" w:type="dxa"/>
            <w:vAlign w:val="bottom"/>
            <w:gridSpan w:val="2"/>
            <w:vMerge w:val="continue"/>
            <w:shd w:val="clear" w:color="auto" w:fill="CCEEFF"/>
          </w:tcPr>
          <w:p>
            <w:pPr>
              <w:spacing w:after="0"/>
              <w:rPr>
                <w:sz w:val="13"/>
                <w:szCs w:val="13"/>
                <w:color w:val="auto"/>
              </w:rPr>
            </w:pPr>
          </w:p>
        </w:tc>
        <w:tc>
          <w:tcPr>
            <w:tcW w:w="80" w:type="dxa"/>
            <w:vAlign w:val="bottom"/>
            <w:shd w:val="clear" w:color="auto" w:fill="CCEEFF"/>
          </w:tcPr>
          <w:p>
            <w:pPr>
              <w:spacing w:after="0"/>
              <w:rPr>
                <w:sz w:val="13"/>
                <w:szCs w:val="13"/>
                <w:color w:val="auto"/>
              </w:rPr>
            </w:pPr>
          </w:p>
        </w:tc>
        <w:tc>
          <w:tcPr>
            <w:tcW w:w="220" w:type="dxa"/>
            <w:vAlign w:val="bottom"/>
            <w:tcBorders>
              <w:bottom w:val="single" w:sz="8" w:color="auto"/>
            </w:tcBorders>
            <w:shd w:val="clear" w:color="auto" w:fill="CCEEFF"/>
          </w:tcPr>
          <w:p>
            <w:pPr>
              <w:spacing w:after="0"/>
              <w:rPr>
                <w:sz w:val="13"/>
                <w:szCs w:val="13"/>
                <w:color w:val="auto"/>
              </w:rPr>
            </w:pPr>
          </w:p>
        </w:tc>
        <w:tc>
          <w:tcPr>
            <w:tcW w:w="760" w:type="dxa"/>
            <w:vAlign w:val="bottom"/>
            <w:tcBorders>
              <w:bottom w:val="single" w:sz="8" w:color="auto"/>
            </w:tcBorders>
            <w:vMerge w:val="continue"/>
            <w:shd w:val="clear" w:color="auto" w:fill="CCEEFF"/>
          </w:tcPr>
          <w:p>
            <w:pPr>
              <w:spacing w:after="0"/>
              <w:rPr>
                <w:sz w:val="13"/>
                <w:szCs w:val="13"/>
                <w:color w:val="auto"/>
              </w:rPr>
            </w:pPr>
          </w:p>
        </w:tc>
        <w:tc>
          <w:tcPr>
            <w:tcW w:w="1020" w:type="dxa"/>
            <w:vAlign w:val="bottom"/>
            <w:gridSpan w:val="2"/>
            <w:vMerge w:val="continue"/>
            <w:shd w:val="clear" w:color="auto" w:fill="CCEEFF"/>
          </w:tcPr>
          <w:p>
            <w:pPr>
              <w:spacing w:after="0"/>
              <w:rPr>
                <w:sz w:val="13"/>
                <w:szCs w:val="13"/>
                <w:color w:val="auto"/>
              </w:rPr>
            </w:pPr>
          </w:p>
        </w:tc>
        <w:tc>
          <w:tcPr>
            <w:tcW w:w="100" w:type="dxa"/>
            <w:vAlign w:val="bottom"/>
            <w:shd w:val="clear" w:color="auto" w:fill="CCEEFF"/>
          </w:tcPr>
          <w:p>
            <w:pPr>
              <w:spacing w:after="0"/>
              <w:rPr>
                <w:sz w:val="13"/>
                <w:szCs w:val="13"/>
                <w:color w:val="auto"/>
              </w:rPr>
            </w:pPr>
          </w:p>
        </w:tc>
        <w:tc>
          <w:tcPr>
            <w:tcW w:w="620" w:type="dxa"/>
            <w:vAlign w:val="bottom"/>
            <w:tcBorders>
              <w:bottom w:val="single" w:sz="8" w:color="auto"/>
            </w:tcBorders>
            <w:shd w:val="clear" w:color="auto" w:fill="CCEEFF"/>
          </w:tcPr>
          <w:p>
            <w:pPr>
              <w:spacing w:after="0"/>
              <w:rPr>
                <w:sz w:val="13"/>
                <w:szCs w:val="13"/>
                <w:color w:val="auto"/>
              </w:rPr>
            </w:pPr>
          </w:p>
        </w:tc>
        <w:tc>
          <w:tcPr>
            <w:tcW w:w="340" w:type="dxa"/>
            <w:vAlign w:val="bottom"/>
            <w:tcBorders>
              <w:bottom w:val="single" w:sz="8" w:color="auto"/>
            </w:tcBorders>
            <w:vMerge w:val="continue"/>
            <w:shd w:val="clear" w:color="auto" w:fill="CCEEFF"/>
          </w:tcPr>
          <w:p>
            <w:pPr>
              <w:spacing w:after="0"/>
              <w:rPr>
                <w:sz w:val="13"/>
                <w:szCs w:val="13"/>
                <w:color w:val="auto"/>
              </w:rPr>
            </w:pPr>
          </w:p>
        </w:tc>
        <w:tc>
          <w:tcPr>
            <w:tcW w:w="1040" w:type="dxa"/>
            <w:vAlign w:val="bottom"/>
            <w:gridSpan w:val="2"/>
            <w:vMerge w:val="continue"/>
            <w:shd w:val="clear" w:color="auto" w:fill="CCEEFF"/>
          </w:tcPr>
          <w:p>
            <w:pPr>
              <w:spacing w:after="0"/>
              <w:rPr>
                <w:sz w:val="13"/>
                <w:szCs w:val="13"/>
                <w:color w:val="auto"/>
              </w:rPr>
            </w:pPr>
          </w:p>
        </w:tc>
        <w:tc>
          <w:tcPr>
            <w:tcW w:w="100" w:type="dxa"/>
            <w:vAlign w:val="bottom"/>
            <w:shd w:val="clear" w:color="auto" w:fill="CCEEFF"/>
          </w:tcPr>
          <w:p>
            <w:pPr>
              <w:spacing w:after="0"/>
              <w:rPr>
                <w:sz w:val="13"/>
                <w:szCs w:val="13"/>
                <w:color w:val="auto"/>
              </w:rPr>
            </w:pPr>
          </w:p>
        </w:tc>
        <w:tc>
          <w:tcPr>
            <w:tcW w:w="220" w:type="dxa"/>
            <w:vAlign w:val="bottom"/>
            <w:tcBorders>
              <w:bottom w:val="single" w:sz="8" w:color="auto"/>
            </w:tcBorders>
            <w:shd w:val="clear" w:color="auto" w:fill="CCEEFF"/>
          </w:tcPr>
          <w:p>
            <w:pPr>
              <w:spacing w:after="0"/>
              <w:rPr>
                <w:sz w:val="13"/>
                <w:szCs w:val="13"/>
                <w:color w:val="auto"/>
              </w:rPr>
            </w:pPr>
          </w:p>
        </w:tc>
        <w:tc>
          <w:tcPr>
            <w:tcW w:w="740" w:type="dxa"/>
            <w:vAlign w:val="bottom"/>
            <w:tcBorders>
              <w:bottom w:val="single" w:sz="8" w:color="auto"/>
            </w:tcBorders>
            <w:vMerge w:val="continue"/>
            <w:shd w:val="clear" w:color="auto" w:fill="CCEEFF"/>
          </w:tcPr>
          <w:p>
            <w:pPr>
              <w:spacing w:after="0"/>
              <w:rPr>
                <w:sz w:val="13"/>
                <w:szCs w:val="13"/>
                <w:color w:val="auto"/>
              </w:rPr>
            </w:pPr>
          </w:p>
        </w:tc>
        <w:tc>
          <w:tcPr>
            <w:tcW w:w="0" w:type="dxa"/>
            <w:vAlign w:val="bottom"/>
          </w:tcPr>
          <w:p>
            <w:pPr>
              <w:spacing w:after="0"/>
              <w:rPr>
                <w:sz w:val="1"/>
                <w:szCs w:val="1"/>
                <w:color w:val="auto"/>
              </w:rPr>
            </w:pPr>
          </w:p>
        </w:tc>
      </w:tr>
      <w:tr>
        <w:trPr>
          <w:trHeight w:val="150"/>
        </w:trPr>
        <w:tc>
          <w:tcPr>
            <w:tcW w:w="1960" w:type="dxa"/>
            <w:vAlign w:val="bottom"/>
          </w:tcPr>
          <w:p>
            <w:pPr>
              <w:ind w:left="20"/>
              <w:spacing w:after="0"/>
              <w:rPr>
                <w:sz w:val="20"/>
                <w:szCs w:val="20"/>
                <w:color w:val="auto"/>
              </w:rPr>
            </w:pPr>
            <w:r>
              <w:rPr>
                <w:rFonts w:ascii="Times New Roman" w:cs="Times New Roman" w:eastAsia="Times New Roman" w:hAnsi="Times New Roman"/>
                <w:sz w:val="11"/>
                <w:szCs w:val="11"/>
                <w:b w:val="1"/>
                <w:bCs w:val="1"/>
                <w:color w:val="auto"/>
              </w:rPr>
              <w:t>Economic Earnings</w:t>
            </w:r>
          </w:p>
        </w:tc>
        <w:tc>
          <w:tcPr>
            <w:tcW w:w="620" w:type="dxa"/>
            <w:vAlign w:val="bottom"/>
            <w:tcBorders>
              <w:bottom w:val="single" w:sz="8" w:color="auto"/>
            </w:tcBorders>
          </w:tcPr>
          <w:p>
            <w:pPr>
              <w:jc w:val="right"/>
              <w:ind w:right="503"/>
              <w:spacing w:after="0"/>
              <w:rPr>
                <w:sz w:val="20"/>
                <w:szCs w:val="20"/>
                <w:color w:val="auto"/>
              </w:rPr>
            </w:pPr>
            <w:r>
              <w:rPr>
                <w:rFonts w:ascii="Times New Roman" w:cs="Times New Roman" w:eastAsia="Times New Roman" w:hAnsi="Times New Roman"/>
                <w:sz w:val="11"/>
                <w:szCs w:val="11"/>
                <w:color w:val="auto"/>
                <w:w w:val="71"/>
              </w:rPr>
              <w:t>$</w:t>
            </w:r>
          </w:p>
        </w:tc>
        <w:tc>
          <w:tcPr>
            <w:tcW w:w="340" w:type="dxa"/>
            <w:vAlign w:val="bottom"/>
            <w:tcBorders>
              <w:bottom w:val="single" w:sz="8" w:color="auto"/>
            </w:tcBorders>
          </w:tcPr>
          <w:p>
            <w:pPr>
              <w:jc w:val="right"/>
              <w:ind w:right="3"/>
              <w:spacing w:after="0"/>
              <w:rPr>
                <w:sz w:val="20"/>
                <w:szCs w:val="20"/>
                <w:color w:val="auto"/>
              </w:rPr>
            </w:pPr>
            <w:r>
              <w:rPr>
                <w:rFonts w:ascii="Times New Roman" w:cs="Times New Roman" w:eastAsia="Times New Roman" w:hAnsi="Times New Roman"/>
                <w:sz w:val="11"/>
                <w:szCs w:val="11"/>
                <w:color w:val="auto"/>
              </w:rPr>
              <w:t>4,183</w:t>
            </w:r>
          </w:p>
        </w:tc>
        <w:tc>
          <w:tcPr>
            <w:tcW w:w="1020" w:type="dxa"/>
            <w:vAlign w:val="bottom"/>
            <w:gridSpan w:val="2"/>
          </w:tcPr>
          <w:p>
            <w:pPr>
              <w:jc w:val="right"/>
              <w:spacing w:after="0"/>
              <w:rPr>
                <w:sz w:val="20"/>
                <w:szCs w:val="20"/>
                <w:color w:val="auto"/>
              </w:rPr>
            </w:pPr>
            <w:r>
              <w:rPr>
                <w:rFonts w:ascii="Times New Roman" w:cs="Times New Roman" w:eastAsia="Times New Roman" w:hAnsi="Times New Roman"/>
                <w:sz w:val="11"/>
                <w:szCs w:val="11"/>
                <w:color w:val="auto"/>
              </w:rPr>
              <w:t>15 %</w:t>
            </w:r>
          </w:p>
        </w:tc>
        <w:tc>
          <w:tcPr>
            <w:tcW w:w="100" w:type="dxa"/>
            <w:vAlign w:val="bottom"/>
          </w:tcPr>
          <w:p>
            <w:pPr>
              <w:spacing w:after="0"/>
              <w:rPr>
                <w:sz w:val="13"/>
                <w:szCs w:val="13"/>
                <w:color w:val="auto"/>
              </w:rPr>
            </w:pPr>
          </w:p>
        </w:tc>
        <w:tc>
          <w:tcPr>
            <w:tcW w:w="620" w:type="dxa"/>
            <w:vAlign w:val="bottom"/>
            <w:tcBorders>
              <w:bottom w:val="single" w:sz="8" w:color="auto"/>
            </w:tcBorders>
          </w:tcPr>
          <w:p>
            <w:pPr>
              <w:jc w:val="right"/>
              <w:ind w:right="503"/>
              <w:spacing w:after="0"/>
              <w:rPr>
                <w:sz w:val="20"/>
                <w:szCs w:val="20"/>
                <w:color w:val="auto"/>
              </w:rPr>
            </w:pPr>
            <w:r>
              <w:rPr>
                <w:rFonts w:ascii="Times New Roman" w:cs="Times New Roman" w:eastAsia="Times New Roman" w:hAnsi="Times New Roman"/>
                <w:sz w:val="11"/>
                <w:szCs w:val="11"/>
                <w:color w:val="auto"/>
                <w:w w:val="71"/>
              </w:rPr>
              <w:t>$</w:t>
            </w:r>
          </w:p>
        </w:tc>
        <w:tc>
          <w:tcPr>
            <w:tcW w:w="3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1"/>
                <w:szCs w:val="11"/>
                <w:color w:val="auto"/>
              </w:rPr>
              <w:t>3,645</w:t>
            </w:r>
          </w:p>
        </w:tc>
        <w:tc>
          <w:tcPr>
            <w:tcW w:w="1040" w:type="dxa"/>
            <w:vAlign w:val="bottom"/>
            <w:gridSpan w:val="2"/>
          </w:tcPr>
          <w:p>
            <w:pPr>
              <w:ind w:left="780"/>
              <w:spacing w:after="0"/>
              <w:rPr>
                <w:sz w:val="20"/>
                <w:szCs w:val="20"/>
                <w:color w:val="auto"/>
              </w:rPr>
            </w:pPr>
            <w:r>
              <w:rPr>
                <w:rFonts w:ascii="Times New Roman" w:cs="Times New Roman" w:eastAsia="Times New Roman" w:hAnsi="Times New Roman"/>
                <w:sz w:val="11"/>
                <w:szCs w:val="11"/>
                <w:color w:val="auto"/>
              </w:rPr>
              <w:t>11 %</w:t>
            </w:r>
          </w:p>
        </w:tc>
        <w:tc>
          <w:tcPr>
            <w:tcW w:w="80" w:type="dxa"/>
            <w:vAlign w:val="bottom"/>
          </w:tcPr>
          <w:p>
            <w:pPr>
              <w:spacing w:after="0"/>
              <w:rPr>
                <w:sz w:val="13"/>
                <w:szCs w:val="13"/>
                <w:color w:val="auto"/>
              </w:rPr>
            </w:pPr>
          </w:p>
        </w:tc>
        <w:tc>
          <w:tcPr>
            <w:tcW w:w="220" w:type="dxa"/>
            <w:vAlign w:val="bottom"/>
            <w:tcBorders>
              <w:bottom w:val="single" w:sz="8" w:color="auto"/>
            </w:tcBorders>
          </w:tcPr>
          <w:p>
            <w:pPr>
              <w:jc w:val="right"/>
              <w:ind w:right="83"/>
              <w:spacing w:after="0"/>
              <w:rPr>
                <w:sz w:val="20"/>
                <w:szCs w:val="20"/>
                <w:color w:val="auto"/>
              </w:rPr>
            </w:pPr>
            <w:r>
              <w:rPr>
                <w:rFonts w:ascii="Times New Roman" w:cs="Times New Roman" w:eastAsia="Times New Roman" w:hAnsi="Times New Roman"/>
                <w:sz w:val="11"/>
                <w:szCs w:val="11"/>
                <w:color w:val="auto"/>
              </w:rPr>
              <w:t>$</w:t>
            </w:r>
          </w:p>
        </w:tc>
        <w:tc>
          <w:tcPr>
            <w:tcW w:w="760" w:type="dxa"/>
            <w:vAlign w:val="bottom"/>
            <w:tcBorders>
              <w:bottom w:val="single" w:sz="8" w:color="auto"/>
            </w:tcBorders>
          </w:tcPr>
          <w:p>
            <w:pPr>
              <w:jc w:val="right"/>
              <w:ind w:right="3"/>
              <w:spacing w:after="0"/>
              <w:rPr>
                <w:sz w:val="20"/>
                <w:szCs w:val="20"/>
                <w:color w:val="auto"/>
              </w:rPr>
            </w:pPr>
            <w:r>
              <w:rPr>
                <w:rFonts w:ascii="Times New Roman" w:cs="Times New Roman" w:eastAsia="Times New Roman" w:hAnsi="Times New Roman"/>
                <w:sz w:val="11"/>
                <w:szCs w:val="11"/>
                <w:color w:val="auto"/>
              </w:rPr>
              <w:t>3,276</w:t>
            </w:r>
          </w:p>
        </w:tc>
        <w:tc>
          <w:tcPr>
            <w:tcW w:w="1020" w:type="dxa"/>
            <w:vAlign w:val="bottom"/>
            <w:gridSpan w:val="2"/>
          </w:tcPr>
          <w:p>
            <w:pPr>
              <w:jc w:val="right"/>
              <w:spacing w:after="0"/>
              <w:rPr>
                <w:sz w:val="20"/>
                <w:szCs w:val="20"/>
                <w:color w:val="auto"/>
              </w:rPr>
            </w:pPr>
            <w:r>
              <w:rPr>
                <w:rFonts w:ascii="Times New Roman" w:cs="Times New Roman" w:eastAsia="Times New Roman" w:hAnsi="Times New Roman"/>
                <w:sz w:val="11"/>
                <w:szCs w:val="11"/>
                <w:color w:val="auto"/>
              </w:rPr>
              <w:t>42 %</w:t>
            </w:r>
          </w:p>
        </w:tc>
        <w:tc>
          <w:tcPr>
            <w:tcW w:w="100" w:type="dxa"/>
            <w:vAlign w:val="bottom"/>
          </w:tcPr>
          <w:p>
            <w:pPr>
              <w:spacing w:after="0"/>
              <w:rPr>
                <w:sz w:val="13"/>
                <w:szCs w:val="13"/>
                <w:color w:val="auto"/>
              </w:rPr>
            </w:pPr>
          </w:p>
        </w:tc>
        <w:tc>
          <w:tcPr>
            <w:tcW w:w="620" w:type="dxa"/>
            <w:vAlign w:val="bottom"/>
            <w:tcBorders>
              <w:bottom w:val="single" w:sz="8" w:color="auto"/>
            </w:tcBorders>
          </w:tcPr>
          <w:p>
            <w:pPr>
              <w:jc w:val="right"/>
              <w:ind w:right="503"/>
              <w:spacing w:after="0"/>
              <w:rPr>
                <w:sz w:val="20"/>
                <w:szCs w:val="20"/>
                <w:color w:val="auto"/>
              </w:rPr>
            </w:pPr>
            <w:r>
              <w:rPr>
                <w:rFonts w:ascii="Times New Roman" w:cs="Times New Roman" w:eastAsia="Times New Roman" w:hAnsi="Times New Roman"/>
                <w:sz w:val="11"/>
                <w:szCs w:val="11"/>
                <w:color w:val="auto"/>
                <w:w w:val="71"/>
              </w:rPr>
              <w:t>$</w:t>
            </w:r>
          </w:p>
        </w:tc>
        <w:tc>
          <w:tcPr>
            <w:tcW w:w="3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1"/>
                <w:szCs w:val="11"/>
                <w:color w:val="auto"/>
              </w:rPr>
              <w:t>2,307</w:t>
            </w:r>
          </w:p>
        </w:tc>
        <w:tc>
          <w:tcPr>
            <w:tcW w:w="1040" w:type="dxa"/>
            <w:vAlign w:val="bottom"/>
            <w:gridSpan w:val="2"/>
          </w:tcPr>
          <w:p>
            <w:pPr>
              <w:ind w:left="740"/>
              <w:spacing w:after="0"/>
              <w:rPr>
                <w:sz w:val="20"/>
                <w:szCs w:val="20"/>
                <w:color w:val="auto"/>
              </w:rPr>
            </w:pPr>
            <w:r>
              <w:rPr>
                <w:rFonts w:ascii="Times New Roman" w:cs="Times New Roman" w:eastAsia="Times New Roman" w:hAnsi="Times New Roman"/>
                <w:sz w:val="11"/>
                <w:szCs w:val="11"/>
                <w:color w:val="auto"/>
              </w:rPr>
              <w:t>(67)%</w:t>
            </w:r>
          </w:p>
        </w:tc>
        <w:tc>
          <w:tcPr>
            <w:tcW w:w="100" w:type="dxa"/>
            <w:vAlign w:val="bottom"/>
          </w:tcPr>
          <w:p>
            <w:pPr>
              <w:spacing w:after="0"/>
              <w:rPr>
                <w:sz w:val="13"/>
                <w:szCs w:val="13"/>
                <w:color w:val="auto"/>
              </w:rPr>
            </w:pPr>
          </w:p>
        </w:tc>
        <w:tc>
          <w:tcPr>
            <w:tcW w:w="220" w:type="dxa"/>
            <w:vAlign w:val="bottom"/>
            <w:tcBorders>
              <w:bottom w:val="single" w:sz="8" w:color="auto"/>
            </w:tcBorders>
          </w:tcPr>
          <w:p>
            <w:pPr>
              <w:jc w:val="right"/>
              <w:ind w:right="103"/>
              <w:spacing w:after="0"/>
              <w:rPr>
                <w:sz w:val="20"/>
                <w:szCs w:val="20"/>
                <w:color w:val="auto"/>
              </w:rPr>
            </w:pPr>
            <w:r>
              <w:rPr>
                <w:rFonts w:ascii="Times New Roman" w:cs="Times New Roman" w:eastAsia="Times New Roman" w:hAnsi="Times New Roman"/>
                <w:sz w:val="11"/>
                <w:szCs w:val="11"/>
                <w:color w:val="auto"/>
                <w:w w:val="71"/>
              </w:rPr>
              <w:t>$</w:t>
            </w:r>
          </w:p>
        </w:tc>
        <w:tc>
          <w:tcPr>
            <w:tcW w:w="7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1"/>
                <w:szCs w:val="11"/>
                <w:color w:val="auto"/>
              </w:rPr>
              <w:t>6,958</w:t>
            </w:r>
          </w:p>
        </w:tc>
        <w:tc>
          <w:tcPr>
            <w:tcW w:w="0" w:type="dxa"/>
            <w:vAlign w:val="bottom"/>
          </w:tcPr>
          <w:p>
            <w:pPr>
              <w:spacing w:after="0"/>
              <w:rPr>
                <w:sz w:val="1"/>
                <w:szCs w:val="1"/>
                <w:color w:val="auto"/>
              </w:rPr>
            </w:pPr>
          </w:p>
        </w:tc>
      </w:tr>
      <w:tr>
        <w:trPr>
          <w:trHeight w:val="20"/>
        </w:trPr>
        <w:tc>
          <w:tcPr>
            <w:tcW w:w="1960" w:type="dxa"/>
            <w:vAlign w:val="bottom"/>
          </w:tcPr>
          <w:p>
            <w:pPr>
              <w:spacing w:after="0" w:line="20" w:lineRule="exact"/>
              <w:rPr>
                <w:sz w:val="1"/>
                <w:szCs w:val="1"/>
                <w:color w:val="auto"/>
              </w:rPr>
            </w:pPr>
          </w:p>
        </w:tc>
        <w:tc>
          <w:tcPr>
            <w:tcW w:w="620" w:type="dxa"/>
            <w:vAlign w:val="bottom"/>
            <w:tcBorders>
              <w:bottom w:val="single" w:sz="8" w:color="auto"/>
            </w:tcBorders>
          </w:tcPr>
          <w:p>
            <w:pPr>
              <w:spacing w:after="0" w:line="20" w:lineRule="exact"/>
              <w:rPr>
                <w:sz w:val="1"/>
                <w:szCs w:val="1"/>
                <w:color w:val="auto"/>
              </w:rPr>
            </w:pPr>
          </w:p>
        </w:tc>
        <w:tc>
          <w:tcPr>
            <w:tcW w:w="34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94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620" w:type="dxa"/>
            <w:vAlign w:val="bottom"/>
            <w:tcBorders>
              <w:bottom w:val="single" w:sz="8" w:color="auto"/>
            </w:tcBorders>
          </w:tcPr>
          <w:p>
            <w:pPr>
              <w:spacing w:after="0" w:line="20" w:lineRule="exact"/>
              <w:rPr>
                <w:sz w:val="1"/>
                <w:szCs w:val="1"/>
                <w:color w:val="auto"/>
              </w:rPr>
            </w:pPr>
          </w:p>
        </w:tc>
        <w:tc>
          <w:tcPr>
            <w:tcW w:w="34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94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76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94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620" w:type="dxa"/>
            <w:vAlign w:val="bottom"/>
            <w:tcBorders>
              <w:bottom w:val="single" w:sz="8" w:color="auto"/>
            </w:tcBorders>
          </w:tcPr>
          <w:p>
            <w:pPr>
              <w:spacing w:after="0" w:line="20" w:lineRule="exact"/>
              <w:rPr>
                <w:sz w:val="1"/>
                <w:szCs w:val="1"/>
                <w:color w:val="auto"/>
              </w:rPr>
            </w:pPr>
          </w:p>
        </w:tc>
        <w:tc>
          <w:tcPr>
            <w:tcW w:w="34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94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74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87" w:lineRule="exact"/>
        <w:rPr>
          <w:sz w:val="20"/>
          <w:szCs w:val="20"/>
          <w:color w:val="auto"/>
        </w:rPr>
      </w:pPr>
    </w:p>
    <w:p>
      <w:pPr>
        <w:ind w:left="5800"/>
        <w:spacing w:after="0"/>
        <w:rPr>
          <w:sz w:val="20"/>
          <w:szCs w:val="20"/>
          <w:color w:val="auto"/>
        </w:rPr>
      </w:pPr>
      <w:r>
        <w:rPr>
          <w:rFonts w:ascii="Times New Roman" w:cs="Times New Roman" w:eastAsia="Times New Roman" w:hAnsi="Times New Roman"/>
          <w:sz w:val="11"/>
          <w:szCs w:val="11"/>
          <w:b w:val="1"/>
          <w:bCs w:val="1"/>
          <w:color w:val="auto"/>
        </w:rPr>
        <w:t>For the years ended December 31,</w:t>
      </w:r>
    </w:p>
    <w:p>
      <w:pPr>
        <w:spacing w:after="0" w:line="4" w:lineRule="exact"/>
        <w:rPr>
          <w:sz w:val="20"/>
          <w:szCs w:val="20"/>
          <w:color w:val="auto"/>
        </w:rPr>
      </w:pPr>
    </w:p>
    <w:p>
      <w:pPr>
        <w:ind w:left="5780"/>
        <w:spacing w:after="0"/>
        <w:rPr>
          <w:sz w:val="20"/>
          <w:szCs w:val="20"/>
          <w:color w:val="auto"/>
        </w:rPr>
      </w:pPr>
      <w:r>
        <w:rPr>
          <w:rFonts w:ascii="Times New Roman" w:cs="Times New Roman" w:eastAsia="Times New Roman" w:hAnsi="Times New Roman"/>
          <w:sz w:val="11"/>
          <w:szCs w:val="11"/>
          <w:b w:val="1"/>
          <w:bCs w:val="1"/>
          <w:color w:val="auto"/>
        </w:rPr>
        <w:t>(in thousands, except percentages)</w:t>
      </w:r>
    </w:p>
    <w:p>
      <w:pPr>
        <w:spacing w:after="0" w:line="8" w:lineRule="exact"/>
        <w:rPr>
          <w:sz w:val="20"/>
          <w:szCs w:val="20"/>
          <w:color w:val="auto"/>
        </w:rPr>
      </w:pPr>
    </w:p>
    <w:tbl>
      <w:tblPr>
        <w:tblLayout w:type="fixed"/>
        <w:tblInd w:w="0" w:type="dxa"/>
        <w:tblCellMar>
          <w:top w:w="0" w:type="dxa"/>
          <w:left w:w="0" w:type="dxa"/>
          <w:bottom w:w="0" w:type="dxa"/>
          <w:right w:w="0" w:type="dxa"/>
        </w:tblCellMar>
      </w:tblPr>
      <w:tr>
        <w:trPr>
          <w:trHeight w:val="153"/>
        </w:trPr>
        <w:tc>
          <w:tcPr>
            <w:tcW w:w="1940" w:type="dxa"/>
            <w:vAlign w:val="bottom"/>
            <w:tcBorders>
              <w:bottom w:val="single" w:sz="8" w:color="CCEEFF"/>
            </w:tcBorders>
          </w:tcPr>
          <w:p>
            <w:pPr>
              <w:spacing w:after="0"/>
              <w:rPr>
                <w:sz w:val="13"/>
                <w:szCs w:val="13"/>
                <w:color w:val="auto"/>
              </w:rPr>
            </w:pPr>
          </w:p>
        </w:tc>
        <w:tc>
          <w:tcPr>
            <w:tcW w:w="220" w:type="dxa"/>
            <w:vAlign w:val="bottom"/>
            <w:tcBorders>
              <w:top w:val="single" w:sz="8" w:color="auto"/>
              <w:bottom w:val="single" w:sz="8" w:color="auto"/>
            </w:tcBorders>
          </w:tcPr>
          <w:p>
            <w:pPr>
              <w:spacing w:after="0"/>
              <w:rPr>
                <w:sz w:val="13"/>
                <w:szCs w:val="13"/>
                <w:color w:val="auto"/>
              </w:rPr>
            </w:pPr>
          </w:p>
        </w:tc>
        <w:tc>
          <w:tcPr>
            <w:tcW w:w="740" w:type="dxa"/>
            <w:vAlign w:val="bottom"/>
            <w:tcBorders>
              <w:top w:val="single" w:sz="8" w:color="auto"/>
              <w:bottom w:val="single" w:sz="8" w:color="auto"/>
            </w:tcBorders>
          </w:tcPr>
          <w:p>
            <w:pPr>
              <w:jc w:val="right"/>
              <w:ind w:right="303"/>
              <w:spacing w:after="0"/>
              <w:rPr>
                <w:sz w:val="20"/>
                <w:szCs w:val="20"/>
                <w:color w:val="auto"/>
              </w:rPr>
            </w:pPr>
            <w:r>
              <w:rPr>
                <w:rFonts w:ascii="Times New Roman" w:cs="Times New Roman" w:eastAsia="Times New Roman" w:hAnsi="Times New Roman"/>
                <w:sz w:val="11"/>
                <w:szCs w:val="11"/>
                <w:b w:val="1"/>
                <w:bCs w:val="1"/>
                <w:color w:val="auto"/>
              </w:rPr>
              <w:t>2025</w:t>
            </w:r>
          </w:p>
        </w:tc>
        <w:tc>
          <w:tcPr>
            <w:tcW w:w="100" w:type="dxa"/>
            <w:vAlign w:val="bottom"/>
            <w:tcBorders>
              <w:top w:val="single" w:sz="8" w:color="auto"/>
              <w:bottom w:val="single" w:sz="8" w:color="CCEEFF"/>
            </w:tcBorders>
          </w:tcPr>
          <w:p>
            <w:pPr>
              <w:spacing w:after="0"/>
              <w:rPr>
                <w:sz w:val="13"/>
                <w:szCs w:val="13"/>
                <w:color w:val="auto"/>
              </w:rPr>
            </w:pPr>
          </w:p>
        </w:tc>
        <w:tc>
          <w:tcPr>
            <w:tcW w:w="940" w:type="dxa"/>
            <w:vAlign w:val="bottom"/>
            <w:tcBorders>
              <w:top w:val="single" w:sz="8" w:color="auto"/>
              <w:bottom w:val="single" w:sz="8" w:color="auto"/>
            </w:tcBorders>
          </w:tcPr>
          <w:p>
            <w:pPr>
              <w:jc w:val="right"/>
              <w:ind w:right="243"/>
              <w:spacing w:after="0"/>
              <w:rPr>
                <w:sz w:val="20"/>
                <w:szCs w:val="20"/>
                <w:color w:val="auto"/>
              </w:rPr>
            </w:pPr>
            <w:r>
              <w:rPr>
                <w:rFonts w:ascii="Times New Roman" w:cs="Times New Roman" w:eastAsia="Times New Roman" w:hAnsi="Times New Roman"/>
                <w:sz w:val="11"/>
                <w:szCs w:val="11"/>
                <w:b w:val="1"/>
                <w:bCs w:val="1"/>
                <w:color w:val="auto"/>
              </w:rPr>
              <w:t>Change</w:t>
            </w:r>
          </w:p>
        </w:tc>
        <w:tc>
          <w:tcPr>
            <w:tcW w:w="80" w:type="dxa"/>
            <w:vAlign w:val="bottom"/>
            <w:tcBorders>
              <w:top w:val="single" w:sz="8" w:color="auto"/>
              <w:bottom w:val="single" w:sz="8" w:color="CCEEFF"/>
            </w:tcBorders>
          </w:tcPr>
          <w:p>
            <w:pPr>
              <w:spacing w:after="0"/>
              <w:rPr>
                <w:sz w:val="13"/>
                <w:szCs w:val="13"/>
                <w:color w:val="auto"/>
              </w:rPr>
            </w:pPr>
          </w:p>
        </w:tc>
        <w:tc>
          <w:tcPr>
            <w:tcW w:w="220" w:type="dxa"/>
            <w:vAlign w:val="bottom"/>
            <w:tcBorders>
              <w:top w:val="single" w:sz="8" w:color="auto"/>
              <w:bottom w:val="single" w:sz="8" w:color="auto"/>
            </w:tcBorders>
          </w:tcPr>
          <w:p>
            <w:pPr>
              <w:spacing w:after="0"/>
              <w:rPr>
                <w:sz w:val="13"/>
                <w:szCs w:val="13"/>
                <w:color w:val="auto"/>
              </w:rPr>
            </w:pPr>
          </w:p>
        </w:tc>
        <w:tc>
          <w:tcPr>
            <w:tcW w:w="760" w:type="dxa"/>
            <w:vAlign w:val="bottom"/>
            <w:tcBorders>
              <w:top w:val="single" w:sz="8" w:color="auto"/>
              <w:bottom w:val="single" w:sz="8" w:color="auto"/>
            </w:tcBorders>
          </w:tcPr>
          <w:p>
            <w:pPr>
              <w:jc w:val="right"/>
              <w:ind w:right="323"/>
              <w:spacing w:after="0"/>
              <w:rPr>
                <w:sz w:val="20"/>
                <w:szCs w:val="20"/>
                <w:color w:val="auto"/>
              </w:rPr>
            </w:pPr>
            <w:r>
              <w:rPr>
                <w:rFonts w:ascii="Times New Roman" w:cs="Times New Roman" w:eastAsia="Times New Roman" w:hAnsi="Times New Roman"/>
                <w:sz w:val="11"/>
                <w:szCs w:val="11"/>
                <w:b w:val="1"/>
                <w:bCs w:val="1"/>
                <w:color w:val="auto"/>
              </w:rPr>
              <w:t>2024</w:t>
            </w:r>
          </w:p>
        </w:tc>
        <w:tc>
          <w:tcPr>
            <w:tcW w:w="80" w:type="dxa"/>
            <w:vAlign w:val="bottom"/>
            <w:tcBorders>
              <w:top w:val="single" w:sz="8" w:color="auto"/>
              <w:bottom w:val="single" w:sz="8" w:color="CCEEFF"/>
            </w:tcBorders>
          </w:tcPr>
          <w:p>
            <w:pPr>
              <w:spacing w:after="0"/>
              <w:rPr>
                <w:sz w:val="13"/>
                <w:szCs w:val="13"/>
                <w:color w:val="auto"/>
              </w:rPr>
            </w:pPr>
          </w:p>
        </w:tc>
        <w:tc>
          <w:tcPr>
            <w:tcW w:w="940" w:type="dxa"/>
            <w:vAlign w:val="bottom"/>
            <w:tcBorders>
              <w:top w:val="single" w:sz="8" w:color="auto"/>
              <w:bottom w:val="single" w:sz="8" w:color="auto"/>
            </w:tcBorders>
          </w:tcPr>
          <w:p>
            <w:pPr>
              <w:jc w:val="right"/>
              <w:ind w:right="223"/>
              <w:spacing w:after="0"/>
              <w:rPr>
                <w:sz w:val="20"/>
                <w:szCs w:val="20"/>
                <w:color w:val="auto"/>
              </w:rPr>
            </w:pPr>
            <w:r>
              <w:rPr>
                <w:rFonts w:ascii="Times New Roman" w:cs="Times New Roman" w:eastAsia="Times New Roman" w:hAnsi="Times New Roman"/>
                <w:sz w:val="11"/>
                <w:szCs w:val="11"/>
                <w:b w:val="1"/>
                <w:bCs w:val="1"/>
                <w:color w:val="auto"/>
              </w:rPr>
              <w:t>Change</w:t>
            </w:r>
          </w:p>
        </w:tc>
        <w:tc>
          <w:tcPr>
            <w:tcW w:w="100" w:type="dxa"/>
            <w:vAlign w:val="bottom"/>
            <w:tcBorders>
              <w:top w:val="single" w:sz="8" w:color="auto"/>
              <w:bottom w:val="single" w:sz="8" w:color="CCEEFF"/>
            </w:tcBorders>
          </w:tcPr>
          <w:p>
            <w:pPr>
              <w:spacing w:after="0"/>
              <w:rPr>
                <w:sz w:val="13"/>
                <w:szCs w:val="13"/>
                <w:color w:val="auto"/>
              </w:rPr>
            </w:pPr>
          </w:p>
        </w:tc>
        <w:tc>
          <w:tcPr>
            <w:tcW w:w="220" w:type="dxa"/>
            <w:vAlign w:val="bottom"/>
            <w:tcBorders>
              <w:top w:val="single" w:sz="8" w:color="auto"/>
              <w:bottom w:val="single" w:sz="8" w:color="auto"/>
            </w:tcBorders>
          </w:tcPr>
          <w:p>
            <w:pPr>
              <w:spacing w:after="0"/>
              <w:rPr>
                <w:sz w:val="13"/>
                <w:szCs w:val="13"/>
                <w:color w:val="auto"/>
              </w:rPr>
            </w:pPr>
          </w:p>
        </w:tc>
        <w:tc>
          <w:tcPr>
            <w:tcW w:w="740" w:type="dxa"/>
            <w:vAlign w:val="bottom"/>
            <w:tcBorders>
              <w:top w:val="single" w:sz="8" w:color="auto"/>
              <w:bottom w:val="single" w:sz="8" w:color="auto"/>
            </w:tcBorders>
          </w:tcPr>
          <w:p>
            <w:pPr>
              <w:jc w:val="right"/>
              <w:ind w:right="303"/>
              <w:spacing w:after="0"/>
              <w:rPr>
                <w:sz w:val="20"/>
                <w:szCs w:val="20"/>
                <w:color w:val="auto"/>
              </w:rPr>
            </w:pPr>
            <w:r>
              <w:rPr>
                <w:rFonts w:ascii="Times New Roman" w:cs="Times New Roman" w:eastAsia="Times New Roman" w:hAnsi="Times New Roman"/>
                <w:sz w:val="11"/>
                <w:szCs w:val="11"/>
                <w:b w:val="1"/>
                <w:bCs w:val="1"/>
                <w:color w:val="auto"/>
              </w:rPr>
              <w:t>2023</w:t>
            </w:r>
          </w:p>
        </w:tc>
        <w:tc>
          <w:tcPr>
            <w:tcW w:w="100" w:type="dxa"/>
            <w:vAlign w:val="bottom"/>
            <w:tcBorders>
              <w:top w:val="single" w:sz="8" w:color="auto"/>
              <w:bottom w:val="single" w:sz="8" w:color="CCEEFF"/>
            </w:tcBorders>
          </w:tcPr>
          <w:p>
            <w:pPr>
              <w:spacing w:after="0"/>
              <w:rPr>
                <w:sz w:val="13"/>
                <w:szCs w:val="13"/>
                <w:color w:val="auto"/>
              </w:rPr>
            </w:pPr>
          </w:p>
        </w:tc>
        <w:tc>
          <w:tcPr>
            <w:tcW w:w="940" w:type="dxa"/>
            <w:vAlign w:val="bottom"/>
            <w:tcBorders>
              <w:top w:val="single" w:sz="8" w:color="auto"/>
              <w:bottom w:val="single" w:sz="8" w:color="auto"/>
            </w:tcBorders>
          </w:tcPr>
          <w:p>
            <w:pPr>
              <w:jc w:val="right"/>
              <w:ind w:right="243"/>
              <w:spacing w:after="0"/>
              <w:rPr>
                <w:sz w:val="20"/>
                <w:szCs w:val="20"/>
                <w:color w:val="auto"/>
              </w:rPr>
            </w:pPr>
            <w:r>
              <w:rPr>
                <w:rFonts w:ascii="Times New Roman" w:cs="Times New Roman" w:eastAsia="Times New Roman" w:hAnsi="Times New Roman"/>
                <w:sz w:val="11"/>
                <w:szCs w:val="11"/>
                <w:b w:val="1"/>
                <w:bCs w:val="1"/>
                <w:color w:val="auto"/>
              </w:rPr>
              <w:t>Change</w:t>
            </w:r>
          </w:p>
        </w:tc>
        <w:tc>
          <w:tcPr>
            <w:tcW w:w="80" w:type="dxa"/>
            <w:vAlign w:val="bottom"/>
            <w:tcBorders>
              <w:top w:val="single" w:sz="8" w:color="auto"/>
              <w:bottom w:val="single" w:sz="8" w:color="CCEEFF"/>
            </w:tcBorders>
          </w:tcPr>
          <w:p>
            <w:pPr>
              <w:spacing w:after="0"/>
              <w:rPr>
                <w:sz w:val="13"/>
                <w:szCs w:val="13"/>
                <w:color w:val="auto"/>
              </w:rPr>
            </w:pPr>
          </w:p>
        </w:tc>
        <w:tc>
          <w:tcPr>
            <w:tcW w:w="220" w:type="dxa"/>
            <w:vAlign w:val="bottom"/>
            <w:tcBorders>
              <w:top w:val="single" w:sz="8" w:color="auto"/>
              <w:bottom w:val="single" w:sz="8" w:color="auto"/>
            </w:tcBorders>
          </w:tcPr>
          <w:p>
            <w:pPr>
              <w:spacing w:after="0"/>
              <w:rPr>
                <w:sz w:val="13"/>
                <w:szCs w:val="13"/>
                <w:color w:val="auto"/>
              </w:rPr>
            </w:pPr>
          </w:p>
        </w:tc>
        <w:tc>
          <w:tcPr>
            <w:tcW w:w="760" w:type="dxa"/>
            <w:vAlign w:val="bottom"/>
            <w:tcBorders>
              <w:top w:val="single" w:sz="8" w:color="auto"/>
              <w:bottom w:val="single" w:sz="8" w:color="auto"/>
            </w:tcBorders>
          </w:tcPr>
          <w:p>
            <w:pPr>
              <w:jc w:val="right"/>
              <w:ind w:right="323"/>
              <w:spacing w:after="0"/>
              <w:rPr>
                <w:sz w:val="20"/>
                <w:szCs w:val="20"/>
                <w:color w:val="auto"/>
              </w:rPr>
            </w:pPr>
            <w:r>
              <w:rPr>
                <w:rFonts w:ascii="Times New Roman" w:cs="Times New Roman" w:eastAsia="Times New Roman" w:hAnsi="Times New Roman"/>
                <w:sz w:val="11"/>
                <w:szCs w:val="11"/>
                <w:b w:val="1"/>
                <w:bCs w:val="1"/>
                <w:color w:val="auto"/>
              </w:rPr>
              <w:t>2022</w:t>
            </w:r>
          </w:p>
        </w:tc>
        <w:tc>
          <w:tcPr>
            <w:tcW w:w="100" w:type="dxa"/>
            <w:vAlign w:val="bottom"/>
            <w:tcBorders>
              <w:top w:val="single" w:sz="8" w:color="auto"/>
              <w:bottom w:val="single" w:sz="8" w:color="CCEEFF"/>
            </w:tcBorders>
          </w:tcPr>
          <w:p>
            <w:pPr>
              <w:spacing w:after="0"/>
              <w:rPr>
                <w:sz w:val="13"/>
                <w:szCs w:val="13"/>
                <w:color w:val="auto"/>
              </w:rPr>
            </w:pPr>
          </w:p>
        </w:tc>
        <w:tc>
          <w:tcPr>
            <w:tcW w:w="940" w:type="dxa"/>
            <w:vAlign w:val="bottom"/>
            <w:tcBorders>
              <w:top w:val="single" w:sz="8" w:color="auto"/>
              <w:bottom w:val="single" w:sz="8" w:color="auto"/>
            </w:tcBorders>
          </w:tcPr>
          <w:p>
            <w:pPr>
              <w:jc w:val="right"/>
              <w:ind w:right="223"/>
              <w:spacing w:after="0"/>
              <w:rPr>
                <w:sz w:val="20"/>
                <w:szCs w:val="20"/>
                <w:color w:val="auto"/>
              </w:rPr>
            </w:pPr>
            <w:r>
              <w:rPr>
                <w:rFonts w:ascii="Times New Roman" w:cs="Times New Roman" w:eastAsia="Times New Roman" w:hAnsi="Times New Roman"/>
                <w:sz w:val="11"/>
                <w:szCs w:val="11"/>
                <w:b w:val="1"/>
                <w:bCs w:val="1"/>
                <w:color w:val="auto"/>
              </w:rPr>
              <w:t>Change</w:t>
            </w:r>
          </w:p>
        </w:tc>
        <w:tc>
          <w:tcPr>
            <w:tcW w:w="80" w:type="dxa"/>
            <w:vAlign w:val="bottom"/>
            <w:tcBorders>
              <w:top w:val="single" w:sz="8" w:color="auto"/>
              <w:bottom w:val="single" w:sz="8" w:color="CCEEFF"/>
            </w:tcBorders>
          </w:tcPr>
          <w:p>
            <w:pPr>
              <w:spacing w:after="0"/>
              <w:rPr>
                <w:sz w:val="13"/>
                <w:szCs w:val="13"/>
                <w:color w:val="auto"/>
              </w:rPr>
            </w:pPr>
          </w:p>
        </w:tc>
        <w:tc>
          <w:tcPr>
            <w:tcW w:w="220" w:type="dxa"/>
            <w:vAlign w:val="bottom"/>
            <w:tcBorders>
              <w:top w:val="single" w:sz="8" w:color="auto"/>
              <w:bottom w:val="single" w:sz="8" w:color="auto"/>
            </w:tcBorders>
          </w:tcPr>
          <w:p>
            <w:pPr>
              <w:spacing w:after="0"/>
              <w:rPr>
                <w:sz w:val="13"/>
                <w:szCs w:val="13"/>
                <w:color w:val="auto"/>
              </w:rPr>
            </w:pPr>
          </w:p>
        </w:tc>
        <w:tc>
          <w:tcPr>
            <w:tcW w:w="760" w:type="dxa"/>
            <w:vAlign w:val="bottom"/>
            <w:tcBorders>
              <w:top w:val="single" w:sz="8" w:color="auto"/>
              <w:bottom w:val="single" w:sz="8" w:color="auto"/>
            </w:tcBorders>
          </w:tcPr>
          <w:p>
            <w:pPr>
              <w:jc w:val="right"/>
              <w:ind w:right="323"/>
              <w:spacing w:after="0"/>
              <w:rPr>
                <w:sz w:val="20"/>
                <w:szCs w:val="20"/>
                <w:color w:val="auto"/>
              </w:rPr>
            </w:pPr>
            <w:r>
              <w:rPr>
                <w:rFonts w:ascii="Times New Roman" w:cs="Times New Roman" w:eastAsia="Times New Roman" w:hAnsi="Times New Roman"/>
                <w:sz w:val="11"/>
                <w:szCs w:val="11"/>
                <w:b w:val="1"/>
                <w:bCs w:val="1"/>
                <w:color w:val="auto"/>
              </w:rPr>
              <w:t>2021</w:t>
            </w:r>
          </w:p>
        </w:tc>
        <w:tc>
          <w:tcPr>
            <w:tcW w:w="0" w:type="dxa"/>
            <w:vAlign w:val="bottom"/>
          </w:tcPr>
          <w:p>
            <w:pPr>
              <w:spacing w:after="0"/>
              <w:rPr>
                <w:sz w:val="1"/>
                <w:szCs w:val="1"/>
                <w:color w:val="auto"/>
              </w:rPr>
            </w:pPr>
          </w:p>
        </w:tc>
      </w:tr>
      <w:tr>
        <w:trPr>
          <w:trHeight w:val="179"/>
        </w:trPr>
        <w:tc>
          <w:tcPr>
            <w:tcW w:w="194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1"/>
                <w:szCs w:val="11"/>
                <w:b w:val="1"/>
                <w:bCs w:val="1"/>
                <w:color w:val="auto"/>
              </w:rPr>
              <w:t>Other net loss</w:t>
            </w:r>
          </w:p>
        </w:tc>
        <w:tc>
          <w:tcPr>
            <w:tcW w:w="220" w:type="dxa"/>
            <w:vAlign w:val="bottom"/>
            <w:tcBorders>
              <w:bottom w:val="single" w:sz="8" w:color="auto"/>
            </w:tcBorders>
            <w:shd w:val="clear" w:color="auto" w:fill="CCEEFF"/>
          </w:tcPr>
          <w:p>
            <w:pPr>
              <w:jc w:val="right"/>
              <w:ind w:right="83"/>
              <w:spacing w:after="0"/>
              <w:rPr>
                <w:sz w:val="20"/>
                <w:szCs w:val="20"/>
                <w:color w:val="auto"/>
              </w:rPr>
            </w:pPr>
            <w:r>
              <w:rPr>
                <w:rFonts w:ascii="Times New Roman" w:cs="Times New Roman" w:eastAsia="Times New Roman" w:hAnsi="Times New Roman"/>
                <w:sz w:val="11"/>
                <w:szCs w:val="11"/>
                <w:color w:val="auto"/>
              </w:rPr>
              <w:t>$</w:t>
            </w:r>
          </w:p>
        </w:tc>
        <w:tc>
          <w:tcPr>
            <w:tcW w:w="7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1"/>
                <w:szCs w:val="11"/>
                <w:color w:val="auto"/>
              </w:rPr>
              <w:t>(15,714)</w:t>
            </w:r>
          </w:p>
        </w:tc>
        <w:tc>
          <w:tcPr>
            <w:tcW w:w="1040" w:type="dxa"/>
            <w:vAlign w:val="bottom"/>
            <w:tcBorders>
              <w:bottom w:val="single" w:sz="8" w:color="CCEEFF"/>
            </w:tcBorders>
            <w:gridSpan w:val="2"/>
            <w:shd w:val="clear" w:color="auto" w:fill="CCEEFF"/>
          </w:tcPr>
          <w:p>
            <w:pPr>
              <w:ind w:left="720"/>
              <w:spacing w:after="0"/>
              <w:rPr>
                <w:sz w:val="20"/>
                <w:szCs w:val="20"/>
                <w:color w:val="auto"/>
              </w:rPr>
            </w:pPr>
            <w:r>
              <w:rPr>
                <w:rFonts w:ascii="Times New Roman" w:cs="Times New Roman" w:eastAsia="Times New Roman" w:hAnsi="Times New Roman"/>
                <w:sz w:val="11"/>
                <w:szCs w:val="11"/>
                <w:color w:val="auto"/>
              </w:rPr>
              <w:t>(14)%</w:t>
            </w:r>
          </w:p>
        </w:tc>
        <w:tc>
          <w:tcPr>
            <w:tcW w:w="80" w:type="dxa"/>
            <w:vAlign w:val="bottom"/>
            <w:tcBorders>
              <w:bottom w:val="single" w:sz="8" w:color="CCEEFF"/>
            </w:tcBorders>
            <w:shd w:val="clear" w:color="auto" w:fill="CCEEFF"/>
          </w:tcPr>
          <w:p>
            <w:pPr>
              <w:spacing w:after="0"/>
              <w:rPr>
                <w:sz w:val="15"/>
                <w:szCs w:val="15"/>
                <w:color w:val="auto"/>
              </w:rPr>
            </w:pPr>
          </w:p>
        </w:tc>
        <w:tc>
          <w:tcPr>
            <w:tcW w:w="220" w:type="dxa"/>
            <w:vAlign w:val="bottom"/>
            <w:tcBorders>
              <w:bottom w:val="single" w:sz="8" w:color="auto"/>
            </w:tcBorders>
            <w:shd w:val="clear" w:color="auto" w:fill="CCEEFF"/>
          </w:tcPr>
          <w:p>
            <w:pPr>
              <w:jc w:val="right"/>
              <w:ind w:right="83"/>
              <w:spacing w:after="0"/>
              <w:rPr>
                <w:sz w:val="20"/>
                <w:szCs w:val="20"/>
                <w:color w:val="auto"/>
              </w:rPr>
            </w:pPr>
            <w:r>
              <w:rPr>
                <w:rFonts w:ascii="Times New Roman" w:cs="Times New Roman" w:eastAsia="Times New Roman" w:hAnsi="Times New Roman"/>
                <w:sz w:val="11"/>
                <w:szCs w:val="11"/>
                <w:color w:val="auto"/>
              </w:rPr>
              <w:t>$</w:t>
            </w:r>
          </w:p>
        </w:tc>
        <w:tc>
          <w:tcPr>
            <w:tcW w:w="7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1"/>
                <w:szCs w:val="11"/>
                <w:color w:val="auto"/>
              </w:rPr>
              <w:t>(18,194)</w:t>
            </w:r>
          </w:p>
        </w:tc>
        <w:tc>
          <w:tcPr>
            <w:tcW w:w="1020" w:type="dxa"/>
            <w:vAlign w:val="bottom"/>
            <w:tcBorders>
              <w:bottom w:val="single" w:sz="8" w:color="CCEEFF"/>
            </w:tcBorders>
            <w:gridSpan w:val="2"/>
            <w:shd w:val="clear" w:color="auto" w:fill="CCEEFF"/>
          </w:tcPr>
          <w:p>
            <w:pPr>
              <w:jc w:val="right"/>
              <w:spacing w:after="0"/>
              <w:rPr>
                <w:sz w:val="20"/>
                <w:szCs w:val="20"/>
                <w:color w:val="auto"/>
              </w:rPr>
            </w:pPr>
            <w:r>
              <w:rPr>
                <w:rFonts w:ascii="Times New Roman" w:cs="Times New Roman" w:eastAsia="Times New Roman" w:hAnsi="Times New Roman"/>
                <w:sz w:val="11"/>
                <w:szCs w:val="11"/>
                <w:color w:val="auto"/>
              </w:rPr>
              <w:t>211 %</w:t>
            </w:r>
          </w:p>
        </w:tc>
        <w:tc>
          <w:tcPr>
            <w:tcW w:w="100" w:type="dxa"/>
            <w:vAlign w:val="bottom"/>
            <w:tcBorders>
              <w:bottom w:val="single" w:sz="8" w:color="CCEEFF"/>
            </w:tcBorders>
            <w:shd w:val="clear" w:color="auto" w:fill="CCEEFF"/>
          </w:tcPr>
          <w:p>
            <w:pPr>
              <w:spacing w:after="0"/>
              <w:rPr>
                <w:sz w:val="15"/>
                <w:szCs w:val="15"/>
                <w:color w:val="auto"/>
              </w:rPr>
            </w:pPr>
          </w:p>
        </w:tc>
        <w:tc>
          <w:tcPr>
            <w:tcW w:w="220" w:type="dxa"/>
            <w:vAlign w:val="bottom"/>
            <w:tcBorders>
              <w:bottom w:val="single" w:sz="8" w:color="auto"/>
            </w:tcBorders>
            <w:shd w:val="clear" w:color="auto" w:fill="CCEEFF"/>
          </w:tcPr>
          <w:p>
            <w:pPr>
              <w:jc w:val="right"/>
              <w:ind w:right="103"/>
              <w:spacing w:after="0"/>
              <w:rPr>
                <w:sz w:val="20"/>
                <w:szCs w:val="20"/>
                <w:color w:val="auto"/>
              </w:rPr>
            </w:pPr>
            <w:r>
              <w:rPr>
                <w:rFonts w:ascii="Times New Roman" w:cs="Times New Roman" w:eastAsia="Times New Roman" w:hAnsi="Times New Roman"/>
                <w:sz w:val="11"/>
                <w:szCs w:val="11"/>
                <w:color w:val="auto"/>
                <w:w w:val="71"/>
              </w:rPr>
              <w:t>$</w:t>
            </w:r>
          </w:p>
        </w:tc>
        <w:tc>
          <w:tcPr>
            <w:tcW w:w="7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1"/>
                <w:szCs w:val="11"/>
                <w:color w:val="auto"/>
              </w:rPr>
              <w:t>(5,842)</w:t>
            </w:r>
          </w:p>
        </w:tc>
        <w:tc>
          <w:tcPr>
            <w:tcW w:w="1040" w:type="dxa"/>
            <w:vAlign w:val="bottom"/>
            <w:tcBorders>
              <w:bottom w:val="single" w:sz="8" w:color="CCEEFF"/>
            </w:tcBorders>
            <w:gridSpan w:val="2"/>
            <w:shd w:val="clear" w:color="auto" w:fill="CCEEFF"/>
          </w:tcPr>
          <w:p>
            <w:pPr>
              <w:jc w:val="center"/>
              <w:ind w:left="643"/>
              <w:spacing w:after="0"/>
              <w:rPr>
                <w:sz w:val="20"/>
                <w:szCs w:val="20"/>
                <w:color w:val="auto"/>
              </w:rPr>
            </w:pPr>
            <w:r>
              <w:rPr>
                <w:rFonts w:ascii="Times New Roman" w:cs="Times New Roman" w:eastAsia="Times New Roman" w:hAnsi="Times New Roman"/>
                <w:sz w:val="11"/>
                <w:szCs w:val="11"/>
                <w:color w:val="auto"/>
              </w:rPr>
              <w:t>(65)%</w:t>
            </w:r>
          </w:p>
        </w:tc>
        <w:tc>
          <w:tcPr>
            <w:tcW w:w="80" w:type="dxa"/>
            <w:vAlign w:val="bottom"/>
            <w:tcBorders>
              <w:bottom w:val="single" w:sz="8" w:color="CCEEFF"/>
            </w:tcBorders>
            <w:shd w:val="clear" w:color="auto" w:fill="CCEEFF"/>
          </w:tcPr>
          <w:p>
            <w:pPr>
              <w:spacing w:after="0"/>
              <w:rPr>
                <w:sz w:val="15"/>
                <w:szCs w:val="15"/>
                <w:color w:val="auto"/>
              </w:rPr>
            </w:pPr>
          </w:p>
        </w:tc>
        <w:tc>
          <w:tcPr>
            <w:tcW w:w="220" w:type="dxa"/>
            <w:vAlign w:val="bottom"/>
            <w:tcBorders>
              <w:bottom w:val="single" w:sz="8" w:color="auto"/>
            </w:tcBorders>
            <w:shd w:val="clear" w:color="auto" w:fill="CCEEFF"/>
          </w:tcPr>
          <w:p>
            <w:pPr>
              <w:jc w:val="right"/>
              <w:ind w:right="83"/>
              <w:spacing w:after="0"/>
              <w:rPr>
                <w:sz w:val="20"/>
                <w:szCs w:val="20"/>
                <w:color w:val="auto"/>
              </w:rPr>
            </w:pPr>
            <w:r>
              <w:rPr>
                <w:rFonts w:ascii="Times New Roman" w:cs="Times New Roman" w:eastAsia="Times New Roman" w:hAnsi="Times New Roman"/>
                <w:sz w:val="11"/>
                <w:szCs w:val="11"/>
                <w:color w:val="auto"/>
              </w:rPr>
              <w:t>$</w:t>
            </w:r>
          </w:p>
        </w:tc>
        <w:tc>
          <w:tcPr>
            <w:tcW w:w="7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1"/>
                <w:szCs w:val="11"/>
                <w:color w:val="auto"/>
              </w:rPr>
              <w:t>(16,638)</w:t>
            </w:r>
          </w:p>
        </w:tc>
        <w:tc>
          <w:tcPr>
            <w:tcW w:w="1040" w:type="dxa"/>
            <w:vAlign w:val="bottom"/>
            <w:tcBorders>
              <w:bottom w:val="single" w:sz="8" w:color="CCEEFF"/>
            </w:tcBorders>
            <w:gridSpan w:val="2"/>
            <w:shd w:val="clear" w:color="auto" w:fill="CCEEFF"/>
          </w:tcPr>
          <w:p>
            <w:pPr>
              <w:jc w:val="right"/>
              <w:spacing w:after="0"/>
              <w:rPr>
                <w:sz w:val="20"/>
                <w:szCs w:val="20"/>
                <w:color w:val="auto"/>
              </w:rPr>
            </w:pPr>
            <w:r>
              <w:rPr>
                <w:rFonts w:ascii="Times New Roman" w:cs="Times New Roman" w:eastAsia="Times New Roman" w:hAnsi="Times New Roman"/>
                <w:sz w:val="11"/>
                <w:szCs w:val="11"/>
                <w:color w:val="auto"/>
              </w:rPr>
              <w:t>31 %</w:t>
            </w:r>
          </w:p>
        </w:tc>
        <w:tc>
          <w:tcPr>
            <w:tcW w:w="80" w:type="dxa"/>
            <w:vAlign w:val="bottom"/>
            <w:tcBorders>
              <w:bottom w:val="single" w:sz="8" w:color="CCEEFF"/>
            </w:tcBorders>
            <w:shd w:val="clear" w:color="auto" w:fill="CCEEFF"/>
          </w:tcPr>
          <w:p>
            <w:pPr>
              <w:spacing w:after="0"/>
              <w:rPr>
                <w:sz w:val="15"/>
                <w:szCs w:val="15"/>
                <w:color w:val="auto"/>
              </w:rPr>
            </w:pPr>
          </w:p>
        </w:tc>
        <w:tc>
          <w:tcPr>
            <w:tcW w:w="220" w:type="dxa"/>
            <w:vAlign w:val="bottom"/>
            <w:tcBorders>
              <w:bottom w:val="single" w:sz="8" w:color="auto"/>
            </w:tcBorders>
            <w:shd w:val="clear" w:color="auto" w:fill="CCEEFF"/>
          </w:tcPr>
          <w:p>
            <w:pPr>
              <w:jc w:val="right"/>
              <w:ind w:right="83"/>
              <w:spacing w:after="0"/>
              <w:rPr>
                <w:sz w:val="20"/>
                <w:szCs w:val="20"/>
                <w:color w:val="auto"/>
              </w:rPr>
            </w:pPr>
            <w:r>
              <w:rPr>
                <w:rFonts w:ascii="Times New Roman" w:cs="Times New Roman" w:eastAsia="Times New Roman" w:hAnsi="Times New Roman"/>
                <w:sz w:val="11"/>
                <w:szCs w:val="11"/>
                <w:color w:val="auto"/>
              </w:rPr>
              <w:t>$</w:t>
            </w:r>
          </w:p>
        </w:tc>
        <w:tc>
          <w:tcPr>
            <w:tcW w:w="7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1"/>
                <w:szCs w:val="11"/>
                <w:color w:val="auto"/>
              </w:rPr>
              <w:t>(12,680)</w:t>
            </w:r>
          </w:p>
        </w:tc>
        <w:tc>
          <w:tcPr>
            <w:tcW w:w="0" w:type="dxa"/>
            <w:vAlign w:val="bottom"/>
          </w:tcPr>
          <w:p>
            <w:pPr>
              <w:spacing w:after="0"/>
              <w:rPr>
                <w:sz w:val="1"/>
                <w:szCs w:val="1"/>
                <w:color w:val="auto"/>
              </w:rPr>
            </w:pPr>
          </w:p>
        </w:tc>
      </w:tr>
      <w:tr>
        <w:trPr>
          <w:trHeight w:val="20"/>
        </w:trPr>
        <w:tc>
          <w:tcPr>
            <w:tcW w:w="1940" w:type="dxa"/>
            <w:vAlign w:val="bottom"/>
            <w:tcBorders>
              <w:top w:val="single" w:sz="8" w:color="CCEEFF"/>
              <w:bottom w:val="single" w:sz="8" w:color="CCEEFF"/>
            </w:tcBorders>
            <w:vMerge w:val="restart"/>
          </w:tcPr>
          <w:p>
            <w:pPr>
              <w:ind w:left="180"/>
              <w:spacing w:after="0"/>
              <w:rPr>
                <w:sz w:val="20"/>
                <w:szCs w:val="20"/>
                <w:color w:val="auto"/>
              </w:rPr>
            </w:pPr>
            <w:r>
              <w:rPr>
                <w:rFonts w:ascii="Times New Roman" w:cs="Times New Roman" w:eastAsia="Times New Roman" w:hAnsi="Times New Roman"/>
                <w:sz w:val="11"/>
                <w:szCs w:val="11"/>
                <w:color w:val="auto"/>
              </w:rPr>
              <w:t>Stock-based compensation expense</w:t>
            </w:r>
          </w:p>
        </w:tc>
        <w:tc>
          <w:tcPr>
            <w:tcW w:w="220" w:type="dxa"/>
            <w:vAlign w:val="bottom"/>
            <w:tcBorders>
              <w:top w:val="single" w:sz="8" w:color="CCEEFF"/>
              <w:bottom w:val="single" w:sz="8" w:color="auto"/>
            </w:tcBorders>
          </w:tcPr>
          <w:p>
            <w:pPr>
              <w:spacing w:after="0" w:line="20" w:lineRule="exact"/>
              <w:rPr>
                <w:sz w:val="1"/>
                <w:szCs w:val="1"/>
                <w:color w:val="auto"/>
              </w:rPr>
            </w:pPr>
          </w:p>
        </w:tc>
        <w:tc>
          <w:tcPr>
            <w:tcW w:w="740" w:type="dxa"/>
            <w:vAlign w:val="bottom"/>
            <w:tcBorders>
              <w:top w:val="single" w:sz="8" w:color="CCEEFF"/>
              <w:bottom w:val="single" w:sz="8" w:color="auto"/>
            </w:tcBorders>
          </w:tcPr>
          <w:p>
            <w:pPr>
              <w:spacing w:after="0" w:line="20" w:lineRule="exact"/>
              <w:rPr>
                <w:sz w:val="1"/>
                <w:szCs w:val="1"/>
                <w:color w:val="auto"/>
              </w:rPr>
            </w:pPr>
          </w:p>
        </w:tc>
        <w:tc>
          <w:tcPr>
            <w:tcW w:w="1040" w:type="dxa"/>
            <w:vAlign w:val="bottom"/>
            <w:tcBorders>
              <w:top w:val="single" w:sz="8" w:color="CCEEFF"/>
              <w:bottom w:val="single" w:sz="8" w:color="CCEEFF"/>
            </w:tcBorders>
            <w:gridSpan w:val="2"/>
            <w:vMerge w:val="restart"/>
          </w:tcPr>
          <w:p>
            <w:pPr>
              <w:jc w:val="right"/>
              <w:ind w:right="103"/>
              <w:spacing w:after="0"/>
              <w:rPr>
                <w:sz w:val="20"/>
                <w:szCs w:val="20"/>
                <w:color w:val="auto"/>
              </w:rPr>
            </w:pPr>
            <w:r>
              <w:rPr>
                <w:rFonts w:ascii="Times New Roman" w:cs="Times New Roman" w:eastAsia="Times New Roman" w:hAnsi="Times New Roman"/>
                <w:sz w:val="11"/>
                <w:szCs w:val="11"/>
                <w:color w:val="auto"/>
              </w:rPr>
              <w:t>17</w:t>
            </w:r>
          </w:p>
        </w:tc>
        <w:tc>
          <w:tcPr>
            <w:tcW w:w="80" w:type="dxa"/>
            <w:vAlign w:val="bottom"/>
            <w:tcBorders>
              <w:top w:val="single" w:sz="8" w:color="CCEEFF"/>
            </w:tcBorders>
          </w:tcPr>
          <w:p>
            <w:pPr>
              <w:spacing w:after="0" w:line="20" w:lineRule="exact"/>
              <w:rPr>
                <w:sz w:val="1"/>
                <w:szCs w:val="1"/>
                <w:color w:val="auto"/>
              </w:rPr>
            </w:pPr>
          </w:p>
        </w:tc>
        <w:tc>
          <w:tcPr>
            <w:tcW w:w="220" w:type="dxa"/>
            <w:vAlign w:val="bottom"/>
            <w:tcBorders>
              <w:top w:val="single" w:sz="8" w:color="CCEEFF"/>
              <w:bottom w:val="single" w:sz="8" w:color="auto"/>
            </w:tcBorders>
          </w:tcPr>
          <w:p>
            <w:pPr>
              <w:spacing w:after="0" w:line="20" w:lineRule="exact"/>
              <w:rPr>
                <w:sz w:val="1"/>
                <w:szCs w:val="1"/>
                <w:color w:val="auto"/>
              </w:rPr>
            </w:pPr>
          </w:p>
        </w:tc>
        <w:tc>
          <w:tcPr>
            <w:tcW w:w="760" w:type="dxa"/>
            <w:vAlign w:val="bottom"/>
            <w:tcBorders>
              <w:top w:val="single" w:sz="8" w:color="CCEEFF"/>
              <w:bottom w:val="single" w:sz="8" w:color="auto"/>
            </w:tcBorders>
          </w:tcPr>
          <w:p>
            <w:pPr>
              <w:spacing w:after="0" w:line="20" w:lineRule="exact"/>
              <w:rPr>
                <w:sz w:val="1"/>
                <w:szCs w:val="1"/>
                <w:color w:val="auto"/>
              </w:rPr>
            </w:pPr>
          </w:p>
        </w:tc>
        <w:tc>
          <w:tcPr>
            <w:tcW w:w="1020" w:type="dxa"/>
            <w:vAlign w:val="bottom"/>
            <w:tcBorders>
              <w:top w:val="single" w:sz="8" w:color="CCEEFF"/>
              <w:bottom w:val="single" w:sz="8" w:color="CCEEFF"/>
            </w:tcBorders>
            <w:gridSpan w:val="2"/>
            <w:vMerge w:val="restart"/>
          </w:tcPr>
          <w:p>
            <w:pPr>
              <w:jc w:val="right"/>
              <w:ind w:right="63"/>
              <w:spacing w:after="0"/>
              <w:rPr>
                <w:sz w:val="20"/>
                <w:szCs w:val="20"/>
                <w:color w:val="auto"/>
              </w:rPr>
            </w:pPr>
            <w:r>
              <w:rPr>
                <w:rFonts w:ascii="Times New Roman" w:cs="Times New Roman" w:eastAsia="Times New Roman" w:hAnsi="Times New Roman"/>
                <w:sz w:val="11"/>
                <w:szCs w:val="11"/>
                <w:color w:val="auto"/>
              </w:rPr>
              <w:t>(2)</w:t>
            </w:r>
          </w:p>
        </w:tc>
        <w:tc>
          <w:tcPr>
            <w:tcW w:w="100" w:type="dxa"/>
            <w:vAlign w:val="bottom"/>
            <w:tcBorders>
              <w:top w:val="single" w:sz="8" w:color="CCEEFF"/>
            </w:tcBorders>
          </w:tcPr>
          <w:p>
            <w:pPr>
              <w:spacing w:after="0" w:line="20" w:lineRule="exact"/>
              <w:rPr>
                <w:sz w:val="1"/>
                <w:szCs w:val="1"/>
                <w:color w:val="auto"/>
              </w:rPr>
            </w:pPr>
          </w:p>
        </w:tc>
        <w:tc>
          <w:tcPr>
            <w:tcW w:w="220" w:type="dxa"/>
            <w:vAlign w:val="bottom"/>
            <w:tcBorders>
              <w:top w:val="single" w:sz="8" w:color="CCEEFF"/>
              <w:bottom w:val="single" w:sz="8" w:color="auto"/>
            </w:tcBorders>
          </w:tcPr>
          <w:p>
            <w:pPr>
              <w:spacing w:after="0" w:line="20" w:lineRule="exact"/>
              <w:rPr>
                <w:sz w:val="1"/>
                <w:szCs w:val="1"/>
                <w:color w:val="auto"/>
              </w:rPr>
            </w:pPr>
          </w:p>
        </w:tc>
        <w:tc>
          <w:tcPr>
            <w:tcW w:w="740" w:type="dxa"/>
            <w:vAlign w:val="bottom"/>
            <w:tcBorders>
              <w:top w:val="single" w:sz="8" w:color="CCEEFF"/>
              <w:bottom w:val="single" w:sz="8" w:color="auto"/>
            </w:tcBorders>
          </w:tcPr>
          <w:p>
            <w:pPr>
              <w:spacing w:after="0" w:line="20" w:lineRule="exact"/>
              <w:rPr>
                <w:sz w:val="1"/>
                <w:szCs w:val="1"/>
                <w:color w:val="auto"/>
              </w:rPr>
            </w:pPr>
          </w:p>
        </w:tc>
        <w:tc>
          <w:tcPr>
            <w:tcW w:w="1040" w:type="dxa"/>
            <w:vAlign w:val="bottom"/>
            <w:tcBorders>
              <w:top w:val="single" w:sz="8" w:color="CCEEFF"/>
              <w:bottom w:val="single" w:sz="8" w:color="CCEEFF"/>
            </w:tcBorders>
            <w:gridSpan w:val="2"/>
            <w:vMerge w:val="restart"/>
          </w:tcPr>
          <w:p>
            <w:pPr>
              <w:jc w:val="center"/>
              <w:ind w:left="603"/>
              <w:spacing w:after="0"/>
              <w:rPr>
                <w:sz w:val="20"/>
                <w:szCs w:val="20"/>
                <w:color w:val="auto"/>
              </w:rPr>
            </w:pPr>
            <w:r>
              <w:rPr>
                <w:rFonts w:ascii="Times New Roman" w:cs="Times New Roman" w:eastAsia="Times New Roman" w:hAnsi="Times New Roman"/>
                <w:sz w:val="11"/>
                <w:szCs w:val="11"/>
                <w:color w:val="auto"/>
              </w:rPr>
              <w:t>3</w:t>
            </w:r>
          </w:p>
        </w:tc>
        <w:tc>
          <w:tcPr>
            <w:tcW w:w="80" w:type="dxa"/>
            <w:vAlign w:val="bottom"/>
            <w:tcBorders>
              <w:top w:val="single" w:sz="8" w:color="CCEEFF"/>
            </w:tcBorders>
          </w:tcPr>
          <w:p>
            <w:pPr>
              <w:spacing w:after="0" w:line="20" w:lineRule="exact"/>
              <w:rPr>
                <w:sz w:val="1"/>
                <w:szCs w:val="1"/>
                <w:color w:val="auto"/>
              </w:rPr>
            </w:pPr>
          </w:p>
        </w:tc>
        <w:tc>
          <w:tcPr>
            <w:tcW w:w="220" w:type="dxa"/>
            <w:vAlign w:val="bottom"/>
            <w:tcBorders>
              <w:top w:val="single" w:sz="8" w:color="CCEEFF"/>
              <w:bottom w:val="single" w:sz="8" w:color="auto"/>
            </w:tcBorders>
          </w:tcPr>
          <w:p>
            <w:pPr>
              <w:spacing w:after="0" w:line="20" w:lineRule="exact"/>
              <w:rPr>
                <w:sz w:val="1"/>
                <w:szCs w:val="1"/>
                <w:color w:val="auto"/>
              </w:rPr>
            </w:pPr>
          </w:p>
        </w:tc>
        <w:tc>
          <w:tcPr>
            <w:tcW w:w="760" w:type="dxa"/>
            <w:vAlign w:val="bottom"/>
            <w:tcBorders>
              <w:top w:val="single" w:sz="8" w:color="CCEEFF"/>
              <w:bottom w:val="single" w:sz="8" w:color="auto"/>
            </w:tcBorders>
          </w:tcPr>
          <w:p>
            <w:pPr>
              <w:spacing w:after="0" w:line="20" w:lineRule="exact"/>
              <w:rPr>
                <w:sz w:val="1"/>
                <w:szCs w:val="1"/>
                <w:color w:val="auto"/>
              </w:rPr>
            </w:pPr>
          </w:p>
        </w:tc>
        <w:tc>
          <w:tcPr>
            <w:tcW w:w="1040" w:type="dxa"/>
            <w:vAlign w:val="bottom"/>
            <w:tcBorders>
              <w:top w:val="single" w:sz="8" w:color="CCEEFF"/>
              <w:bottom w:val="single" w:sz="8" w:color="CCEEFF"/>
            </w:tcBorders>
            <w:gridSpan w:val="2"/>
            <w:vMerge w:val="restart"/>
          </w:tcPr>
          <w:p>
            <w:pPr>
              <w:jc w:val="right"/>
              <w:ind w:right="63"/>
              <w:spacing w:after="0"/>
              <w:rPr>
                <w:sz w:val="20"/>
                <w:szCs w:val="20"/>
                <w:color w:val="auto"/>
              </w:rPr>
            </w:pPr>
            <w:r>
              <w:rPr>
                <w:rFonts w:ascii="Times New Roman" w:cs="Times New Roman" w:eastAsia="Times New Roman" w:hAnsi="Times New Roman"/>
                <w:sz w:val="11"/>
                <w:szCs w:val="11"/>
                <w:color w:val="auto"/>
              </w:rPr>
              <w:t>(3)</w:t>
            </w:r>
          </w:p>
        </w:tc>
        <w:tc>
          <w:tcPr>
            <w:tcW w:w="80" w:type="dxa"/>
            <w:vAlign w:val="bottom"/>
            <w:tcBorders>
              <w:top w:val="single" w:sz="8" w:color="CCEEFF"/>
            </w:tcBorders>
          </w:tcPr>
          <w:p>
            <w:pPr>
              <w:spacing w:after="0" w:line="20" w:lineRule="exact"/>
              <w:rPr>
                <w:sz w:val="1"/>
                <w:szCs w:val="1"/>
                <w:color w:val="auto"/>
              </w:rPr>
            </w:pPr>
          </w:p>
        </w:tc>
        <w:tc>
          <w:tcPr>
            <w:tcW w:w="220" w:type="dxa"/>
            <w:vAlign w:val="bottom"/>
            <w:tcBorders>
              <w:top w:val="single" w:sz="8" w:color="CCEEFF"/>
              <w:bottom w:val="single" w:sz="8" w:color="auto"/>
            </w:tcBorders>
          </w:tcPr>
          <w:p>
            <w:pPr>
              <w:spacing w:after="0" w:line="20" w:lineRule="exact"/>
              <w:rPr>
                <w:sz w:val="1"/>
                <w:szCs w:val="1"/>
                <w:color w:val="auto"/>
              </w:rPr>
            </w:pPr>
          </w:p>
        </w:tc>
        <w:tc>
          <w:tcPr>
            <w:tcW w:w="760" w:type="dxa"/>
            <w:vAlign w:val="bottom"/>
            <w:tcBorders>
              <w:top w:val="single" w:sz="8" w:color="CCEEFF"/>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15"/>
        </w:trPr>
        <w:tc>
          <w:tcPr>
            <w:tcW w:w="1940" w:type="dxa"/>
            <w:vAlign w:val="bottom"/>
            <w:vMerge w:val="continue"/>
          </w:tcPr>
          <w:p>
            <w:pPr>
              <w:spacing w:after="0"/>
              <w:rPr>
                <w:sz w:val="10"/>
                <w:szCs w:val="10"/>
                <w:color w:val="auto"/>
              </w:rPr>
            </w:pPr>
          </w:p>
        </w:tc>
        <w:tc>
          <w:tcPr>
            <w:tcW w:w="220" w:type="dxa"/>
            <w:vAlign w:val="bottom"/>
          </w:tcPr>
          <w:p>
            <w:pPr>
              <w:spacing w:after="0"/>
              <w:rPr>
                <w:sz w:val="10"/>
                <w:szCs w:val="10"/>
                <w:color w:val="auto"/>
              </w:rPr>
            </w:pPr>
          </w:p>
        </w:tc>
        <w:tc>
          <w:tcPr>
            <w:tcW w:w="740" w:type="dxa"/>
            <w:vAlign w:val="bottom"/>
          </w:tcPr>
          <w:p>
            <w:pPr>
              <w:jc w:val="right"/>
              <w:spacing w:after="0" w:line="115" w:lineRule="exact"/>
              <w:rPr>
                <w:sz w:val="20"/>
                <w:szCs w:val="20"/>
                <w:color w:val="auto"/>
              </w:rPr>
            </w:pPr>
            <w:r>
              <w:rPr>
                <w:rFonts w:ascii="Times New Roman" w:cs="Times New Roman" w:eastAsia="Times New Roman" w:hAnsi="Times New Roman"/>
                <w:sz w:val="11"/>
                <w:szCs w:val="11"/>
                <w:color w:val="auto"/>
              </w:rPr>
              <w:t>1,995</w:t>
            </w:r>
          </w:p>
        </w:tc>
        <w:tc>
          <w:tcPr>
            <w:tcW w:w="1040" w:type="dxa"/>
            <w:vAlign w:val="bottom"/>
            <w:gridSpan w:val="2"/>
            <w:vMerge w:val="continue"/>
          </w:tcPr>
          <w:p>
            <w:pPr>
              <w:spacing w:after="0"/>
              <w:rPr>
                <w:sz w:val="10"/>
                <w:szCs w:val="10"/>
                <w:color w:val="auto"/>
              </w:rPr>
            </w:pPr>
          </w:p>
        </w:tc>
        <w:tc>
          <w:tcPr>
            <w:tcW w:w="80" w:type="dxa"/>
            <w:vAlign w:val="bottom"/>
          </w:tcPr>
          <w:p>
            <w:pPr>
              <w:spacing w:after="0"/>
              <w:rPr>
                <w:sz w:val="10"/>
                <w:szCs w:val="10"/>
                <w:color w:val="auto"/>
              </w:rPr>
            </w:pPr>
          </w:p>
        </w:tc>
        <w:tc>
          <w:tcPr>
            <w:tcW w:w="220" w:type="dxa"/>
            <w:vAlign w:val="bottom"/>
          </w:tcPr>
          <w:p>
            <w:pPr>
              <w:spacing w:after="0"/>
              <w:rPr>
                <w:sz w:val="10"/>
                <w:szCs w:val="10"/>
                <w:color w:val="auto"/>
              </w:rPr>
            </w:pPr>
          </w:p>
        </w:tc>
        <w:tc>
          <w:tcPr>
            <w:tcW w:w="760" w:type="dxa"/>
            <w:vAlign w:val="bottom"/>
          </w:tcPr>
          <w:p>
            <w:pPr>
              <w:jc w:val="right"/>
              <w:ind w:right="3"/>
              <w:spacing w:after="0" w:line="115" w:lineRule="exact"/>
              <w:rPr>
                <w:sz w:val="20"/>
                <w:szCs w:val="20"/>
                <w:color w:val="auto"/>
              </w:rPr>
            </w:pPr>
            <w:r>
              <w:rPr>
                <w:rFonts w:ascii="Times New Roman" w:cs="Times New Roman" w:eastAsia="Times New Roman" w:hAnsi="Times New Roman"/>
                <w:sz w:val="11"/>
                <w:szCs w:val="11"/>
                <w:color w:val="auto"/>
              </w:rPr>
              <w:t>1,701</w:t>
            </w:r>
          </w:p>
        </w:tc>
        <w:tc>
          <w:tcPr>
            <w:tcW w:w="1020" w:type="dxa"/>
            <w:vAlign w:val="bottom"/>
            <w:gridSpan w:val="2"/>
            <w:vMerge w:val="continue"/>
          </w:tcPr>
          <w:p>
            <w:pPr>
              <w:spacing w:after="0"/>
              <w:rPr>
                <w:sz w:val="10"/>
                <w:szCs w:val="10"/>
                <w:color w:val="auto"/>
              </w:rPr>
            </w:pPr>
          </w:p>
        </w:tc>
        <w:tc>
          <w:tcPr>
            <w:tcW w:w="100" w:type="dxa"/>
            <w:vAlign w:val="bottom"/>
          </w:tcPr>
          <w:p>
            <w:pPr>
              <w:spacing w:after="0"/>
              <w:rPr>
                <w:sz w:val="10"/>
                <w:szCs w:val="10"/>
                <w:color w:val="auto"/>
              </w:rPr>
            </w:pPr>
          </w:p>
        </w:tc>
        <w:tc>
          <w:tcPr>
            <w:tcW w:w="220" w:type="dxa"/>
            <w:vAlign w:val="bottom"/>
          </w:tcPr>
          <w:p>
            <w:pPr>
              <w:spacing w:after="0"/>
              <w:rPr>
                <w:sz w:val="10"/>
                <w:szCs w:val="10"/>
                <w:color w:val="auto"/>
              </w:rPr>
            </w:pPr>
          </w:p>
        </w:tc>
        <w:tc>
          <w:tcPr>
            <w:tcW w:w="740" w:type="dxa"/>
            <w:vAlign w:val="bottom"/>
          </w:tcPr>
          <w:p>
            <w:pPr>
              <w:jc w:val="right"/>
              <w:spacing w:after="0" w:line="115" w:lineRule="exact"/>
              <w:rPr>
                <w:sz w:val="20"/>
                <w:szCs w:val="20"/>
                <w:color w:val="auto"/>
              </w:rPr>
            </w:pPr>
            <w:r>
              <w:rPr>
                <w:rFonts w:ascii="Times New Roman" w:cs="Times New Roman" w:eastAsia="Times New Roman" w:hAnsi="Times New Roman"/>
                <w:sz w:val="11"/>
                <w:szCs w:val="11"/>
                <w:color w:val="auto"/>
              </w:rPr>
              <w:t>1,736</w:t>
            </w:r>
          </w:p>
        </w:tc>
        <w:tc>
          <w:tcPr>
            <w:tcW w:w="1040" w:type="dxa"/>
            <w:vAlign w:val="bottom"/>
            <w:gridSpan w:val="2"/>
            <w:vMerge w:val="continue"/>
          </w:tcPr>
          <w:p>
            <w:pPr>
              <w:spacing w:after="0"/>
              <w:rPr>
                <w:sz w:val="10"/>
                <w:szCs w:val="10"/>
                <w:color w:val="auto"/>
              </w:rPr>
            </w:pPr>
          </w:p>
        </w:tc>
        <w:tc>
          <w:tcPr>
            <w:tcW w:w="80" w:type="dxa"/>
            <w:vAlign w:val="bottom"/>
          </w:tcPr>
          <w:p>
            <w:pPr>
              <w:spacing w:after="0"/>
              <w:rPr>
                <w:sz w:val="10"/>
                <w:szCs w:val="10"/>
                <w:color w:val="auto"/>
              </w:rPr>
            </w:pPr>
          </w:p>
        </w:tc>
        <w:tc>
          <w:tcPr>
            <w:tcW w:w="220" w:type="dxa"/>
            <w:vAlign w:val="bottom"/>
          </w:tcPr>
          <w:p>
            <w:pPr>
              <w:spacing w:after="0"/>
              <w:rPr>
                <w:sz w:val="10"/>
                <w:szCs w:val="10"/>
                <w:color w:val="auto"/>
              </w:rPr>
            </w:pPr>
          </w:p>
        </w:tc>
        <w:tc>
          <w:tcPr>
            <w:tcW w:w="760" w:type="dxa"/>
            <w:vAlign w:val="bottom"/>
          </w:tcPr>
          <w:p>
            <w:pPr>
              <w:jc w:val="right"/>
              <w:spacing w:after="0" w:line="115" w:lineRule="exact"/>
              <w:rPr>
                <w:sz w:val="20"/>
                <w:szCs w:val="20"/>
                <w:color w:val="auto"/>
              </w:rPr>
            </w:pPr>
            <w:r>
              <w:rPr>
                <w:rFonts w:ascii="Times New Roman" w:cs="Times New Roman" w:eastAsia="Times New Roman" w:hAnsi="Times New Roman"/>
                <w:sz w:val="11"/>
                <w:szCs w:val="11"/>
                <w:color w:val="auto"/>
              </w:rPr>
              <w:t>1,683</w:t>
            </w:r>
          </w:p>
        </w:tc>
        <w:tc>
          <w:tcPr>
            <w:tcW w:w="1040" w:type="dxa"/>
            <w:vAlign w:val="bottom"/>
            <w:gridSpan w:val="2"/>
            <w:vMerge w:val="continue"/>
          </w:tcPr>
          <w:p>
            <w:pPr>
              <w:spacing w:after="0"/>
              <w:rPr>
                <w:sz w:val="10"/>
                <w:szCs w:val="10"/>
                <w:color w:val="auto"/>
              </w:rPr>
            </w:pPr>
          </w:p>
        </w:tc>
        <w:tc>
          <w:tcPr>
            <w:tcW w:w="80" w:type="dxa"/>
            <w:vAlign w:val="bottom"/>
          </w:tcPr>
          <w:p>
            <w:pPr>
              <w:spacing w:after="0"/>
              <w:rPr>
                <w:sz w:val="10"/>
                <w:szCs w:val="10"/>
                <w:color w:val="auto"/>
              </w:rPr>
            </w:pPr>
          </w:p>
        </w:tc>
        <w:tc>
          <w:tcPr>
            <w:tcW w:w="220" w:type="dxa"/>
            <w:vAlign w:val="bottom"/>
          </w:tcPr>
          <w:p>
            <w:pPr>
              <w:spacing w:after="0"/>
              <w:rPr>
                <w:sz w:val="10"/>
                <w:szCs w:val="10"/>
                <w:color w:val="auto"/>
              </w:rPr>
            </w:pPr>
          </w:p>
        </w:tc>
        <w:tc>
          <w:tcPr>
            <w:tcW w:w="760" w:type="dxa"/>
            <w:vAlign w:val="bottom"/>
          </w:tcPr>
          <w:p>
            <w:pPr>
              <w:jc w:val="right"/>
              <w:spacing w:after="0" w:line="115" w:lineRule="exact"/>
              <w:rPr>
                <w:sz w:val="20"/>
                <w:szCs w:val="20"/>
                <w:color w:val="auto"/>
              </w:rPr>
            </w:pPr>
            <w:r>
              <w:rPr>
                <w:rFonts w:ascii="Times New Roman" w:cs="Times New Roman" w:eastAsia="Times New Roman" w:hAnsi="Times New Roman"/>
                <w:sz w:val="11"/>
                <w:szCs w:val="11"/>
                <w:color w:val="auto"/>
              </w:rPr>
              <w:t>1,744</w:t>
            </w:r>
          </w:p>
        </w:tc>
        <w:tc>
          <w:tcPr>
            <w:tcW w:w="0" w:type="dxa"/>
            <w:vAlign w:val="bottom"/>
          </w:tcPr>
          <w:p>
            <w:pPr>
              <w:spacing w:after="0"/>
              <w:rPr>
                <w:sz w:val="1"/>
                <w:szCs w:val="1"/>
                <w:color w:val="auto"/>
              </w:rPr>
            </w:pPr>
          </w:p>
        </w:tc>
      </w:tr>
      <w:tr>
        <w:trPr>
          <w:trHeight w:val="165"/>
        </w:trPr>
        <w:tc>
          <w:tcPr>
            <w:tcW w:w="1940" w:type="dxa"/>
            <w:vAlign w:val="bottom"/>
            <w:shd w:val="clear" w:color="auto" w:fill="CCEEFF"/>
          </w:tcPr>
          <w:p>
            <w:pPr>
              <w:ind w:left="180"/>
              <w:spacing w:after="0"/>
              <w:rPr>
                <w:sz w:val="20"/>
                <w:szCs w:val="20"/>
                <w:color w:val="auto"/>
              </w:rPr>
            </w:pPr>
            <w:r>
              <w:rPr>
                <w:rFonts w:ascii="Times New Roman" w:cs="Times New Roman" w:eastAsia="Times New Roman" w:hAnsi="Times New Roman"/>
                <w:sz w:val="11"/>
                <w:szCs w:val="11"/>
                <w:color w:val="auto"/>
              </w:rPr>
              <w:t>Intangible amortization</w:t>
            </w:r>
          </w:p>
        </w:tc>
        <w:tc>
          <w:tcPr>
            <w:tcW w:w="220" w:type="dxa"/>
            <w:vAlign w:val="bottom"/>
            <w:shd w:val="clear" w:color="auto" w:fill="CCEEFF"/>
          </w:tcPr>
          <w:p>
            <w:pPr>
              <w:spacing w:after="0"/>
              <w:rPr>
                <w:sz w:val="14"/>
                <w:szCs w:val="14"/>
                <w:color w:val="auto"/>
              </w:rPr>
            </w:pPr>
          </w:p>
        </w:tc>
        <w:tc>
          <w:tcPr>
            <w:tcW w:w="7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1"/>
                <w:szCs w:val="11"/>
                <w:color w:val="auto"/>
              </w:rPr>
              <w:t>43</w:t>
            </w:r>
          </w:p>
        </w:tc>
        <w:tc>
          <w:tcPr>
            <w:tcW w:w="1040" w:type="dxa"/>
            <w:vAlign w:val="bottom"/>
            <w:gridSpan w:val="2"/>
            <w:shd w:val="clear" w:color="auto" w:fill="CCEEFF"/>
          </w:tcPr>
          <w:p>
            <w:pPr>
              <w:ind w:left="720"/>
              <w:spacing w:after="0"/>
              <w:rPr>
                <w:sz w:val="20"/>
                <w:szCs w:val="20"/>
                <w:color w:val="auto"/>
              </w:rPr>
            </w:pPr>
            <w:r>
              <w:rPr>
                <w:rFonts w:ascii="Times New Roman" w:cs="Times New Roman" w:eastAsia="Times New Roman" w:hAnsi="Times New Roman"/>
                <w:sz w:val="11"/>
                <w:szCs w:val="11"/>
                <w:color w:val="auto"/>
              </w:rPr>
              <w:t>(65)</w:t>
            </w:r>
          </w:p>
        </w:tc>
        <w:tc>
          <w:tcPr>
            <w:tcW w:w="80" w:type="dxa"/>
            <w:vAlign w:val="bottom"/>
            <w:shd w:val="clear" w:color="auto" w:fill="CCEEFF"/>
          </w:tcPr>
          <w:p>
            <w:pPr>
              <w:spacing w:after="0"/>
              <w:rPr>
                <w:sz w:val="14"/>
                <w:szCs w:val="14"/>
                <w:color w:val="auto"/>
              </w:rPr>
            </w:pPr>
          </w:p>
        </w:tc>
        <w:tc>
          <w:tcPr>
            <w:tcW w:w="220" w:type="dxa"/>
            <w:vAlign w:val="bottom"/>
            <w:shd w:val="clear" w:color="auto" w:fill="CCEEFF"/>
          </w:tcPr>
          <w:p>
            <w:pPr>
              <w:spacing w:after="0"/>
              <w:rPr>
                <w:sz w:val="14"/>
                <w:szCs w:val="14"/>
                <w:color w:val="auto"/>
              </w:rPr>
            </w:pPr>
          </w:p>
        </w:tc>
        <w:tc>
          <w:tcPr>
            <w:tcW w:w="760" w:type="dxa"/>
            <w:vAlign w:val="bottom"/>
            <w:shd w:val="clear" w:color="auto" w:fill="CCEEFF"/>
          </w:tcPr>
          <w:p>
            <w:pPr>
              <w:jc w:val="right"/>
              <w:ind w:right="3"/>
              <w:spacing w:after="0"/>
              <w:rPr>
                <w:sz w:val="20"/>
                <w:szCs w:val="20"/>
                <w:color w:val="auto"/>
              </w:rPr>
            </w:pPr>
            <w:r>
              <w:rPr>
                <w:rFonts w:ascii="Times New Roman" w:cs="Times New Roman" w:eastAsia="Times New Roman" w:hAnsi="Times New Roman"/>
                <w:sz w:val="11"/>
                <w:szCs w:val="11"/>
                <w:color w:val="auto"/>
              </w:rPr>
              <w:t>124</w:t>
            </w:r>
          </w:p>
        </w:tc>
        <w:tc>
          <w:tcPr>
            <w:tcW w:w="1020" w:type="dxa"/>
            <w:vAlign w:val="bottom"/>
            <w:gridSpan w:val="2"/>
            <w:shd w:val="clear" w:color="auto" w:fill="CCEEFF"/>
          </w:tcPr>
          <w:p>
            <w:pPr>
              <w:jc w:val="right"/>
              <w:ind w:right="63"/>
              <w:spacing w:after="0"/>
              <w:rPr>
                <w:sz w:val="20"/>
                <w:szCs w:val="20"/>
                <w:color w:val="auto"/>
              </w:rPr>
            </w:pPr>
            <w:r>
              <w:rPr>
                <w:rFonts w:ascii="Times New Roman" w:cs="Times New Roman" w:eastAsia="Times New Roman" w:hAnsi="Times New Roman"/>
                <w:sz w:val="11"/>
                <w:szCs w:val="11"/>
                <w:color w:val="auto"/>
              </w:rPr>
              <w:t>(15)</w:t>
            </w:r>
          </w:p>
        </w:tc>
        <w:tc>
          <w:tcPr>
            <w:tcW w:w="100" w:type="dxa"/>
            <w:vAlign w:val="bottom"/>
            <w:shd w:val="clear" w:color="auto" w:fill="CCEEFF"/>
          </w:tcPr>
          <w:p>
            <w:pPr>
              <w:spacing w:after="0"/>
              <w:rPr>
                <w:sz w:val="14"/>
                <w:szCs w:val="14"/>
                <w:color w:val="auto"/>
              </w:rPr>
            </w:pPr>
          </w:p>
        </w:tc>
        <w:tc>
          <w:tcPr>
            <w:tcW w:w="220" w:type="dxa"/>
            <w:vAlign w:val="bottom"/>
            <w:shd w:val="clear" w:color="auto" w:fill="CCEEFF"/>
          </w:tcPr>
          <w:p>
            <w:pPr>
              <w:spacing w:after="0"/>
              <w:rPr>
                <w:sz w:val="14"/>
                <w:szCs w:val="14"/>
                <w:color w:val="auto"/>
              </w:rPr>
            </w:pPr>
          </w:p>
        </w:tc>
        <w:tc>
          <w:tcPr>
            <w:tcW w:w="7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1"/>
                <w:szCs w:val="11"/>
                <w:color w:val="auto"/>
              </w:rPr>
              <w:t>146</w:t>
            </w:r>
          </w:p>
        </w:tc>
        <w:tc>
          <w:tcPr>
            <w:tcW w:w="1040" w:type="dxa"/>
            <w:vAlign w:val="bottom"/>
            <w:gridSpan w:val="2"/>
            <w:shd w:val="clear" w:color="auto" w:fill="CCEEFF"/>
          </w:tcPr>
          <w:p>
            <w:pPr>
              <w:jc w:val="center"/>
              <w:ind w:left="603"/>
              <w:spacing w:after="0"/>
              <w:rPr>
                <w:sz w:val="20"/>
                <w:szCs w:val="20"/>
                <w:color w:val="auto"/>
              </w:rPr>
            </w:pPr>
            <w:r>
              <w:rPr>
                <w:rFonts w:ascii="Times New Roman" w:cs="Times New Roman" w:eastAsia="Times New Roman" w:hAnsi="Times New Roman"/>
                <w:sz w:val="11"/>
                <w:szCs w:val="11"/>
                <w:color w:val="auto"/>
              </w:rPr>
              <w:t>1</w:t>
            </w:r>
          </w:p>
        </w:tc>
        <w:tc>
          <w:tcPr>
            <w:tcW w:w="80" w:type="dxa"/>
            <w:vAlign w:val="bottom"/>
            <w:shd w:val="clear" w:color="auto" w:fill="CCEEFF"/>
          </w:tcPr>
          <w:p>
            <w:pPr>
              <w:spacing w:after="0"/>
              <w:rPr>
                <w:sz w:val="14"/>
                <w:szCs w:val="14"/>
                <w:color w:val="auto"/>
              </w:rPr>
            </w:pPr>
          </w:p>
        </w:tc>
        <w:tc>
          <w:tcPr>
            <w:tcW w:w="220" w:type="dxa"/>
            <w:vAlign w:val="bottom"/>
            <w:shd w:val="clear" w:color="auto" w:fill="CCEEFF"/>
          </w:tcPr>
          <w:p>
            <w:pPr>
              <w:spacing w:after="0"/>
              <w:rPr>
                <w:sz w:val="14"/>
                <w:szCs w:val="14"/>
                <w:color w:val="auto"/>
              </w:rPr>
            </w:pPr>
          </w:p>
        </w:tc>
        <w:tc>
          <w:tcPr>
            <w:tcW w:w="7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1"/>
                <w:szCs w:val="11"/>
                <w:color w:val="auto"/>
              </w:rPr>
              <w:t>145</w:t>
            </w:r>
          </w:p>
        </w:tc>
        <w:tc>
          <w:tcPr>
            <w:tcW w:w="1040" w:type="dxa"/>
            <w:vAlign w:val="bottom"/>
            <w:gridSpan w:val="2"/>
            <w:shd w:val="clear" w:color="auto" w:fill="CCEEFF"/>
          </w:tcPr>
          <w:p>
            <w:pPr>
              <w:jc w:val="right"/>
              <w:ind w:right="103"/>
              <w:spacing w:after="0"/>
              <w:rPr>
                <w:sz w:val="20"/>
                <w:szCs w:val="20"/>
                <w:color w:val="auto"/>
              </w:rPr>
            </w:pPr>
            <w:r>
              <w:rPr>
                <w:rFonts w:ascii="Times New Roman" w:cs="Times New Roman" w:eastAsia="Times New Roman" w:hAnsi="Times New Roman"/>
                <w:sz w:val="11"/>
                <w:szCs w:val="11"/>
                <w:color w:val="auto"/>
              </w:rPr>
              <w:t>24</w:t>
            </w:r>
          </w:p>
        </w:tc>
        <w:tc>
          <w:tcPr>
            <w:tcW w:w="80" w:type="dxa"/>
            <w:vAlign w:val="bottom"/>
            <w:shd w:val="clear" w:color="auto" w:fill="CCEEFF"/>
          </w:tcPr>
          <w:p>
            <w:pPr>
              <w:spacing w:after="0"/>
              <w:rPr>
                <w:sz w:val="14"/>
                <w:szCs w:val="14"/>
                <w:color w:val="auto"/>
              </w:rPr>
            </w:pPr>
          </w:p>
        </w:tc>
        <w:tc>
          <w:tcPr>
            <w:tcW w:w="220" w:type="dxa"/>
            <w:vAlign w:val="bottom"/>
            <w:shd w:val="clear" w:color="auto" w:fill="CCEEFF"/>
          </w:tcPr>
          <w:p>
            <w:pPr>
              <w:spacing w:after="0"/>
              <w:rPr>
                <w:sz w:val="14"/>
                <w:szCs w:val="14"/>
                <w:color w:val="auto"/>
              </w:rPr>
            </w:pPr>
          </w:p>
        </w:tc>
        <w:tc>
          <w:tcPr>
            <w:tcW w:w="7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1"/>
                <w:szCs w:val="11"/>
                <w:color w:val="auto"/>
              </w:rPr>
              <w:t>117</w:t>
            </w:r>
          </w:p>
        </w:tc>
        <w:tc>
          <w:tcPr>
            <w:tcW w:w="0" w:type="dxa"/>
            <w:vAlign w:val="bottom"/>
          </w:tcPr>
          <w:p>
            <w:pPr>
              <w:spacing w:after="0"/>
              <w:rPr>
                <w:sz w:val="1"/>
                <w:szCs w:val="1"/>
                <w:color w:val="auto"/>
              </w:rPr>
            </w:pPr>
          </w:p>
        </w:tc>
      </w:tr>
      <w:tr>
        <w:trPr>
          <w:trHeight w:val="110"/>
        </w:trPr>
        <w:tc>
          <w:tcPr>
            <w:tcW w:w="1940" w:type="dxa"/>
            <w:vAlign w:val="bottom"/>
          </w:tcPr>
          <w:p>
            <w:pPr>
              <w:ind w:left="180"/>
              <w:spacing w:after="0" w:line="110" w:lineRule="exact"/>
              <w:rPr>
                <w:sz w:val="20"/>
                <w:szCs w:val="20"/>
                <w:color w:val="auto"/>
              </w:rPr>
            </w:pPr>
            <w:r>
              <w:rPr>
                <w:rFonts w:ascii="Times New Roman" w:cs="Times New Roman" w:eastAsia="Times New Roman" w:hAnsi="Times New Roman"/>
                <w:sz w:val="11"/>
                <w:szCs w:val="11"/>
                <w:color w:val="auto"/>
              </w:rPr>
              <w:t>Tax impact of adjustments to GAAP</w:t>
            </w:r>
          </w:p>
        </w:tc>
        <w:tc>
          <w:tcPr>
            <w:tcW w:w="220" w:type="dxa"/>
            <w:vAlign w:val="bottom"/>
          </w:tcPr>
          <w:p>
            <w:pPr>
              <w:spacing w:after="0"/>
              <w:rPr>
                <w:sz w:val="9"/>
                <w:szCs w:val="9"/>
                <w:color w:val="auto"/>
              </w:rPr>
            </w:pPr>
          </w:p>
        </w:tc>
        <w:tc>
          <w:tcPr>
            <w:tcW w:w="740" w:type="dxa"/>
            <w:vAlign w:val="bottom"/>
            <w:vMerge w:val="restart"/>
          </w:tcPr>
          <w:p>
            <w:pPr>
              <w:jc w:val="right"/>
              <w:spacing w:after="0"/>
              <w:rPr>
                <w:sz w:val="20"/>
                <w:szCs w:val="20"/>
                <w:color w:val="auto"/>
              </w:rPr>
            </w:pPr>
            <w:r>
              <w:rPr>
                <w:rFonts w:ascii="Times New Roman" w:cs="Times New Roman" w:eastAsia="Times New Roman" w:hAnsi="Times New Roman"/>
                <w:sz w:val="11"/>
                <w:szCs w:val="11"/>
                <w:color w:val="auto"/>
              </w:rPr>
              <w:t>(536)</w:t>
            </w:r>
          </w:p>
        </w:tc>
        <w:tc>
          <w:tcPr>
            <w:tcW w:w="1040" w:type="dxa"/>
            <w:vAlign w:val="bottom"/>
            <w:gridSpan w:val="2"/>
            <w:vMerge w:val="restart"/>
          </w:tcPr>
          <w:p>
            <w:pPr>
              <w:ind w:left="720"/>
              <w:spacing w:after="0"/>
              <w:rPr>
                <w:sz w:val="20"/>
                <w:szCs w:val="20"/>
                <w:color w:val="auto"/>
              </w:rPr>
            </w:pPr>
            <w:r>
              <w:rPr>
                <w:rFonts w:ascii="Times New Roman" w:cs="Times New Roman" w:eastAsia="Times New Roman" w:hAnsi="Times New Roman"/>
                <w:sz w:val="11"/>
                <w:szCs w:val="11"/>
                <w:color w:val="auto"/>
              </w:rPr>
              <w:t>(46)</w:t>
            </w:r>
          </w:p>
        </w:tc>
        <w:tc>
          <w:tcPr>
            <w:tcW w:w="80" w:type="dxa"/>
            <w:vAlign w:val="bottom"/>
          </w:tcPr>
          <w:p>
            <w:pPr>
              <w:spacing w:after="0"/>
              <w:rPr>
                <w:sz w:val="9"/>
                <w:szCs w:val="9"/>
                <w:color w:val="auto"/>
              </w:rPr>
            </w:pPr>
          </w:p>
        </w:tc>
        <w:tc>
          <w:tcPr>
            <w:tcW w:w="220" w:type="dxa"/>
            <w:vAlign w:val="bottom"/>
          </w:tcPr>
          <w:p>
            <w:pPr>
              <w:spacing w:after="0"/>
              <w:rPr>
                <w:sz w:val="9"/>
                <w:szCs w:val="9"/>
                <w:color w:val="auto"/>
              </w:rPr>
            </w:pPr>
          </w:p>
        </w:tc>
        <w:tc>
          <w:tcPr>
            <w:tcW w:w="760" w:type="dxa"/>
            <w:vAlign w:val="bottom"/>
            <w:vMerge w:val="restart"/>
          </w:tcPr>
          <w:p>
            <w:pPr>
              <w:jc w:val="right"/>
              <w:spacing w:after="0"/>
              <w:rPr>
                <w:sz w:val="20"/>
                <w:szCs w:val="20"/>
                <w:color w:val="auto"/>
              </w:rPr>
            </w:pPr>
            <w:r>
              <w:rPr>
                <w:rFonts w:ascii="Times New Roman" w:cs="Times New Roman" w:eastAsia="Times New Roman" w:hAnsi="Times New Roman"/>
                <w:sz w:val="11"/>
                <w:szCs w:val="11"/>
                <w:color w:val="auto"/>
              </w:rPr>
              <w:t>(995)</w:t>
            </w:r>
          </w:p>
        </w:tc>
        <w:tc>
          <w:tcPr>
            <w:tcW w:w="1020" w:type="dxa"/>
            <w:vAlign w:val="bottom"/>
            <w:gridSpan w:val="2"/>
            <w:vMerge w:val="restart"/>
          </w:tcPr>
          <w:p>
            <w:pPr>
              <w:jc w:val="right"/>
              <w:ind w:right="63"/>
              <w:spacing w:after="0"/>
              <w:rPr>
                <w:sz w:val="20"/>
                <w:szCs w:val="20"/>
                <w:color w:val="auto"/>
              </w:rPr>
            </w:pPr>
            <w:r>
              <w:rPr>
                <w:rFonts w:ascii="Times New Roman" w:cs="Times New Roman" w:eastAsia="Times New Roman" w:hAnsi="Times New Roman"/>
                <w:sz w:val="11"/>
                <w:szCs w:val="11"/>
                <w:color w:val="auto"/>
              </w:rPr>
              <w:t>(320)</w:t>
            </w:r>
          </w:p>
        </w:tc>
        <w:tc>
          <w:tcPr>
            <w:tcW w:w="100" w:type="dxa"/>
            <w:vAlign w:val="bottom"/>
          </w:tcPr>
          <w:p>
            <w:pPr>
              <w:spacing w:after="0"/>
              <w:rPr>
                <w:sz w:val="9"/>
                <w:szCs w:val="9"/>
                <w:color w:val="auto"/>
              </w:rPr>
            </w:pPr>
          </w:p>
        </w:tc>
        <w:tc>
          <w:tcPr>
            <w:tcW w:w="220" w:type="dxa"/>
            <w:vAlign w:val="bottom"/>
          </w:tcPr>
          <w:p>
            <w:pPr>
              <w:spacing w:after="0"/>
              <w:rPr>
                <w:sz w:val="9"/>
                <w:szCs w:val="9"/>
                <w:color w:val="auto"/>
              </w:rPr>
            </w:pPr>
          </w:p>
        </w:tc>
        <w:tc>
          <w:tcPr>
            <w:tcW w:w="740" w:type="dxa"/>
            <w:vAlign w:val="bottom"/>
            <w:vMerge w:val="restart"/>
          </w:tcPr>
          <w:p>
            <w:pPr>
              <w:jc w:val="right"/>
              <w:spacing w:after="0"/>
              <w:rPr>
                <w:sz w:val="20"/>
                <w:szCs w:val="20"/>
                <w:color w:val="auto"/>
              </w:rPr>
            </w:pPr>
            <w:r>
              <w:rPr>
                <w:rFonts w:ascii="Times New Roman" w:cs="Times New Roman" w:eastAsia="Times New Roman" w:hAnsi="Times New Roman"/>
                <w:sz w:val="11"/>
                <w:szCs w:val="11"/>
                <w:color w:val="auto"/>
              </w:rPr>
              <w:t>453</w:t>
            </w:r>
          </w:p>
        </w:tc>
        <w:tc>
          <w:tcPr>
            <w:tcW w:w="1040" w:type="dxa"/>
            <w:vAlign w:val="bottom"/>
            <w:gridSpan w:val="2"/>
            <w:vMerge w:val="restart"/>
          </w:tcPr>
          <w:p>
            <w:pPr>
              <w:jc w:val="right"/>
              <w:ind w:right="63"/>
              <w:spacing w:after="0"/>
              <w:rPr>
                <w:sz w:val="20"/>
                <w:szCs w:val="20"/>
                <w:color w:val="auto"/>
              </w:rPr>
            </w:pPr>
            <w:r>
              <w:rPr>
                <w:rFonts w:ascii="Times New Roman" w:cs="Times New Roman" w:eastAsia="Times New Roman" w:hAnsi="Times New Roman"/>
                <w:sz w:val="11"/>
                <w:szCs w:val="11"/>
                <w:color w:val="auto"/>
              </w:rPr>
              <w:t>(88)</w:t>
            </w:r>
          </w:p>
        </w:tc>
        <w:tc>
          <w:tcPr>
            <w:tcW w:w="80" w:type="dxa"/>
            <w:vAlign w:val="bottom"/>
          </w:tcPr>
          <w:p>
            <w:pPr>
              <w:spacing w:after="0"/>
              <w:rPr>
                <w:sz w:val="9"/>
                <w:szCs w:val="9"/>
                <w:color w:val="auto"/>
              </w:rPr>
            </w:pPr>
          </w:p>
        </w:tc>
        <w:tc>
          <w:tcPr>
            <w:tcW w:w="220" w:type="dxa"/>
            <w:vAlign w:val="bottom"/>
          </w:tcPr>
          <w:p>
            <w:pPr>
              <w:spacing w:after="0"/>
              <w:rPr>
                <w:sz w:val="9"/>
                <w:szCs w:val="9"/>
                <w:color w:val="auto"/>
              </w:rPr>
            </w:pPr>
          </w:p>
        </w:tc>
        <w:tc>
          <w:tcPr>
            <w:tcW w:w="760" w:type="dxa"/>
            <w:vAlign w:val="bottom"/>
            <w:vMerge w:val="restart"/>
          </w:tcPr>
          <w:p>
            <w:pPr>
              <w:jc w:val="right"/>
              <w:spacing w:after="0"/>
              <w:rPr>
                <w:sz w:val="20"/>
                <w:szCs w:val="20"/>
                <w:color w:val="auto"/>
              </w:rPr>
            </w:pPr>
            <w:r>
              <w:rPr>
                <w:rFonts w:ascii="Times New Roman" w:cs="Times New Roman" w:eastAsia="Times New Roman" w:hAnsi="Times New Roman"/>
                <w:sz w:val="11"/>
                <w:szCs w:val="11"/>
                <w:color w:val="auto"/>
              </w:rPr>
              <w:t>3,743</w:t>
            </w:r>
          </w:p>
        </w:tc>
        <w:tc>
          <w:tcPr>
            <w:tcW w:w="1040" w:type="dxa"/>
            <w:vAlign w:val="bottom"/>
            <w:gridSpan w:val="2"/>
            <w:vMerge w:val="restart"/>
          </w:tcPr>
          <w:p>
            <w:pPr>
              <w:jc w:val="right"/>
              <w:ind w:right="103"/>
              <w:spacing w:after="0"/>
              <w:rPr>
                <w:sz w:val="20"/>
                <w:szCs w:val="20"/>
                <w:color w:val="auto"/>
              </w:rPr>
            </w:pPr>
            <w:r>
              <w:rPr>
                <w:rFonts w:ascii="Times New Roman" w:cs="Times New Roman" w:eastAsia="Times New Roman" w:hAnsi="Times New Roman"/>
                <w:sz w:val="11"/>
                <w:szCs w:val="11"/>
                <w:color w:val="auto"/>
              </w:rPr>
              <w:t>162</w:t>
            </w:r>
          </w:p>
        </w:tc>
        <w:tc>
          <w:tcPr>
            <w:tcW w:w="80" w:type="dxa"/>
            <w:vAlign w:val="bottom"/>
          </w:tcPr>
          <w:p>
            <w:pPr>
              <w:spacing w:after="0"/>
              <w:rPr>
                <w:sz w:val="9"/>
                <w:szCs w:val="9"/>
                <w:color w:val="auto"/>
              </w:rPr>
            </w:pPr>
          </w:p>
        </w:tc>
        <w:tc>
          <w:tcPr>
            <w:tcW w:w="220" w:type="dxa"/>
            <w:vAlign w:val="bottom"/>
          </w:tcPr>
          <w:p>
            <w:pPr>
              <w:spacing w:after="0"/>
              <w:rPr>
                <w:sz w:val="9"/>
                <w:szCs w:val="9"/>
                <w:color w:val="auto"/>
              </w:rPr>
            </w:pPr>
          </w:p>
        </w:tc>
        <w:tc>
          <w:tcPr>
            <w:tcW w:w="760" w:type="dxa"/>
            <w:vAlign w:val="bottom"/>
            <w:vMerge w:val="restart"/>
          </w:tcPr>
          <w:p>
            <w:pPr>
              <w:jc w:val="right"/>
              <w:spacing w:after="0"/>
              <w:rPr>
                <w:sz w:val="20"/>
                <w:szCs w:val="20"/>
                <w:color w:val="auto"/>
              </w:rPr>
            </w:pPr>
            <w:r>
              <w:rPr>
                <w:rFonts w:ascii="Times New Roman" w:cs="Times New Roman" w:eastAsia="Times New Roman" w:hAnsi="Times New Roman"/>
                <w:sz w:val="11"/>
                <w:szCs w:val="11"/>
                <w:color w:val="auto"/>
              </w:rPr>
              <w:t>1,430</w:t>
            </w:r>
          </w:p>
        </w:tc>
        <w:tc>
          <w:tcPr>
            <w:tcW w:w="0" w:type="dxa"/>
            <w:vAlign w:val="bottom"/>
          </w:tcPr>
          <w:p>
            <w:pPr>
              <w:spacing w:after="0"/>
              <w:rPr>
                <w:sz w:val="1"/>
                <w:szCs w:val="1"/>
                <w:color w:val="auto"/>
              </w:rPr>
            </w:pPr>
          </w:p>
        </w:tc>
      </w:tr>
      <w:tr>
        <w:trPr>
          <w:trHeight w:val="151"/>
        </w:trPr>
        <w:tc>
          <w:tcPr>
            <w:tcW w:w="1940" w:type="dxa"/>
            <w:vAlign w:val="bottom"/>
            <w:tcBorders>
              <w:bottom w:val="single" w:sz="8" w:color="CCEEFF"/>
            </w:tcBorders>
          </w:tcPr>
          <w:p>
            <w:pPr>
              <w:ind w:left="180"/>
              <w:spacing w:after="0"/>
              <w:rPr>
                <w:sz w:val="20"/>
                <w:szCs w:val="20"/>
                <w:color w:val="auto"/>
              </w:rPr>
            </w:pPr>
            <w:r>
              <w:rPr>
                <w:rFonts w:ascii="Times New Roman" w:cs="Times New Roman" w:eastAsia="Times New Roman" w:hAnsi="Times New Roman"/>
                <w:sz w:val="11"/>
                <w:szCs w:val="11"/>
                <w:color w:val="auto"/>
              </w:rPr>
              <w:t>net income (loss)</w:t>
            </w:r>
          </w:p>
        </w:tc>
        <w:tc>
          <w:tcPr>
            <w:tcW w:w="220" w:type="dxa"/>
            <w:vAlign w:val="bottom"/>
            <w:tcBorders>
              <w:bottom w:val="single" w:sz="8" w:color="auto"/>
            </w:tcBorders>
          </w:tcPr>
          <w:p>
            <w:pPr>
              <w:spacing w:after="0"/>
              <w:rPr>
                <w:sz w:val="13"/>
                <w:szCs w:val="13"/>
                <w:color w:val="auto"/>
              </w:rPr>
            </w:pPr>
          </w:p>
        </w:tc>
        <w:tc>
          <w:tcPr>
            <w:tcW w:w="740" w:type="dxa"/>
            <w:vAlign w:val="bottom"/>
            <w:tcBorders>
              <w:bottom w:val="single" w:sz="8" w:color="auto"/>
            </w:tcBorders>
            <w:vMerge w:val="continue"/>
          </w:tcPr>
          <w:p>
            <w:pPr>
              <w:spacing w:after="0"/>
              <w:rPr>
                <w:sz w:val="13"/>
                <w:szCs w:val="13"/>
                <w:color w:val="auto"/>
              </w:rPr>
            </w:pPr>
          </w:p>
        </w:tc>
        <w:tc>
          <w:tcPr>
            <w:tcW w:w="1040" w:type="dxa"/>
            <w:vAlign w:val="bottom"/>
            <w:tcBorders>
              <w:bottom w:val="single" w:sz="8" w:color="CCEEFF"/>
            </w:tcBorders>
            <w:gridSpan w:val="2"/>
            <w:vMerge w:val="continue"/>
          </w:tcPr>
          <w:p>
            <w:pPr>
              <w:spacing w:after="0"/>
              <w:rPr>
                <w:sz w:val="13"/>
                <w:szCs w:val="13"/>
                <w:color w:val="auto"/>
              </w:rPr>
            </w:pPr>
          </w:p>
        </w:tc>
        <w:tc>
          <w:tcPr>
            <w:tcW w:w="80" w:type="dxa"/>
            <w:vAlign w:val="bottom"/>
            <w:tcBorders>
              <w:bottom w:val="single" w:sz="8" w:color="CCEEFF"/>
            </w:tcBorders>
          </w:tcPr>
          <w:p>
            <w:pPr>
              <w:spacing w:after="0"/>
              <w:rPr>
                <w:sz w:val="13"/>
                <w:szCs w:val="13"/>
                <w:color w:val="auto"/>
              </w:rPr>
            </w:pPr>
          </w:p>
        </w:tc>
        <w:tc>
          <w:tcPr>
            <w:tcW w:w="220" w:type="dxa"/>
            <w:vAlign w:val="bottom"/>
            <w:tcBorders>
              <w:bottom w:val="single" w:sz="8" w:color="auto"/>
            </w:tcBorders>
          </w:tcPr>
          <w:p>
            <w:pPr>
              <w:spacing w:after="0"/>
              <w:rPr>
                <w:sz w:val="13"/>
                <w:szCs w:val="13"/>
                <w:color w:val="auto"/>
              </w:rPr>
            </w:pPr>
          </w:p>
        </w:tc>
        <w:tc>
          <w:tcPr>
            <w:tcW w:w="760" w:type="dxa"/>
            <w:vAlign w:val="bottom"/>
            <w:tcBorders>
              <w:bottom w:val="single" w:sz="8" w:color="auto"/>
            </w:tcBorders>
            <w:vMerge w:val="continue"/>
          </w:tcPr>
          <w:p>
            <w:pPr>
              <w:spacing w:after="0"/>
              <w:rPr>
                <w:sz w:val="13"/>
                <w:szCs w:val="13"/>
                <w:color w:val="auto"/>
              </w:rPr>
            </w:pPr>
          </w:p>
        </w:tc>
        <w:tc>
          <w:tcPr>
            <w:tcW w:w="1020" w:type="dxa"/>
            <w:vAlign w:val="bottom"/>
            <w:tcBorders>
              <w:bottom w:val="single" w:sz="8" w:color="CCEEFF"/>
            </w:tcBorders>
            <w:gridSpan w:val="2"/>
            <w:vMerge w:val="continue"/>
          </w:tcPr>
          <w:p>
            <w:pPr>
              <w:spacing w:after="0"/>
              <w:rPr>
                <w:sz w:val="13"/>
                <w:szCs w:val="13"/>
                <w:color w:val="auto"/>
              </w:rPr>
            </w:pPr>
          </w:p>
        </w:tc>
        <w:tc>
          <w:tcPr>
            <w:tcW w:w="100" w:type="dxa"/>
            <w:vAlign w:val="bottom"/>
            <w:tcBorders>
              <w:bottom w:val="single" w:sz="8" w:color="CCEEFF"/>
            </w:tcBorders>
          </w:tcPr>
          <w:p>
            <w:pPr>
              <w:spacing w:after="0"/>
              <w:rPr>
                <w:sz w:val="13"/>
                <w:szCs w:val="13"/>
                <w:color w:val="auto"/>
              </w:rPr>
            </w:pPr>
          </w:p>
        </w:tc>
        <w:tc>
          <w:tcPr>
            <w:tcW w:w="220" w:type="dxa"/>
            <w:vAlign w:val="bottom"/>
            <w:tcBorders>
              <w:bottom w:val="single" w:sz="8" w:color="auto"/>
            </w:tcBorders>
          </w:tcPr>
          <w:p>
            <w:pPr>
              <w:spacing w:after="0"/>
              <w:rPr>
                <w:sz w:val="13"/>
                <w:szCs w:val="13"/>
                <w:color w:val="auto"/>
              </w:rPr>
            </w:pPr>
          </w:p>
        </w:tc>
        <w:tc>
          <w:tcPr>
            <w:tcW w:w="740" w:type="dxa"/>
            <w:vAlign w:val="bottom"/>
            <w:tcBorders>
              <w:bottom w:val="single" w:sz="8" w:color="auto"/>
            </w:tcBorders>
            <w:vMerge w:val="continue"/>
          </w:tcPr>
          <w:p>
            <w:pPr>
              <w:spacing w:after="0"/>
              <w:rPr>
                <w:sz w:val="13"/>
                <w:szCs w:val="13"/>
                <w:color w:val="auto"/>
              </w:rPr>
            </w:pPr>
          </w:p>
        </w:tc>
        <w:tc>
          <w:tcPr>
            <w:tcW w:w="1040" w:type="dxa"/>
            <w:vAlign w:val="bottom"/>
            <w:tcBorders>
              <w:bottom w:val="single" w:sz="8" w:color="CCEEFF"/>
            </w:tcBorders>
            <w:gridSpan w:val="2"/>
            <w:vMerge w:val="continue"/>
          </w:tcPr>
          <w:p>
            <w:pPr>
              <w:spacing w:after="0"/>
              <w:rPr>
                <w:sz w:val="13"/>
                <w:szCs w:val="13"/>
                <w:color w:val="auto"/>
              </w:rPr>
            </w:pPr>
          </w:p>
        </w:tc>
        <w:tc>
          <w:tcPr>
            <w:tcW w:w="80" w:type="dxa"/>
            <w:vAlign w:val="bottom"/>
            <w:tcBorders>
              <w:bottom w:val="single" w:sz="8" w:color="CCEEFF"/>
            </w:tcBorders>
          </w:tcPr>
          <w:p>
            <w:pPr>
              <w:spacing w:after="0"/>
              <w:rPr>
                <w:sz w:val="13"/>
                <w:szCs w:val="13"/>
                <w:color w:val="auto"/>
              </w:rPr>
            </w:pPr>
          </w:p>
        </w:tc>
        <w:tc>
          <w:tcPr>
            <w:tcW w:w="220" w:type="dxa"/>
            <w:vAlign w:val="bottom"/>
            <w:tcBorders>
              <w:bottom w:val="single" w:sz="8" w:color="auto"/>
            </w:tcBorders>
          </w:tcPr>
          <w:p>
            <w:pPr>
              <w:spacing w:after="0"/>
              <w:rPr>
                <w:sz w:val="13"/>
                <w:szCs w:val="13"/>
                <w:color w:val="auto"/>
              </w:rPr>
            </w:pPr>
          </w:p>
        </w:tc>
        <w:tc>
          <w:tcPr>
            <w:tcW w:w="760" w:type="dxa"/>
            <w:vAlign w:val="bottom"/>
            <w:tcBorders>
              <w:bottom w:val="single" w:sz="8" w:color="auto"/>
            </w:tcBorders>
            <w:vMerge w:val="continue"/>
          </w:tcPr>
          <w:p>
            <w:pPr>
              <w:spacing w:after="0"/>
              <w:rPr>
                <w:sz w:val="13"/>
                <w:szCs w:val="13"/>
                <w:color w:val="auto"/>
              </w:rPr>
            </w:pPr>
          </w:p>
        </w:tc>
        <w:tc>
          <w:tcPr>
            <w:tcW w:w="1040" w:type="dxa"/>
            <w:vAlign w:val="bottom"/>
            <w:tcBorders>
              <w:bottom w:val="single" w:sz="8" w:color="CCEEFF"/>
            </w:tcBorders>
            <w:gridSpan w:val="2"/>
            <w:vMerge w:val="continue"/>
          </w:tcPr>
          <w:p>
            <w:pPr>
              <w:spacing w:after="0"/>
              <w:rPr>
                <w:sz w:val="13"/>
                <w:szCs w:val="13"/>
                <w:color w:val="auto"/>
              </w:rPr>
            </w:pPr>
          </w:p>
        </w:tc>
        <w:tc>
          <w:tcPr>
            <w:tcW w:w="80" w:type="dxa"/>
            <w:vAlign w:val="bottom"/>
            <w:tcBorders>
              <w:bottom w:val="single" w:sz="8" w:color="CCEEFF"/>
            </w:tcBorders>
          </w:tcPr>
          <w:p>
            <w:pPr>
              <w:spacing w:after="0"/>
              <w:rPr>
                <w:sz w:val="13"/>
                <w:szCs w:val="13"/>
                <w:color w:val="auto"/>
              </w:rPr>
            </w:pPr>
          </w:p>
        </w:tc>
        <w:tc>
          <w:tcPr>
            <w:tcW w:w="220" w:type="dxa"/>
            <w:vAlign w:val="bottom"/>
            <w:tcBorders>
              <w:bottom w:val="single" w:sz="8" w:color="auto"/>
            </w:tcBorders>
          </w:tcPr>
          <w:p>
            <w:pPr>
              <w:spacing w:after="0"/>
              <w:rPr>
                <w:sz w:val="13"/>
                <w:szCs w:val="13"/>
                <w:color w:val="auto"/>
              </w:rPr>
            </w:pPr>
          </w:p>
        </w:tc>
        <w:tc>
          <w:tcPr>
            <w:tcW w:w="760" w:type="dxa"/>
            <w:vAlign w:val="bottom"/>
            <w:tcBorders>
              <w:bottom w:val="single" w:sz="8" w:color="auto"/>
            </w:tcBorders>
            <w:vMerge w:val="continue"/>
          </w:tcPr>
          <w:p>
            <w:pPr>
              <w:spacing w:after="0"/>
              <w:rPr>
                <w:sz w:val="13"/>
                <w:szCs w:val="13"/>
                <w:color w:val="auto"/>
              </w:rPr>
            </w:pPr>
          </w:p>
        </w:tc>
        <w:tc>
          <w:tcPr>
            <w:tcW w:w="0" w:type="dxa"/>
            <w:vAlign w:val="bottom"/>
          </w:tcPr>
          <w:p>
            <w:pPr>
              <w:spacing w:after="0"/>
              <w:rPr>
                <w:sz w:val="1"/>
                <w:szCs w:val="1"/>
                <w:color w:val="auto"/>
              </w:rPr>
            </w:pPr>
          </w:p>
        </w:tc>
      </w:tr>
      <w:tr>
        <w:trPr>
          <w:trHeight w:val="179"/>
        </w:trPr>
        <w:tc>
          <w:tcPr>
            <w:tcW w:w="194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1"/>
                <w:szCs w:val="11"/>
                <w:b w:val="1"/>
                <w:bCs w:val="1"/>
                <w:color w:val="auto"/>
              </w:rPr>
              <w:t>Economic Earnings (Loss)</w:t>
            </w:r>
          </w:p>
        </w:tc>
        <w:tc>
          <w:tcPr>
            <w:tcW w:w="220" w:type="dxa"/>
            <w:vAlign w:val="bottom"/>
            <w:tcBorders>
              <w:bottom w:val="single" w:sz="8" w:color="auto"/>
            </w:tcBorders>
            <w:shd w:val="clear" w:color="auto" w:fill="CCEEFF"/>
          </w:tcPr>
          <w:p>
            <w:pPr>
              <w:jc w:val="right"/>
              <w:ind w:right="83"/>
              <w:spacing w:after="0"/>
              <w:rPr>
                <w:sz w:val="20"/>
                <w:szCs w:val="20"/>
                <w:color w:val="auto"/>
              </w:rPr>
            </w:pPr>
            <w:r>
              <w:rPr>
                <w:rFonts w:ascii="Times New Roman" w:cs="Times New Roman" w:eastAsia="Times New Roman" w:hAnsi="Times New Roman"/>
                <w:sz w:val="11"/>
                <w:szCs w:val="11"/>
                <w:color w:val="auto"/>
              </w:rPr>
              <w:t>$</w:t>
            </w:r>
          </w:p>
        </w:tc>
        <w:tc>
          <w:tcPr>
            <w:tcW w:w="7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1"/>
                <w:szCs w:val="11"/>
                <w:color w:val="auto"/>
              </w:rPr>
              <w:t>(14,212)</w:t>
            </w:r>
          </w:p>
        </w:tc>
        <w:tc>
          <w:tcPr>
            <w:tcW w:w="1040" w:type="dxa"/>
            <w:vAlign w:val="bottom"/>
            <w:tcBorders>
              <w:bottom w:val="single" w:sz="8" w:color="CCEEFF"/>
            </w:tcBorders>
            <w:gridSpan w:val="2"/>
            <w:shd w:val="clear" w:color="auto" w:fill="CCEEFF"/>
          </w:tcPr>
          <w:p>
            <w:pPr>
              <w:ind w:left="720"/>
              <w:spacing w:after="0"/>
              <w:rPr>
                <w:sz w:val="20"/>
                <w:szCs w:val="20"/>
                <w:color w:val="auto"/>
              </w:rPr>
            </w:pPr>
            <w:r>
              <w:rPr>
                <w:rFonts w:ascii="Times New Roman" w:cs="Times New Roman" w:eastAsia="Times New Roman" w:hAnsi="Times New Roman"/>
                <w:sz w:val="11"/>
                <w:szCs w:val="11"/>
                <w:color w:val="auto"/>
              </w:rPr>
              <w:t>(18)%</w:t>
            </w:r>
          </w:p>
        </w:tc>
        <w:tc>
          <w:tcPr>
            <w:tcW w:w="80" w:type="dxa"/>
            <w:vAlign w:val="bottom"/>
            <w:tcBorders>
              <w:bottom w:val="single" w:sz="8" w:color="CCEEFF"/>
            </w:tcBorders>
            <w:shd w:val="clear" w:color="auto" w:fill="CCEEFF"/>
          </w:tcPr>
          <w:p>
            <w:pPr>
              <w:spacing w:after="0"/>
              <w:rPr>
                <w:sz w:val="15"/>
                <w:szCs w:val="15"/>
                <w:color w:val="auto"/>
              </w:rPr>
            </w:pPr>
          </w:p>
        </w:tc>
        <w:tc>
          <w:tcPr>
            <w:tcW w:w="220" w:type="dxa"/>
            <w:vAlign w:val="bottom"/>
            <w:tcBorders>
              <w:bottom w:val="single" w:sz="8" w:color="auto"/>
            </w:tcBorders>
            <w:shd w:val="clear" w:color="auto" w:fill="CCEEFF"/>
          </w:tcPr>
          <w:p>
            <w:pPr>
              <w:jc w:val="right"/>
              <w:ind w:right="83"/>
              <w:spacing w:after="0"/>
              <w:rPr>
                <w:sz w:val="20"/>
                <w:szCs w:val="20"/>
                <w:color w:val="auto"/>
              </w:rPr>
            </w:pPr>
            <w:r>
              <w:rPr>
                <w:rFonts w:ascii="Times New Roman" w:cs="Times New Roman" w:eastAsia="Times New Roman" w:hAnsi="Times New Roman"/>
                <w:sz w:val="11"/>
                <w:szCs w:val="11"/>
                <w:color w:val="auto"/>
              </w:rPr>
              <w:t>$</w:t>
            </w:r>
          </w:p>
        </w:tc>
        <w:tc>
          <w:tcPr>
            <w:tcW w:w="7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1"/>
                <w:szCs w:val="11"/>
                <w:color w:val="auto"/>
              </w:rPr>
              <w:t>(17,364)</w:t>
            </w:r>
          </w:p>
        </w:tc>
        <w:tc>
          <w:tcPr>
            <w:tcW w:w="1020" w:type="dxa"/>
            <w:vAlign w:val="bottom"/>
            <w:tcBorders>
              <w:bottom w:val="single" w:sz="8" w:color="CCEEFF"/>
            </w:tcBorders>
            <w:gridSpan w:val="2"/>
            <w:shd w:val="clear" w:color="auto" w:fill="CCEEFF"/>
          </w:tcPr>
          <w:p>
            <w:pPr>
              <w:jc w:val="right"/>
              <w:spacing w:after="0"/>
              <w:rPr>
                <w:sz w:val="20"/>
                <w:szCs w:val="20"/>
                <w:color w:val="auto"/>
              </w:rPr>
            </w:pPr>
            <w:r>
              <w:rPr>
                <w:rFonts w:ascii="Times New Roman" w:cs="Times New Roman" w:eastAsia="Times New Roman" w:hAnsi="Times New Roman"/>
                <w:sz w:val="11"/>
                <w:szCs w:val="11"/>
                <w:color w:val="auto"/>
              </w:rPr>
              <w:t>395 %</w:t>
            </w:r>
          </w:p>
        </w:tc>
        <w:tc>
          <w:tcPr>
            <w:tcW w:w="100" w:type="dxa"/>
            <w:vAlign w:val="bottom"/>
            <w:tcBorders>
              <w:bottom w:val="single" w:sz="8" w:color="CCEEFF"/>
            </w:tcBorders>
            <w:shd w:val="clear" w:color="auto" w:fill="CCEEFF"/>
          </w:tcPr>
          <w:p>
            <w:pPr>
              <w:spacing w:after="0"/>
              <w:rPr>
                <w:sz w:val="15"/>
                <w:szCs w:val="15"/>
                <w:color w:val="auto"/>
              </w:rPr>
            </w:pPr>
          </w:p>
        </w:tc>
        <w:tc>
          <w:tcPr>
            <w:tcW w:w="220" w:type="dxa"/>
            <w:vAlign w:val="bottom"/>
            <w:tcBorders>
              <w:bottom w:val="single" w:sz="8" w:color="auto"/>
            </w:tcBorders>
            <w:shd w:val="clear" w:color="auto" w:fill="CCEEFF"/>
          </w:tcPr>
          <w:p>
            <w:pPr>
              <w:jc w:val="right"/>
              <w:ind w:right="103"/>
              <w:spacing w:after="0"/>
              <w:rPr>
                <w:sz w:val="20"/>
                <w:szCs w:val="20"/>
                <w:color w:val="auto"/>
              </w:rPr>
            </w:pPr>
            <w:r>
              <w:rPr>
                <w:rFonts w:ascii="Times New Roman" w:cs="Times New Roman" w:eastAsia="Times New Roman" w:hAnsi="Times New Roman"/>
                <w:sz w:val="11"/>
                <w:szCs w:val="11"/>
                <w:color w:val="auto"/>
                <w:w w:val="71"/>
              </w:rPr>
              <w:t>$</w:t>
            </w:r>
          </w:p>
        </w:tc>
        <w:tc>
          <w:tcPr>
            <w:tcW w:w="7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1"/>
                <w:szCs w:val="11"/>
                <w:color w:val="auto"/>
              </w:rPr>
              <w:t>(3,507)</w:t>
            </w:r>
          </w:p>
        </w:tc>
        <w:tc>
          <w:tcPr>
            <w:tcW w:w="1040" w:type="dxa"/>
            <w:vAlign w:val="bottom"/>
            <w:tcBorders>
              <w:bottom w:val="single" w:sz="8" w:color="CCEEFF"/>
            </w:tcBorders>
            <w:gridSpan w:val="2"/>
            <w:shd w:val="clear" w:color="auto" w:fill="CCEEFF"/>
          </w:tcPr>
          <w:p>
            <w:pPr>
              <w:jc w:val="center"/>
              <w:ind w:left="643"/>
              <w:spacing w:after="0"/>
              <w:rPr>
                <w:sz w:val="20"/>
                <w:szCs w:val="20"/>
                <w:color w:val="auto"/>
              </w:rPr>
            </w:pPr>
            <w:r>
              <w:rPr>
                <w:rFonts w:ascii="Times New Roman" w:cs="Times New Roman" w:eastAsia="Times New Roman" w:hAnsi="Times New Roman"/>
                <w:sz w:val="11"/>
                <w:szCs w:val="11"/>
                <w:color w:val="auto"/>
              </w:rPr>
              <w:t>(68)%</w:t>
            </w:r>
          </w:p>
        </w:tc>
        <w:tc>
          <w:tcPr>
            <w:tcW w:w="80" w:type="dxa"/>
            <w:vAlign w:val="bottom"/>
            <w:tcBorders>
              <w:bottom w:val="single" w:sz="8" w:color="CCEEFF"/>
            </w:tcBorders>
            <w:shd w:val="clear" w:color="auto" w:fill="CCEEFF"/>
          </w:tcPr>
          <w:p>
            <w:pPr>
              <w:spacing w:after="0"/>
              <w:rPr>
                <w:sz w:val="15"/>
                <w:szCs w:val="15"/>
                <w:color w:val="auto"/>
              </w:rPr>
            </w:pPr>
          </w:p>
        </w:tc>
        <w:tc>
          <w:tcPr>
            <w:tcW w:w="220" w:type="dxa"/>
            <w:vAlign w:val="bottom"/>
            <w:tcBorders>
              <w:bottom w:val="single" w:sz="8" w:color="auto"/>
            </w:tcBorders>
            <w:shd w:val="clear" w:color="auto" w:fill="CCEEFF"/>
          </w:tcPr>
          <w:p>
            <w:pPr>
              <w:jc w:val="right"/>
              <w:ind w:right="83"/>
              <w:spacing w:after="0"/>
              <w:rPr>
                <w:sz w:val="20"/>
                <w:szCs w:val="20"/>
                <w:color w:val="auto"/>
              </w:rPr>
            </w:pPr>
            <w:r>
              <w:rPr>
                <w:rFonts w:ascii="Times New Roman" w:cs="Times New Roman" w:eastAsia="Times New Roman" w:hAnsi="Times New Roman"/>
                <w:sz w:val="11"/>
                <w:szCs w:val="11"/>
                <w:color w:val="auto"/>
              </w:rPr>
              <w:t>$</w:t>
            </w:r>
          </w:p>
        </w:tc>
        <w:tc>
          <w:tcPr>
            <w:tcW w:w="7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1"/>
                <w:szCs w:val="11"/>
                <w:color w:val="auto"/>
              </w:rPr>
              <w:t>(11,067)</w:t>
            </w:r>
          </w:p>
        </w:tc>
        <w:tc>
          <w:tcPr>
            <w:tcW w:w="1040" w:type="dxa"/>
            <w:vAlign w:val="bottom"/>
            <w:tcBorders>
              <w:bottom w:val="single" w:sz="8" w:color="CCEEFF"/>
            </w:tcBorders>
            <w:gridSpan w:val="2"/>
            <w:shd w:val="clear" w:color="auto" w:fill="CCEEFF"/>
          </w:tcPr>
          <w:p>
            <w:pPr>
              <w:jc w:val="right"/>
              <w:spacing w:after="0"/>
              <w:rPr>
                <w:sz w:val="20"/>
                <w:szCs w:val="20"/>
                <w:color w:val="auto"/>
              </w:rPr>
            </w:pPr>
            <w:r>
              <w:rPr>
                <w:rFonts w:ascii="Times New Roman" w:cs="Times New Roman" w:eastAsia="Times New Roman" w:hAnsi="Times New Roman"/>
                <w:sz w:val="11"/>
                <w:szCs w:val="11"/>
                <w:color w:val="auto"/>
              </w:rPr>
              <w:t>18 %</w:t>
            </w:r>
          </w:p>
        </w:tc>
        <w:tc>
          <w:tcPr>
            <w:tcW w:w="80" w:type="dxa"/>
            <w:vAlign w:val="bottom"/>
            <w:tcBorders>
              <w:bottom w:val="single" w:sz="8" w:color="CCEEFF"/>
            </w:tcBorders>
            <w:shd w:val="clear" w:color="auto" w:fill="CCEEFF"/>
          </w:tcPr>
          <w:p>
            <w:pPr>
              <w:spacing w:after="0"/>
              <w:rPr>
                <w:sz w:val="15"/>
                <w:szCs w:val="15"/>
                <w:color w:val="auto"/>
              </w:rPr>
            </w:pPr>
          </w:p>
        </w:tc>
        <w:tc>
          <w:tcPr>
            <w:tcW w:w="220" w:type="dxa"/>
            <w:vAlign w:val="bottom"/>
            <w:tcBorders>
              <w:bottom w:val="single" w:sz="8" w:color="auto"/>
            </w:tcBorders>
            <w:shd w:val="clear" w:color="auto" w:fill="CCEEFF"/>
          </w:tcPr>
          <w:p>
            <w:pPr>
              <w:jc w:val="right"/>
              <w:ind w:right="83"/>
              <w:spacing w:after="0"/>
              <w:rPr>
                <w:sz w:val="20"/>
                <w:szCs w:val="20"/>
                <w:color w:val="auto"/>
              </w:rPr>
            </w:pPr>
            <w:r>
              <w:rPr>
                <w:rFonts w:ascii="Times New Roman" w:cs="Times New Roman" w:eastAsia="Times New Roman" w:hAnsi="Times New Roman"/>
                <w:sz w:val="11"/>
                <w:szCs w:val="11"/>
                <w:color w:val="auto"/>
              </w:rPr>
              <w:t>$</w:t>
            </w:r>
          </w:p>
        </w:tc>
        <w:tc>
          <w:tcPr>
            <w:tcW w:w="7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1"/>
                <w:szCs w:val="11"/>
                <w:color w:val="auto"/>
              </w:rPr>
              <w:t>(9,389)</w:t>
            </w:r>
          </w:p>
        </w:tc>
        <w:tc>
          <w:tcPr>
            <w:tcW w:w="0" w:type="dxa"/>
            <w:vAlign w:val="bottom"/>
          </w:tcPr>
          <w:p>
            <w:pPr>
              <w:spacing w:after="0"/>
              <w:rPr>
                <w:sz w:val="1"/>
                <w:szCs w:val="1"/>
                <w:color w:val="auto"/>
              </w:rPr>
            </w:pPr>
          </w:p>
        </w:tc>
      </w:tr>
      <w:tr>
        <w:trPr>
          <w:trHeight w:val="20"/>
        </w:trPr>
        <w:tc>
          <w:tcPr>
            <w:tcW w:w="1940" w:type="dxa"/>
            <w:vAlign w:val="bottom"/>
            <w:tcBorders>
              <w:top w:val="single" w:sz="8" w:color="CCEEFF"/>
            </w:tcBorders>
          </w:tcPr>
          <w:p>
            <w:pPr>
              <w:spacing w:after="0" w:line="20" w:lineRule="exact"/>
              <w:rPr>
                <w:sz w:val="1"/>
                <w:szCs w:val="1"/>
                <w:color w:val="auto"/>
              </w:rPr>
            </w:pPr>
          </w:p>
        </w:tc>
        <w:tc>
          <w:tcPr>
            <w:tcW w:w="220" w:type="dxa"/>
            <w:vAlign w:val="bottom"/>
            <w:tcBorders>
              <w:top w:val="single" w:sz="8" w:color="CCEEFF"/>
              <w:bottom w:val="single" w:sz="8" w:color="auto"/>
            </w:tcBorders>
          </w:tcPr>
          <w:p>
            <w:pPr>
              <w:spacing w:after="0" w:line="20" w:lineRule="exact"/>
              <w:rPr>
                <w:sz w:val="1"/>
                <w:szCs w:val="1"/>
                <w:color w:val="auto"/>
              </w:rPr>
            </w:pPr>
          </w:p>
        </w:tc>
        <w:tc>
          <w:tcPr>
            <w:tcW w:w="74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940" w:type="dxa"/>
            <w:vAlign w:val="bottom"/>
            <w:tcBorders>
              <w:top w:val="single" w:sz="8" w:color="CCEEFF"/>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220" w:type="dxa"/>
            <w:vAlign w:val="bottom"/>
            <w:tcBorders>
              <w:top w:val="single" w:sz="8" w:color="CCEEFF"/>
              <w:bottom w:val="single" w:sz="8" w:color="auto"/>
            </w:tcBorders>
          </w:tcPr>
          <w:p>
            <w:pPr>
              <w:spacing w:after="0" w:line="20" w:lineRule="exact"/>
              <w:rPr>
                <w:sz w:val="1"/>
                <w:szCs w:val="1"/>
                <w:color w:val="auto"/>
              </w:rPr>
            </w:pPr>
          </w:p>
        </w:tc>
        <w:tc>
          <w:tcPr>
            <w:tcW w:w="760" w:type="dxa"/>
            <w:vAlign w:val="bottom"/>
            <w:tcBorders>
              <w:top w:val="single" w:sz="8" w:color="CCEEFF"/>
              <w:bottom w:val="single" w:sz="8" w:color="auto"/>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940" w:type="dxa"/>
            <w:vAlign w:val="bottom"/>
            <w:tcBorders>
              <w:top w:val="single" w:sz="8" w:color="CCEEFF"/>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220" w:type="dxa"/>
            <w:vAlign w:val="bottom"/>
            <w:tcBorders>
              <w:top w:val="single" w:sz="8" w:color="CCEEFF"/>
              <w:bottom w:val="single" w:sz="8" w:color="auto"/>
            </w:tcBorders>
          </w:tcPr>
          <w:p>
            <w:pPr>
              <w:spacing w:after="0" w:line="20" w:lineRule="exact"/>
              <w:rPr>
                <w:sz w:val="1"/>
                <w:szCs w:val="1"/>
                <w:color w:val="auto"/>
              </w:rPr>
            </w:pPr>
          </w:p>
        </w:tc>
        <w:tc>
          <w:tcPr>
            <w:tcW w:w="74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940" w:type="dxa"/>
            <w:vAlign w:val="bottom"/>
            <w:tcBorders>
              <w:top w:val="single" w:sz="8" w:color="CCEEFF"/>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220" w:type="dxa"/>
            <w:vAlign w:val="bottom"/>
            <w:tcBorders>
              <w:top w:val="single" w:sz="8" w:color="CCEEFF"/>
              <w:bottom w:val="single" w:sz="8" w:color="auto"/>
            </w:tcBorders>
          </w:tcPr>
          <w:p>
            <w:pPr>
              <w:spacing w:after="0" w:line="20" w:lineRule="exact"/>
              <w:rPr>
                <w:sz w:val="1"/>
                <w:szCs w:val="1"/>
                <w:color w:val="auto"/>
              </w:rPr>
            </w:pPr>
          </w:p>
        </w:tc>
        <w:tc>
          <w:tcPr>
            <w:tcW w:w="76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940" w:type="dxa"/>
            <w:vAlign w:val="bottom"/>
            <w:tcBorders>
              <w:top w:val="single" w:sz="8" w:color="CCEEFF"/>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220" w:type="dxa"/>
            <w:vAlign w:val="bottom"/>
            <w:tcBorders>
              <w:top w:val="single" w:sz="8" w:color="CCEEFF"/>
              <w:bottom w:val="single" w:sz="8" w:color="auto"/>
            </w:tcBorders>
          </w:tcPr>
          <w:p>
            <w:pPr>
              <w:spacing w:after="0" w:line="20" w:lineRule="exact"/>
              <w:rPr>
                <w:sz w:val="1"/>
                <w:szCs w:val="1"/>
                <w:color w:val="auto"/>
              </w:rPr>
            </w:pPr>
          </w:p>
        </w:tc>
        <w:tc>
          <w:tcPr>
            <w:tcW w:w="760" w:type="dxa"/>
            <w:vAlign w:val="bottom"/>
            <w:tcBorders>
              <w:top w:val="single" w:sz="8" w:color="CCEEFF"/>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0" w:lineRule="exact"/>
        <w:rPr>
          <w:sz w:val="20"/>
          <w:szCs w:val="20"/>
          <w:color w:val="auto"/>
        </w:rPr>
      </w:pPr>
    </w:p>
    <w:p>
      <w:pPr>
        <w:spacing w:after="0" w:line="200" w:lineRule="exact"/>
        <w:rPr>
          <w:sz w:val="20"/>
          <w:szCs w:val="20"/>
          <w:color w:val="auto"/>
        </w:rPr>
      </w:pPr>
    </w:p>
    <w:p>
      <w:pPr>
        <w:spacing w:after="0" w:line="28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4"/>
          <w:szCs w:val="14"/>
          <w:color w:val="auto"/>
        </w:rPr>
        <w:t>31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-8890</wp:posOffset>
            </wp:positionH>
            <wp:positionV relativeFrom="paragraph">
              <wp:posOffset>55880</wp:posOffset>
            </wp:positionV>
            <wp:extent cx="7186930" cy="38735"/>
            <wp:wrapNone/>
            <wp:docPr id="44" name="Picture 4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4"/>
                    <pic:cNvPicPr>
                      <a:picLocks noChangeAspect="1" noChangeArrowheads="1"/>
                    </pic:cNvPicPr>
                  </pic:nvPicPr>
                  <pic:blipFill>
                    <a:blip r:embed="rId51">
                      <a:extLst>
                        <a:ext uri="{28A0092B-C50C-407E-A947-70E740481C1C}"/>
                      </a:extLst>
                    </a:blip>
                    <a:srcRect/>
                    <a:stretch>
                      <a:fillRect/>
                    </a:stretch>
                  </pic:blipFill>
                  <pic:spPr bwMode="auto">
                    <a:xfrm>
                      <a:off x="0" y="0"/>
                      <a:ext cx="7186930" cy="38735"/>
                    </a:xfrm>
                    <a:prstGeom prst="rect">
                      <a:avLst/>
                    </a:prstGeom>
                    <a:noFill/>
                  </pic:spPr>
                </pic:pic>
              </a:graphicData>
            </a:graphic>
          </wp:anchor>
        </w:drawing>
      </w:r>
    </w:p>
    <w:p>
      <w:pPr>
        <w:sectPr>
          <w:pgSz w:w="11900" w:h="16838" w:orient="portrait"/>
          <w:cols w:equalWidth="0" w:num="1">
            <w:col w:w="11280"/>
          </w:cols>
          <w:pgMar w:left="300" w:top="814" w:right="319" w:bottom="1440" w:gutter="0" w:footer="0" w:header="0"/>
          <w:type w:val="continuous"/>
        </w:sectPr>
      </w:pPr>
    </w:p>
    <w:bookmarkStart w:id="33" w:name="page34"/>
    <w:bookmarkEnd w:id="33"/>
    <w:p>
      <w:pPr>
        <w:spacing w:after="0"/>
        <w:rPr>
          <w:sz w:val="20"/>
          <w:szCs w:val="20"/>
          <w:color w:val="auto"/>
        </w:rPr>
      </w:pPr>
      <w:r>
        <w:rPr>
          <w:rFonts w:ascii="Times New Roman" w:cs="Times New Roman" w:eastAsia="Times New Roman" w:hAnsi="Times New Roman"/>
          <w:sz w:val="14"/>
          <w:szCs w:val="14"/>
          <w:b w:val="1"/>
          <w:bCs w:val="1"/>
          <w:color w:val="auto"/>
        </w:rPr>
        <w:t>Liquidity and Capital Resources</w:t>
      </w:r>
    </w:p>
    <w:p>
      <w:pPr>
        <w:spacing w:after="0" w:line="45" w:lineRule="exact"/>
        <w:rPr>
          <w:sz w:val="20"/>
          <w:szCs w:val="20"/>
          <w:color w:val="auto"/>
        </w:rPr>
      </w:pPr>
    </w:p>
    <w:tbl>
      <w:tblPr>
        <w:tblLayout w:type="fixed"/>
        <w:tblInd w:w="0" w:type="dxa"/>
        <w:tblCellMar>
          <w:top w:w="0" w:type="dxa"/>
          <w:left w:w="0" w:type="dxa"/>
          <w:bottom w:w="0" w:type="dxa"/>
          <w:right w:w="0" w:type="dxa"/>
        </w:tblCellMar>
      </w:tblPr>
      <w:tr>
        <w:trPr>
          <w:trHeight w:val="167"/>
        </w:trPr>
        <w:tc>
          <w:tcPr>
            <w:tcW w:w="8460" w:type="dxa"/>
            <w:vAlign w:val="bottom"/>
          </w:tcPr>
          <w:p>
            <w:pPr>
              <w:spacing w:after="0"/>
              <w:rPr>
                <w:sz w:val="14"/>
                <w:szCs w:val="14"/>
                <w:color w:val="auto"/>
              </w:rPr>
            </w:pPr>
          </w:p>
        </w:tc>
        <w:tc>
          <w:tcPr>
            <w:tcW w:w="320" w:type="dxa"/>
            <w:vAlign w:val="bottom"/>
            <w:tcBorders>
              <w:bottom w:val="single" w:sz="8" w:color="auto"/>
            </w:tcBorders>
          </w:tcPr>
          <w:p>
            <w:pPr>
              <w:spacing w:after="0"/>
              <w:rPr>
                <w:sz w:val="14"/>
                <w:szCs w:val="14"/>
                <w:color w:val="auto"/>
              </w:rPr>
            </w:pPr>
          </w:p>
        </w:tc>
        <w:tc>
          <w:tcPr>
            <w:tcW w:w="1620" w:type="dxa"/>
            <w:vAlign w:val="bottom"/>
            <w:tcBorders>
              <w:bottom w:val="single" w:sz="8" w:color="auto"/>
            </w:tcBorders>
            <w:gridSpan w:val="3"/>
          </w:tcPr>
          <w:p>
            <w:pPr>
              <w:jc w:val="right"/>
              <w:spacing w:after="0"/>
              <w:rPr>
                <w:sz w:val="20"/>
                <w:szCs w:val="20"/>
                <w:color w:val="auto"/>
              </w:rPr>
            </w:pPr>
            <w:r>
              <w:rPr>
                <w:rFonts w:ascii="Times New Roman" w:cs="Times New Roman" w:eastAsia="Times New Roman" w:hAnsi="Times New Roman"/>
                <w:sz w:val="13"/>
                <w:szCs w:val="13"/>
                <w:b w:val="1"/>
                <w:bCs w:val="1"/>
                <w:color w:val="auto"/>
              </w:rPr>
              <w:t>As of December 31,</w:t>
            </w:r>
          </w:p>
        </w:tc>
        <w:tc>
          <w:tcPr>
            <w:tcW w:w="840" w:type="dxa"/>
            <w:vAlign w:val="bottom"/>
            <w:tcBorders>
              <w:bottom w:val="single" w:sz="8" w:color="auto"/>
            </w:tcBorders>
          </w:tcPr>
          <w:p>
            <w:pPr>
              <w:spacing w:after="0"/>
              <w:rPr>
                <w:sz w:val="14"/>
                <w:szCs w:val="14"/>
                <w:color w:val="auto"/>
              </w:rPr>
            </w:pPr>
          </w:p>
        </w:tc>
      </w:tr>
      <w:tr>
        <w:trPr>
          <w:trHeight w:val="164"/>
        </w:trPr>
        <w:tc>
          <w:tcPr>
            <w:tcW w:w="8460" w:type="dxa"/>
            <w:vAlign w:val="bottom"/>
            <w:tcBorders>
              <w:bottom w:val="single" w:sz="8" w:color="CCEEFF"/>
            </w:tcBorders>
          </w:tcPr>
          <w:p>
            <w:pPr>
              <w:ind w:left="20"/>
              <w:spacing w:after="0"/>
              <w:rPr>
                <w:sz w:val="20"/>
                <w:szCs w:val="20"/>
                <w:color w:val="auto"/>
              </w:rPr>
            </w:pPr>
            <w:r>
              <w:rPr>
                <w:rFonts w:ascii="Times New Roman" w:cs="Times New Roman" w:eastAsia="Times New Roman" w:hAnsi="Times New Roman"/>
                <w:sz w:val="13"/>
                <w:szCs w:val="13"/>
                <w:b w:val="1"/>
                <w:bCs w:val="1"/>
                <w:i w:val="1"/>
                <w:iCs w:val="1"/>
                <w:color w:val="auto"/>
              </w:rPr>
              <w:t>Balance Sheet Data (in thousands)</w:t>
            </w:r>
          </w:p>
        </w:tc>
        <w:tc>
          <w:tcPr>
            <w:tcW w:w="320" w:type="dxa"/>
            <w:vAlign w:val="bottom"/>
            <w:tcBorders>
              <w:bottom w:val="single" w:sz="8" w:color="auto"/>
            </w:tcBorders>
          </w:tcPr>
          <w:p>
            <w:pPr>
              <w:spacing w:after="0"/>
              <w:rPr>
                <w:sz w:val="14"/>
                <w:szCs w:val="14"/>
                <w:color w:val="auto"/>
              </w:rPr>
            </w:pPr>
          </w:p>
        </w:tc>
        <w:tc>
          <w:tcPr>
            <w:tcW w:w="1020" w:type="dxa"/>
            <w:vAlign w:val="bottom"/>
            <w:tcBorders>
              <w:bottom w:val="single" w:sz="8" w:color="auto"/>
            </w:tcBorders>
          </w:tcPr>
          <w:p>
            <w:pPr>
              <w:jc w:val="right"/>
              <w:ind w:right="474"/>
              <w:spacing w:after="0"/>
              <w:rPr>
                <w:sz w:val="20"/>
                <w:szCs w:val="20"/>
                <w:color w:val="auto"/>
              </w:rPr>
            </w:pPr>
            <w:r>
              <w:rPr>
                <w:rFonts w:ascii="Times New Roman" w:cs="Times New Roman" w:eastAsia="Times New Roman" w:hAnsi="Times New Roman"/>
                <w:sz w:val="13"/>
                <w:szCs w:val="13"/>
                <w:b w:val="1"/>
                <w:bCs w:val="1"/>
                <w:color w:val="auto"/>
              </w:rPr>
              <w:t>2025</w:t>
            </w:r>
          </w:p>
        </w:tc>
        <w:tc>
          <w:tcPr>
            <w:tcW w:w="100" w:type="dxa"/>
            <w:vAlign w:val="bottom"/>
            <w:tcBorders>
              <w:bottom w:val="single" w:sz="8" w:color="CCEEFF"/>
            </w:tcBorders>
          </w:tcPr>
          <w:p>
            <w:pPr>
              <w:spacing w:after="0"/>
              <w:rPr>
                <w:sz w:val="14"/>
                <w:szCs w:val="14"/>
                <w:color w:val="auto"/>
              </w:rPr>
            </w:pPr>
          </w:p>
        </w:tc>
        <w:tc>
          <w:tcPr>
            <w:tcW w:w="500" w:type="dxa"/>
            <w:vAlign w:val="bottom"/>
            <w:tcBorders>
              <w:bottom w:val="single" w:sz="8" w:color="auto"/>
            </w:tcBorders>
          </w:tcPr>
          <w:p>
            <w:pPr>
              <w:spacing w:after="0"/>
              <w:rPr>
                <w:sz w:val="14"/>
                <w:szCs w:val="14"/>
                <w:color w:val="auto"/>
              </w:rPr>
            </w:pPr>
          </w:p>
        </w:tc>
        <w:tc>
          <w:tcPr>
            <w:tcW w:w="840" w:type="dxa"/>
            <w:vAlign w:val="bottom"/>
            <w:tcBorders>
              <w:bottom w:val="single" w:sz="8" w:color="auto"/>
            </w:tcBorders>
          </w:tcPr>
          <w:p>
            <w:pPr>
              <w:jc w:val="right"/>
              <w:ind w:right="494"/>
              <w:spacing w:after="0"/>
              <w:rPr>
                <w:sz w:val="20"/>
                <w:szCs w:val="20"/>
                <w:color w:val="auto"/>
              </w:rPr>
            </w:pPr>
            <w:r>
              <w:rPr>
                <w:rFonts w:ascii="Times New Roman" w:cs="Times New Roman" w:eastAsia="Times New Roman" w:hAnsi="Times New Roman"/>
                <w:sz w:val="13"/>
                <w:szCs w:val="13"/>
                <w:b w:val="1"/>
                <w:bCs w:val="1"/>
                <w:color w:val="auto"/>
                <w:w w:val="99"/>
              </w:rPr>
              <w:t>2024</w:t>
            </w:r>
          </w:p>
        </w:tc>
      </w:tr>
      <w:tr>
        <w:trPr>
          <w:trHeight w:val="172"/>
        </w:trPr>
        <w:tc>
          <w:tcPr>
            <w:tcW w:w="846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4"/>
                <w:szCs w:val="14"/>
                <w:color w:val="auto"/>
              </w:rPr>
              <w:t>Cash and cash equivalents</w:t>
            </w:r>
          </w:p>
        </w:tc>
        <w:tc>
          <w:tcPr>
            <w:tcW w:w="320" w:type="dxa"/>
            <w:vAlign w:val="bottom"/>
            <w:shd w:val="clear" w:color="auto" w:fill="CCEEFF"/>
          </w:tcPr>
          <w:p>
            <w:pPr>
              <w:jc w:val="right"/>
              <w:ind w:right="173"/>
              <w:spacing w:after="0"/>
              <w:rPr>
                <w:sz w:val="20"/>
                <w:szCs w:val="20"/>
                <w:color w:val="auto"/>
              </w:rPr>
            </w:pPr>
            <w:r>
              <w:rPr>
                <w:rFonts w:ascii="Times New Roman" w:cs="Times New Roman" w:eastAsia="Times New Roman" w:hAnsi="Times New Roman"/>
                <w:sz w:val="13"/>
                <w:szCs w:val="13"/>
                <w:color w:val="auto"/>
                <w:w w:val="91"/>
              </w:rPr>
              <w:t>$</w:t>
            </w:r>
          </w:p>
        </w:tc>
        <w:tc>
          <w:tcPr>
            <w:tcW w:w="10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26,249</w:t>
            </w:r>
          </w:p>
        </w:tc>
        <w:tc>
          <w:tcPr>
            <w:tcW w:w="100" w:type="dxa"/>
            <w:vAlign w:val="bottom"/>
            <w:shd w:val="clear" w:color="auto" w:fill="CCEEFF"/>
          </w:tcPr>
          <w:p>
            <w:pPr>
              <w:spacing w:after="0"/>
              <w:rPr>
                <w:sz w:val="14"/>
                <w:szCs w:val="14"/>
                <w:color w:val="auto"/>
              </w:rPr>
            </w:pPr>
          </w:p>
        </w:tc>
        <w:tc>
          <w:tcPr>
            <w:tcW w:w="500" w:type="dxa"/>
            <w:vAlign w:val="bottom"/>
            <w:shd w:val="clear" w:color="auto" w:fill="CCEEFF"/>
          </w:tcPr>
          <w:p>
            <w:pPr>
              <w:jc w:val="right"/>
              <w:ind w:right="353"/>
              <w:spacing w:after="0"/>
              <w:rPr>
                <w:sz w:val="20"/>
                <w:szCs w:val="20"/>
                <w:color w:val="auto"/>
              </w:rPr>
            </w:pPr>
            <w:r>
              <w:rPr>
                <w:rFonts w:ascii="Times New Roman" w:cs="Times New Roman" w:eastAsia="Times New Roman" w:hAnsi="Times New Roman"/>
                <w:sz w:val="13"/>
                <w:szCs w:val="13"/>
                <w:color w:val="auto"/>
                <w:w w:val="91"/>
              </w:rPr>
              <w:t>$</w:t>
            </w:r>
          </w:p>
        </w:tc>
        <w:tc>
          <w:tcPr>
            <w:tcW w:w="8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18,847</w:t>
            </w:r>
          </w:p>
        </w:tc>
      </w:tr>
      <w:tr>
        <w:trPr>
          <w:trHeight w:val="180"/>
        </w:trPr>
        <w:tc>
          <w:tcPr>
            <w:tcW w:w="8460" w:type="dxa"/>
            <w:vAlign w:val="bottom"/>
            <w:tcBorders>
              <w:bottom w:val="single" w:sz="8" w:color="CCEEFF"/>
            </w:tcBorders>
          </w:tcPr>
          <w:p>
            <w:pPr>
              <w:ind w:left="20"/>
              <w:spacing w:after="0"/>
              <w:rPr>
                <w:sz w:val="20"/>
                <w:szCs w:val="20"/>
                <w:color w:val="auto"/>
              </w:rPr>
            </w:pPr>
            <w:r>
              <w:rPr>
                <w:rFonts w:ascii="Times New Roman" w:cs="Times New Roman" w:eastAsia="Times New Roman" w:hAnsi="Times New Roman"/>
                <w:sz w:val="14"/>
                <w:szCs w:val="14"/>
                <w:color w:val="auto"/>
              </w:rPr>
              <w:t>Accounts receivable</w:t>
            </w:r>
          </w:p>
        </w:tc>
        <w:tc>
          <w:tcPr>
            <w:tcW w:w="320" w:type="dxa"/>
            <w:vAlign w:val="bottom"/>
            <w:tcBorders>
              <w:bottom w:val="single" w:sz="8" w:color="auto"/>
            </w:tcBorders>
          </w:tcPr>
          <w:p>
            <w:pPr>
              <w:spacing w:after="0"/>
              <w:rPr>
                <w:sz w:val="15"/>
                <w:szCs w:val="15"/>
                <w:color w:val="auto"/>
              </w:rPr>
            </w:pPr>
          </w:p>
        </w:tc>
        <w:tc>
          <w:tcPr>
            <w:tcW w:w="10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3"/>
                <w:szCs w:val="13"/>
                <w:color w:val="auto"/>
              </w:rPr>
              <w:t>16,751</w:t>
            </w:r>
          </w:p>
        </w:tc>
        <w:tc>
          <w:tcPr>
            <w:tcW w:w="100" w:type="dxa"/>
            <w:vAlign w:val="bottom"/>
            <w:tcBorders>
              <w:bottom w:val="single" w:sz="8" w:color="CCEEFF"/>
            </w:tcBorders>
          </w:tcPr>
          <w:p>
            <w:pPr>
              <w:spacing w:after="0"/>
              <w:rPr>
                <w:sz w:val="15"/>
                <w:szCs w:val="15"/>
                <w:color w:val="auto"/>
              </w:rPr>
            </w:pPr>
          </w:p>
        </w:tc>
        <w:tc>
          <w:tcPr>
            <w:tcW w:w="500" w:type="dxa"/>
            <w:vAlign w:val="bottom"/>
            <w:tcBorders>
              <w:bottom w:val="single" w:sz="8" w:color="auto"/>
            </w:tcBorders>
          </w:tcPr>
          <w:p>
            <w:pPr>
              <w:spacing w:after="0"/>
              <w:rPr>
                <w:sz w:val="15"/>
                <w:szCs w:val="15"/>
                <w:color w:val="auto"/>
              </w:rPr>
            </w:pPr>
          </w:p>
        </w:tc>
        <w:tc>
          <w:tcPr>
            <w:tcW w:w="8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3"/>
                <w:szCs w:val="13"/>
                <w:color w:val="auto"/>
              </w:rPr>
              <w:t>14,453</w:t>
            </w:r>
          </w:p>
        </w:tc>
      </w:tr>
      <w:tr>
        <w:trPr>
          <w:trHeight w:val="171"/>
        </w:trPr>
        <w:tc>
          <w:tcPr>
            <w:tcW w:w="8460" w:type="dxa"/>
            <w:vAlign w:val="bottom"/>
            <w:shd w:val="clear" w:color="auto" w:fill="CCEEFF"/>
          </w:tcPr>
          <w:p>
            <w:pPr>
              <w:ind w:left="280"/>
              <w:spacing w:after="0"/>
              <w:rPr>
                <w:sz w:val="20"/>
                <w:szCs w:val="20"/>
                <w:color w:val="auto"/>
              </w:rPr>
            </w:pPr>
            <w:r>
              <w:rPr>
                <w:rFonts w:ascii="Times New Roman" w:cs="Times New Roman" w:eastAsia="Times New Roman" w:hAnsi="Times New Roman"/>
                <w:sz w:val="14"/>
                <w:szCs w:val="14"/>
                <w:color w:val="auto"/>
              </w:rPr>
              <w:t>Total liquid assets</w:t>
            </w:r>
          </w:p>
        </w:tc>
        <w:tc>
          <w:tcPr>
            <w:tcW w:w="320" w:type="dxa"/>
            <w:vAlign w:val="bottom"/>
            <w:shd w:val="clear" w:color="auto" w:fill="CCEEFF"/>
          </w:tcPr>
          <w:p>
            <w:pPr>
              <w:jc w:val="right"/>
              <w:ind w:right="173"/>
              <w:spacing w:after="0"/>
              <w:rPr>
                <w:sz w:val="20"/>
                <w:szCs w:val="20"/>
                <w:color w:val="auto"/>
              </w:rPr>
            </w:pPr>
            <w:r>
              <w:rPr>
                <w:rFonts w:ascii="Times New Roman" w:cs="Times New Roman" w:eastAsia="Times New Roman" w:hAnsi="Times New Roman"/>
                <w:sz w:val="13"/>
                <w:szCs w:val="13"/>
                <w:color w:val="auto"/>
                <w:w w:val="91"/>
              </w:rPr>
              <w:t>$</w:t>
            </w:r>
          </w:p>
        </w:tc>
        <w:tc>
          <w:tcPr>
            <w:tcW w:w="10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43,000</w:t>
            </w:r>
          </w:p>
        </w:tc>
        <w:tc>
          <w:tcPr>
            <w:tcW w:w="100" w:type="dxa"/>
            <w:vAlign w:val="bottom"/>
            <w:shd w:val="clear" w:color="auto" w:fill="CCEEFF"/>
          </w:tcPr>
          <w:p>
            <w:pPr>
              <w:spacing w:after="0"/>
              <w:rPr>
                <w:sz w:val="14"/>
                <w:szCs w:val="14"/>
                <w:color w:val="auto"/>
              </w:rPr>
            </w:pPr>
          </w:p>
        </w:tc>
        <w:tc>
          <w:tcPr>
            <w:tcW w:w="500" w:type="dxa"/>
            <w:vAlign w:val="bottom"/>
            <w:shd w:val="clear" w:color="auto" w:fill="CCEEFF"/>
          </w:tcPr>
          <w:p>
            <w:pPr>
              <w:jc w:val="right"/>
              <w:ind w:right="353"/>
              <w:spacing w:after="0"/>
              <w:rPr>
                <w:sz w:val="20"/>
                <w:szCs w:val="20"/>
                <w:color w:val="auto"/>
              </w:rPr>
            </w:pPr>
            <w:r>
              <w:rPr>
                <w:rFonts w:ascii="Times New Roman" w:cs="Times New Roman" w:eastAsia="Times New Roman" w:hAnsi="Times New Roman"/>
                <w:sz w:val="13"/>
                <w:szCs w:val="13"/>
                <w:color w:val="auto"/>
                <w:w w:val="91"/>
              </w:rPr>
              <w:t>$</w:t>
            </w:r>
          </w:p>
        </w:tc>
        <w:tc>
          <w:tcPr>
            <w:tcW w:w="8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33,300</w:t>
            </w:r>
          </w:p>
        </w:tc>
      </w:tr>
      <w:tr>
        <w:trPr>
          <w:trHeight w:val="184"/>
        </w:trPr>
        <w:tc>
          <w:tcPr>
            <w:tcW w:w="8460" w:type="dxa"/>
            <w:vAlign w:val="bottom"/>
          </w:tcPr>
          <w:p>
            <w:pPr>
              <w:ind w:left="20"/>
              <w:spacing w:after="0"/>
              <w:rPr>
                <w:sz w:val="20"/>
                <w:szCs w:val="20"/>
                <w:color w:val="auto"/>
              </w:rPr>
            </w:pPr>
            <w:r>
              <w:rPr>
                <w:rFonts w:ascii="Times New Roman" w:cs="Times New Roman" w:eastAsia="Times New Roman" w:hAnsi="Times New Roman"/>
                <w:sz w:val="14"/>
                <w:szCs w:val="14"/>
                <w:color w:val="auto"/>
              </w:rPr>
              <w:t>Liquid investments</w:t>
            </w:r>
          </w:p>
        </w:tc>
        <w:tc>
          <w:tcPr>
            <w:tcW w:w="320" w:type="dxa"/>
            <w:vAlign w:val="bottom"/>
          </w:tcPr>
          <w:p>
            <w:pPr>
              <w:jc w:val="right"/>
              <w:ind w:right="173"/>
              <w:spacing w:after="0"/>
              <w:rPr>
                <w:sz w:val="20"/>
                <w:szCs w:val="20"/>
                <w:color w:val="auto"/>
              </w:rPr>
            </w:pPr>
            <w:r>
              <w:rPr>
                <w:rFonts w:ascii="Times New Roman" w:cs="Times New Roman" w:eastAsia="Times New Roman" w:hAnsi="Times New Roman"/>
                <w:sz w:val="13"/>
                <w:szCs w:val="13"/>
                <w:color w:val="auto"/>
                <w:w w:val="91"/>
              </w:rPr>
              <w:t>$</w:t>
            </w:r>
          </w:p>
        </w:tc>
        <w:tc>
          <w:tcPr>
            <w:tcW w:w="102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17,887</w:t>
            </w:r>
          </w:p>
        </w:tc>
        <w:tc>
          <w:tcPr>
            <w:tcW w:w="100" w:type="dxa"/>
            <w:vAlign w:val="bottom"/>
          </w:tcPr>
          <w:p>
            <w:pPr>
              <w:spacing w:after="0"/>
              <w:rPr>
                <w:sz w:val="16"/>
                <w:szCs w:val="16"/>
                <w:color w:val="auto"/>
              </w:rPr>
            </w:pPr>
          </w:p>
        </w:tc>
        <w:tc>
          <w:tcPr>
            <w:tcW w:w="500" w:type="dxa"/>
            <w:vAlign w:val="bottom"/>
          </w:tcPr>
          <w:p>
            <w:pPr>
              <w:jc w:val="right"/>
              <w:ind w:right="353"/>
              <w:spacing w:after="0"/>
              <w:rPr>
                <w:sz w:val="20"/>
                <w:szCs w:val="20"/>
                <w:color w:val="auto"/>
              </w:rPr>
            </w:pPr>
            <w:r>
              <w:rPr>
                <w:rFonts w:ascii="Times New Roman" w:cs="Times New Roman" w:eastAsia="Times New Roman" w:hAnsi="Times New Roman"/>
                <w:sz w:val="13"/>
                <w:szCs w:val="13"/>
                <w:color w:val="auto"/>
                <w:w w:val="91"/>
              </w:rPr>
              <w:t>$</w:t>
            </w:r>
          </w:p>
        </w:tc>
        <w:tc>
          <w:tcPr>
            <w:tcW w:w="84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25,748</w:t>
            </w:r>
          </w:p>
        </w:tc>
      </w:tr>
    </w:tbl>
    <w:p>
      <w:pPr>
        <w:spacing w:after="0" w:line="130" w:lineRule="exact"/>
        <w:rPr>
          <w:sz w:val="20"/>
          <w:szCs w:val="20"/>
          <w:color w:val="auto"/>
        </w:rPr>
      </w:pPr>
    </w:p>
    <w:p>
      <w:pPr>
        <w:ind w:firstLine="382"/>
        <w:spacing w:after="0" w:line="264" w:lineRule="auto"/>
        <w:rPr>
          <w:sz w:val="20"/>
          <w:szCs w:val="20"/>
          <w:color w:val="auto"/>
        </w:rPr>
      </w:pPr>
      <w:r>
        <w:rPr>
          <w:rFonts w:ascii="Times New Roman" w:cs="Times New Roman" w:eastAsia="Times New Roman" w:hAnsi="Times New Roman"/>
          <w:sz w:val="14"/>
          <w:szCs w:val="14"/>
          <w:color w:val="auto"/>
        </w:rPr>
        <w:t>Historically we have funded our operations and cash requirements with cash generated from operating activities. We may also use cash from operations to pay dividends to our stockholders or for deferred contingent consideration payments. We had no debt as of December 31, 2025 and 2024. The changes in net cash provided by operating activities generally reflect changes in earnings plus the effects of non-cash items and changes in working capital, including liquidation of investments used to cover current liabilities. Changes in working capital, especially accounts receivable and accounts payable, are generally the result of timing differences between collection of fees billed and payment of operating expenses.</w:t>
      </w:r>
    </w:p>
    <w:p>
      <w:pPr>
        <w:spacing w:after="0" w:line="56" w:lineRule="exact"/>
        <w:rPr>
          <w:sz w:val="20"/>
          <w:szCs w:val="20"/>
          <w:color w:val="auto"/>
        </w:rPr>
      </w:pPr>
    </w:p>
    <w:p>
      <w:pPr>
        <w:ind w:left="380"/>
        <w:spacing w:after="0"/>
        <w:rPr>
          <w:sz w:val="20"/>
          <w:szCs w:val="20"/>
          <w:color w:val="auto"/>
        </w:rPr>
      </w:pPr>
      <w:r>
        <w:rPr>
          <w:rFonts w:ascii="Times New Roman" w:cs="Times New Roman" w:eastAsia="Times New Roman" w:hAnsi="Times New Roman"/>
          <w:sz w:val="14"/>
          <w:szCs w:val="14"/>
          <w:color w:val="auto"/>
        </w:rPr>
        <w:t>We had cash and liquid investments of $44.1 million and $44.6 million as of December 31, 2025 and 2024, respectively.</w:t>
      </w:r>
    </w:p>
    <w:p>
      <w:pPr>
        <w:spacing w:after="0" w:line="94" w:lineRule="exact"/>
        <w:rPr>
          <w:sz w:val="20"/>
          <w:szCs w:val="20"/>
          <w:color w:val="auto"/>
        </w:rPr>
      </w:pPr>
    </w:p>
    <w:p>
      <w:pPr>
        <w:ind w:right="20" w:firstLine="382"/>
        <w:spacing w:after="0" w:line="286" w:lineRule="auto"/>
        <w:rPr>
          <w:sz w:val="20"/>
          <w:szCs w:val="20"/>
          <w:color w:val="auto"/>
        </w:rPr>
      </w:pPr>
      <w:r>
        <w:rPr>
          <w:rFonts w:ascii="Times New Roman" w:cs="Times New Roman" w:eastAsia="Times New Roman" w:hAnsi="Times New Roman"/>
          <w:sz w:val="14"/>
          <w:szCs w:val="14"/>
          <w:color w:val="auto"/>
        </w:rPr>
        <w:t>Westwood Trust is required by the Texas Finance Code to maintain cash and investments in an amount equal to the minimum restricted capital of $4.0 million. Restricted capital is included in "Investments at fair value" in the accompanying Consolidated Balance Sheets. At December 31, 2025, Westwood Trust had approximately $13.2 million in excess of its minimum capital requirement.</w:t>
      </w:r>
    </w:p>
    <w:tbl>
      <w:tblPr>
        <w:tblLayout w:type="fixed"/>
        <w:tblInd w:w="0" w:type="dxa"/>
        <w:tblCellMar>
          <w:top w:w="0" w:type="dxa"/>
          <w:left w:w="0" w:type="dxa"/>
          <w:bottom w:w="0" w:type="dxa"/>
          <w:right w:w="0" w:type="dxa"/>
        </w:tblCellMar>
      </w:tblPr>
      <w:tr>
        <w:trPr>
          <w:trHeight w:val="167"/>
        </w:trPr>
        <w:tc>
          <w:tcPr>
            <w:tcW w:w="7240" w:type="dxa"/>
            <w:vAlign w:val="bottom"/>
          </w:tcPr>
          <w:p>
            <w:pPr>
              <w:spacing w:after="0"/>
              <w:rPr>
                <w:sz w:val="14"/>
                <w:szCs w:val="14"/>
                <w:color w:val="auto"/>
              </w:rPr>
            </w:pPr>
          </w:p>
        </w:tc>
        <w:tc>
          <w:tcPr>
            <w:tcW w:w="300" w:type="dxa"/>
            <w:vAlign w:val="bottom"/>
            <w:tcBorders>
              <w:bottom w:val="single" w:sz="8" w:color="auto"/>
            </w:tcBorders>
          </w:tcPr>
          <w:p>
            <w:pPr>
              <w:spacing w:after="0"/>
              <w:rPr>
                <w:sz w:val="14"/>
                <w:szCs w:val="14"/>
                <w:color w:val="auto"/>
              </w:rPr>
            </w:pPr>
          </w:p>
        </w:tc>
        <w:tc>
          <w:tcPr>
            <w:tcW w:w="2780" w:type="dxa"/>
            <w:vAlign w:val="bottom"/>
            <w:tcBorders>
              <w:bottom w:val="single" w:sz="8" w:color="auto"/>
            </w:tcBorders>
            <w:gridSpan w:val="6"/>
          </w:tcPr>
          <w:p>
            <w:pPr>
              <w:ind w:left="760"/>
              <w:spacing w:after="0"/>
              <w:rPr>
                <w:sz w:val="20"/>
                <w:szCs w:val="20"/>
                <w:color w:val="auto"/>
              </w:rPr>
            </w:pPr>
            <w:r>
              <w:rPr>
                <w:rFonts w:ascii="Times New Roman" w:cs="Times New Roman" w:eastAsia="Times New Roman" w:hAnsi="Times New Roman"/>
                <w:sz w:val="13"/>
                <w:szCs w:val="13"/>
                <w:b w:val="1"/>
                <w:bCs w:val="1"/>
                <w:color w:val="auto"/>
              </w:rPr>
              <w:t>For the years ended December 31,</w:t>
            </w:r>
          </w:p>
        </w:tc>
        <w:tc>
          <w:tcPr>
            <w:tcW w:w="920" w:type="dxa"/>
            <w:vAlign w:val="bottom"/>
            <w:tcBorders>
              <w:bottom w:val="single" w:sz="8" w:color="auto"/>
            </w:tcBorders>
          </w:tcPr>
          <w:p>
            <w:pPr>
              <w:spacing w:after="0"/>
              <w:rPr>
                <w:sz w:val="14"/>
                <w:szCs w:val="14"/>
                <w:color w:val="auto"/>
              </w:rPr>
            </w:pPr>
          </w:p>
        </w:tc>
      </w:tr>
      <w:tr>
        <w:trPr>
          <w:trHeight w:val="164"/>
        </w:trPr>
        <w:tc>
          <w:tcPr>
            <w:tcW w:w="7240" w:type="dxa"/>
            <w:vAlign w:val="bottom"/>
            <w:tcBorders>
              <w:bottom w:val="single" w:sz="8" w:color="CCEEFF"/>
            </w:tcBorders>
          </w:tcPr>
          <w:p>
            <w:pPr>
              <w:ind w:left="20"/>
              <w:spacing w:after="0"/>
              <w:rPr>
                <w:sz w:val="20"/>
                <w:szCs w:val="20"/>
                <w:color w:val="auto"/>
              </w:rPr>
            </w:pPr>
            <w:r>
              <w:rPr>
                <w:rFonts w:ascii="Times New Roman" w:cs="Times New Roman" w:eastAsia="Times New Roman" w:hAnsi="Times New Roman"/>
                <w:sz w:val="13"/>
                <w:szCs w:val="13"/>
                <w:b w:val="1"/>
                <w:bCs w:val="1"/>
                <w:i w:val="1"/>
                <w:iCs w:val="1"/>
                <w:color w:val="auto"/>
              </w:rPr>
              <w:t>Cash Flow Data (in thousands)</w:t>
            </w:r>
          </w:p>
        </w:tc>
        <w:tc>
          <w:tcPr>
            <w:tcW w:w="300" w:type="dxa"/>
            <w:vAlign w:val="bottom"/>
            <w:tcBorders>
              <w:bottom w:val="single" w:sz="8" w:color="auto"/>
            </w:tcBorders>
          </w:tcPr>
          <w:p>
            <w:pPr>
              <w:spacing w:after="0"/>
              <w:rPr>
                <w:sz w:val="14"/>
                <w:szCs w:val="14"/>
                <w:color w:val="auto"/>
              </w:rPr>
            </w:pPr>
          </w:p>
        </w:tc>
        <w:tc>
          <w:tcPr>
            <w:tcW w:w="960" w:type="dxa"/>
            <w:vAlign w:val="bottom"/>
            <w:tcBorders>
              <w:bottom w:val="single" w:sz="8" w:color="auto"/>
            </w:tcBorders>
          </w:tcPr>
          <w:p>
            <w:pPr>
              <w:ind w:left="200"/>
              <w:spacing w:after="0"/>
              <w:rPr>
                <w:sz w:val="20"/>
                <w:szCs w:val="20"/>
                <w:color w:val="auto"/>
              </w:rPr>
            </w:pPr>
            <w:r>
              <w:rPr>
                <w:rFonts w:ascii="Times New Roman" w:cs="Times New Roman" w:eastAsia="Times New Roman" w:hAnsi="Times New Roman"/>
                <w:sz w:val="13"/>
                <w:szCs w:val="13"/>
                <w:b w:val="1"/>
                <w:bCs w:val="1"/>
                <w:color w:val="auto"/>
              </w:rPr>
              <w:t>2025</w:t>
            </w:r>
          </w:p>
        </w:tc>
        <w:tc>
          <w:tcPr>
            <w:tcW w:w="100" w:type="dxa"/>
            <w:vAlign w:val="bottom"/>
            <w:tcBorders>
              <w:bottom w:val="single" w:sz="8" w:color="CCEEFF"/>
            </w:tcBorders>
          </w:tcPr>
          <w:p>
            <w:pPr>
              <w:spacing w:after="0"/>
              <w:rPr>
                <w:sz w:val="14"/>
                <w:szCs w:val="14"/>
                <w:color w:val="auto"/>
              </w:rPr>
            </w:pPr>
          </w:p>
        </w:tc>
        <w:tc>
          <w:tcPr>
            <w:tcW w:w="300" w:type="dxa"/>
            <w:vAlign w:val="bottom"/>
            <w:tcBorders>
              <w:bottom w:val="single" w:sz="8" w:color="auto"/>
            </w:tcBorders>
          </w:tcPr>
          <w:p>
            <w:pPr>
              <w:spacing w:after="0"/>
              <w:rPr>
                <w:sz w:val="14"/>
                <w:szCs w:val="14"/>
                <w:color w:val="auto"/>
              </w:rPr>
            </w:pPr>
          </w:p>
        </w:tc>
        <w:tc>
          <w:tcPr>
            <w:tcW w:w="960" w:type="dxa"/>
            <w:vAlign w:val="bottom"/>
            <w:tcBorders>
              <w:bottom w:val="single" w:sz="8" w:color="auto"/>
            </w:tcBorders>
          </w:tcPr>
          <w:p>
            <w:pPr>
              <w:jc w:val="right"/>
              <w:ind w:right="434"/>
              <w:spacing w:after="0"/>
              <w:rPr>
                <w:sz w:val="20"/>
                <w:szCs w:val="20"/>
                <w:color w:val="auto"/>
              </w:rPr>
            </w:pPr>
            <w:r>
              <w:rPr>
                <w:rFonts w:ascii="Times New Roman" w:cs="Times New Roman" w:eastAsia="Times New Roman" w:hAnsi="Times New Roman"/>
                <w:sz w:val="13"/>
                <w:szCs w:val="13"/>
                <w:b w:val="1"/>
                <w:bCs w:val="1"/>
                <w:color w:val="auto"/>
              </w:rPr>
              <w:t>2024</w:t>
            </w:r>
          </w:p>
        </w:tc>
        <w:tc>
          <w:tcPr>
            <w:tcW w:w="100" w:type="dxa"/>
            <w:vAlign w:val="bottom"/>
            <w:tcBorders>
              <w:bottom w:val="single" w:sz="8" w:color="CCEEFF"/>
            </w:tcBorders>
          </w:tcPr>
          <w:p>
            <w:pPr>
              <w:spacing w:after="0"/>
              <w:rPr>
                <w:sz w:val="14"/>
                <w:szCs w:val="14"/>
                <w:color w:val="auto"/>
              </w:rPr>
            </w:pPr>
          </w:p>
        </w:tc>
        <w:tc>
          <w:tcPr>
            <w:tcW w:w="360" w:type="dxa"/>
            <w:vAlign w:val="bottom"/>
            <w:tcBorders>
              <w:bottom w:val="single" w:sz="8" w:color="auto"/>
            </w:tcBorders>
          </w:tcPr>
          <w:p>
            <w:pPr>
              <w:spacing w:after="0"/>
              <w:rPr>
                <w:sz w:val="14"/>
                <w:szCs w:val="14"/>
                <w:color w:val="auto"/>
              </w:rPr>
            </w:pPr>
          </w:p>
        </w:tc>
        <w:tc>
          <w:tcPr>
            <w:tcW w:w="920" w:type="dxa"/>
            <w:vAlign w:val="bottom"/>
            <w:tcBorders>
              <w:bottom w:val="single" w:sz="8" w:color="auto"/>
            </w:tcBorders>
          </w:tcPr>
          <w:p>
            <w:pPr>
              <w:jc w:val="right"/>
              <w:ind w:right="454"/>
              <w:spacing w:after="0"/>
              <w:rPr>
                <w:sz w:val="20"/>
                <w:szCs w:val="20"/>
                <w:color w:val="auto"/>
              </w:rPr>
            </w:pPr>
            <w:r>
              <w:rPr>
                <w:rFonts w:ascii="Times New Roman" w:cs="Times New Roman" w:eastAsia="Times New Roman" w:hAnsi="Times New Roman"/>
                <w:sz w:val="13"/>
                <w:szCs w:val="13"/>
                <w:b w:val="1"/>
                <w:bCs w:val="1"/>
                <w:color w:val="auto"/>
              </w:rPr>
              <w:t>2023</w:t>
            </w:r>
          </w:p>
        </w:tc>
      </w:tr>
      <w:tr>
        <w:trPr>
          <w:trHeight w:val="172"/>
        </w:trPr>
        <w:tc>
          <w:tcPr>
            <w:tcW w:w="724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4"/>
                <w:szCs w:val="14"/>
                <w:color w:val="auto"/>
              </w:rPr>
              <w:t>Operating cash flows</w:t>
            </w:r>
          </w:p>
        </w:tc>
        <w:tc>
          <w:tcPr>
            <w:tcW w:w="300" w:type="dxa"/>
            <w:vAlign w:val="bottom"/>
            <w:shd w:val="clear" w:color="auto" w:fill="CCEEFF"/>
          </w:tcPr>
          <w:p>
            <w:pPr>
              <w:jc w:val="right"/>
              <w:ind w:right="153"/>
              <w:spacing w:after="0"/>
              <w:rPr>
                <w:sz w:val="20"/>
                <w:szCs w:val="20"/>
                <w:color w:val="auto"/>
              </w:rPr>
            </w:pPr>
            <w:r>
              <w:rPr>
                <w:rFonts w:ascii="Times New Roman" w:cs="Times New Roman" w:eastAsia="Times New Roman" w:hAnsi="Times New Roman"/>
                <w:sz w:val="13"/>
                <w:szCs w:val="13"/>
                <w:color w:val="auto"/>
                <w:w w:val="91"/>
              </w:rPr>
              <w:t>$</w:t>
            </w:r>
          </w:p>
        </w:tc>
        <w:tc>
          <w:tcPr>
            <w:tcW w:w="960" w:type="dxa"/>
            <w:vAlign w:val="bottom"/>
            <w:shd w:val="clear" w:color="auto" w:fill="CCEEFF"/>
          </w:tcPr>
          <w:p>
            <w:pPr>
              <w:ind w:left="540"/>
              <w:spacing w:after="0"/>
              <w:rPr>
                <w:sz w:val="20"/>
                <w:szCs w:val="20"/>
                <w:color w:val="auto"/>
              </w:rPr>
            </w:pPr>
            <w:r>
              <w:rPr>
                <w:rFonts w:ascii="Times New Roman" w:cs="Times New Roman" w:eastAsia="Times New Roman" w:hAnsi="Times New Roman"/>
                <w:sz w:val="13"/>
                <w:szCs w:val="13"/>
                <w:color w:val="auto"/>
              </w:rPr>
              <w:t>18,922</w:t>
            </w:r>
          </w:p>
        </w:tc>
        <w:tc>
          <w:tcPr>
            <w:tcW w:w="100" w:type="dxa"/>
            <w:vAlign w:val="bottom"/>
            <w:shd w:val="clear" w:color="auto" w:fill="CCEEFF"/>
          </w:tcPr>
          <w:p>
            <w:pPr>
              <w:spacing w:after="0"/>
              <w:rPr>
                <w:sz w:val="14"/>
                <w:szCs w:val="14"/>
                <w:color w:val="auto"/>
              </w:rPr>
            </w:pPr>
          </w:p>
        </w:tc>
        <w:tc>
          <w:tcPr>
            <w:tcW w:w="300" w:type="dxa"/>
            <w:vAlign w:val="bottom"/>
            <w:shd w:val="clear" w:color="auto" w:fill="CCEEFF"/>
          </w:tcPr>
          <w:p>
            <w:pPr>
              <w:jc w:val="right"/>
              <w:ind w:right="153"/>
              <w:spacing w:after="0"/>
              <w:rPr>
                <w:sz w:val="20"/>
                <w:szCs w:val="20"/>
                <w:color w:val="auto"/>
              </w:rPr>
            </w:pPr>
            <w:r>
              <w:rPr>
                <w:rFonts w:ascii="Times New Roman" w:cs="Times New Roman" w:eastAsia="Times New Roman" w:hAnsi="Times New Roman"/>
                <w:sz w:val="13"/>
                <w:szCs w:val="13"/>
                <w:color w:val="auto"/>
                <w:w w:val="91"/>
              </w:rPr>
              <w:t>$</w:t>
            </w:r>
          </w:p>
        </w:tc>
        <w:tc>
          <w:tcPr>
            <w:tcW w:w="9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21,122</w:t>
            </w:r>
          </w:p>
        </w:tc>
        <w:tc>
          <w:tcPr>
            <w:tcW w:w="100" w:type="dxa"/>
            <w:vAlign w:val="bottom"/>
            <w:shd w:val="clear" w:color="auto" w:fill="CCEEFF"/>
          </w:tcPr>
          <w:p>
            <w:pPr>
              <w:spacing w:after="0"/>
              <w:rPr>
                <w:sz w:val="14"/>
                <w:szCs w:val="14"/>
                <w:color w:val="auto"/>
              </w:rPr>
            </w:pPr>
          </w:p>
        </w:tc>
        <w:tc>
          <w:tcPr>
            <w:tcW w:w="360" w:type="dxa"/>
            <w:vAlign w:val="bottom"/>
            <w:shd w:val="clear" w:color="auto" w:fill="CCEEFF"/>
          </w:tcPr>
          <w:p>
            <w:pPr>
              <w:jc w:val="right"/>
              <w:ind w:right="213"/>
              <w:spacing w:after="0"/>
              <w:rPr>
                <w:sz w:val="20"/>
                <w:szCs w:val="20"/>
                <w:color w:val="auto"/>
              </w:rPr>
            </w:pPr>
            <w:r>
              <w:rPr>
                <w:rFonts w:ascii="Times New Roman" w:cs="Times New Roman" w:eastAsia="Times New Roman" w:hAnsi="Times New Roman"/>
                <w:sz w:val="13"/>
                <w:szCs w:val="13"/>
                <w:color w:val="auto"/>
                <w:w w:val="91"/>
              </w:rPr>
              <w:t>$</w:t>
            </w:r>
          </w:p>
        </w:tc>
        <w:tc>
          <w:tcPr>
            <w:tcW w:w="920" w:type="dxa"/>
            <w:vAlign w:val="bottom"/>
            <w:shd w:val="clear" w:color="auto" w:fill="CCEEFF"/>
          </w:tcPr>
          <w:p>
            <w:pPr>
              <w:jc w:val="center"/>
              <w:ind w:left="394"/>
              <w:spacing w:after="0"/>
              <w:rPr>
                <w:sz w:val="20"/>
                <w:szCs w:val="20"/>
                <w:color w:val="auto"/>
              </w:rPr>
            </w:pPr>
            <w:r>
              <w:rPr>
                <w:rFonts w:ascii="Times New Roman" w:cs="Times New Roman" w:eastAsia="Times New Roman" w:hAnsi="Times New Roman"/>
                <w:sz w:val="13"/>
                <w:szCs w:val="13"/>
                <w:color w:val="auto"/>
              </w:rPr>
              <w:t>(1,185)</w:t>
            </w:r>
          </w:p>
        </w:tc>
      </w:tr>
      <w:tr>
        <w:trPr>
          <w:trHeight w:val="180"/>
        </w:trPr>
        <w:tc>
          <w:tcPr>
            <w:tcW w:w="7240" w:type="dxa"/>
            <w:vAlign w:val="bottom"/>
          </w:tcPr>
          <w:p>
            <w:pPr>
              <w:ind w:left="20"/>
              <w:spacing w:after="0"/>
              <w:rPr>
                <w:sz w:val="20"/>
                <w:szCs w:val="20"/>
                <w:color w:val="auto"/>
              </w:rPr>
            </w:pPr>
            <w:r>
              <w:rPr>
                <w:rFonts w:ascii="Times New Roman" w:cs="Times New Roman" w:eastAsia="Times New Roman" w:hAnsi="Times New Roman"/>
                <w:sz w:val="14"/>
                <w:szCs w:val="14"/>
                <w:color w:val="auto"/>
              </w:rPr>
              <w:t>Investing cash flows</w:t>
            </w:r>
          </w:p>
        </w:tc>
        <w:tc>
          <w:tcPr>
            <w:tcW w:w="300" w:type="dxa"/>
            <w:vAlign w:val="bottom"/>
          </w:tcPr>
          <w:p>
            <w:pPr>
              <w:spacing w:after="0"/>
              <w:rPr>
                <w:sz w:val="15"/>
                <w:szCs w:val="15"/>
                <w:color w:val="auto"/>
              </w:rPr>
            </w:pPr>
          </w:p>
        </w:tc>
        <w:tc>
          <w:tcPr>
            <w:tcW w:w="960" w:type="dxa"/>
            <w:vAlign w:val="bottom"/>
          </w:tcPr>
          <w:p>
            <w:pPr>
              <w:ind w:left="560"/>
              <w:spacing w:after="0"/>
              <w:rPr>
                <w:sz w:val="20"/>
                <w:szCs w:val="20"/>
                <w:color w:val="auto"/>
              </w:rPr>
            </w:pPr>
            <w:r>
              <w:rPr>
                <w:rFonts w:ascii="Times New Roman" w:cs="Times New Roman" w:eastAsia="Times New Roman" w:hAnsi="Times New Roman"/>
                <w:sz w:val="13"/>
                <w:szCs w:val="13"/>
                <w:color w:val="auto"/>
              </w:rPr>
              <w:t>(3,666)</w:t>
            </w:r>
          </w:p>
        </w:tc>
        <w:tc>
          <w:tcPr>
            <w:tcW w:w="100" w:type="dxa"/>
            <w:vAlign w:val="bottom"/>
          </w:tcPr>
          <w:p>
            <w:pPr>
              <w:spacing w:after="0"/>
              <w:rPr>
                <w:sz w:val="15"/>
                <w:szCs w:val="15"/>
                <w:color w:val="auto"/>
              </w:rPr>
            </w:pPr>
          </w:p>
        </w:tc>
        <w:tc>
          <w:tcPr>
            <w:tcW w:w="300" w:type="dxa"/>
            <w:vAlign w:val="bottom"/>
          </w:tcPr>
          <w:p>
            <w:pPr>
              <w:spacing w:after="0"/>
              <w:rPr>
                <w:sz w:val="15"/>
                <w:szCs w:val="15"/>
                <w:color w:val="auto"/>
              </w:rPr>
            </w:pPr>
          </w:p>
        </w:tc>
        <w:tc>
          <w:tcPr>
            <w:tcW w:w="96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(4,613)</w:t>
            </w:r>
          </w:p>
        </w:tc>
        <w:tc>
          <w:tcPr>
            <w:tcW w:w="100" w:type="dxa"/>
            <w:vAlign w:val="bottom"/>
          </w:tcPr>
          <w:p>
            <w:pPr>
              <w:spacing w:after="0"/>
              <w:rPr>
                <w:sz w:val="15"/>
                <w:szCs w:val="15"/>
                <w:color w:val="auto"/>
              </w:rPr>
            </w:pPr>
          </w:p>
        </w:tc>
        <w:tc>
          <w:tcPr>
            <w:tcW w:w="360" w:type="dxa"/>
            <w:vAlign w:val="bottom"/>
          </w:tcPr>
          <w:p>
            <w:pPr>
              <w:spacing w:after="0"/>
              <w:rPr>
                <w:sz w:val="15"/>
                <w:szCs w:val="15"/>
                <w:color w:val="auto"/>
              </w:rPr>
            </w:pPr>
          </w:p>
        </w:tc>
        <w:tc>
          <w:tcPr>
            <w:tcW w:w="920" w:type="dxa"/>
            <w:vAlign w:val="bottom"/>
          </w:tcPr>
          <w:p>
            <w:pPr>
              <w:jc w:val="center"/>
              <w:ind w:left="434"/>
              <w:spacing w:after="0"/>
              <w:rPr>
                <w:sz w:val="20"/>
                <w:szCs w:val="20"/>
                <w:color w:val="auto"/>
              </w:rPr>
            </w:pPr>
            <w:r>
              <w:rPr>
                <w:rFonts w:ascii="Times New Roman" w:cs="Times New Roman" w:eastAsia="Times New Roman" w:hAnsi="Times New Roman"/>
                <w:sz w:val="13"/>
                <w:szCs w:val="13"/>
                <w:color w:val="auto"/>
              </w:rPr>
              <w:t>4,112</w:t>
            </w:r>
          </w:p>
        </w:tc>
      </w:tr>
      <w:tr>
        <w:trPr>
          <w:trHeight w:val="180"/>
        </w:trPr>
        <w:tc>
          <w:tcPr>
            <w:tcW w:w="724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4"/>
                <w:szCs w:val="14"/>
                <w:color w:val="auto"/>
              </w:rPr>
              <w:t>Financing cash flows</w:t>
            </w:r>
          </w:p>
        </w:tc>
        <w:tc>
          <w:tcPr>
            <w:tcW w:w="300" w:type="dxa"/>
            <w:vAlign w:val="bottom"/>
            <w:shd w:val="clear" w:color="auto" w:fill="CCEEFF"/>
          </w:tcPr>
          <w:p>
            <w:pPr>
              <w:spacing w:after="0"/>
              <w:rPr>
                <w:sz w:val="15"/>
                <w:szCs w:val="15"/>
                <w:color w:val="auto"/>
              </w:rPr>
            </w:pPr>
          </w:p>
        </w:tc>
        <w:tc>
          <w:tcPr>
            <w:tcW w:w="960" w:type="dxa"/>
            <w:vAlign w:val="bottom"/>
            <w:shd w:val="clear" w:color="auto" w:fill="CCEEFF"/>
          </w:tcPr>
          <w:p>
            <w:pPr>
              <w:ind w:left="560"/>
              <w:spacing w:after="0"/>
              <w:rPr>
                <w:sz w:val="20"/>
                <w:szCs w:val="20"/>
                <w:color w:val="auto"/>
              </w:rPr>
            </w:pPr>
            <w:r>
              <w:rPr>
                <w:rFonts w:ascii="Times New Roman" w:cs="Times New Roman" w:eastAsia="Times New Roman" w:hAnsi="Times New Roman"/>
                <w:sz w:val="13"/>
                <w:szCs w:val="13"/>
                <w:color w:val="auto"/>
              </w:rPr>
              <w:t>(7,854)</w:t>
            </w:r>
          </w:p>
        </w:tc>
        <w:tc>
          <w:tcPr>
            <w:tcW w:w="100" w:type="dxa"/>
            <w:vAlign w:val="bottom"/>
            <w:shd w:val="clear" w:color="auto" w:fill="CCEEFF"/>
          </w:tcPr>
          <w:p>
            <w:pPr>
              <w:spacing w:after="0"/>
              <w:rPr>
                <w:sz w:val="15"/>
                <w:szCs w:val="15"/>
                <w:color w:val="auto"/>
              </w:rPr>
            </w:pPr>
          </w:p>
        </w:tc>
        <w:tc>
          <w:tcPr>
            <w:tcW w:w="300" w:type="dxa"/>
            <w:vAlign w:val="bottom"/>
            <w:shd w:val="clear" w:color="auto" w:fill="CCEEFF"/>
          </w:tcPr>
          <w:p>
            <w:pPr>
              <w:spacing w:after="0"/>
              <w:rPr>
                <w:sz w:val="15"/>
                <w:szCs w:val="15"/>
                <w:color w:val="auto"/>
              </w:rPr>
            </w:pPr>
          </w:p>
        </w:tc>
        <w:tc>
          <w:tcPr>
            <w:tcW w:w="9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(18,084)</w:t>
            </w:r>
          </w:p>
        </w:tc>
        <w:tc>
          <w:tcPr>
            <w:tcW w:w="100" w:type="dxa"/>
            <w:vAlign w:val="bottom"/>
            <w:shd w:val="clear" w:color="auto" w:fill="CCEEFF"/>
          </w:tcPr>
          <w:p>
            <w:pPr>
              <w:spacing w:after="0"/>
              <w:rPr>
                <w:sz w:val="15"/>
                <w:szCs w:val="15"/>
                <w:color w:val="auto"/>
              </w:rPr>
            </w:pPr>
          </w:p>
        </w:tc>
        <w:tc>
          <w:tcPr>
            <w:tcW w:w="360" w:type="dxa"/>
            <w:vAlign w:val="bottom"/>
            <w:shd w:val="clear" w:color="auto" w:fill="CCEEFF"/>
          </w:tcPr>
          <w:p>
            <w:pPr>
              <w:spacing w:after="0"/>
              <w:rPr>
                <w:sz w:val="15"/>
                <w:szCs w:val="15"/>
                <w:color w:val="auto"/>
              </w:rPr>
            </w:pPr>
          </w:p>
        </w:tc>
        <w:tc>
          <w:tcPr>
            <w:tcW w:w="920" w:type="dxa"/>
            <w:vAlign w:val="bottom"/>
            <w:shd w:val="clear" w:color="auto" w:fill="CCEEFF"/>
          </w:tcPr>
          <w:p>
            <w:pPr>
              <w:jc w:val="center"/>
              <w:ind w:left="394"/>
              <w:spacing w:after="0"/>
              <w:rPr>
                <w:sz w:val="20"/>
                <w:szCs w:val="20"/>
                <w:color w:val="auto"/>
              </w:rPr>
            </w:pPr>
            <w:r>
              <w:rPr>
                <w:rFonts w:ascii="Times New Roman" w:cs="Times New Roman" w:eastAsia="Times New Roman" w:hAnsi="Times New Roman"/>
                <w:sz w:val="13"/>
                <w:szCs w:val="13"/>
                <w:color w:val="auto"/>
              </w:rPr>
              <w:t>(6,364)</w:t>
            </w:r>
          </w:p>
        </w:tc>
      </w:tr>
    </w:tbl>
    <w:p>
      <w:pPr>
        <w:spacing w:after="0" w:line="144" w:lineRule="exact"/>
        <w:rPr>
          <w:sz w:val="20"/>
          <w:szCs w:val="20"/>
          <w:color w:val="auto"/>
        </w:rPr>
      </w:pPr>
    </w:p>
    <w:p>
      <w:pPr>
        <w:ind w:right="400" w:firstLine="382"/>
        <w:spacing w:after="0" w:line="270" w:lineRule="auto"/>
        <w:rPr>
          <w:sz w:val="20"/>
          <w:szCs w:val="20"/>
          <w:color w:val="auto"/>
        </w:rPr>
      </w:pPr>
      <w:r>
        <w:rPr>
          <w:rFonts w:ascii="Times New Roman" w:cs="Times New Roman" w:eastAsia="Times New Roman" w:hAnsi="Times New Roman"/>
          <w:sz w:val="14"/>
          <w:szCs w:val="14"/>
          <w:color w:val="auto"/>
        </w:rPr>
        <w:t>During 2025, cash flow provided by operating activities was $18.9 million, compared to $21.1 million during 2024 and cash used in operating activities of $1.2 million during 2023. The decrease of $2.2 million from 2024 to 2025 primarily reflected the final contingent consideration payment related to the Salient Acquisition. The increase of $22.3 million from 2023 to 2024 primarily reflected the net sales of investments in 2024 compared to net purchases of investments in 2023.</w:t>
      </w:r>
    </w:p>
    <w:p>
      <w:pPr>
        <w:spacing w:after="0" w:line="51" w:lineRule="exact"/>
        <w:rPr>
          <w:sz w:val="20"/>
          <w:szCs w:val="20"/>
          <w:color w:val="auto"/>
        </w:rPr>
      </w:pPr>
    </w:p>
    <w:p>
      <w:pPr>
        <w:ind w:right="40" w:firstLine="382"/>
        <w:spacing w:after="0" w:line="287" w:lineRule="auto"/>
        <w:rPr>
          <w:sz w:val="20"/>
          <w:szCs w:val="20"/>
          <w:color w:val="auto"/>
        </w:rPr>
      </w:pPr>
      <w:r>
        <w:rPr>
          <w:rFonts w:ascii="Times New Roman" w:cs="Times New Roman" w:eastAsia="Times New Roman" w:hAnsi="Times New Roman"/>
          <w:sz w:val="14"/>
          <w:szCs w:val="14"/>
          <w:color w:val="auto"/>
        </w:rPr>
        <w:t>Cash flow used in investing activities in 2025 and 2024 primarily related to the purchases of strategic investments, compared to cash flow provided by investing activities in 2023 related to the receipt of life insurance proceeds offset by the Broadmark Acquisition.</w:t>
      </w:r>
    </w:p>
    <w:p>
      <w:pPr>
        <w:spacing w:after="0" w:line="39" w:lineRule="exact"/>
        <w:rPr>
          <w:sz w:val="20"/>
          <w:szCs w:val="20"/>
          <w:color w:val="auto"/>
        </w:rPr>
      </w:pPr>
    </w:p>
    <w:p>
      <w:pPr>
        <w:ind w:right="380" w:firstLine="382"/>
        <w:spacing w:after="0" w:line="270" w:lineRule="auto"/>
        <w:rPr>
          <w:sz w:val="20"/>
          <w:szCs w:val="20"/>
          <w:color w:val="auto"/>
        </w:rPr>
      </w:pPr>
      <w:r>
        <w:rPr>
          <w:rFonts w:ascii="Times New Roman" w:cs="Times New Roman" w:eastAsia="Times New Roman" w:hAnsi="Times New Roman"/>
          <w:sz w:val="14"/>
          <w:szCs w:val="14"/>
          <w:color w:val="auto"/>
        </w:rPr>
        <w:t>Cash used in financing activities was $7.9 million in 2025 compared to $18.1 million and $6.4 million in 2024 and 2023, respectively. The change from 2024 to 2025 related to 2025 noncontrolling interest activity, 2024 payments for contingent consideration for the Salient Acquisition and treasury stock purchases in 2024. The change from 2023 to 2024 primarily related to contingent consideration payments.</w:t>
      </w:r>
    </w:p>
    <w:p>
      <w:pPr>
        <w:spacing w:after="0" w:line="51" w:lineRule="exact"/>
        <w:rPr>
          <w:sz w:val="20"/>
          <w:szCs w:val="20"/>
          <w:color w:val="auto"/>
        </w:rPr>
      </w:pPr>
    </w:p>
    <w:p>
      <w:pPr>
        <w:ind w:firstLine="382"/>
        <w:spacing w:after="0" w:line="261" w:lineRule="auto"/>
        <w:rPr>
          <w:sz w:val="20"/>
          <w:szCs w:val="20"/>
          <w:color w:val="auto"/>
        </w:rPr>
      </w:pPr>
      <w:r>
        <w:rPr>
          <w:rFonts w:ascii="Times New Roman" w:cs="Times New Roman" w:eastAsia="Times New Roman" w:hAnsi="Times New Roman"/>
          <w:sz w:val="14"/>
          <w:szCs w:val="14"/>
          <w:color w:val="auto"/>
        </w:rPr>
        <w:t>Our future liquidity and capital requirements will depend upon numerous factors, including results of operations, the timing and magnitude of capital expenditures or strategic initiatives, our dividend policy and other business and risk factors described under “Item 1A. Risk Factors” in this Report. We believe that current cash and liquid investment balances plus cash generated from operations will be sufficient to meet the operating and capital requirements of our ordinary business operations through at least the next twelve months, however there can be no assurance that we will not require additional financing within this time frame. Failure to raise needed capital on attractive terms, if at all, could have a material adverse effect on our business, financial condition and results of operations.</w:t>
      </w:r>
    </w:p>
    <w:p>
      <w:pPr>
        <w:spacing w:after="0" w:line="56"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b w:val="1"/>
          <w:bCs w:val="1"/>
          <w:i w:val="1"/>
          <w:iCs w:val="1"/>
          <w:color w:val="auto"/>
        </w:rPr>
        <w:t>Cash Dividends</w:t>
      </w:r>
    </w:p>
    <w:p>
      <w:pPr>
        <w:spacing w:after="0" w:line="96"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color w:val="auto"/>
        </w:rPr>
        <w:t>The following table summarizes dividends declared during 2025 and 2024:</w:t>
      </w:r>
    </w:p>
    <w:p>
      <w:pPr>
        <w:spacing w:after="0" w:line="200" w:lineRule="exact"/>
        <w:rPr>
          <w:sz w:val="20"/>
          <w:szCs w:val="20"/>
          <w:color w:val="auto"/>
        </w:rPr>
      </w:pPr>
    </w:p>
    <w:p>
      <w:pPr>
        <w:spacing w:after="0" w:line="200" w:lineRule="exact"/>
        <w:rPr>
          <w:sz w:val="20"/>
          <w:szCs w:val="20"/>
          <w:color w:val="auto"/>
        </w:rPr>
      </w:pPr>
    </w:p>
    <w:p>
      <w:pPr>
        <w:spacing w:after="0" w:line="277"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4"/>
          <w:szCs w:val="14"/>
          <w:color w:val="auto"/>
        </w:rPr>
        <w:t>32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-8890</wp:posOffset>
            </wp:positionH>
            <wp:positionV relativeFrom="paragraph">
              <wp:posOffset>55880</wp:posOffset>
            </wp:positionV>
            <wp:extent cx="7186930" cy="38735"/>
            <wp:wrapNone/>
            <wp:docPr id="45" name="Picture 4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5"/>
                    <pic:cNvPicPr>
                      <a:picLocks noChangeAspect="1" noChangeArrowheads="1"/>
                    </pic:cNvPicPr>
                  </pic:nvPicPr>
                  <pic:blipFill>
                    <a:blip r:embed="rId52">
                      <a:extLst>
                        <a:ext uri="{28A0092B-C50C-407E-A947-70E740481C1C}"/>
                      </a:extLst>
                    </a:blip>
                    <a:srcRect/>
                    <a:stretch>
                      <a:fillRect/>
                    </a:stretch>
                  </pic:blipFill>
                  <pic:spPr bwMode="auto">
                    <a:xfrm>
                      <a:off x="0" y="0"/>
                      <a:ext cx="7186930" cy="38735"/>
                    </a:xfrm>
                    <a:prstGeom prst="rect">
                      <a:avLst/>
                    </a:prstGeom>
                    <a:noFill/>
                  </pic:spPr>
                </pic:pic>
              </a:graphicData>
            </a:graphic>
          </wp:anchor>
        </w:drawing>
      </w:r>
    </w:p>
    <w:p>
      <w:pPr>
        <w:sectPr>
          <w:pgSz w:w="11900" w:h="16838" w:orient="portrait"/>
          <w:cols w:equalWidth="0" w:num="1">
            <w:col w:w="11280"/>
          </w:cols>
          <w:pgMar w:left="300" w:top="844" w:right="319" w:bottom="1440" w:gutter="0" w:footer="0" w:header="0"/>
        </w:sectPr>
      </w:pPr>
    </w:p>
    <w:bookmarkStart w:id="34" w:name="page35"/>
    <w:bookmarkEnd w:id="34"/>
    <w:p>
      <w:pPr>
        <w:spacing w:after="0"/>
        <w:rPr>
          <w:sz w:val="20"/>
          <w:szCs w:val="20"/>
          <w:color w:val="auto"/>
        </w:rPr>
      </w:pPr>
      <w:r>
        <w:rPr>
          <w:rFonts w:ascii="Times New Roman" w:cs="Times New Roman" w:eastAsia="Times New Roman" w:hAnsi="Times New Roman"/>
          <w:sz w:val="14"/>
          <w:szCs w:val="14"/>
          <w:i w:val="1"/>
          <w:iCs w:val="1"/>
          <w:color w:val="auto"/>
        </w:rPr>
        <w:t>2025 Dividends</w:t>
      </w:r>
    </w:p>
    <w:p>
      <w:pPr>
        <w:spacing w:after="0" w:line="45" w:lineRule="exact"/>
        <w:rPr>
          <w:sz w:val="20"/>
          <w:szCs w:val="20"/>
          <w:color w:val="auto"/>
        </w:rPr>
      </w:pPr>
    </w:p>
    <w:tbl>
      <w:tblPr>
        <w:tblLayout w:type="fixed"/>
        <w:tblInd w:w="0" w:type="dxa"/>
        <w:tblCellMar>
          <w:top w:w="0" w:type="dxa"/>
          <w:left w:w="0" w:type="dxa"/>
          <w:bottom w:w="0" w:type="dxa"/>
          <w:right w:w="0" w:type="dxa"/>
        </w:tblCellMar>
      </w:tblPr>
      <w:tr>
        <w:trPr>
          <w:trHeight w:val="170"/>
        </w:trPr>
        <w:tc>
          <w:tcPr>
            <w:tcW w:w="2980" w:type="dxa"/>
            <w:vAlign w:val="bottom"/>
            <w:gridSpan w:val="2"/>
          </w:tcPr>
          <w:p>
            <w:pPr>
              <w:jc w:val="center"/>
              <w:ind w:right="100"/>
              <w:spacing w:after="0"/>
              <w:rPr>
                <w:sz w:val="20"/>
                <w:szCs w:val="20"/>
                <w:color w:val="auto"/>
              </w:rPr>
            </w:pPr>
            <w:r>
              <w:rPr>
                <w:rFonts w:ascii="Times New Roman" w:cs="Times New Roman" w:eastAsia="Times New Roman" w:hAnsi="Times New Roman"/>
                <w:sz w:val="13"/>
                <w:szCs w:val="13"/>
                <w:b w:val="1"/>
                <w:bCs w:val="1"/>
                <w:color w:val="auto"/>
                <w:w w:val="97"/>
              </w:rPr>
              <w:t>Declaration Date</w:t>
            </w:r>
          </w:p>
        </w:tc>
        <w:tc>
          <w:tcPr>
            <w:tcW w:w="2980" w:type="dxa"/>
            <w:vAlign w:val="bottom"/>
            <w:gridSpan w:val="2"/>
          </w:tcPr>
          <w:p>
            <w:pPr>
              <w:jc w:val="center"/>
              <w:ind w:right="100"/>
              <w:spacing w:after="0"/>
              <w:rPr>
                <w:sz w:val="20"/>
                <w:szCs w:val="20"/>
                <w:color w:val="auto"/>
              </w:rPr>
            </w:pPr>
            <w:r>
              <w:rPr>
                <w:rFonts w:ascii="Times New Roman" w:cs="Times New Roman" w:eastAsia="Times New Roman" w:hAnsi="Times New Roman"/>
                <w:sz w:val="13"/>
                <w:szCs w:val="13"/>
                <w:b w:val="1"/>
                <w:bCs w:val="1"/>
                <w:color w:val="auto"/>
                <w:w w:val="97"/>
              </w:rPr>
              <w:t>Record Date</w:t>
            </w:r>
          </w:p>
        </w:tc>
        <w:tc>
          <w:tcPr>
            <w:tcW w:w="2980" w:type="dxa"/>
            <w:vAlign w:val="bottom"/>
            <w:gridSpan w:val="2"/>
          </w:tcPr>
          <w:p>
            <w:pPr>
              <w:jc w:val="center"/>
              <w:ind w:right="80"/>
              <w:spacing w:after="0"/>
              <w:rPr>
                <w:sz w:val="20"/>
                <w:szCs w:val="20"/>
                <w:color w:val="auto"/>
              </w:rPr>
            </w:pPr>
            <w:r>
              <w:rPr>
                <w:rFonts w:ascii="Times New Roman" w:cs="Times New Roman" w:eastAsia="Times New Roman" w:hAnsi="Times New Roman"/>
                <w:sz w:val="13"/>
                <w:szCs w:val="13"/>
                <w:b w:val="1"/>
                <w:bCs w:val="1"/>
                <w:color w:val="auto"/>
                <w:w w:val="98"/>
              </w:rPr>
              <w:t>Paid Date</w:t>
            </w:r>
          </w:p>
        </w:tc>
        <w:tc>
          <w:tcPr>
            <w:tcW w:w="2300" w:type="dxa"/>
            <w:vAlign w:val="bottom"/>
          </w:tcPr>
          <w:p>
            <w:pPr>
              <w:ind w:left="620"/>
              <w:spacing w:after="0"/>
              <w:rPr>
                <w:sz w:val="20"/>
                <w:szCs w:val="20"/>
                <w:color w:val="auto"/>
              </w:rPr>
            </w:pPr>
            <w:r>
              <w:rPr>
                <w:rFonts w:ascii="Times New Roman" w:cs="Times New Roman" w:eastAsia="Times New Roman" w:hAnsi="Times New Roman"/>
                <w:sz w:val="13"/>
                <w:szCs w:val="13"/>
                <w:b w:val="1"/>
                <w:bCs w:val="1"/>
                <w:color w:val="auto"/>
              </w:rPr>
              <w:t>Dividend Per Share</w:t>
            </w:r>
          </w:p>
        </w:tc>
        <w:tc>
          <w:tcPr>
            <w:tcW w:w="0" w:type="dxa"/>
            <w:vAlign w:val="bottom"/>
          </w:tcPr>
          <w:p>
            <w:pPr>
              <w:spacing w:after="0"/>
              <w:rPr>
                <w:sz w:val="1"/>
                <w:szCs w:val="1"/>
                <w:color w:val="auto"/>
              </w:rPr>
            </w:pPr>
          </w:p>
        </w:tc>
      </w:tr>
      <w:tr>
        <w:trPr>
          <w:trHeight w:val="173"/>
        </w:trPr>
        <w:tc>
          <w:tcPr>
            <w:tcW w:w="2880" w:type="dxa"/>
            <w:vAlign w:val="bottom"/>
            <w:tcBorders>
              <w:top w:val="single" w:sz="8" w:color="auto"/>
            </w:tcBorders>
            <w:shd w:val="clear" w:color="auto" w:fill="CCEEFF"/>
          </w:tcPr>
          <w:p>
            <w:pPr>
              <w:jc w:val="center"/>
              <w:spacing w:after="0" w:line="173" w:lineRule="exact"/>
              <w:rPr>
                <w:sz w:val="20"/>
                <w:szCs w:val="20"/>
                <w:color w:val="auto"/>
              </w:rPr>
            </w:pPr>
            <w:r>
              <w:rPr>
                <w:rFonts w:ascii="Times New Roman" w:cs="Times New Roman" w:eastAsia="Times New Roman" w:hAnsi="Times New Roman"/>
                <w:sz w:val="14"/>
                <w:szCs w:val="14"/>
                <w:color w:val="auto"/>
                <w:w w:val="97"/>
              </w:rPr>
              <w:t xml:space="preserve">February 12, 2025 </w:t>
            </w:r>
            <w:r>
              <w:rPr>
                <w:rFonts w:ascii="Times New Roman" w:cs="Times New Roman" w:eastAsia="Times New Roman" w:hAnsi="Times New Roman"/>
                <w:sz w:val="18"/>
                <w:szCs w:val="18"/>
                <w:color w:val="auto"/>
                <w:w w:val="97"/>
                <w:vertAlign w:val="superscript"/>
              </w:rPr>
              <w:t>(1)</w:t>
            </w:r>
          </w:p>
        </w:tc>
        <w:tc>
          <w:tcPr>
            <w:tcW w:w="100" w:type="dxa"/>
            <w:vAlign w:val="bottom"/>
            <w:tcBorders>
              <w:top w:val="single" w:sz="8" w:color="CCEEFF"/>
            </w:tcBorders>
            <w:shd w:val="clear" w:color="auto" w:fill="CCEEFF"/>
          </w:tcPr>
          <w:p>
            <w:pPr>
              <w:spacing w:after="0"/>
              <w:rPr>
                <w:sz w:val="15"/>
                <w:szCs w:val="15"/>
                <w:color w:val="auto"/>
              </w:rPr>
            </w:pPr>
          </w:p>
        </w:tc>
        <w:tc>
          <w:tcPr>
            <w:tcW w:w="2900" w:type="dxa"/>
            <w:vAlign w:val="bottom"/>
            <w:tcBorders>
              <w:top w:val="single" w:sz="8" w:color="auto"/>
            </w:tcBorders>
            <w:shd w:val="clear" w:color="auto" w:fill="CCEEFF"/>
          </w:tcPr>
          <w:p>
            <w:pPr>
              <w:jc w:val="center"/>
              <w:spacing w:after="0"/>
              <w:rPr>
                <w:sz w:val="20"/>
                <w:szCs w:val="20"/>
                <w:color w:val="auto"/>
              </w:rPr>
            </w:pPr>
            <w:r>
              <w:rPr>
                <w:rFonts w:ascii="Times New Roman" w:cs="Times New Roman" w:eastAsia="Times New Roman" w:hAnsi="Times New Roman"/>
                <w:sz w:val="14"/>
                <w:szCs w:val="14"/>
                <w:color w:val="auto"/>
              </w:rPr>
              <w:t>March 3, 2025</w:t>
            </w:r>
          </w:p>
        </w:tc>
        <w:tc>
          <w:tcPr>
            <w:tcW w:w="80" w:type="dxa"/>
            <w:vAlign w:val="bottom"/>
            <w:tcBorders>
              <w:top w:val="single" w:sz="8" w:color="CCEEFF"/>
            </w:tcBorders>
            <w:shd w:val="clear" w:color="auto" w:fill="CCEEFF"/>
          </w:tcPr>
          <w:p>
            <w:pPr>
              <w:spacing w:after="0"/>
              <w:rPr>
                <w:sz w:val="15"/>
                <w:szCs w:val="15"/>
                <w:color w:val="auto"/>
              </w:rPr>
            </w:pPr>
          </w:p>
        </w:tc>
        <w:tc>
          <w:tcPr>
            <w:tcW w:w="2900" w:type="dxa"/>
            <w:vAlign w:val="bottom"/>
            <w:tcBorders>
              <w:top w:val="single" w:sz="8" w:color="auto"/>
            </w:tcBorders>
            <w:shd w:val="clear" w:color="auto" w:fill="CCEEFF"/>
          </w:tcPr>
          <w:p>
            <w:pPr>
              <w:jc w:val="center"/>
              <w:spacing w:after="0"/>
              <w:rPr>
                <w:sz w:val="20"/>
                <w:szCs w:val="20"/>
                <w:color w:val="auto"/>
              </w:rPr>
            </w:pPr>
            <w:r>
              <w:rPr>
                <w:rFonts w:ascii="Times New Roman" w:cs="Times New Roman" w:eastAsia="Times New Roman" w:hAnsi="Times New Roman"/>
                <w:sz w:val="14"/>
                <w:szCs w:val="14"/>
                <w:color w:val="auto"/>
                <w:w w:val="98"/>
              </w:rPr>
              <w:t>April 1, 2025</w:t>
            </w:r>
          </w:p>
        </w:tc>
        <w:tc>
          <w:tcPr>
            <w:tcW w:w="80" w:type="dxa"/>
            <w:vAlign w:val="bottom"/>
            <w:tcBorders>
              <w:top w:val="single" w:sz="8" w:color="CCEEFF"/>
            </w:tcBorders>
            <w:shd w:val="clear" w:color="auto" w:fill="CCEEFF"/>
          </w:tcPr>
          <w:p>
            <w:pPr>
              <w:spacing w:after="0"/>
              <w:rPr>
                <w:sz w:val="15"/>
                <w:szCs w:val="15"/>
                <w:color w:val="auto"/>
              </w:rPr>
            </w:pPr>
          </w:p>
        </w:tc>
        <w:tc>
          <w:tcPr>
            <w:tcW w:w="2300" w:type="dxa"/>
            <w:vAlign w:val="bottom"/>
            <w:tcBorders>
              <w:top w:val="single" w:sz="8" w:color="auto"/>
            </w:tcBorders>
            <w:shd w:val="clear" w:color="auto" w:fill="CCEEFF"/>
          </w:tcPr>
          <w:p>
            <w:pPr>
              <w:jc w:val="center"/>
              <w:spacing w:after="0"/>
              <w:rPr>
                <w:sz w:val="20"/>
                <w:szCs w:val="20"/>
                <w:color w:val="auto"/>
              </w:rPr>
            </w:pPr>
            <w:r>
              <w:rPr>
                <w:rFonts w:ascii="Times New Roman" w:cs="Times New Roman" w:eastAsia="Times New Roman" w:hAnsi="Times New Roman"/>
                <w:sz w:val="14"/>
                <w:szCs w:val="14"/>
                <w:color w:val="auto"/>
              </w:rPr>
              <w:t>$0.15</w:t>
            </w:r>
          </w:p>
        </w:tc>
        <w:tc>
          <w:tcPr>
            <w:tcW w:w="0" w:type="dxa"/>
            <w:vAlign w:val="bottom"/>
          </w:tcPr>
          <w:p>
            <w:pPr>
              <w:spacing w:after="0"/>
              <w:rPr>
                <w:sz w:val="1"/>
                <w:szCs w:val="1"/>
                <w:color w:val="auto"/>
              </w:rPr>
            </w:pPr>
          </w:p>
        </w:tc>
      </w:tr>
      <w:tr>
        <w:trPr>
          <w:trHeight w:val="180"/>
        </w:trPr>
        <w:tc>
          <w:tcPr>
            <w:tcW w:w="2980" w:type="dxa"/>
            <w:vAlign w:val="bottom"/>
            <w:gridSpan w:val="2"/>
          </w:tcPr>
          <w:p>
            <w:pPr>
              <w:jc w:val="center"/>
              <w:ind w:right="100"/>
              <w:spacing w:after="0"/>
              <w:rPr>
                <w:sz w:val="20"/>
                <w:szCs w:val="20"/>
                <w:color w:val="auto"/>
              </w:rPr>
            </w:pPr>
            <w:r>
              <w:rPr>
                <w:rFonts w:ascii="Times New Roman" w:cs="Times New Roman" w:eastAsia="Times New Roman" w:hAnsi="Times New Roman"/>
                <w:sz w:val="14"/>
                <w:szCs w:val="14"/>
                <w:color w:val="auto"/>
              </w:rPr>
              <w:t>April 30, 2025</w:t>
            </w:r>
          </w:p>
        </w:tc>
        <w:tc>
          <w:tcPr>
            <w:tcW w:w="2980" w:type="dxa"/>
            <w:vAlign w:val="bottom"/>
            <w:gridSpan w:val="2"/>
          </w:tcPr>
          <w:p>
            <w:pPr>
              <w:jc w:val="center"/>
              <w:ind w:right="100"/>
              <w:spacing w:after="0"/>
              <w:rPr>
                <w:sz w:val="20"/>
                <w:szCs w:val="20"/>
                <w:color w:val="auto"/>
              </w:rPr>
            </w:pPr>
            <w:r>
              <w:rPr>
                <w:rFonts w:ascii="Times New Roman" w:cs="Times New Roman" w:eastAsia="Times New Roman" w:hAnsi="Times New Roman"/>
                <w:sz w:val="14"/>
                <w:szCs w:val="14"/>
                <w:color w:val="auto"/>
              </w:rPr>
              <w:t>June 2, 2025</w:t>
            </w:r>
          </w:p>
        </w:tc>
        <w:tc>
          <w:tcPr>
            <w:tcW w:w="2980" w:type="dxa"/>
            <w:vAlign w:val="bottom"/>
            <w:gridSpan w:val="2"/>
          </w:tcPr>
          <w:p>
            <w:pPr>
              <w:jc w:val="center"/>
              <w:ind w:right="80"/>
              <w:spacing w:after="0"/>
              <w:rPr>
                <w:sz w:val="20"/>
                <w:szCs w:val="20"/>
                <w:color w:val="auto"/>
              </w:rPr>
            </w:pPr>
            <w:r>
              <w:rPr>
                <w:rFonts w:ascii="Times New Roman" w:cs="Times New Roman" w:eastAsia="Times New Roman" w:hAnsi="Times New Roman"/>
                <w:sz w:val="14"/>
                <w:szCs w:val="14"/>
                <w:color w:val="auto"/>
              </w:rPr>
              <w:t>July 1, 2025</w:t>
            </w:r>
          </w:p>
        </w:tc>
        <w:tc>
          <w:tcPr>
            <w:tcW w:w="2300" w:type="dxa"/>
            <w:vAlign w:val="bottom"/>
          </w:tcPr>
          <w:p>
            <w:pPr>
              <w:jc w:val="center"/>
              <w:spacing w:after="0"/>
              <w:rPr>
                <w:sz w:val="20"/>
                <w:szCs w:val="20"/>
                <w:color w:val="auto"/>
              </w:rPr>
            </w:pPr>
            <w:r>
              <w:rPr>
                <w:rFonts w:ascii="Times New Roman" w:cs="Times New Roman" w:eastAsia="Times New Roman" w:hAnsi="Times New Roman"/>
                <w:sz w:val="14"/>
                <w:szCs w:val="14"/>
                <w:color w:val="auto"/>
              </w:rPr>
              <w:t>$0.15</w:t>
            </w:r>
          </w:p>
        </w:tc>
        <w:tc>
          <w:tcPr>
            <w:tcW w:w="0" w:type="dxa"/>
            <w:vAlign w:val="bottom"/>
          </w:tcPr>
          <w:p>
            <w:pPr>
              <w:spacing w:after="0"/>
              <w:rPr>
                <w:sz w:val="1"/>
                <w:szCs w:val="1"/>
                <w:color w:val="auto"/>
              </w:rPr>
            </w:pPr>
          </w:p>
        </w:tc>
      </w:tr>
      <w:tr>
        <w:trPr>
          <w:trHeight w:val="180"/>
        </w:trPr>
        <w:tc>
          <w:tcPr>
            <w:tcW w:w="2980" w:type="dxa"/>
            <w:vAlign w:val="bottom"/>
            <w:gridSpan w:val="2"/>
            <w:shd w:val="clear" w:color="auto" w:fill="CCEEFF"/>
          </w:tcPr>
          <w:p>
            <w:pPr>
              <w:jc w:val="center"/>
              <w:ind w:right="100"/>
              <w:spacing w:after="0"/>
              <w:rPr>
                <w:sz w:val="20"/>
                <w:szCs w:val="20"/>
                <w:color w:val="auto"/>
              </w:rPr>
            </w:pPr>
            <w:r>
              <w:rPr>
                <w:rFonts w:ascii="Times New Roman" w:cs="Times New Roman" w:eastAsia="Times New Roman" w:hAnsi="Times New Roman"/>
                <w:sz w:val="14"/>
                <w:szCs w:val="14"/>
                <w:color w:val="auto"/>
              </w:rPr>
              <w:t>August 8, 2025</w:t>
            </w:r>
          </w:p>
        </w:tc>
        <w:tc>
          <w:tcPr>
            <w:tcW w:w="2980" w:type="dxa"/>
            <w:vAlign w:val="bottom"/>
            <w:gridSpan w:val="2"/>
            <w:shd w:val="clear" w:color="auto" w:fill="CCEEFF"/>
          </w:tcPr>
          <w:p>
            <w:pPr>
              <w:jc w:val="center"/>
              <w:ind w:right="80"/>
              <w:spacing w:after="0"/>
              <w:rPr>
                <w:sz w:val="20"/>
                <w:szCs w:val="20"/>
                <w:color w:val="auto"/>
              </w:rPr>
            </w:pPr>
            <w:r>
              <w:rPr>
                <w:rFonts w:ascii="Times New Roman" w:cs="Times New Roman" w:eastAsia="Times New Roman" w:hAnsi="Times New Roman"/>
                <w:sz w:val="14"/>
                <w:szCs w:val="14"/>
                <w:color w:val="auto"/>
              </w:rPr>
              <w:t>September 2, 2025</w:t>
            </w:r>
          </w:p>
        </w:tc>
        <w:tc>
          <w:tcPr>
            <w:tcW w:w="2980" w:type="dxa"/>
            <w:vAlign w:val="bottom"/>
            <w:gridSpan w:val="2"/>
            <w:shd w:val="clear" w:color="auto" w:fill="CCEEFF"/>
          </w:tcPr>
          <w:p>
            <w:pPr>
              <w:jc w:val="center"/>
              <w:ind w:right="80"/>
              <w:spacing w:after="0"/>
              <w:rPr>
                <w:sz w:val="20"/>
                <w:szCs w:val="20"/>
                <w:color w:val="auto"/>
              </w:rPr>
            </w:pPr>
            <w:r>
              <w:rPr>
                <w:rFonts w:ascii="Times New Roman" w:cs="Times New Roman" w:eastAsia="Times New Roman" w:hAnsi="Times New Roman"/>
                <w:sz w:val="14"/>
                <w:szCs w:val="14"/>
                <w:color w:val="auto"/>
                <w:w w:val="99"/>
              </w:rPr>
              <w:t>October 1, 2025</w:t>
            </w:r>
          </w:p>
        </w:tc>
        <w:tc>
          <w:tcPr>
            <w:tcW w:w="2300" w:type="dxa"/>
            <w:vAlign w:val="bottom"/>
            <w:shd w:val="clear" w:color="auto" w:fill="CCEEFF"/>
          </w:tcPr>
          <w:p>
            <w:pPr>
              <w:jc w:val="center"/>
              <w:spacing w:after="0"/>
              <w:rPr>
                <w:sz w:val="20"/>
                <w:szCs w:val="20"/>
                <w:color w:val="auto"/>
              </w:rPr>
            </w:pPr>
            <w:r>
              <w:rPr>
                <w:rFonts w:ascii="Times New Roman" w:cs="Times New Roman" w:eastAsia="Times New Roman" w:hAnsi="Times New Roman"/>
                <w:sz w:val="14"/>
                <w:szCs w:val="14"/>
                <w:color w:val="auto"/>
              </w:rPr>
              <w:t>$0.15</w:t>
            </w:r>
          </w:p>
        </w:tc>
        <w:tc>
          <w:tcPr>
            <w:tcW w:w="0" w:type="dxa"/>
            <w:vAlign w:val="bottom"/>
          </w:tcPr>
          <w:p>
            <w:pPr>
              <w:spacing w:after="0"/>
              <w:rPr>
                <w:sz w:val="1"/>
                <w:szCs w:val="1"/>
                <w:color w:val="auto"/>
              </w:rPr>
            </w:pPr>
          </w:p>
        </w:tc>
      </w:tr>
      <w:tr>
        <w:trPr>
          <w:trHeight w:val="180"/>
        </w:trPr>
        <w:tc>
          <w:tcPr>
            <w:tcW w:w="2980" w:type="dxa"/>
            <w:vAlign w:val="bottom"/>
            <w:tcBorders>
              <w:bottom w:val="single" w:sz="8" w:color="CCEEFF"/>
            </w:tcBorders>
            <w:gridSpan w:val="2"/>
          </w:tcPr>
          <w:p>
            <w:pPr>
              <w:jc w:val="center"/>
              <w:ind w:right="100"/>
              <w:spacing w:after="0"/>
              <w:rPr>
                <w:sz w:val="20"/>
                <w:szCs w:val="20"/>
                <w:color w:val="auto"/>
              </w:rPr>
            </w:pPr>
            <w:r>
              <w:rPr>
                <w:rFonts w:ascii="Times New Roman" w:cs="Times New Roman" w:eastAsia="Times New Roman" w:hAnsi="Times New Roman"/>
                <w:sz w:val="14"/>
                <w:szCs w:val="14"/>
                <w:color w:val="auto"/>
              </w:rPr>
              <w:t>October 30, 2025</w:t>
            </w:r>
          </w:p>
        </w:tc>
        <w:tc>
          <w:tcPr>
            <w:tcW w:w="2980" w:type="dxa"/>
            <w:vAlign w:val="bottom"/>
            <w:tcBorders>
              <w:bottom w:val="single" w:sz="8" w:color="CCEEFF"/>
            </w:tcBorders>
            <w:gridSpan w:val="2"/>
          </w:tcPr>
          <w:p>
            <w:pPr>
              <w:jc w:val="center"/>
              <w:ind w:right="100"/>
              <w:spacing w:after="0"/>
              <w:rPr>
                <w:sz w:val="20"/>
                <w:szCs w:val="20"/>
                <w:color w:val="auto"/>
              </w:rPr>
            </w:pPr>
            <w:r>
              <w:rPr>
                <w:rFonts w:ascii="Times New Roman" w:cs="Times New Roman" w:eastAsia="Times New Roman" w:hAnsi="Times New Roman"/>
                <w:sz w:val="14"/>
                <w:szCs w:val="14"/>
                <w:color w:val="auto"/>
              </w:rPr>
              <w:t>December 1, 2025</w:t>
            </w:r>
          </w:p>
        </w:tc>
        <w:tc>
          <w:tcPr>
            <w:tcW w:w="2980" w:type="dxa"/>
            <w:vAlign w:val="bottom"/>
            <w:tcBorders>
              <w:bottom w:val="single" w:sz="8" w:color="CCEEFF"/>
            </w:tcBorders>
            <w:gridSpan w:val="2"/>
          </w:tcPr>
          <w:p>
            <w:pPr>
              <w:jc w:val="center"/>
              <w:ind w:right="80"/>
              <w:spacing w:after="0"/>
              <w:rPr>
                <w:sz w:val="20"/>
                <w:szCs w:val="20"/>
                <w:color w:val="auto"/>
              </w:rPr>
            </w:pPr>
            <w:r>
              <w:rPr>
                <w:rFonts w:ascii="Times New Roman" w:cs="Times New Roman" w:eastAsia="Times New Roman" w:hAnsi="Times New Roman"/>
                <w:sz w:val="14"/>
                <w:szCs w:val="14"/>
                <w:color w:val="auto"/>
              </w:rPr>
              <w:t>January 2, 2026</w:t>
            </w:r>
          </w:p>
        </w:tc>
        <w:tc>
          <w:tcPr>
            <w:tcW w:w="2300" w:type="dxa"/>
            <w:vAlign w:val="bottom"/>
            <w:tcBorders>
              <w:bottom w:val="single" w:sz="8" w:color="auto"/>
            </w:tcBorders>
          </w:tcPr>
          <w:p>
            <w:pPr>
              <w:jc w:val="center"/>
              <w:spacing w:after="0"/>
              <w:rPr>
                <w:sz w:val="20"/>
                <w:szCs w:val="20"/>
                <w:color w:val="auto"/>
              </w:rPr>
            </w:pPr>
            <w:r>
              <w:rPr>
                <w:rFonts w:ascii="Times New Roman" w:cs="Times New Roman" w:eastAsia="Times New Roman" w:hAnsi="Times New Roman"/>
                <w:sz w:val="14"/>
                <w:szCs w:val="14"/>
                <w:color w:val="auto"/>
              </w:rPr>
              <w:t>$0.15</w:t>
            </w:r>
          </w:p>
        </w:tc>
        <w:tc>
          <w:tcPr>
            <w:tcW w:w="0" w:type="dxa"/>
            <w:vAlign w:val="bottom"/>
          </w:tcPr>
          <w:p>
            <w:pPr>
              <w:spacing w:after="0"/>
              <w:rPr>
                <w:sz w:val="1"/>
                <w:szCs w:val="1"/>
                <w:color w:val="auto"/>
              </w:rPr>
            </w:pPr>
          </w:p>
        </w:tc>
      </w:tr>
      <w:tr>
        <w:trPr>
          <w:trHeight w:val="193"/>
        </w:trPr>
        <w:tc>
          <w:tcPr>
            <w:tcW w:w="2880" w:type="dxa"/>
            <w:vAlign w:val="bottom"/>
            <w:tcBorders>
              <w:bottom w:val="single" w:sz="8" w:color="CCEEFF"/>
            </w:tcBorders>
            <w:shd w:val="clear" w:color="auto" w:fill="CCEEFF"/>
          </w:tcPr>
          <w:p>
            <w:pPr>
              <w:spacing w:after="0"/>
              <w:rPr>
                <w:sz w:val="16"/>
                <w:szCs w:val="16"/>
                <w:color w:val="auto"/>
              </w:rPr>
            </w:pPr>
          </w:p>
        </w:tc>
        <w:tc>
          <w:tcPr>
            <w:tcW w:w="100" w:type="dxa"/>
            <w:vAlign w:val="bottom"/>
            <w:tcBorders>
              <w:bottom w:val="single" w:sz="8" w:color="CCEEFF"/>
            </w:tcBorders>
            <w:shd w:val="clear" w:color="auto" w:fill="CCEEFF"/>
          </w:tcPr>
          <w:p>
            <w:pPr>
              <w:spacing w:after="0"/>
              <w:rPr>
                <w:sz w:val="16"/>
                <w:szCs w:val="16"/>
                <w:color w:val="auto"/>
              </w:rPr>
            </w:pPr>
          </w:p>
        </w:tc>
        <w:tc>
          <w:tcPr>
            <w:tcW w:w="2900" w:type="dxa"/>
            <w:vAlign w:val="bottom"/>
            <w:tcBorders>
              <w:bottom w:val="single" w:sz="8" w:color="CCEEFF"/>
            </w:tcBorders>
            <w:shd w:val="clear" w:color="auto" w:fill="CCEEFF"/>
          </w:tcPr>
          <w:p>
            <w:pPr>
              <w:spacing w:after="0"/>
              <w:rPr>
                <w:sz w:val="16"/>
                <w:szCs w:val="16"/>
                <w:color w:val="auto"/>
              </w:rPr>
            </w:pPr>
          </w:p>
        </w:tc>
        <w:tc>
          <w:tcPr>
            <w:tcW w:w="80" w:type="dxa"/>
            <w:vAlign w:val="bottom"/>
            <w:tcBorders>
              <w:bottom w:val="single" w:sz="8" w:color="CCEEFF"/>
            </w:tcBorders>
            <w:shd w:val="clear" w:color="auto" w:fill="CCEEFF"/>
          </w:tcPr>
          <w:p>
            <w:pPr>
              <w:spacing w:after="0"/>
              <w:rPr>
                <w:sz w:val="16"/>
                <w:szCs w:val="16"/>
                <w:color w:val="auto"/>
              </w:rPr>
            </w:pPr>
          </w:p>
        </w:tc>
        <w:tc>
          <w:tcPr>
            <w:tcW w:w="2900" w:type="dxa"/>
            <w:vAlign w:val="bottom"/>
            <w:tcBorders>
              <w:bottom w:val="single" w:sz="8" w:color="CCEEFF"/>
            </w:tcBorders>
            <w:shd w:val="clear" w:color="auto" w:fill="CCEEFF"/>
          </w:tcPr>
          <w:p>
            <w:pPr>
              <w:spacing w:after="0"/>
              <w:rPr>
                <w:sz w:val="16"/>
                <w:szCs w:val="16"/>
                <w:color w:val="auto"/>
              </w:rPr>
            </w:pPr>
          </w:p>
        </w:tc>
        <w:tc>
          <w:tcPr>
            <w:tcW w:w="80" w:type="dxa"/>
            <w:vAlign w:val="bottom"/>
            <w:tcBorders>
              <w:bottom w:val="single" w:sz="8" w:color="CCEEFF"/>
            </w:tcBorders>
            <w:shd w:val="clear" w:color="auto" w:fill="CCEEFF"/>
          </w:tcPr>
          <w:p>
            <w:pPr>
              <w:spacing w:after="0"/>
              <w:rPr>
                <w:sz w:val="16"/>
                <w:szCs w:val="16"/>
                <w:color w:val="auto"/>
              </w:rPr>
            </w:pPr>
          </w:p>
        </w:tc>
        <w:tc>
          <w:tcPr>
            <w:tcW w:w="2300" w:type="dxa"/>
            <w:vAlign w:val="bottom"/>
            <w:tcBorders>
              <w:bottom w:val="single" w:sz="8" w:color="auto"/>
            </w:tcBorders>
            <w:shd w:val="clear" w:color="auto" w:fill="CCEEFF"/>
          </w:tcPr>
          <w:p>
            <w:pPr>
              <w:jc w:val="center"/>
              <w:spacing w:after="0"/>
              <w:rPr>
                <w:sz w:val="20"/>
                <w:szCs w:val="20"/>
                <w:color w:val="auto"/>
              </w:rPr>
            </w:pPr>
            <w:r>
              <w:rPr>
                <w:rFonts w:ascii="Times New Roman" w:cs="Times New Roman" w:eastAsia="Times New Roman" w:hAnsi="Times New Roman"/>
                <w:sz w:val="13"/>
                <w:szCs w:val="13"/>
                <w:color w:val="auto"/>
              </w:rPr>
              <w:t>$0.60</w:t>
            </w:r>
          </w:p>
        </w:tc>
        <w:tc>
          <w:tcPr>
            <w:tcW w:w="0" w:type="dxa"/>
            <w:vAlign w:val="bottom"/>
          </w:tcPr>
          <w:p>
            <w:pPr>
              <w:spacing w:after="0"/>
              <w:rPr>
                <w:sz w:val="1"/>
                <w:szCs w:val="1"/>
                <w:color w:val="auto"/>
              </w:rPr>
            </w:pPr>
          </w:p>
        </w:tc>
      </w:tr>
      <w:tr>
        <w:trPr>
          <w:trHeight w:val="20"/>
        </w:trPr>
        <w:tc>
          <w:tcPr>
            <w:tcW w:w="2980" w:type="dxa"/>
            <w:vAlign w:val="bottom"/>
            <w:tcBorders>
              <w:top w:val="single" w:sz="8" w:color="CCEEFF"/>
              <w:bottom w:val="single" w:sz="8" w:color="CCEEFF"/>
            </w:tcBorders>
            <w:gridSpan w:val="2"/>
            <w:vMerge w:val="restart"/>
          </w:tcPr>
          <w:p>
            <w:pPr>
              <w:spacing w:after="0"/>
              <w:rPr>
                <w:sz w:val="20"/>
                <w:szCs w:val="20"/>
                <w:color w:val="auto"/>
              </w:rPr>
            </w:pPr>
            <w:r>
              <w:rPr>
                <w:rFonts w:ascii="Times New Roman" w:cs="Times New Roman" w:eastAsia="Times New Roman" w:hAnsi="Times New Roman"/>
                <w:sz w:val="14"/>
                <w:szCs w:val="14"/>
                <w:i w:val="1"/>
                <w:iCs w:val="1"/>
                <w:color w:val="auto"/>
              </w:rPr>
              <w:t>2024 Dividends</w:t>
            </w:r>
          </w:p>
        </w:tc>
        <w:tc>
          <w:tcPr>
            <w:tcW w:w="2900" w:type="dxa"/>
            <w:vAlign w:val="bottom"/>
            <w:tcBorders>
              <w:top w:val="single" w:sz="8" w:color="CCEEFF"/>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2900" w:type="dxa"/>
            <w:vAlign w:val="bottom"/>
            <w:tcBorders>
              <w:top w:val="single" w:sz="8" w:color="CCEEFF"/>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2300" w:type="dxa"/>
            <w:vAlign w:val="bottom"/>
            <w:tcBorders>
              <w:top w:val="single" w:sz="8" w:color="CCEEFF"/>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52"/>
        </w:trPr>
        <w:tc>
          <w:tcPr>
            <w:tcW w:w="2980" w:type="dxa"/>
            <w:vAlign w:val="bottom"/>
            <w:gridSpan w:val="2"/>
            <w:vMerge w:val="continue"/>
          </w:tcPr>
          <w:p>
            <w:pPr>
              <w:spacing w:after="0"/>
              <w:rPr>
                <w:sz w:val="21"/>
                <w:szCs w:val="21"/>
                <w:color w:val="auto"/>
              </w:rPr>
            </w:pPr>
          </w:p>
        </w:tc>
        <w:tc>
          <w:tcPr>
            <w:tcW w:w="2900" w:type="dxa"/>
            <w:vAlign w:val="bottom"/>
          </w:tcPr>
          <w:p>
            <w:pPr>
              <w:spacing w:after="0"/>
              <w:rPr>
                <w:sz w:val="21"/>
                <w:szCs w:val="21"/>
                <w:color w:val="auto"/>
              </w:rPr>
            </w:pPr>
          </w:p>
        </w:tc>
        <w:tc>
          <w:tcPr>
            <w:tcW w:w="80" w:type="dxa"/>
            <w:vAlign w:val="bottom"/>
          </w:tcPr>
          <w:p>
            <w:pPr>
              <w:spacing w:after="0"/>
              <w:rPr>
                <w:sz w:val="21"/>
                <w:szCs w:val="21"/>
                <w:color w:val="auto"/>
              </w:rPr>
            </w:pPr>
          </w:p>
        </w:tc>
        <w:tc>
          <w:tcPr>
            <w:tcW w:w="2900" w:type="dxa"/>
            <w:vAlign w:val="bottom"/>
          </w:tcPr>
          <w:p>
            <w:pPr>
              <w:spacing w:after="0"/>
              <w:rPr>
                <w:sz w:val="21"/>
                <w:szCs w:val="21"/>
                <w:color w:val="auto"/>
              </w:rPr>
            </w:pPr>
          </w:p>
        </w:tc>
        <w:tc>
          <w:tcPr>
            <w:tcW w:w="80" w:type="dxa"/>
            <w:vAlign w:val="bottom"/>
          </w:tcPr>
          <w:p>
            <w:pPr>
              <w:spacing w:after="0"/>
              <w:rPr>
                <w:sz w:val="21"/>
                <w:szCs w:val="21"/>
                <w:color w:val="auto"/>
              </w:rPr>
            </w:pPr>
          </w:p>
        </w:tc>
        <w:tc>
          <w:tcPr>
            <w:tcW w:w="230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189"/>
        </w:trPr>
        <w:tc>
          <w:tcPr>
            <w:tcW w:w="2980" w:type="dxa"/>
            <w:vAlign w:val="bottom"/>
            <w:gridSpan w:val="2"/>
          </w:tcPr>
          <w:p>
            <w:pPr>
              <w:jc w:val="center"/>
              <w:ind w:right="100"/>
              <w:spacing w:after="0"/>
              <w:rPr>
                <w:sz w:val="20"/>
                <w:szCs w:val="20"/>
                <w:color w:val="auto"/>
              </w:rPr>
            </w:pPr>
            <w:r>
              <w:rPr>
                <w:rFonts w:ascii="Times New Roman" w:cs="Times New Roman" w:eastAsia="Times New Roman" w:hAnsi="Times New Roman"/>
                <w:sz w:val="13"/>
                <w:szCs w:val="13"/>
                <w:b w:val="1"/>
                <w:bCs w:val="1"/>
                <w:color w:val="auto"/>
                <w:w w:val="97"/>
              </w:rPr>
              <w:t>Declaration Date</w:t>
            </w:r>
          </w:p>
        </w:tc>
        <w:tc>
          <w:tcPr>
            <w:tcW w:w="2980" w:type="dxa"/>
            <w:vAlign w:val="bottom"/>
            <w:gridSpan w:val="2"/>
          </w:tcPr>
          <w:p>
            <w:pPr>
              <w:jc w:val="center"/>
              <w:ind w:right="100"/>
              <w:spacing w:after="0"/>
              <w:rPr>
                <w:sz w:val="20"/>
                <w:szCs w:val="20"/>
                <w:color w:val="auto"/>
              </w:rPr>
            </w:pPr>
            <w:r>
              <w:rPr>
                <w:rFonts w:ascii="Times New Roman" w:cs="Times New Roman" w:eastAsia="Times New Roman" w:hAnsi="Times New Roman"/>
                <w:sz w:val="13"/>
                <w:szCs w:val="13"/>
                <w:b w:val="1"/>
                <w:bCs w:val="1"/>
                <w:color w:val="auto"/>
                <w:w w:val="97"/>
              </w:rPr>
              <w:t>Record Date</w:t>
            </w:r>
          </w:p>
        </w:tc>
        <w:tc>
          <w:tcPr>
            <w:tcW w:w="2980" w:type="dxa"/>
            <w:vAlign w:val="bottom"/>
            <w:gridSpan w:val="2"/>
          </w:tcPr>
          <w:p>
            <w:pPr>
              <w:jc w:val="center"/>
              <w:ind w:right="80"/>
              <w:spacing w:after="0"/>
              <w:rPr>
                <w:sz w:val="20"/>
                <w:szCs w:val="20"/>
                <w:color w:val="auto"/>
              </w:rPr>
            </w:pPr>
            <w:r>
              <w:rPr>
                <w:rFonts w:ascii="Times New Roman" w:cs="Times New Roman" w:eastAsia="Times New Roman" w:hAnsi="Times New Roman"/>
                <w:sz w:val="13"/>
                <w:szCs w:val="13"/>
                <w:b w:val="1"/>
                <w:bCs w:val="1"/>
                <w:color w:val="auto"/>
                <w:w w:val="98"/>
              </w:rPr>
              <w:t>Paid Date</w:t>
            </w:r>
          </w:p>
        </w:tc>
        <w:tc>
          <w:tcPr>
            <w:tcW w:w="2300" w:type="dxa"/>
            <w:vAlign w:val="bottom"/>
          </w:tcPr>
          <w:p>
            <w:pPr>
              <w:ind w:left="620"/>
              <w:spacing w:after="0"/>
              <w:rPr>
                <w:sz w:val="20"/>
                <w:szCs w:val="20"/>
                <w:color w:val="auto"/>
              </w:rPr>
            </w:pPr>
            <w:r>
              <w:rPr>
                <w:rFonts w:ascii="Times New Roman" w:cs="Times New Roman" w:eastAsia="Times New Roman" w:hAnsi="Times New Roman"/>
                <w:sz w:val="13"/>
                <w:szCs w:val="13"/>
                <w:b w:val="1"/>
                <w:bCs w:val="1"/>
                <w:color w:val="auto"/>
              </w:rPr>
              <w:t>Dividend Per Share</w:t>
            </w:r>
          </w:p>
        </w:tc>
        <w:tc>
          <w:tcPr>
            <w:tcW w:w="0" w:type="dxa"/>
            <w:vAlign w:val="bottom"/>
          </w:tcPr>
          <w:p>
            <w:pPr>
              <w:spacing w:after="0"/>
              <w:rPr>
                <w:sz w:val="1"/>
                <w:szCs w:val="1"/>
                <w:color w:val="auto"/>
              </w:rPr>
            </w:pPr>
          </w:p>
        </w:tc>
      </w:tr>
      <w:tr>
        <w:trPr>
          <w:trHeight w:val="173"/>
        </w:trPr>
        <w:tc>
          <w:tcPr>
            <w:tcW w:w="2880" w:type="dxa"/>
            <w:vAlign w:val="bottom"/>
            <w:tcBorders>
              <w:top w:val="single" w:sz="8" w:color="auto"/>
            </w:tcBorders>
            <w:shd w:val="clear" w:color="auto" w:fill="CCEEFF"/>
          </w:tcPr>
          <w:p>
            <w:pPr>
              <w:jc w:val="center"/>
              <w:spacing w:after="0" w:line="173" w:lineRule="exact"/>
              <w:rPr>
                <w:sz w:val="20"/>
                <w:szCs w:val="20"/>
                <w:color w:val="auto"/>
              </w:rPr>
            </w:pPr>
            <w:r>
              <w:rPr>
                <w:rFonts w:ascii="Times New Roman" w:cs="Times New Roman" w:eastAsia="Times New Roman" w:hAnsi="Times New Roman"/>
                <w:sz w:val="14"/>
                <w:szCs w:val="14"/>
                <w:color w:val="auto"/>
                <w:w w:val="97"/>
              </w:rPr>
              <w:t xml:space="preserve">February 14, 2024 </w:t>
            </w:r>
            <w:r>
              <w:rPr>
                <w:rFonts w:ascii="Times New Roman" w:cs="Times New Roman" w:eastAsia="Times New Roman" w:hAnsi="Times New Roman"/>
                <w:sz w:val="18"/>
                <w:szCs w:val="18"/>
                <w:color w:val="auto"/>
                <w:w w:val="97"/>
                <w:vertAlign w:val="superscript"/>
              </w:rPr>
              <w:t>(1)</w:t>
            </w:r>
          </w:p>
        </w:tc>
        <w:tc>
          <w:tcPr>
            <w:tcW w:w="100" w:type="dxa"/>
            <w:vAlign w:val="bottom"/>
            <w:tcBorders>
              <w:top w:val="single" w:sz="8" w:color="CCEEFF"/>
            </w:tcBorders>
            <w:shd w:val="clear" w:color="auto" w:fill="CCEEFF"/>
          </w:tcPr>
          <w:p>
            <w:pPr>
              <w:spacing w:after="0"/>
              <w:rPr>
                <w:sz w:val="15"/>
                <w:szCs w:val="15"/>
                <w:color w:val="auto"/>
              </w:rPr>
            </w:pPr>
          </w:p>
        </w:tc>
        <w:tc>
          <w:tcPr>
            <w:tcW w:w="2900" w:type="dxa"/>
            <w:vAlign w:val="bottom"/>
            <w:tcBorders>
              <w:top w:val="single" w:sz="8" w:color="auto"/>
            </w:tcBorders>
            <w:shd w:val="clear" w:color="auto" w:fill="CCEEFF"/>
          </w:tcPr>
          <w:p>
            <w:pPr>
              <w:jc w:val="center"/>
              <w:spacing w:after="0"/>
              <w:rPr>
                <w:sz w:val="20"/>
                <w:szCs w:val="20"/>
                <w:color w:val="auto"/>
              </w:rPr>
            </w:pPr>
            <w:r>
              <w:rPr>
                <w:rFonts w:ascii="Times New Roman" w:cs="Times New Roman" w:eastAsia="Times New Roman" w:hAnsi="Times New Roman"/>
                <w:sz w:val="14"/>
                <w:szCs w:val="14"/>
                <w:color w:val="auto"/>
              </w:rPr>
              <w:t>March 1, 2024</w:t>
            </w:r>
          </w:p>
        </w:tc>
        <w:tc>
          <w:tcPr>
            <w:tcW w:w="80" w:type="dxa"/>
            <w:vAlign w:val="bottom"/>
            <w:tcBorders>
              <w:top w:val="single" w:sz="8" w:color="CCEEFF"/>
            </w:tcBorders>
            <w:shd w:val="clear" w:color="auto" w:fill="CCEEFF"/>
          </w:tcPr>
          <w:p>
            <w:pPr>
              <w:spacing w:after="0"/>
              <w:rPr>
                <w:sz w:val="15"/>
                <w:szCs w:val="15"/>
                <w:color w:val="auto"/>
              </w:rPr>
            </w:pPr>
          </w:p>
        </w:tc>
        <w:tc>
          <w:tcPr>
            <w:tcW w:w="2900" w:type="dxa"/>
            <w:vAlign w:val="bottom"/>
            <w:tcBorders>
              <w:top w:val="single" w:sz="8" w:color="auto"/>
            </w:tcBorders>
            <w:shd w:val="clear" w:color="auto" w:fill="CCEEFF"/>
          </w:tcPr>
          <w:p>
            <w:pPr>
              <w:jc w:val="center"/>
              <w:spacing w:after="0"/>
              <w:rPr>
                <w:sz w:val="20"/>
                <w:szCs w:val="20"/>
                <w:color w:val="auto"/>
              </w:rPr>
            </w:pPr>
            <w:r>
              <w:rPr>
                <w:rFonts w:ascii="Times New Roman" w:cs="Times New Roman" w:eastAsia="Times New Roman" w:hAnsi="Times New Roman"/>
                <w:sz w:val="14"/>
                <w:szCs w:val="14"/>
                <w:color w:val="auto"/>
                <w:w w:val="98"/>
              </w:rPr>
              <w:t>April 3, 2024</w:t>
            </w:r>
          </w:p>
        </w:tc>
        <w:tc>
          <w:tcPr>
            <w:tcW w:w="80" w:type="dxa"/>
            <w:vAlign w:val="bottom"/>
            <w:tcBorders>
              <w:top w:val="single" w:sz="8" w:color="CCEEFF"/>
            </w:tcBorders>
            <w:shd w:val="clear" w:color="auto" w:fill="CCEEFF"/>
          </w:tcPr>
          <w:p>
            <w:pPr>
              <w:spacing w:after="0"/>
              <w:rPr>
                <w:sz w:val="15"/>
                <w:szCs w:val="15"/>
                <w:color w:val="auto"/>
              </w:rPr>
            </w:pPr>
          </w:p>
        </w:tc>
        <w:tc>
          <w:tcPr>
            <w:tcW w:w="2300" w:type="dxa"/>
            <w:vAlign w:val="bottom"/>
            <w:tcBorders>
              <w:top w:val="single" w:sz="8" w:color="auto"/>
            </w:tcBorders>
            <w:shd w:val="clear" w:color="auto" w:fill="CCEEFF"/>
          </w:tcPr>
          <w:p>
            <w:pPr>
              <w:jc w:val="center"/>
              <w:spacing w:after="0"/>
              <w:rPr>
                <w:sz w:val="20"/>
                <w:szCs w:val="20"/>
                <w:color w:val="auto"/>
              </w:rPr>
            </w:pPr>
            <w:r>
              <w:rPr>
                <w:rFonts w:ascii="Times New Roman" w:cs="Times New Roman" w:eastAsia="Times New Roman" w:hAnsi="Times New Roman"/>
                <w:sz w:val="14"/>
                <w:szCs w:val="14"/>
                <w:color w:val="auto"/>
              </w:rPr>
              <w:t>$0.15</w:t>
            </w:r>
          </w:p>
        </w:tc>
        <w:tc>
          <w:tcPr>
            <w:tcW w:w="0" w:type="dxa"/>
            <w:vAlign w:val="bottom"/>
          </w:tcPr>
          <w:p>
            <w:pPr>
              <w:spacing w:after="0"/>
              <w:rPr>
                <w:sz w:val="1"/>
                <w:szCs w:val="1"/>
                <w:color w:val="auto"/>
              </w:rPr>
            </w:pPr>
          </w:p>
        </w:tc>
      </w:tr>
      <w:tr>
        <w:trPr>
          <w:trHeight w:val="180"/>
        </w:trPr>
        <w:tc>
          <w:tcPr>
            <w:tcW w:w="2980" w:type="dxa"/>
            <w:vAlign w:val="bottom"/>
            <w:gridSpan w:val="2"/>
          </w:tcPr>
          <w:p>
            <w:pPr>
              <w:jc w:val="center"/>
              <w:ind w:right="80"/>
              <w:spacing w:after="0" w:line="181" w:lineRule="exact"/>
              <w:rPr>
                <w:sz w:val="20"/>
                <w:szCs w:val="20"/>
                <w:color w:val="auto"/>
              </w:rPr>
            </w:pPr>
            <w:r>
              <w:rPr>
                <w:rFonts w:ascii="Times New Roman" w:cs="Times New Roman" w:eastAsia="Times New Roman" w:hAnsi="Times New Roman"/>
                <w:sz w:val="14"/>
                <w:szCs w:val="14"/>
                <w:color w:val="auto"/>
                <w:w w:val="96"/>
              </w:rPr>
              <w:t xml:space="preserve">May 1, 2024 </w:t>
            </w:r>
            <w:r>
              <w:rPr>
                <w:rFonts w:ascii="Times New Roman" w:cs="Times New Roman" w:eastAsia="Times New Roman" w:hAnsi="Times New Roman"/>
                <w:sz w:val="18"/>
                <w:szCs w:val="18"/>
                <w:color w:val="auto"/>
                <w:w w:val="96"/>
                <w:vertAlign w:val="superscript"/>
              </w:rPr>
              <w:t>(1)</w:t>
            </w:r>
          </w:p>
        </w:tc>
        <w:tc>
          <w:tcPr>
            <w:tcW w:w="2980" w:type="dxa"/>
            <w:vAlign w:val="bottom"/>
            <w:gridSpan w:val="2"/>
          </w:tcPr>
          <w:p>
            <w:pPr>
              <w:jc w:val="center"/>
              <w:ind w:right="100"/>
              <w:spacing w:after="0"/>
              <w:rPr>
                <w:sz w:val="20"/>
                <w:szCs w:val="20"/>
                <w:color w:val="auto"/>
              </w:rPr>
            </w:pPr>
            <w:r>
              <w:rPr>
                <w:rFonts w:ascii="Times New Roman" w:cs="Times New Roman" w:eastAsia="Times New Roman" w:hAnsi="Times New Roman"/>
                <w:sz w:val="14"/>
                <w:szCs w:val="14"/>
                <w:color w:val="auto"/>
              </w:rPr>
              <w:t>June 3, 2024</w:t>
            </w:r>
          </w:p>
        </w:tc>
        <w:tc>
          <w:tcPr>
            <w:tcW w:w="2980" w:type="dxa"/>
            <w:vAlign w:val="bottom"/>
            <w:gridSpan w:val="2"/>
          </w:tcPr>
          <w:p>
            <w:pPr>
              <w:jc w:val="center"/>
              <w:ind w:right="80"/>
              <w:spacing w:after="0"/>
              <w:rPr>
                <w:sz w:val="20"/>
                <w:szCs w:val="20"/>
                <w:color w:val="auto"/>
              </w:rPr>
            </w:pPr>
            <w:r>
              <w:rPr>
                <w:rFonts w:ascii="Times New Roman" w:cs="Times New Roman" w:eastAsia="Times New Roman" w:hAnsi="Times New Roman"/>
                <w:sz w:val="14"/>
                <w:szCs w:val="14"/>
                <w:color w:val="auto"/>
              </w:rPr>
              <w:t>July 1, 2024</w:t>
            </w:r>
          </w:p>
        </w:tc>
        <w:tc>
          <w:tcPr>
            <w:tcW w:w="2300" w:type="dxa"/>
            <w:vAlign w:val="bottom"/>
          </w:tcPr>
          <w:p>
            <w:pPr>
              <w:jc w:val="center"/>
              <w:spacing w:after="0"/>
              <w:rPr>
                <w:sz w:val="20"/>
                <w:szCs w:val="20"/>
                <w:color w:val="auto"/>
              </w:rPr>
            </w:pPr>
            <w:r>
              <w:rPr>
                <w:rFonts w:ascii="Times New Roman" w:cs="Times New Roman" w:eastAsia="Times New Roman" w:hAnsi="Times New Roman"/>
                <w:sz w:val="14"/>
                <w:szCs w:val="14"/>
                <w:color w:val="auto"/>
              </w:rPr>
              <w:t>$0.15</w:t>
            </w:r>
          </w:p>
        </w:tc>
        <w:tc>
          <w:tcPr>
            <w:tcW w:w="0" w:type="dxa"/>
            <w:vAlign w:val="bottom"/>
          </w:tcPr>
          <w:p>
            <w:pPr>
              <w:spacing w:after="0"/>
              <w:rPr>
                <w:sz w:val="1"/>
                <w:szCs w:val="1"/>
                <w:color w:val="auto"/>
              </w:rPr>
            </w:pPr>
          </w:p>
        </w:tc>
      </w:tr>
      <w:tr>
        <w:trPr>
          <w:trHeight w:val="180"/>
        </w:trPr>
        <w:tc>
          <w:tcPr>
            <w:tcW w:w="2980" w:type="dxa"/>
            <w:vAlign w:val="bottom"/>
            <w:gridSpan w:val="2"/>
            <w:shd w:val="clear" w:color="auto" w:fill="CCEEFF"/>
          </w:tcPr>
          <w:p>
            <w:pPr>
              <w:jc w:val="center"/>
              <w:ind w:right="100"/>
              <w:spacing w:after="0" w:line="181" w:lineRule="exact"/>
              <w:rPr>
                <w:sz w:val="20"/>
                <w:szCs w:val="20"/>
                <w:color w:val="auto"/>
              </w:rPr>
            </w:pPr>
            <w:r>
              <w:rPr>
                <w:rFonts w:ascii="Times New Roman" w:cs="Times New Roman" w:eastAsia="Times New Roman" w:hAnsi="Times New Roman"/>
                <w:sz w:val="14"/>
                <w:szCs w:val="14"/>
                <w:color w:val="auto"/>
                <w:w w:val="98"/>
              </w:rPr>
              <w:t xml:space="preserve">July 31, 2024 </w:t>
            </w:r>
            <w:r>
              <w:rPr>
                <w:rFonts w:ascii="Times New Roman" w:cs="Times New Roman" w:eastAsia="Times New Roman" w:hAnsi="Times New Roman"/>
                <w:sz w:val="18"/>
                <w:szCs w:val="18"/>
                <w:color w:val="auto"/>
                <w:w w:val="98"/>
                <w:vertAlign w:val="superscript"/>
              </w:rPr>
              <w:t>(1)</w:t>
            </w:r>
          </w:p>
        </w:tc>
        <w:tc>
          <w:tcPr>
            <w:tcW w:w="2980" w:type="dxa"/>
            <w:vAlign w:val="bottom"/>
            <w:gridSpan w:val="2"/>
            <w:shd w:val="clear" w:color="auto" w:fill="CCEEFF"/>
          </w:tcPr>
          <w:p>
            <w:pPr>
              <w:jc w:val="center"/>
              <w:ind w:right="80"/>
              <w:spacing w:after="0"/>
              <w:rPr>
                <w:sz w:val="20"/>
                <w:szCs w:val="20"/>
                <w:color w:val="auto"/>
              </w:rPr>
            </w:pPr>
            <w:r>
              <w:rPr>
                <w:rFonts w:ascii="Times New Roman" w:cs="Times New Roman" w:eastAsia="Times New Roman" w:hAnsi="Times New Roman"/>
                <w:sz w:val="14"/>
                <w:szCs w:val="14"/>
                <w:color w:val="auto"/>
              </w:rPr>
              <w:t>September 2, 2024</w:t>
            </w:r>
          </w:p>
        </w:tc>
        <w:tc>
          <w:tcPr>
            <w:tcW w:w="2980" w:type="dxa"/>
            <w:vAlign w:val="bottom"/>
            <w:gridSpan w:val="2"/>
            <w:shd w:val="clear" w:color="auto" w:fill="CCEEFF"/>
          </w:tcPr>
          <w:p>
            <w:pPr>
              <w:jc w:val="center"/>
              <w:ind w:right="80"/>
              <w:spacing w:after="0"/>
              <w:rPr>
                <w:sz w:val="20"/>
                <w:szCs w:val="20"/>
                <w:color w:val="auto"/>
              </w:rPr>
            </w:pPr>
            <w:r>
              <w:rPr>
                <w:rFonts w:ascii="Times New Roman" w:cs="Times New Roman" w:eastAsia="Times New Roman" w:hAnsi="Times New Roman"/>
                <w:sz w:val="14"/>
                <w:szCs w:val="14"/>
                <w:color w:val="auto"/>
                <w:w w:val="99"/>
              </w:rPr>
              <w:t>October 1, 2024</w:t>
            </w:r>
          </w:p>
        </w:tc>
        <w:tc>
          <w:tcPr>
            <w:tcW w:w="2300" w:type="dxa"/>
            <w:vAlign w:val="bottom"/>
            <w:shd w:val="clear" w:color="auto" w:fill="CCEEFF"/>
          </w:tcPr>
          <w:p>
            <w:pPr>
              <w:jc w:val="center"/>
              <w:spacing w:after="0"/>
              <w:rPr>
                <w:sz w:val="20"/>
                <w:szCs w:val="20"/>
                <w:color w:val="auto"/>
              </w:rPr>
            </w:pPr>
            <w:r>
              <w:rPr>
                <w:rFonts w:ascii="Times New Roman" w:cs="Times New Roman" w:eastAsia="Times New Roman" w:hAnsi="Times New Roman"/>
                <w:sz w:val="14"/>
                <w:szCs w:val="14"/>
                <w:color w:val="auto"/>
              </w:rPr>
              <w:t>$0.15</w:t>
            </w:r>
          </w:p>
        </w:tc>
        <w:tc>
          <w:tcPr>
            <w:tcW w:w="0" w:type="dxa"/>
            <w:vAlign w:val="bottom"/>
          </w:tcPr>
          <w:p>
            <w:pPr>
              <w:spacing w:after="0"/>
              <w:rPr>
                <w:sz w:val="1"/>
                <w:szCs w:val="1"/>
                <w:color w:val="auto"/>
              </w:rPr>
            </w:pPr>
          </w:p>
        </w:tc>
      </w:tr>
      <w:tr>
        <w:trPr>
          <w:trHeight w:val="180"/>
        </w:trPr>
        <w:tc>
          <w:tcPr>
            <w:tcW w:w="2980" w:type="dxa"/>
            <w:vAlign w:val="bottom"/>
            <w:tcBorders>
              <w:bottom w:val="single" w:sz="8" w:color="CCEEFF"/>
            </w:tcBorders>
            <w:gridSpan w:val="2"/>
          </w:tcPr>
          <w:p>
            <w:pPr>
              <w:jc w:val="center"/>
              <w:ind w:right="100"/>
              <w:spacing w:after="0" w:line="181" w:lineRule="exact"/>
              <w:rPr>
                <w:sz w:val="20"/>
                <w:szCs w:val="20"/>
                <w:color w:val="auto"/>
              </w:rPr>
            </w:pPr>
            <w:r>
              <w:rPr>
                <w:rFonts w:ascii="Times New Roman" w:cs="Times New Roman" w:eastAsia="Times New Roman" w:hAnsi="Times New Roman"/>
                <w:sz w:val="14"/>
                <w:szCs w:val="14"/>
                <w:color w:val="auto"/>
                <w:w w:val="97"/>
              </w:rPr>
              <w:t xml:space="preserve">October 30, 2024 </w:t>
            </w:r>
            <w:r>
              <w:rPr>
                <w:rFonts w:ascii="Times New Roman" w:cs="Times New Roman" w:eastAsia="Times New Roman" w:hAnsi="Times New Roman"/>
                <w:sz w:val="18"/>
                <w:szCs w:val="18"/>
                <w:color w:val="auto"/>
                <w:w w:val="97"/>
                <w:vertAlign w:val="superscript"/>
              </w:rPr>
              <w:t>(1)</w:t>
            </w:r>
          </w:p>
        </w:tc>
        <w:tc>
          <w:tcPr>
            <w:tcW w:w="2980" w:type="dxa"/>
            <w:vAlign w:val="bottom"/>
            <w:tcBorders>
              <w:bottom w:val="single" w:sz="8" w:color="CCEEFF"/>
            </w:tcBorders>
            <w:gridSpan w:val="2"/>
          </w:tcPr>
          <w:p>
            <w:pPr>
              <w:jc w:val="center"/>
              <w:ind w:right="100"/>
              <w:spacing w:after="0"/>
              <w:rPr>
                <w:sz w:val="20"/>
                <w:szCs w:val="20"/>
                <w:color w:val="auto"/>
              </w:rPr>
            </w:pPr>
            <w:r>
              <w:rPr>
                <w:rFonts w:ascii="Times New Roman" w:cs="Times New Roman" w:eastAsia="Times New Roman" w:hAnsi="Times New Roman"/>
                <w:sz w:val="14"/>
                <w:szCs w:val="14"/>
                <w:color w:val="auto"/>
              </w:rPr>
              <w:t>December 2, 2024</w:t>
            </w:r>
          </w:p>
        </w:tc>
        <w:tc>
          <w:tcPr>
            <w:tcW w:w="2980" w:type="dxa"/>
            <w:vAlign w:val="bottom"/>
            <w:tcBorders>
              <w:bottom w:val="single" w:sz="8" w:color="CCEEFF"/>
            </w:tcBorders>
            <w:gridSpan w:val="2"/>
          </w:tcPr>
          <w:p>
            <w:pPr>
              <w:jc w:val="center"/>
              <w:ind w:right="80"/>
              <w:spacing w:after="0"/>
              <w:rPr>
                <w:sz w:val="20"/>
                <w:szCs w:val="20"/>
                <w:color w:val="auto"/>
              </w:rPr>
            </w:pPr>
            <w:r>
              <w:rPr>
                <w:rFonts w:ascii="Times New Roman" w:cs="Times New Roman" w:eastAsia="Times New Roman" w:hAnsi="Times New Roman"/>
                <w:sz w:val="14"/>
                <w:szCs w:val="14"/>
                <w:color w:val="auto"/>
              </w:rPr>
              <w:t>January 3, 2025</w:t>
            </w:r>
          </w:p>
        </w:tc>
        <w:tc>
          <w:tcPr>
            <w:tcW w:w="2300" w:type="dxa"/>
            <w:vAlign w:val="bottom"/>
            <w:tcBorders>
              <w:bottom w:val="single" w:sz="8" w:color="auto"/>
            </w:tcBorders>
          </w:tcPr>
          <w:p>
            <w:pPr>
              <w:jc w:val="center"/>
              <w:spacing w:after="0"/>
              <w:rPr>
                <w:sz w:val="20"/>
                <w:szCs w:val="20"/>
                <w:color w:val="auto"/>
              </w:rPr>
            </w:pPr>
            <w:r>
              <w:rPr>
                <w:rFonts w:ascii="Times New Roman" w:cs="Times New Roman" w:eastAsia="Times New Roman" w:hAnsi="Times New Roman"/>
                <w:sz w:val="14"/>
                <w:szCs w:val="14"/>
                <w:color w:val="auto"/>
              </w:rPr>
              <w:t>$0.15</w:t>
            </w:r>
          </w:p>
        </w:tc>
        <w:tc>
          <w:tcPr>
            <w:tcW w:w="0" w:type="dxa"/>
            <w:vAlign w:val="bottom"/>
          </w:tcPr>
          <w:p>
            <w:pPr>
              <w:spacing w:after="0"/>
              <w:rPr>
                <w:sz w:val="1"/>
                <w:szCs w:val="1"/>
                <w:color w:val="auto"/>
              </w:rPr>
            </w:pPr>
          </w:p>
        </w:tc>
      </w:tr>
      <w:tr>
        <w:trPr>
          <w:trHeight w:val="193"/>
        </w:trPr>
        <w:tc>
          <w:tcPr>
            <w:tcW w:w="2880" w:type="dxa"/>
            <w:vAlign w:val="bottom"/>
            <w:tcBorders>
              <w:bottom w:val="single" w:sz="8" w:color="CCEEFF"/>
            </w:tcBorders>
            <w:shd w:val="clear" w:color="auto" w:fill="CCEEFF"/>
          </w:tcPr>
          <w:p>
            <w:pPr>
              <w:spacing w:after="0"/>
              <w:rPr>
                <w:sz w:val="16"/>
                <w:szCs w:val="16"/>
                <w:color w:val="auto"/>
              </w:rPr>
            </w:pPr>
          </w:p>
        </w:tc>
        <w:tc>
          <w:tcPr>
            <w:tcW w:w="100" w:type="dxa"/>
            <w:vAlign w:val="bottom"/>
            <w:tcBorders>
              <w:bottom w:val="single" w:sz="8" w:color="CCEEFF"/>
            </w:tcBorders>
            <w:shd w:val="clear" w:color="auto" w:fill="CCEEFF"/>
          </w:tcPr>
          <w:p>
            <w:pPr>
              <w:spacing w:after="0"/>
              <w:rPr>
                <w:sz w:val="16"/>
                <w:szCs w:val="16"/>
                <w:color w:val="auto"/>
              </w:rPr>
            </w:pPr>
          </w:p>
        </w:tc>
        <w:tc>
          <w:tcPr>
            <w:tcW w:w="2900" w:type="dxa"/>
            <w:vAlign w:val="bottom"/>
            <w:tcBorders>
              <w:bottom w:val="single" w:sz="8" w:color="CCEEFF"/>
            </w:tcBorders>
            <w:shd w:val="clear" w:color="auto" w:fill="CCEEFF"/>
          </w:tcPr>
          <w:p>
            <w:pPr>
              <w:spacing w:after="0"/>
              <w:rPr>
                <w:sz w:val="16"/>
                <w:szCs w:val="16"/>
                <w:color w:val="auto"/>
              </w:rPr>
            </w:pPr>
          </w:p>
        </w:tc>
        <w:tc>
          <w:tcPr>
            <w:tcW w:w="80" w:type="dxa"/>
            <w:vAlign w:val="bottom"/>
            <w:tcBorders>
              <w:bottom w:val="single" w:sz="8" w:color="CCEEFF"/>
            </w:tcBorders>
            <w:shd w:val="clear" w:color="auto" w:fill="CCEEFF"/>
          </w:tcPr>
          <w:p>
            <w:pPr>
              <w:spacing w:after="0"/>
              <w:rPr>
                <w:sz w:val="16"/>
                <w:szCs w:val="16"/>
                <w:color w:val="auto"/>
              </w:rPr>
            </w:pPr>
          </w:p>
        </w:tc>
        <w:tc>
          <w:tcPr>
            <w:tcW w:w="2900" w:type="dxa"/>
            <w:vAlign w:val="bottom"/>
            <w:tcBorders>
              <w:bottom w:val="single" w:sz="8" w:color="CCEEFF"/>
            </w:tcBorders>
            <w:shd w:val="clear" w:color="auto" w:fill="CCEEFF"/>
          </w:tcPr>
          <w:p>
            <w:pPr>
              <w:spacing w:after="0"/>
              <w:rPr>
                <w:sz w:val="16"/>
                <w:szCs w:val="16"/>
                <w:color w:val="auto"/>
              </w:rPr>
            </w:pPr>
          </w:p>
        </w:tc>
        <w:tc>
          <w:tcPr>
            <w:tcW w:w="80" w:type="dxa"/>
            <w:vAlign w:val="bottom"/>
            <w:tcBorders>
              <w:bottom w:val="single" w:sz="8" w:color="CCEEFF"/>
            </w:tcBorders>
            <w:shd w:val="clear" w:color="auto" w:fill="CCEEFF"/>
          </w:tcPr>
          <w:p>
            <w:pPr>
              <w:spacing w:after="0"/>
              <w:rPr>
                <w:sz w:val="16"/>
                <w:szCs w:val="16"/>
                <w:color w:val="auto"/>
              </w:rPr>
            </w:pPr>
          </w:p>
        </w:tc>
        <w:tc>
          <w:tcPr>
            <w:tcW w:w="2300" w:type="dxa"/>
            <w:vAlign w:val="bottom"/>
            <w:tcBorders>
              <w:bottom w:val="single" w:sz="8" w:color="auto"/>
            </w:tcBorders>
            <w:shd w:val="clear" w:color="auto" w:fill="CCEEFF"/>
          </w:tcPr>
          <w:p>
            <w:pPr>
              <w:jc w:val="center"/>
              <w:spacing w:after="0"/>
              <w:rPr>
                <w:sz w:val="20"/>
                <w:szCs w:val="20"/>
                <w:color w:val="auto"/>
              </w:rPr>
            </w:pPr>
            <w:r>
              <w:rPr>
                <w:rFonts w:ascii="Times New Roman" w:cs="Times New Roman" w:eastAsia="Times New Roman" w:hAnsi="Times New Roman"/>
                <w:sz w:val="13"/>
                <w:szCs w:val="13"/>
                <w:color w:val="auto"/>
              </w:rPr>
              <w:t>$0.60</w:t>
            </w:r>
          </w:p>
        </w:tc>
        <w:tc>
          <w:tcPr>
            <w:tcW w:w="0" w:type="dxa"/>
            <w:vAlign w:val="bottom"/>
          </w:tcPr>
          <w:p>
            <w:pPr>
              <w:spacing w:after="0"/>
              <w:rPr>
                <w:sz w:val="1"/>
                <w:szCs w:val="1"/>
                <w:color w:val="auto"/>
              </w:rPr>
            </w:pPr>
          </w:p>
        </w:tc>
      </w:tr>
      <w:tr>
        <w:trPr>
          <w:trHeight w:val="20"/>
        </w:trPr>
        <w:tc>
          <w:tcPr>
            <w:tcW w:w="2880" w:type="dxa"/>
            <w:vAlign w:val="bottom"/>
            <w:tcBorders>
              <w:top w:val="single" w:sz="8" w:color="CCEEFF"/>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2900" w:type="dxa"/>
            <w:vAlign w:val="bottom"/>
            <w:tcBorders>
              <w:top w:val="single" w:sz="8" w:color="CCEEFF"/>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2900" w:type="dxa"/>
            <w:vAlign w:val="bottom"/>
            <w:tcBorders>
              <w:top w:val="single" w:sz="8" w:color="CCEEFF"/>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2300" w:type="dxa"/>
            <w:vAlign w:val="bottom"/>
            <w:tcBorders>
              <w:top w:val="single" w:sz="8" w:color="CCEEFF"/>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138" w:lineRule="exact"/>
        <w:rPr>
          <w:sz w:val="20"/>
          <w:szCs w:val="20"/>
          <w:color w:val="auto"/>
        </w:rPr>
      </w:pPr>
    </w:p>
    <w:p>
      <w:pPr>
        <w:spacing w:after="0"/>
        <w:rPr>
          <w:sz w:val="20"/>
          <w:szCs w:val="20"/>
          <w:color w:val="auto"/>
        </w:rPr>
      </w:pPr>
      <w:r>
        <w:rPr>
          <w:rFonts w:ascii="Times New Roman" w:cs="Times New Roman" w:eastAsia="Times New Roman" w:hAnsi="Times New Roman"/>
          <w:sz w:val="13"/>
          <w:szCs w:val="13"/>
          <w:color w:val="auto"/>
        </w:rPr>
        <w:t>(1) This dividend was treated for accounting purposes as a return of capital.</w:t>
      </w:r>
    </w:p>
    <w:p>
      <w:pPr>
        <w:spacing w:after="0" w:line="89"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b w:val="1"/>
          <w:bCs w:val="1"/>
          <w:i w:val="1"/>
          <w:iCs w:val="1"/>
          <w:color w:val="auto"/>
        </w:rPr>
        <w:t>Contractual Obligations</w:t>
      </w:r>
    </w:p>
    <w:p>
      <w:pPr>
        <w:spacing w:after="0" w:line="96"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color w:val="auto"/>
        </w:rPr>
        <w:t>Purchase commitments</w:t>
      </w:r>
    </w:p>
    <w:p>
      <w:pPr>
        <w:spacing w:after="0" w:line="94" w:lineRule="exact"/>
        <w:rPr>
          <w:sz w:val="20"/>
          <w:szCs w:val="20"/>
          <w:color w:val="auto"/>
        </w:rPr>
      </w:pPr>
    </w:p>
    <w:p>
      <w:pPr>
        <w:ind w:right="240" w:firstLine="382"/>
        <w:spacing w:after="0" w:line="286" w:lineRule="auto"/>
        <w:rPr>
          <w:sz w:val="20"/>
          <w:szCs w:val="20"/>
          <w:color w:val="auto"/>
        </w:rPr>
      </w:pPr>
      <w:r>
        <w:rPr>
          <w:rFonts w:ascii="Times New Roman" w:cs="Times New Roman" w:eastAsia="Times New Roman" w:hAnsi="Times New Roman"/>
          <w:sz w:val="14"/>
          <w:szCs w:val="14"/>
          <w:color w:val="auto"/>
        </w:rPr>
        <w:t>Our purchase commitments primarily consist of outsourced information technology services, software licenses and commitments for financial research tools. As of December 31, 2025, our purchase commitments for the next five years and thereafter were as follows (in thousands):</w:t>
      </w:r>
    </w:p>
    <w:tbl>
      <w:tblPr>
        <w:tblLayout w:type="fixed"/>
        <w:tblInd w:w="0" w:type="dxa"/>
        <w:tblCellMar>
          <w:top w:w="0" w:type="dxa"/>
          <w:left w:w="0" w:type="dxa"/>
          <w:bottom w:w="0" w:type="dxa"/>
          <w:right w:w="0" w:type="dxa"/>
        </w:tblCellMar>
      </w:tblPr>
      <w:tr>
        <w:trPr>
          <w:trHeight w:val="170"/>
        </w:trPr>
        <w:tc>
          <w:tcPr>
            <w:tcW w:w="3400" w:type="dxa"/>
            <w:vAlign w:val="bottom"/>
          </w:tcPr>
          <w:p>
            <w:pPr>
              <w:spacing w:after="0"/>
              <w:rPr>
                <w:sz w:val="14"/>
                <w:szCs w:val="14"/>
                <w:color w:val="auto"/>
              </w:rPr>
            </w:pPr>
          </w:p>
        </w:tc>
        <w:tc>
          <w:tcPr>
            <w:tcW w:w="340" w:type="dxa"/>
            <w:vAlign w:val="bottom"/>
            <w:tcBorders>
              <w:bottom w:val="single" w:sz="8" w:color="auto"/>
            </w:tcBorders>
          </w:tcPr>
          <w:p>
            <w:pPr>
              <w:spacing w:after="0"/>
              <w:rPr>
                <w:sz w:val="14"/>
                <w:szCs w:val="14"/>
                <w:color w:val="auto"/>
              </w:rPr>
            </w:pPr>
          </w:p>
        </w:tc>
        <w:tc>
          <w:tcPr>
            <w:tcW w:w="1140" w:type="dxa"/>
            <w:vAlign w:val="bottom"/>
            <w:tcBorders>
              <w:bottom w:val="single" w:sz="8" w:color="auto"/>
            </w:tcBorders>
          </w:tcPr>
          <w:p>
            <w:pPr>
              <w:spacing w:after="0"/>
              <w:rPr>
                <w:sz w:val="14"/>
                <w:szCs w:val="14"/>
                <w:color w:val="auto"/>
              </w:rPr>
            </w:pPr>
          </w:p>
        </w:tc>
        <w:tc>
          <w:tcPr>
            <w:tcW w:w="100" w:type="dxa"/>
            <w:vAlign w:val="bottom"/>
            <w:tcBorders>
              <w:bottom w:val="single" w:sz="8" w:color="auto"/>
            </w:tcBorders>
          </w:tcPr>
          <w:p>
            <w:pPr>
              <w:spacing w:after="0"/>
              <w:rPr>
                <w:sz w:val="14"/>
                <w:szCs w:val="14"/>
                <w:color w:val="auto"/>
              </w:rPr>
            </w:pPr>
          </w:p>
        </w:tc>
        <w:tc>
          <w:tcPr>
            <w:tcW w:w="180" w:type="dxa"/>
            <w:vAlign w:val="bottom"/>
            <w:tcBorders>
              <w:bottom w:val="single" w:sz="8" w:color="auto"/>
            </w:tcBorders>
          </w:tcPr>
          <w:p>
            <w:pPr>
              <w:spacing w:after="0"/>
              <w:rPr>
                <w:sz w:val="14"/>
                <w:szCs w:val="14"/>
                <w:color w:val="auto"/>
              </w:rPr>
            </w:pPr>
          </w:p>
        </w:tc>
        <w:tc>
          <w:tcPr>
            <w:tcW w:w="1300" w:type="dxa"/>
            <w:vAlign w:val="bottom"/>
            <w:tcBorders>
              <w:bottom w:val="single" w:sz="8" w:color="auto"/>
            </w:tcBorders>
          </w:tcPr>
          <w:p>
            <w:pPr>
              <w:spacing w:after="0"/>
              <w:rPr>
                <w:sz w:val="14"/>
                <w:szCs w:val="14"/>
                <w:color w:val="auto"/>
              </w:rPr>
            </w:pPr>
          </w:p>
        </w:tc>
        <w:tc>
          <w:tcPr>
            <w:tcW w:w="80" w:type="dxa"/>
            <w:vAlign w:val="bottom"/>
            <w:tcBorders>
              <w:bottom w:val="single" w:sz="8" w:color="auto"/>
            </w:tcBorders>
          </w:tcPr>
          <w:p>
            <w:pPr>
              <w:spacing w:after="0"/>
              <w:rPr>
                <w:sz w:val="14"/>
                <w:szCs w:val="14"/>
                <w:color w:val="auto"/>
              </w:rPr>
            </w:pPr>
          </w:p>
        </w:tc>
        <w:tc>
          <w:tcPr>
            <w:tcW w:w="180" w:type="dxa"/>
            <w:vAlign w:val="bottom"/>
            <w:tcBorders>
              <w:bottom w:val="single" w:sz="8" w:color="auto"/>
            </w:tcBorders>
          </w:tcPr>
          <w:p>
            <w:pPr>
              <w:spacing w:after="0"/>
              <w:rPr>
                <w:sz w:val="14"/>
                <w:szCs w:val="14"/>
                <w:color w:val="auto"/>
              </w:rPr>
            </w:pPr>
          </w:p>
        </w:tc>
        <w:tc>
          <w:tcPr>
            <w:tcW w:w="1400" w:type="dxa"/>
            <w:vAlign w:val="bottom"/>
            <w:tcBorders>
              <w:bottom w:val="single" w:sz="8" w:color="auto"/>
            </w:tcBorders>
            <w:gridSpan w:val="2"/>
          </w:tcPr>
          <w:p>
            <w:pPr>
              <w:jc w:val="center"/>
              <w:ind w:right="260"/>
              <w:spacing w:after="0"/>
              <w:rPr>
                <w:sz w:val="20"/>
                <w:szCs w:val="20"/>
                <w:color w:val="auto"/>
              </w:rPr>
            </w:pPr>
            <w:r>
              <w:rPr>
                <w:rFonts w:ascii="Times New Roman" w:cs="Times New Roman" w:eastAsia="Times New Roman" w:hAnsi="Times New Roman"/>
                <w:sz w:val="13"/>
                <w:szCs w:val="13"/>
                <w:b w:val="1"/>
                <w:bCs w:val="1"/>
                <w:color w:val="auto"/>
                <w:w w:val="97"/>
              </w:rPr>
              <w:t>Payments due in:</w:t>
            </w:r>
          </w:p>
        </w:tc>
        <w:tc>
          <w:tcPr>
            <w:tcW w:w="300" w:type="dxa"/>
            <w:vAlign w:val="bottom"/>
            <w:tcBorders>
              <w:bottom w:val="single" w:sz="8" w:color="auto"/>
            </w:tcBorders>
          </w:tcPr>
          <w:p>
            <w:pPr>
              <w:spacing w:after="0"/>
              <w:rPr>
                <w:sz w:val="14"/>
                <w:szCs w:val="14"/>
                <w:color w:val="auto"/>
              </w:rPr>
            </w:pPr>
          </w:p>
        </w:tc>
        <w:tc>
          <w:tcPr>
            <w:tcW w:w="1200" w:type="dxa"/>
            <w:vAlign w:val="bottom"/>
            <w:tcBorders>
              <w:bottom w:val="single" w:sz="8" w:color="auto"/>
            </w:tcBorders>
          </w:tcPr>
          <w:p>
            <w:pPr>
              <w:spacing w:after="0"/>
              <w:rPr>
                <w:sz w:val="14"/>
                <w:szCs w:val="14"/>
                <w:color w:val="auto"/>
              </w:rPr>
            </w:pPr>
          </w:p>
        </w:tc>
        <w:tc>
          <w:tcPr>
            <w:tcW w:w="80" w:type="dxa"/>
            <w:vAlign w:val="bottom"/>
            <w:tcBorders>
              <w:bottom w:val="single" w:sz="8" w:color="auto"/>
            </w:tcBorders>
          </w:tcPr>
          <w:p>
            <w:pPr>
              <w:spacing w:after="0"/>
              <w:rPr>
                <w:sz w:val="14"/>
                <w:szCs w:val="14"/>
                <w:color w:val="auto"/>
              </w:rPr>
            </w:pPr>
          </w:p>
        </w:tc>
        <w:tc>
          <w:tcPr>
            <w:tcW w:w="280" w:type="dxa"/>
            <w:vAlign w:val="bottom"/>
            <w:tcBorders>
              <w:bottom w:val="single" w:sz="8" w:color="auto"/>
            </w:tcBorders>
          </w:tcPr>
          <w:p>
            <w:pPr>
              <w:spacing w:after="0"/>
              <w:rPr>
                <w:sz w:val="14"/>
                <w:szCs w:val="14"/>
                <w:color w:val="auto"/>
              </w:rPr>
            </w:pPr>
          </w:p>
        </w:tc>
        <w:tc>
          <w:tcPr>
            <w:tcW w:w="1220" w:type="dxa"/>
            <w:vAlign w:val="bottom"/>
            <w:tcBorders>
              <w:bottom w:val="single" w:sz="8" w:color="auto"/>
            </w:tcBorders>
          </w:tcPr>
          <w:p>
            <w:pPr>
              <w:spacing w:after="0"/>
              <w:rPr>
                <w:sz w:val="14"/>
                <w:szCs w:val="14"/>
                <w:color w:val="auto"/>
              </w:rPr>
            </w:pPr>
          </w:p>
        </w:tc>
      </w:tr>
      <w:tr>
        <w:trPr>
          <w:trHeight w:val="161"/>
        </w:trPr>
        <w:tc>
          <w:tcPr>
            <w:tcW w:w="3400" w:type="dxa"/>
            <w:vAlign w:val="bottom"/>
          </w:tcPr>
          <w:p>
            <w:pPr>
              <w:spacing w:after="0"/>
              <w:rPr>
                <w:sz w:val="14"/>
                <w:szCs w:val="14"/>
                <w:color w:val="auto"/>
              </w:rPr>
            </w:pPr>
          </w:p>
        </w:tc>
        <w:tc>
          <w:tcPr>
            <w:tcW w:w="340" w:type="dxa"/>
            <w:vAlign w:val="bottom"/>
          </w:tcPr>
          <w:p>
            <w:pPr>
              <w:spacing w:after="0"/>
              <w:rPr>
                <w:sz w:val="14"/>
                <w:szCs w:val="14"/>
                <w:color w:val="auto"/>
              </w:rPr>
            </w:pPr>
          </w:p>
        </w:tc>
        <w:tc>
          <w:tcPr>
            <w:tcW w:w="1240" w:type="dxa"/>
            <w:vAlign w:val="bottom"/>
            <w:gridSpan w:val="2"/>
          </w:tcPr>
          <w:p>
            <w:pPr>
              <w:ind w:left="260"/>
              <w:spacing w:after="0"/>
              <w:rPr>
                <w:sz w:val="20"/>
                <w:szCs w:val="20"/>
                <w:color w:val="auto"/>
              </w:rPr>
            </w:pPr>
            <w:r>
              <w:rPr>
                <w:rFonts w:ascii="Times New Roman" w:cs="Times New Roman" w:eastAsia="Times New Roman" w:hAnsi="Times New Roman"/>
                <w:sz w:val="13"/>
                <w:szCs w:val="13"/>
                <w:b w:val="1"/>
                <w:bCs w:val="1"/>
                <w:color w:val="auto"/>
              </w:rPr>
              <w:t>Total</w:t>
            </w:r>
          </w:p>
        </w:tc>
        <w:tc>
          <w:tcPr>
            <w:tcW w:w="180" w:type="dxa"/>
            <w:vAlign w:val="bottom"/>
          </w:tcPr>
          <w:p>
            <w:pPr>
              <w:spacing w:after="0"/>
              <w:rPr>
                <w:sz w:val="14"/>
                <w:szCs w:val="14"/>
                <w:color w:val="auto"/>
              </w:rPr>
            </w:pPr>
          </w:p>
        </w:tc>
        <w:tc>
          <w:tcPr>
            <w:tcW w:w="1380" w:type="dxa"/>
            <w:vAlign w:val="bottom"/>
            <w:gridSpan w:val="2"/>
          </w:tcPr>
          <w:p>
            <w:pPr>
              <w:ind w:left="100"/>
              <w:spacing w:after="0"/>
              <w:rPr>
                <w:sz w:val="20"/>
                <w:szCs w:val="20"/>
                <w:color w:val="auto"/>
              </w:rPr>
            </w:pPr>
            <w:r>
              <w:rPr>
                <w:rFonts w:ascii="Times New Roman" w:cs="Times New Roman" w:eastAsia="Times New Roman" w:hAnsi="Times New Roman"/>
                <w:sz w:val="13"/>
                <w:szCs w:val="13"/>
                <w:b w:val="1"/>
                <w:bCs w:val="1"/>
                <w:color w:val="auto"/>
              </w:rPr>
              <w:t>Less than 1 year</w:t>
            </w:r>
          </w:p>
        </w:tc>
        <w:tc>
          <w:tcPr>
            <w:tcW w:w="180" w:type="dxa"/>
            <w:vAlign w:val="bottom"/>
          </w:tcPr>
          <w:p>
            <w:pPr>
              <w:spacing w:after="0"/>
              <w:rPr>
                <w:sz w:val="14"/>
                <w:szCs w:val="14"/>
                <w:color w:val="auto"/>
              </w:rPr>
            </w:pPr>
          </w:p>
        </w:tc>
        <w:tc>
          <w:tcPr>
            <w:tcW w:w="1400" w:type="dxa"/>
            <w:vAlign w:val="bottom"/>
            <w:gridSpan w:val="2"/>
          </w:tcPr>
          <w:p>
            <w:pPr>
              <w:jc w:val="center"/>
              <w:ind w:right="260"/>
              <w:spacing w:after="0"/>
              <w:rPr>
                <w:sz w:val="20"/>
                <w:szCs w:val="20"/>
                <w:color w:val="auto"/>
              </w:rPr>
            </w:pPr>
            <w:r>
              <w:rPr>
                <w:rFonts w:ascii="Times New Roman" w:cs="Times New Roman" w:eastAsia="Times New Roman" w:hAnsi="Times New Roman"/>
                <w:sz w:val="13"/>
                <w:szCs w:val="13"/>
                <w:b w:val="1"/>
                <w:bCs w:val="1"/>
                <w:color w:val="auto"/>
                <w:w w:val="99"/>
              </w:rPr>
              <w:t>1-3 years</w:t>
            </w:r>
          </w:p>
        </w:tc>
        <w:tc>
          <w:tcPr>
            <w:tcW w:w="300" w:type="dxa"/>
            <w:vAlign w:val="bottom"/>
          </w:tcPr>
          <w:p>
            <w:pPr>
              <w:spacing w:after="0"/>
              <w:rPr>
                <w:sz w:val="14"/>
                <w:szCs w:val="14"/>
                <w:color w:val="auto"/>
              </w:rPr>
            </w:pPr>
          </w:p>
        </w:tc>
        <w:tc>
          <w:tcPr>
            <w:tcW w:w="1280" w:type="dxa"/>
            <w:vAlign w:val="bottom"/>
            <w:gridSpan w:val="2"/>
          </w:tcPr>
          <w:p>
            <w:pPr>
              <w:ind w:left="200"/>
              <w:spacing w:after="0"/>
              <w:rPr>
                <w:sz w:val="20"/>
                <w:szCs w:val="20"/>
                <w:color w:val="auto"/>
              </w:rPr>
            </w:pPr>
            <w:r>
              <w:rPr>
                <w:rFonts w:ascii="Times New Roman" w:cs="Times New Roman" w:eastAsia="Times New Roman" w:hAnsi="Times New Roman"/>
                <w:sz w:val="13"/>
                <w:szCs w:val="13"/>
                <w:b w:val="1"/>
                <w:bCs w:val="1"/>
                <w:color w:val="auto"/>
              </w:rPr>
              <w:t>4-5 years</w:t>
            </w:r>
          </w:p>
        </w:tc>
        <w:tc>
          <w:tcPr>
            <w:tcW w:w="280" w:type="dxa"/>
            <w:vAlign w:val="bottom"/>
          </w:tcPr>
          <w:p>
            <w:pPr>
              <w:spacing w:after="0"/>
              <w:rPr>
                <w:sz w:val="14"/>
                <w:szCs w:val="14"/>
                <w:color w:val="auto"/>
              </w:rPr>
            </w:pPr>
          </w:p>
        </w:tc>
        <w:tc>
          <w:tcPr>
            <w:tcW w:w="1220" w:type="dxa"/>
            <w:vAlign w:val="bottom"/>
          </w:tcPr>
          <w:p>
            <w:pPr>
              <w:ind w:left="180"/>
              <w:spacing w:after="0"/>
              <w:rPr>
                <w:sz w:val="20"/>
                <w:szCs w:val="20"/>
                <w:color w:val="auto"/>
              </w:rPr>
            </w:pPr>
            <w:r>
              <w:rPr>
                <w:rFonts w:ascii="Times New Roman" w:cs="Times New Roman" w:eastAsia="Times New Roman" w:hAnsi="Times New Roman"/>
                <w:sz w:val="13"/>
                <w:szCs w:val="13"/>
                <w:b w:val="1"/>
                <w:bCs w:val="1"/>
                <w:color w:val="auto"/>
              </w:rPr>
              <w:t>Thereafter</w:t>
            </w:r>
          </w:p>
        </w:tc>
      </w:tr>
      <w:tr>
        <w:trPr>
          <w:trHeight w:val="172"/>
        </w:trPr>
        <w:tc>
          <w:tcPr>
            <w:tcW w:w="3400" w:type="dxa"/>
            <w:vAlign w:val="bottom"/>
            <w:tcBorders>
              <w:top w:val="single" w:sz="8" w:color="CCEEFF"/>
            </w:tcBorders>
            <w:shd w:val="clear" w:color="auto" w:fill="CCEEFF"/>
          </w:tcPr>
          <w:p>
            <w:pPr>
              <w:ind w:left="20"/>
              <w:spacing w:after="0" w:line="172" w:lineRule="exact"/>
              <w:rPr>
                <w:sz w:val="20"/>
                <w:szCs w:val="20"/>
                <w:color w:val="auto"/>
              </w:rPr>
            </w:pPr>
            <w:r>
              <w:rPr>
                <w:rFonts w:ascii="Times New Roman" w:cs="Times New Roman" w:eastAsia="Times New Roman" w:hAnsi="Times New Roman"/>
                <w:sz w:val="14"/>
                <w:szCs w:val="14"/>
                <w:color w:val="auto"/>
              </w:rPr>
              <w:t>Purchase commitments</w:t>
            </w:r>
            <w:r>
              <w:rPr>
                <w:rFonts w:ascii="Times New Roman" w:cs="Times New Roman" w:eastAsia="Times New Roman" w:hAnsi="Times New Roman"/>
                <w:sz w:val="18"/>
                <w:szCs w:val="18"/>
                <w:color w:val="auto"/>
                <w:vertAlign w:val="superscript"/>
              </w:rPr>
              <w:t>(1)</w:t>
            </w:r>
          </w:p>
        </w:tc>
        <w:tc>
          <w:tcPr>
            <w:tcW w:w="340" w:type="dxa"/>
            <w:vAlign w:val="bottom"/>
            <w:tcBorders>
              <w:top w:val="single" w:sz="8" w:color="auto"/>
            </w:tcBorders>
            <w:shd w:val="clear" w:color="auto" w:fill="CCEEFF"/>
          </w:tcPr>
          <w:p>
            <w:pPr>
              <w:jc w:val="right"/>
              <w:ind w:right="193"/>
              <w:spacing w:after="0"/>
              <w:rPr>
                <w:sz w:val="20"/>
                <w:szCs w:val="20"/>
                <w:color w:val="auto"/>
              </w:rPr>
            </w:pPr>
            <w:r>
              <w:rPr>
                <w:rFonts w:ascii="Times New Roman" w:cs="Times New Roman" w:eastAsia="Times New Roman" w:hAnsi="Times New Roman"/>
                <w:sz w:val="13"/>
                <w:szCs w:val="13"/>
                <w:color w:val="auto"/>
                <w:w w:val="91"/>
              </w:rPr>
              <w:t>$</w:t>
            </w:r>
          </w:p>
        </w:tc>
        <w:tc>
          <w:tcPr>
            <w:tcW w:w="114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14,276</w:t>
            </w:r>
          </w:p>
        </w:tc>
        <w:tc>
          <w:tcPr>
            <w:tcW w:w="100" w:type="dxa"/>
            <w:vAlign w:val="bottom"/>
            <w:tcBorders>
              <w:top w:val="single" w:sz="8" w:color="CCEEFF"/>
            </w:tcBorders>
            <w:shd w:val="clear" w:color="auto" w:fill="CCEEFF"/>
          </w:tcPr>
          <w:p>
            <w:pPr>
              <w:spacing w:after="0"/>
              <w:rPr>
                <w:sz w:val="14"/>
                <w:szCs w:val="14"/>
                <w:color w:val="auto"/>
              </w:rPr>
            </w:pPr>
          </w:p>
        </w:tc>
        <w:tc>
          <w:tcPr>
            <w:tcW w:w="180" w:type="dxa"/>
            <w:vAlign w:val="bottom"/>
            <w:tcBorders>
              <w:top w:val="single" w:sz="8" w:color="auto"/>
            </w:tcBorders>
            <w:shd w:val="clear" w:color="auto" w:fill="CCEEFF"/>
          </w:tcPr>
          <w:p>
            <w:pPr>
              <w:jc w:val="right"/>
              <w:ind w:right="33"/>
              <w:spacing w:after="0"/>
              <w:rPr>
                <w:sz w:val="20"/>
                <w:szCs w:val="20"/>
                <w:color w:val="auto"/>
              </w:rPr>
            </w:pPr>
            <w:r>
              <w:rPr>
                <w:rFonts w:ascii="Times New Roman" w:cs="Times New Roman" w:eastAsia="Times New Roman" w:hAnsi="Times New Roman"/>
                <w:sz w:val="13"/>
                <w:szCs w:val="13"/>
                <w:color w:val="auto"/>
                <w:w w:val="91"/>
              </w:rPr>
              <w:t>$</w:t>
            </w:r>
          </w:p>
        </w:tc>
        <w:tc>
          <w:tcPr>
            <w:tcW w:w="130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6,652</w:t>
            </w:r>
          </w:p>
        </w:tc>
        <w:tc>
          <w:tcPr>
            <w:tcW w:w="80" w:type="dxa"/>
            <w:vAlign w:val="bottom"/>
            <w:tcBorders>
              <w:top w:val="single" w:sz="8" w:color="CCEEFF"/>
            </w:tcBorders>
            <w:shd w:val="clear" w:color="auto" w:fill="CCEEFF"/>
          </w:tcPr>
          <w:p>
            <w:pPr>
              <w:spacing w:after="0"/>
              <w:rPr>
                <w:sz w:val="14"/>
                <w:szCs w:val="14"/>
                <w:color w:val="auto"/>
              </w:rPr>
            </w:pPr>
          </w:p>
        </w:tc>
        <w:tc>
          <w:tcPr>
            <w:tcW w:w="180" w:type="dxa"/>
            <w:vAlign w:val="bottom"/>
            <w:tcBorders>
              <w:top w:val="single" w:sz="8" w:color="auto"/>
            </w:tcBorders>
            <w:shd w:val="clear" w:color="auto" w:fill="CCEEFF"/>
          </w:tcPr>
          <w:p>
            <w:pPr>
              <w:jc w:val="right"/>
              <w:ind w:right="33"/>
              <w:spacing w:after="0"/>
              <w:rPr>
                <w:sz w:val="20"/>
                <w:szCs w:val="20"/>
                <w:color w:val="auto"/>
              </w:rPr>
            </w:pPr>
            <w:r>
              <w:rPr>
                <w:rFonts w:ascii="Times New Roman" w:cs="Times New Roman" w:eastAsia="Times New Roman" w:hAnsi="Times New Roman"/>
                <w:sz w:val="13"/>
                <w:szCs w:val="13"/>
                <w:color w:val="auto"/>
                <w:w w:val="91"/>
              </w:rPr>
              <w:t>$</w:t>
            </w:r>
          </w:p>
        </w:tc>
        <w:tc>
          <w:tcPr>
            <w:tcW w:w="132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6,962</w:t>
            </w:r>
          </w:p>
        </w:tc>
        <w:tc>
          <w:tcPr>
            <w:tcW w:w="80" w:type="dxa"/>
            <w:vAlign w:val="bottom"/>
            <w:tcBorders>
              <w:top w:val="single" w:sz="8" w:color="CCEEFF"/>
            </w:tcBorders>
            <w:shd w:val="clear" w:color="auto" w:fill="CCEEFF"/>
          </w:tcPr>
          <w:p>
            <w:pPr>
              <w:spacing w:after="0"/>
              <w:rPr>
                <w:sz w:val="14"/>
                <w:szCs w:val="14"/>
                <w:color w:val="auto"/>
              </w:rPr>
            </w:pPr>
          </w:p>
        </w:tc>
        <w:tc>
          <w:tcPr>
            <w:tcW w:w="300" w:type="dxa"/>
            <w:vAlign w:val="bottom"/>
            <w:tcBorders>
              <w:top w:val="single" w:sz="8" w:color="auto"/>
            </w:tcBorders>
            <w:shd w:val="clear" w:color="auto" w:fill="CCEEFF"/>
          </w:tcPr>
          <w:p>
            <w:pPr>
              <w:jc w:val="right"/>
              <w:ind w:right="153"/>
              <w:spacing w:after="0"/>
              <w:rPr>
                <w:sz w:val="20"/>
                <w:szCs w:val="20"/>
                <w:color w:val="auto"/>
              </w:rPr>
            </w:pPr>
            <w:r>
              <w:rPr>
                <w:rFonts w:ascii="Times New Roman" w:cs="Times New Roman" w:eastAsia="Times New Roman" w:hAnsi="Times New Roman"/>
                <w:sz w:val="13"/>
                <w:szCs w:val="13"/>
                <w:color w:val="auto"/>
                <w:w w:val="91"/>
              </w:rPr>
              <w:t>$</w:t>
            </w:r>
          </w:p>
        </w:tc>
        <w:tc>
          <w:tcPr>
            <w:tcW w:w="120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662</w:t>
            </w:r>
          </w:p>
        </w:tc>
        <w:tc>
          <w:tcPr>
            <w:tcW w:w="80" w:type="dxa"/>
            <w:vAlign w:val="bottom"/>
            <w:tcBorders>
              <w:top w:val="single" w:sz="8" w:color="CCEEFF"/>
            </w:tcBorders>
            <w:shd w:val="clear" w:color="auto" w:fill="CCEEFF"/>
          </w:tcPr>
          <w:p>
            <w:pPr>
              <w:spacing w:after="0"/>
              <w:rPr>
                <w:sz w:val="14"/>
                <w:szCs w:val="14"/>
                <w:color w:val="auto"/>
              </w:rPr>
            </w:pPr>
          </w:p>
        </w:tc>
        <w:tc>
          <w:tcPr>
            <w:tcW w:w="280" w:type="dxa"/>
            <w:vAlign w:val="bottom"/>
            <w:tcBorders>
              <w:top w:val="single" w:sz="8" w:color="auto"/>
            </w:tcBorders>
            <w:shd w:val="clear" w:color="auto" w:fill="CCEEFF"/>
          </w:tcPr>
          <w:p>
            <w:pPr>
              <w:jc w:val="right"/>
              <w:ind w:right="133"/>
              <w:spacing w:after="0"/>
              <w:rPr>
                <w:sz w:val="20"/>
                <w:szCs w:val="20"/>
                <w:color w:val="auto"/>
              </w:rPr>
            </w:pPr>
            <w:r>
              <w:rPr>
                <w:rFonts w:ascii="Times New Roman" w:cs="Times New Roman" w:eastAsia="Times New Roman" w:hAnsi="Times New Roman"/>
                <w:sz w:val="13"/>
                <w:szCs w:val="13"/>
                <w:color w:val="auto"/>
                <w:w w:val="91"/>
              </w:rPr>
              <w:t>$</w:t>
            </w:r>
          </w:p>
        </w:tc>
        <w:tc>
          <w:tcPr>
            <w:tcW w:w="1220" w:type="dxa"/>
            <w:vAlign w:val="bottom"/>
            <w:tcBorders>
              <w:top w:val="single" w:sz="8" w:color="auto"/>
            </w:tcBorders>
            <w:shd w:val="clear" w:color="auto" w:fill="CCEEFF"/>
          </w:tcPr>
          <w:p>
            <w:pPr>
              <w:ind w:left="1020"/>
              <w:spacing w:after="0"/>
              <w:rPr>
                <w:sz w:val="20"/>
                <w:szCs w:val="20"/>
                <w:color w:val="auto"/>
              </w:rPr>
            </w:pPr>
            <w:r>
              <w:rPr>
                <w:rFonts w:ascii="Times New Roman" w:cs="Times New Roman" w:eastAsia="Times New Roman" w:hAnsi="Times New Roman"/>
                <w:sz w:val="13"/>
                <w:szCs w:val="13"/>
                <w:color w:val="auto"/>
              </w:rPr>
              <w:t>—</w:t>
            </w:r>
          </w:p>
        </w:tc>
      </w:tr>
    </w:tbl>
    <w:p>
      <w:pPr>
        <w:spacing w:after="0" w:line="244" w:lineRule="exact"/>
        <w:rPr>
          <w:sz w:val="20"/>
          <w:szCs w:val="20"/>
          <w:color w:val="auto"/>
        </w:rPr>
      </w:pPr>
    </w:p>
    <w:p>
      <w:pPr>
        <w:ind w:left="60" w:right="220" w:firstLine="9"/>
        <w:spacing w:after="0" w:line="324" w:lineRule="auto"/>
        <w:tabs>
          <w:tab w:leader="none" w:pos="329" w:val="left"/>
        </w:tabs>
        <w:numPr>
          <w:ilvl w:val="0"/>
          <w:numId w:val="16"/>
        </w:numPr>
        <w:rPr>
          <w:rFonts w:ascii="Times New Roman" w:cs="Times New Roman" w:eastAsia="Times New Roman" w:hAnsi="Times New Roman"/>
          <w:sz w:val="12"/>
          <w:szCs w:val="12"/>
          <w:color w:val="auto"/>
        </w:rPr>
      </w:pPr>
      <w:r>
        <w:rPr>
          <w:rFonts w:ascii="Times New Roman" w:cs="Times New Roman" w:eastAsia="Times New Roman" w:hAnsi="Times New Roman"/>
          <w:sz w:val="12"/>
          <w:szCs w:val="12"/>
          <w:color w:val="auto"/>
        </w:rPr>
        <w:t>A “purchase commitment” is defined as an agreement to purchase goods or services that is enforceable and legally binding and that specifies all significant terms, including (a) fixed or minimum quantities to be purchased; (b) fixed, minimum or variable price provisions; and (c) the approximate timing of the transaction. The above purchase commitments exclude agreements that are cancelable without significant penalty.</w:t>
      </w:r>
    </w:p>
    <w:p>
      <w:pPr>
        <w:spacing w:after="0" w:line="14"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b w:val="1"/>
          <w:bCs w:val="1"/>
          <w:i w:val="1"/>
          <w:iCs w:val="1"/>
          <w:color w:val="auto"/>
        </w:rPr>
        <w:t>Critical Accounting Estimates</w:t>
      </w:r>
    </w:p>
    <w:p>
      <w:pPr>
        <w:spacing w:after="0" w:line="96" w:lineRule="exact"/>
        <w:rPr>
          <w:sz w:val="20"/>
          <w:szCs w:val="20"/>
          <w:color w:val="auto"/>
        </w:rPr>
      </w:pPr>
    </w:p>
    <w:p>
      <w:pPr>
        <w:ind w:right="140" w:firstLine="382"/>
        <w:spacing w:after="0" w:line="261" w:lineRule="auto"/>
        <w:rPr>
          <w:sz w:val="20"/>
          <w:szCs w:val="20"/>
          <w:color w:val="auto"/>
        </w:rPr>
      </w:pPr>
      <w:r>
        <w:rPr>
          <w:rFonts w:ascii="Times New Roman" w:cs="Times New Roman" w:eastAsia="Times New Roman" w:hAnsi="Times New Roman"/>
          <w:sz w:val="14"/>
          <w:szCs w:val="14"/>
          <w:color w:val="auto"/>
        </w:rPr>
        <w:t>The preparation of our Consolidated Financial Statements in conformity with GAAP requires us to make estimates and assumptions that affect the reported amounts of assets and liabilities, disclosure of contingent losses and liabilities at the date of the Consolidated Financial Statements and the reported amounts of revenues and expenses during the reporting period. In applying accounting principles, we often must make individual estimates and assumptions regarding expected outcomes or uncertainties. Our estimates, judgments and assumptions are continually evaluated based on available information and experience. Because of the use of estimates inherent in the financial reporting process, actual results could differ from those estimates. We believe the following are areas where the degree of judgment and complexity in determining amounts recorded in our Consolidated Financial Statements make accounting estimates critical.</w:t>
      </w:r>
    </w:p>
    <w:p>
      <w:pPr>
        <w:spacing w:after="0" w:line="56"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i w:val="1"/>
          <w:iCs w:val="1"/>
          <w:color w:val="auto"/>
        </w:rPr>
        <w:t>Business Combinations</w:t>
      </w:r>
    </w:p>
    <w:p>
      <w:pPr>
        <w:spacing w:after="0" w:line="96" w:lineRule="exact"/>
        <w:rPr>
          <w:sz w:val="20"/>
          <w:szCs w:val="20"/>
          <w:color w:val="auto"/>
        </w:rPr>
      </w:pPr>
    </w:p>
    <w:p>
      <w:pPr>
        <w:ind w:right="20" w:firstLine="382"/>
        <w:spacing w:after="0" w:line="270" w:lineRule="auto"/>
        <w:rPr>
          <w:sz w:val="20"/>
          <w:szCs w:val="20"/>
          <w:color w:val="auto"/>
        </w:rPr>
      </w:pPr>
      <w:r>
        <w:rPr>
          <w:rFonts w:ascii="Times New Roman" w:cs="Times New Roman" w:eastAsia="Times New Roman" w:hAnsi="Times New Roman"/>
          <w:sz w:val="14"/>
          <w:szCs w:val="14"/>
          <w:color w:val="auto"/>
        </w:rPr>
        <w:t>Accounting for business combinations requires us to make significant estimates and assumptions, especially at the acquisition date with respect to tangible and intangible assets acquired and liabilities assumed. In a business combination, we allocate the purchase price to the acquired business’ identifiable assets and liabilities at their acquisition date fair values. The excess of the purchase price over the amount allocated to the identifiable assets and liabilities, if any, is recorded as goodwill.</w:t>
      </w:r>
    </w:p>
    <w:p>
      <w:pPr>
        <w:spacing w:after="0" w:line="51" w:lineRule="exact"/>
        <w:rPr>
          <w:sz w:val="20"/>
          <w:szCs w:val="20"/>
          <w:color w:val="auto"/>
        </w:rPr>
      </w:pPr>
    </w:p>
    <w:p>
      <w:pPr>
        <w:ind w:firstLine="382"/>
        <w:spacing w:after="0" w:line="260" w:lineRule="auto"/>
        <w:rPr>
          <w:sz w:val="20"/>
          <w:szCs w:val="20"/>
          <w:color w:val="auto"/>
        </w:rPr>
      </w:pPr>
      <w:r>
        <w:rPr>
          <w:rFonts w:ascii="Times New Roman" w:cs="Times New Roman" w:eastAsia="Times New Roman" w:hAnsi="Times New Roman"/>
          <w:sz w:val="14"/>
          <w:szCs w:val="14"/>
          <w:color w:val="auto"/>
        </w:rPr>
        <w:t>The assets acquired and liabilities assumed in our business combinations consist of acquired working capital and finite-lived and indefinite-lived intangible assets. The carrying value of acquired working capital approximates its fair value, given the short-term nature of these assets and liabilities. We estimated the fair value of finite-lived and indefinite-lived intangible assets acquired using a discounted cash flow approach, which included an analysis of the future cash flows expected to be generated by such assets and the risk associated with achieving such cash flows. The key assumptions used in the discounted cash flow model include the discount rate that is applied to the discretely forecasted future cash flows to calculate the present value of those cash flows and the estimate of future cash flows attributable to the acquired intangible assets, which include revenues, operating expenses and taxes. Our estimates are inherently uncertain and subject to refinement. As a result, during the</w:t>
      </w:r>
    </w:p>
    <w:p>
      <w:pPr>
        <w:spacing w:after="0" w:line="200" w:lineRule="exact"/>
        <w:rPr>
          <w:sz w:val="20"/>
          <w:szCs w:val="20"/>
          <w:color w:val="auto"/>
        </w:rPr>
      </w:pPr>
    </w:p>
    <w:p>
      <w:pPr>
        <w:spacing w:after="0" w:line="382"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4"/>
          <w:szCs w:val="14"/>
          <w:color w:val="auto"/>
        </w:rPr>
        <w:t>33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-8890</wp:posOffset>
            </wp:positionH>
            <wp:positionV relativeFrom="paragraph">
              <wp:posOffset>55880</wp:posOffset>
            </wp:positionV>
            <wp:extent cx="7186930" cy="38735"/>
            <wp:wrapNone/>
            <wp:docPr id="46" name="Picture 4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6"/>
                    <pic:cNvPicPr>
                      <a:picLocks noChangeAspect="1" noChangeArrowheads="1"/>
                    </pic:cNvPicPr>
                  </pic:nvPicPr>
                  <pic:blipFill>
                    <a:blip r:embed="rId53">
                      <a:extLst>
                        <a:ext uri="{28A0092B-C50C-407E-A947-70E740481C1C}"/>
                      </a:extLst>
                    </a:blip>
                    <a:srcRect/>
                    <a:stretch>
                      <a:fillRect/>
                    </a:stretch>
                  </pic:blipFill>
                  <pic:spPr bwMode="auto">
                    <a:xfrm>
                      <a:off x="0" y="0"/>
                      <a:ext cx="7186930" cy="38735"/>
                    </a:xfrm>
                    <a:prstGeom prst="rect">
                      <a:avLst/>
                    </a:prstGeom>
                    <a:noFill/>
                  </pic:spPr>
                </pic:pic>
              </a:graphicData>
            </a:graphic>
          </wp:anchor>
        </w:drawing>
      </w:r>
    </w:p>
    <w:p>
      <w:pPr>
        <w:sectPr>
          <w:pgSz w:w="11900" w:h="16838" w:orient="portrait"/>
          <w:cols w:equalWidth="0" w:num="1">
            <w:col w:w="11260"/>
          </w:cols>
          <w:pgMar w:left="300" w:top="770" w:right="339" w:bottom="1440" w:gutter="0" w:footer="0" w:header="0"/>
        </w:sectPr>
      </w:pPr>
    </w:p>
    <w:bookmarkStart w:id="35" w:name="page36"/>
    <w:bookmarkEnd w:id="35"/>
    <w:p>
      <w:pPr>
        <w:ind w:right="160"/>
        <w:spacing w:after="0" w:line="287" w:lineRule="auto"/>
        <w:rPr>
          <w:sz w:val="20"/>
          <w:szCs w:val="20"/>
          <w:color w:val="auto"/>
        </w:rPr>
      </w:pPr>
      <w:r>
        <w:rPr>
          <w:rFonts w:ascii="Times New Roman" w:cs="Times New Roman" w:eastAsia="Times New Roman" w:hAnsi="Times New Roman"/>
          <w:sz w:val="14"/>
          <w:szCs w:val="14"/>
          <w:color w:val="auto"/>
        </w:rPr>
        <w:t>measurement period, which may be up to one year from the acquisition date, we may record adjustments to the fair value of assets acquired and liabilities assumed, with the corresponding offset to goodwill.</w:t>
      </w:r>
    </w:p>
    <w:p>
      <w:pPr>
        <w:spacing w:after="0" w:line="37"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i w:val="1"/>
          <w:iCs w:val="1"/>
          <w:color w:val="auto"/>
        </w:rPr>
        <w:t>Contingent Consideration</w:t>
      </w:r>
    </w:p>
    <w:p>
      <w:pPr>
        <w:spacing w:after="0" w:line="96" w:lineRule="exact"/>
        <w:rPr>
          <w:sz w:val="20"/>
          <w:szCs w:val="20"/>
          <w:color w:val="auto"/>
        </w:rPr>
      </w:pPr>
    </w:p>
    <w:p>
      <w:pPr>
        <w:ind w:firstLine="382"/>
        <w:spacing w:after="0" w:line="258" w:lineRule="auto"/>
        <w:rPr>
          <w:sz w:val="20"/>
          <w:szCs w:val="20"/>
          <w:color w:val="auto"/>
        </w:rPr>
      </w:pPr>
      <w:r>
        <w:rPr>
          <w:rFonts w:ascii="Times New Roman" w:cs="Times New Roman" w:eastAsia="Times New Roman" w:hAnsi="Times New Roman"/>
          <w:sz w:val="14"/>
          <w:szCs w:val="14"/>
          <w:color w:val="auto"/>
        </w:rPr>
        <w:t>When an acquisition includes future contingent consideration on achieving certain milestones, the Company estimates the earn-out fair value using Monte Carlo simulation models. The Monte Carlo simulations considered assumptions including revenue volatility, risk free rates, discount rates and payment discount rates. The projected contingent payment is discounted back to the current period using a discounted cash flow model. Increases or decreases in projected revenues, probabilities of payment, discount rates or projected payment dates may result in higher or lower fair value measurements. Fluctuations in any of the inputs may result in a significantly lower or higher fair value measurement. A liability is recorded for the estimated fair value of the contingent consideration on the acquisition date, and the fair value of the contingent consideration is remeasured at each subsequent reporting period with any change in fair value recognized as income or expense within the Consolidated Statements of Operations. For the years ended December 31, 2025 and 2024, changes in growth projections, due to increases in AUM and AUA values, and volatility assumptions were the primary drivers of changes in our fair value estimates.</w:t>
      </w:r>
    </w:p>
    <w:p>
      <w:pPr>
        <w:spacing w:after="0" w:line="60"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i w:val="1"/>
          <w:iCs w:val="1"/>
          <w:color w:val="auto"/>
        </w:rPr>
        <w:t>Goodwill</w:t>
      </w:r>
    </w:p>
    <w:p>
      <w:pPr>
        <w:spacing w:after="0" w:line="96" w:lineRule="exact"/>
        <w:rPr>
          <w:sz w:val="20"/>
          <w:szCs w:val="20"/>
          <w:color w:val="auto"/>
        </w:rPr>
      </w:pPr>
    </w:p>
    <w:p>
      <w:pPr>
        <w:ind w:right="320" w:firstLine="382"/>
        <w:spacing w:after="0" w:line="270" w:lineRule="auto"/>
        <w:rPr>
          <w:sz w:val="20"/>
          <w:szCs w:val="20"/>
          <w:color w:val="auto"/>
        </w:rPr>
      </w:pPr>
      <w:r>
        <w:rPr>
          <w:rFonts w:ascii="Times New Roman" w:cs="Times New Roman" w:eastAsia="Times New Roman" w:hAnsi="Times New Roman"/>
          <w:sz w:val="14"/>
          <w:szCs w:val="14"/>
          <w:color w:val="auto"/>
        </w:rPr>
        <w:t>Goodwill is tested at least annually for impairment. We assess the recoverability of the carrying amount of goodwill either qualitatively or quantitatively as of July 1 of each fiscal year, or whenever events or changes in circumstances indicate that the carrying amount of the assets may not be fully recoverable. We test more frequently if indicators are present or changes in circumstances suggest that impairment may exist. These indicators include declines in revenues, earnings or cash flows, or the development of a material adverse change in the business climate.</w:t>
      </w:r>
    </w:p>
    <w:p>
      <w:pPr>
        <w:spacing w:after="0" w:line="51" w:lineRule="exact"/>
        <w:rPr>
          <w:sz w:val="20"/>
          <w:szCs w:val="20"/>
          <w:color w:val="auto"/>
        </w:rPr>
      </w:pPr>
    </w:p>
    <w:p>
      <w:pPr>
        <w:ind w:right="40" w:firstLine="382"/>
        <w:spacing w:after="0" w:line="270" w:lineRule="auto"/>
        <w:rPr>
          <w:sz w:val="20"/>
          <w:szCs w:val="20"/>
          <w:color w:val="auto"/>
        </w:rPr>
      </w:pPr>
      <w:r>
        <w:rPr>
          <w:rFonts w:ascii="Times New Roman" w:cs="Times New Roman" w:eastAsia="Times New Roman" w:hAnsi="Times New Roman"/>
          <w:sz w:val="14"/>
          <w:szCs w:val="14"/>
          <w:color w:val="auto"/>
        </w:rPr>
        <w:t>We assess goodwill for impairment at the reporting unit level, which is defined as an operating segment or one level below an operating segment, which is referred to as a component. We have identified two reporting units, which are consistent with our reporting segments: Advisory and Trust. The Company is not required to calculate the fair value of a reporting unit unless we determine that it is more likely than not that its fair value is less than the carrying amount. We assess goodwill for impairment using either a qualitative or quantitative assessment.</w:t>
      </w:r>
    </w:p>
    <w:p>
      <w:pPr>
        <w:spacing w:after="0" w:line="51" w:lineRule="exact"/>
        <w:rPr>
          <w:sz w:val="20"/>
          <w:szCs w:val="20"/>
          <w:color w:val="auto"/>
        </w:rPr>
      </w:pPr>
    </w:p>
    <w:p>
      <w:pPr>
        <w:ind w:firstLine="382"/>
        <w:spacing w:after="0" w:line="259" w:lineRule="auto"/>
        <w:rPr>
          <w:sz w:val="20"/>
          <w:szCs w:val="20"/>
          <w:color w:val="auto"/>
        </w:rPr>
      </w:pPr>
      <w:r>
        <w:rPr>
          <w:rFonts w:ascii="Times New Roman" w:cs="Times New Roman" w:eastAsia="Times New Roman" w:hAnsi="Times New Roman"/>
          <w:sz w:val="14"/>
          <w:szCs w:val="14"/>
          <w:color w:val="auto"/>
        </w:rPr>
        <w:t>The qualitative goodwill impairment assessment requires evaluating factors, based on the weight of evidence, to determine whether a reporting unit's carrying value would more likely than not exceed its fair value. As part of our goodwill qualitative testing process, we evaluate various factors that are specific to the reporting unit as well as industry and macroeconomic factors in order to determine whether they are reasonably likely to have a material impact on the fair value of our reporting units. Based on the qualitative analyses performed in 2025, we concluded that there were no changes that were reasonably likely to cause the fair value of the Advisory and Trust reporting units to be less than those reporting unit's carrying values, and determined that there was no impairment of our goodwill. In the event we were to determine that a reporting unit's carrying value would more likely than not exceed its fair value, quantitative testing would be performed comparing carrying values to estimated fair values.</w:t>
      </w:r>
    </w:p>
    <w:p>
      <w:pPr>
        <w:spacing w:after="0" w:line="61" w:lineRule="exact"/>
        <w:rPr>
          <w:sz w:val="20"/>
          <w:szCs w:val="20"/>
          <w:color w:val="auto"/>
        </w:rPr>
      </w:pPr>
    </w:p>
    <w:p>
      <w:pPr>
        <w:ind w:right="40" w:firstLine="382"/>
        <w:spacing w:after="0" w:line="287" w:lineRule="auto"/>
        <w:rPr>
          <w:sz w:val="20"/>
          <w:szCs w:val="20"/>
          <w:color w:val="auto"/>
        </w:rPr>
      </w:pPr>
      <w:r>
        <w:rPr>
          <w:rFonts w:ascii="Times New Roman" w:cs="Times New Roman" w:eastAsia="Times New Roman" w:hAnsi="Times New Roman"/>
          <w:sz w:val="14"/>
          <w:szCs w:val="14"/>
          <w:color w:val="auto"/>
        </w:rPr>
        <w:t>The quantitative analysis requires a comparison of each reporting unit’s carrying value to the fair value of the respective unit. If the carrying value exceeds the fair value, an impairment charge is recorded based on that difference.</w:t>
      </w:r>
    </w:p>
    <w:p>
      <w:pPr>
        <w:spacing w:after="0" w:line="39" w:lineRule="exact"/>
        <w:rPr>
          <w:sz w:val="20"/>
          <w:szCs w:val="20"/>
          <w:color w:val="auto"/>
        </w:rPr>
      </w:pPr>
    </w:p>
    <w:p>
      <w:pPr>
        <w:ind w:right="140" w:firstLine="382"/>
        <w:spacing w:after="0" w:line="287" w:lineRule="auto"/>
        <w:rPr>
          <w:sz w:val="20"/>
          <w:szCs w:val="20"/>
          <w:color w:val="auto"/>
        </w:rPr>
      </w:pPr>
      <w:r>
        <w:rPr>
          <w:rFonts w:ascii="Times New Roman" w:cs="Times New Roman" w:eastAsia="Times New Roman" w:hAnsi="Times New Roman"/>
          <w:sz w:val="14"/>
          <w:szCs w:val="14"/>
          <w:color w:val="auto"/>
        </w:rPr>
        <w:t>We completed our most recent annual goodwill impairment assessment during the third quarter of 2025 and determined that no goodwill impairment related to the Advisory or Trust segment was required. There was no goodwill impairment for either segment during the years ended December 31, 2025, 2024 or 2023.</w:t>
      </w:r>
    </w:p>
    <w:p>
      <w:pPr>
        <w:spacing w:after="0" w:line="37"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b w:val="1"/>
          <w:bCs w:val="1"/>
          <w:i w:val="1"/>
          <w:iCs w:val="1"/>
          <w:color w:val="auto"/>
        </w:rPr>
        <w:t>Accounting Developments</w:t>
      </w:r>
    </w:p>
    <w:p>
      <w:pPr>
        <w:spacing w:after="0" w:line="96" w:lineRule="exact"/>
        <w:rPr>
          <w:sz w:val="20"/>
          <w:szCs w:val="20"/>
          <w:color w:val="auto"/>
        </w:rPr>
      </w:pPr>
    </w:p>
    <w:p>
      <w:pPr>
        <w:ind w:right="580" w:firstLine="382"/>
        <w:spacing w:after="0" w:line="287" w:lineRule="auto"/>
        <w:rPr>
          <w:sz w:val="20"/>
          <w:szCs w:val="20"/>
          <w:color w:val="auto"/>
        </w:rPr>
      </w:pPr>
      <w:r>
        <w:rPr>
          <w:rFonts w:ascii="Times New Roman" w:cs="Times New Roman" w:eastAsia="Times New Roman" w:hAnsi="Times New Roman"/>
          <w:sz w:val="14"/>
          <w:szCs w:val="14"/>
          <w:color w:val="auto"/>
        </w:rPr>
        <w:t>See Note 2 “Summary of Significant Accounting Policies” to our Consolidated Financial Statements included in Part II, Item 8, “Financial Statements and Supplementary Data” for a description of any new accounting standards and their anticipated effects on our Consolidated Financial Statements.</w:t>
      </w:r>
    </w:p>
    <w:p>
      <w:pPr>
        <w:spacing w:after="0" w:line="37" w:lineRule="exact"/>
        <w:rPr>
          <w:sz w:val="20"/>
          <w:szCs w:val="20"/>
          <w:color w:val="auto"/>
        </w:rPr>
      </w:pPr>
    </w:p>
    <w:p>
      <w:pPr>
        <w:spacing w:after="0"/>
        <w:tabs>
          <w:tab w:leader="none" w:pos="660" w:val="left"/>
        </w:tabs>
        <w:rPr>
          <w:sz w:val="20"/>
          <w:szCs w:val="20"/>
          <w:color w:val="auto"/>
        </w:rPr>
      </w:pPr>
      <w:r>
        <w:rPr>
          <w:rFonts w:ascii="Times New Roman" w:cs="Times New Roman" w:eastAsia="Times New Roman" w:hAnsi="Times New Roman"/>
          <w:sz w:val="14"/>
          <w:szCs w:val="14"/>
          <w:b w:val="1"/>
          <w:bCs w:val="1"/>
          <w:color w:val="auto"/>
        </w:rPr>
        <w:t>Item 7A.</w:t>
        <w:tab/>
        <w:t>Quantitative and Qualitative Disclosures about Market Risk.</w:t>
      </w:r>
    </w:p>
    <w:p>
      <w:pPr>
        <w:spacing w:after="0" w:line="85" w:lineRule="exact"/>
        <w:rPr>
          <w:sz w:val="20"/>
          <w:szCs w:val="20"/>
          <w:color w:val="auto"/>
        </w:rPr>
      </w:pPr>
    </w:p>
    <w:p>
      <w:pPr>
        <w:ind w:right="160" w:firstLine="382"/>
        <w:spacing w:after="0" w:line="270" w:lineRule="auto"/>
        <w:rPr>
          <w:sz w:val="20"/>
          <w:szCs w:val="20"/>
          <w:color w:val="auto"/>
        </w:rPr>
      </w:pPr>
      <w:r>
        <w:rPr>
          <w:rFonts w:ascii="Times New Roman" w:cs="Times New Roman" w:eastAsia="Times New Roman" w:hAnsi="Times New Roman"/>
          <w:sz w:val="14"/>
          <w:szCs w:val="14"/>
          <w:color w:val="auto"/>
        </w:rPr>
        <w:t>Our revenues are primarily generated from fees derived as a percentage of our AUM and AUA, which is subject to market risks. Additionally, we invest corporate capital in various financial instruments, including U. S. treasury bills and equity funds, all of which present inherent market risks. We do not currently participate in any hedging activities, nor do we utilize any derivative financial instruments. The following information describes key aspects of certain financial instruments that involve market risks.</w:t>
      </w:r>
    </w:p>
    <w:p>
      <w:pPr>
        <w:spacing w:after="0" w:line="49"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i w:val="1"/>
          <w:iCs w:val="1"/>
          <w:color w:val="auto"/>
        </w:rPr>
        <w:t>Securities Markets and Interest Rates</w:t>
      </w:r>
    </w:p>
    <w:p>
      <w:pPr>
        <w:spacing w:after="0" w:line="96" w:lineRule="exact"/>
        <w:rPr>
          <w:sz w:val="20"/>
          <w:szCs w:val="20"/>
          <w:color w:val="auto"/>
        </w:rPr>
      </w:pPr>
    </w:p>
    <w:p>
      <w:pPr>
        <w:ind w:right="80" w:firstLine="382"/>
        <w:spacing w:after="0" w:line="287" w:lineRule="auto"/>
        <w:rPr>
          <w:sz w:val="20"/>
          <w:szCs w:val="20"/>
          <w:color w:val="auto"/>
        </w:rPr>
      </w:pPr>
      <w:r>
        <w:rPr>
          <w:rFonts w:ascii="Times New Roman" w:cs="Times New Roman" w:eastAsia="Times New Roman" w:hAnsi="Times New Roman"/>
          <w:sz w:val="14"/>
          <w:szCs w:val="14"/>
          <w:color w:val="auto"/>
        </w:rPr>
        <w:t>The value of AUM and AUA is affected by fluctuations in securities markets and changes in interest rates. Since we derive a substantial portion of our revenues from investment advisory and trust fees based on the value of AUM and AUA, our revenues may be adversely affected by a decline in the prices of securities or changing interest rates. A hypothetical 10%</w:t>
      </w:r>
    </w:p>
    <w:p>
      <w:pPr>
        <w:spacing w:after="0" w:line="389" w:lineRule="exact"/>
        <w:rPr>
          <w:sz w:val="20"/>
          <w:szCs w:val="20"/>
          <w:color w:val="auto"/>
        </w:rPr>
      </w:pPr>
    </w:p>
    <w:p>
      <w:pPr>
        <w:jc w:val="center"/>
        <w:ind w:right="-39"/>
        <w:spacing w:after="0"/>
        <w:rPr>
          <w:sz w:val="20"/>
          <w:szCs w:val="20"/>
          <w:color w:val="auto"/>
        </w:rPr>
      </w:pPr>
      <w:r>
        <w:rPr>
          <w:rFonts w:ascii="Times New Roman" w:cs="Times New Roman" w:eastAsia="Times New Roman" w:hAnsi="Times New Roman"/>
          <w:sz w:val="14"/>
          <w:szCs w:val="14"/>
          <w:color w:val="auto"/>
        </w:rPr>
        <w:t>34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-8890</wp:posOffset>
            </wp:positionH>
            <wp:positionV relativeFrom="paragraph">
              <wp:posOffset>55880</wp:posOffset>
            </wp:positionV>
            <wp:extent cx="7186930" cy="38735"/>
            <wp:wrapNone/>
            <wp:docPr id="47" name="Picture 4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7"/>
                    <pic:cNvPicPr>
                      <a:picLocks noChangeAspect="1" noChangeArrowheads="1"/>
                    </pic:cNvPicPr>
                  </pic:nvPicPr>
                  <pic:blipFill>
                    <a:blip r:embed="rId54">
                      <a:extLst>
                        <a:ext uri="{28A0092B-C50C-407E-A947-70E740481C1C}"/>
                      </a:extLst>
                    </a:blip>
                    <a:srcRect/>
                    <a:stretch>
                      <a:fillRect/>
                    </a:stretch>
                  </pic:blipFill>
                  <pic:spPr bwMode="auto">
                    <a:xfrm>
                      <a:off x="0" y="0"/>
                      <a:ext cx="7186930" cy="38735"/>
                    </a:xfrm>
                    <a:prstGeom prst="rect">
                      <a:avLst/>
                    </a:prstGeom>
                    <a:noFill/>
                  </pic:spPr>
                </pic:pic>
              </a:graphicData>
            </a:graphic>
          </wp:anchor>
        </w:drawing>
      </w:r>
    </w:p>
    <w:p>
      <w:pPr>
        <w:sectPr>
          <w:pgSz w:w="11900" w:h="16838" w:orient="portrait"/>
          <w:cols w:equalWidth="0" w:num="1">
            <w:col w:w="11260"/>
          </w:cols>
          <w:pgMar w:left="300" w:top="814" w:right="339" w:bottom="1440" w:gutter="0" w:footer="0" w:header="0"/>
        </w:sectPr>
      </w:pPr>
    </w:p>
    <w:bookmarkStart w:id="36" w:name="page37"/>
    <w:bookmarkEnd w:id="36"/>
    <w:p>
      <w:pPr>
        <w:spacing w:after="0"/>
        <w:rPr>
          <w:sz w:val="20"/>
          <w:szCs w:val="20"/>
          <w:color w:val="auto"/>
        </w:rPr>
      </w:pPr>
      <w:r>
        <w:rPr>
          <w:rFonts w:ascii="Times New Roman" w:cs="Times New Roman" w:eastAsia="Times New Roman" w:hAnsi="Times New Roman"/>
          <w:sz w:val="14"/>
          <w:szCs w:val="14"/>
          <w:color w:val="auto"/>
        </w:rPr>
        <w:t>decrease in our average AUM and AUA during the year ended December 31, 2025 would have reduced our reported consolidated total revenue by approximately $10 million.</w:t>
      </w:r>
    </w:p>
    <w:p>
      <w:pPr>
        <w:spacing w:after="0" w:line="94" w:lineRule="exact"/>
        <w:rPr>
          <w:sz w:val="20"/>
          <w:szCs w:val="20"/>
          <w:color w:val="auto"/>
        </w:rPr>
      </w:pPr>
    </w:p>
    <w:p>
      <w:pPr>
        <w:ind w:right="260" w:firstLine="382"/>
        <w:spacing w:after="0" w:line="287" w:lineRule="auto"/>
        <w:rPr>
          <w:sz w:val="20"/>
          <w:szCs w:val="20"/>
          <w:color w:val="auto"/>
        </w:rPr>
      </w:pPr>
      <w:r>
        <w:rPr>
          <w:rFonts w:ascii="Times New Roman" w:cs="Times New Roman" w:eastAsia="Times New Roman" w:hAnsi="Times New Roman"/>
          <w:sz w:val="14"/>
          <w:szCs w:val="14"/>
          <w:color w:val="auto"/>
        </w:rPr>
        <w:t>Our cash equivalents and other investment instruments are exposed to financial market risk due to fluctuations in interest rates, which may affect interest income. We do not expect interest income to be significantly affected by sudden changes in market interest rates.</w:t>
      </w:r>
    </w:p>
    <w:p>
      <w:pPr>
        <w:spacing w:after="0" w:line="37" w:lineRule="exact"/>
        <w:rPr>
          <w:sz w:val="20"/>
          <w:szCs w:val="20"/>
          <w:color w:val="auto"/>
        </w:rPr>
      </w:pPr>
    </w:p>
    <w:p>
      <w:pPr>
        <w:spacing w:after="0"/>
        <w:tabs>
          <w:tab w:leader="none" w:pos="560" w:val="left"/>
        </w:tabs>
        <w:rPr>
          <w:sz w:val="20"/>
          <w:szCs w:val="20"/>
          <w:color w:val="auto"/>
        </w:rPr>
      </w:pPr>
      <w:r>
        <w:rPr>
          <w:rFonts w:ascii="Times New Roman" w:cs="Times New Roman" w:eastAsia="Times New Roman" w:hAnsi="Times New Roman"/>
          <w:sz w:val="14"/>
          <w:szCs w:val="14"/>
          <w:b w:val="1"/>
          <w:bCs w:val="1"/>
          <w:color w:val="auto"/>
        </w:rPr>
        <w:t>Item 8.</w:t>
        <w:tab/>
        <w:t>Financial Statements and Supplementary Data</w:t>
      </w:r>
    </w:p>
    <w:p>
      <w:pPr>
        <w:spacing w:after="0" w:line="96" w:lineRule="exact"/>
        <w:rPr>
          <w:sz w:val="20"/>
          <w:szCs w:val="20"/>
          <w:color w:val="auto"/>
        </w:rPr>
      </w:pPr>
    </w:p>
    <w:p>
      <w:pPr>
        <w:ind w:right="180" w:firstLine="382"/>
        <w:spacing w:after="0" w:line="287" w:lineRule="auto"/>
        <w:rPr>
          <w:sz w:val="20"/>
          <w:szCs w:val="20"/>
          <w:color w:val="auto"/>
        </w:rPr>
      </w:pPr>
      <w:r>
        <w:rPr>
          <w:rFonts w:ascii="Times New Roman" w:cs="Times New Roman" w:eastAsia="Times New Roman" w:hAnsi="Times New Roman"/>
          <w:sz w:val="14"/>
          <w:szCs w:val="14"/>
          <w:color w:val="auto"/>
        </w:rPr>
        <w:t>The independent registered public accounting firm's report and our Consolidated Financial Statements listed in the accompanying index are included in Item 15 of this Report. See “Index to Financial Statements” on page F-1.</w:t>
      </w:r>
    </w:p>
    <w:p>
      <w:pPr>
        <w:spacing w:after="0" w:line="37" w:lineRule="exact"/>
        <w:rPr>
          <w:sz w:val="20"/>
          <w:szCs w:val="20"/>
          <w:color w:val="auto"/>
        </w:rPr>
      </w:pPr>
    </w:p>
    <w:p>
      <w:pPr>
        <w:spacing w:after="0"/>
        <w:tabs>
          <w:tab w:leader="none" w:pos="560" w:val="left"/>
        </w:tabs>
        <w:rPr>
          <w:sz w:val="20"/>
          <w:szCs w:val="20"/>
          <w:color w:val="auto"/>
        </w:rPr>
      </w:pPr>
      <w:r>
        <w:rPr>
          <w:rFonts w:ascii="Times New Roman" w:cs="Times New Roman" w:eastAsia="Times New Roman" w:hAnsi="Times New Roman"/>
          <w:sz w:val="14"/>
          <w:szCs w:val="14"/>
          <w:b w:val="1"/>
          <w:bCs w:val="1"/>
          <w:color w:val="auto"/>
        </w:rPr>
        <w:t>Item 9.</w:t>
        <w:tab/>
        <w:t>Changes in and Disagreements with Accountants on Accounting and Financial Disclosure.</w:t>
      </w:r>
    </w:p>
    <w:p>
      <w:pPr>
        <w:spacing w:after="0" w:line="96" w:lineRule="exact"/>
        <w:rPr>
          <w:sz w:val="20"/>
          <w:szCs w:val="20"/>
          <w:color w:val="auto"/>
        </w:rPr>
      </w:pPr>
    </w:p>
    <w:p>
      <w:pPr>
        <w:ind w:left="380"/>
        <w:spacing w:after="0"/>
        <w:rPr>
          <w:sz w:val="20"/>
          <w:szCs w:val="20"/>
          <w:color w:val="auto"/>
        </w:rPr>
      </w:pPr>
      <w:r>
        <w:rPr>
          <w:rFonts w:ascii="Times New Roman" w:cs="Times New Roman" w:eastAsia="Times New Roman" w:hAnsi="Times New Roman"/>
          <w:sz w:val="14"/>
          <w:szCs w:val="14"/>
          <w:color w:val="auto"/>
        </w:rPr>
        <w:t>None.</w:t>
      </w:r>
    </w:p>
    <w:p>
      <w:pPr>
        <w:spacing w:after="0" w:line="283" w:lineRule="exact"/>
        <w:rPr>
          <w:sz w:val="20"/>
          <w:szCs w:val="20"/>
          <w:color w:val="auto"/>
        </w:rPr>
      </w:pPr>
    </w:p>
    <w:p>
      <w:pPr>
        <w:spacing w:after="0"/>
        <w:tabs>
          <w:tab w:leader="none" w:pos="660" w:val="left"/>
        </w:tabs>
        <w:rPr>
          <w:sz w:val="20"/>
          <w:szCs w:val="20"/>
          <w:color w:val="auto"/>
        </w:rPr>
      </w:pPr>
      <w:r>
        <w:rPr>
          <w:rFonts w:ascii="Times New Roman" w:cs="Times New Roman" w:eastAsia="Times New Roman" w:hAnsi="Times New Roman"/>
          <w:sz w:val="14"/>
          <w:szCs w:val="14"/>
          <w:b w:val="1"/>
          <w:bCs w:val="1"/>
          <w:color w:val="auto"/>
        </w:rPr>
        <w:t>Item 9A.</w:t>
      </w:r>
      <w:r>
        <w:rPr>
          <w:sz w:val="20"/>
          <w:szCs w:val="20"/>
          <w:color w:val="auto"/>
        </w:rPr>
        <w:tab/>
      </w:r>
      <w:r>
        <w:rPr>
          <w:rFonts w:ascii="Times New Roman" w:cs="Times New Roman" w:eastAsia="Times New Roman" w:hAnsi="Times New Roman"/>
          <w:sz w:val="13"/>
          <w:szCs w:val="13"/>
          <w:b w:val="1"/>
          <w:bCs w:val="1"/>
          <w:color w:val="auto"/>
        </w:rPr>
        <w:t>Controls and Procedures.</w:t>
      </w:r>
    </w:p>
    <w:p>
      <w:pPr>
        <w:spacing w:after="0" w:line="94"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b w:val="1"/>
          <w:bCs w:val="1"/>
          <w:color w:val="auto"/>
        </w:rPr>
        <w:t>Evaluation of Disclosure Controls and Procedures</w:t>
      </w:r>
    </w:p>
    <w:p>
      <w:pPr>
        <w:spacing w:after="0" w:line="96" w:lineRule="exact"/>
        <w:rPr>
          <w:sz w:val="20"/>
          <w:szCs w:val="20"/>
          <w:color w:val="auto"/>
        </w:rPr>
      </w:pPr>
    </w:p>
    <w:p>
      <w:pPr>
        <w:ind w:firstLine="382"/>
        <w:spacing w:after="0" w:line="261" w:lineRule="auto"/>
        <w:rPr>
          <w:sz w:val="20"/>
          <w:szCs w:val="20"/>
          <w:color w:val="auto"/>
        </w:rPr>
      </w:pPr>
      <w:r>
        <w:rPr>
          <w:rFonts w:ascii="Times New Roman" w:cs="Times New Roman" w:eastAsia="Times New Roman" w:hAnsi="Times New Roman"/>
          <w:sz w:val="14"/>
          <w:szCs w:val="14"/>
          <w:color w:val="auto"/>
        </w:rPr>
        <w:t>We performed an evaluation of the effectiveness of the design and operation of our disclosure controls and procedures under the supervision and with the participation of our management, including our Chief Executive Officer and Chief Financial Officer, as of the end of the period covered by this report. Based on that evaluation, our management, including our Chief Executive Officer and Chief Financial Officer, has concluded that our disclosure controls and procedures were effective at the reasonable assurance level as of December 31, 2025 to ensure that information required to be disclosed by us in the reports we file or submit under the Exchange Act was (i) recorded, processed, summarized and reported within the time periods specified in the SEC’s rules and forms and (ii) accumulated and communicated to our management, including our Chief Executive Officer and Chief Financial Officer, to allow timely decisions regarding required disclosure.</w:t>
      </w:r>
    </w:p>
    <w:p>
      <w:pPr>
        <w:spacing w:after="0" w:line="58" w:lineRule="exact"/>
        <w:rPr>
          <w:sz w:val="20"/>
          <w:szCs w:val="20"/>
          <w:color w:val="auto"/>
        </w:rPr>
      </w:pPr>
    </w:p>
    <w:p>
      <w:pPr>
        <w:ind w:right="300" w:firstLine="382"/>
        <w:spacing w:after="0" w:line="287" w:lineRule="auto"/>
        <w:rPr>
          <w:sz w:val="20"/>
          <w:szCs w:val="20"/>
          <w:color w:val="auto"/>
        </w:rPr>
      </w:pPr>
      <w:r>
        <w:rPr>
          <w:rFonts w:ascii="Times New Roman" w:cs="Times New Roman" w:eastAsia="Times New Roman" w:hAnsi="Times New Roman"/>
          <w:sz w:val="14"/>
          <w:szCs w:val="14"/>
          <w:color w:val="auto"/>
        </w:rPr>
        <w:t>In designing and evaluating the disclosure controls and procedures, management recognized that any controls and procedures, no matter how well designed and operated, can provide only reasonable assurance of achieving the desired control objectives.</w:t>
      </w:r>
    </w:p>
    <w:p>
      <w:pPr>
        <w:spacing w:after="0" w:line="37"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b w:val="1"/>
          <w:bCs w:val="1"/>
          <w:color w:val="auto"/>
        </w:rPr>
        <w:t>Changes in Internal Control over Financial Reporting</w:t>
      </w:r>
    </w:p>
    <w:p>
      <w:pPr>
        <w:spacing w:after="0" w:line="96" w:lineRule="exact"/>
        <w:rPr>
          <w:sz w:val="20"/>
          <w:szCs w:val="20"/>
          <w:color w:val="auto"/>
        </w:rPr>
      </w:pPr>
    </w:p>
    <w:p>
      <w:pPr>
        <w:ind w:right="20" w:firstLine="382"/>
        <w:spacing w:after="0" w:line="287" w:lineRule="auto"/>
        <w:rPr>
          <w:sz w:val="20"/>
          <w:szCs w:val="20"/>
          <w:color w:val="auto"/>
        </w:rPr>
      </w:pPr>
      <w:r>
        <w:rPr>
          <w:rFonts w:ascii="Times New Roman" w:cs="Times New Roman" w:eastAsia="Times New Roman" w:hAnsi="Times New Roman"/>
          <w:sz w:val="14"/>
          <w:szCs w:val="14"/>
          <w:color w:val="auto"/>
        </w:rPr>
        <w:t>During the quarterly period ended December 31, 2025, there has been no change in our internal control over financial reporting that has materially affected, or is reasonably likely to materially affect, our internal control over financial reporting.</w:t>
      </w:r>
    </w:p>
    <w:p>
      <w:pPr>
        <w:spacing w:after="0" w:line="389"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4"/>
          <w:szCs w:val="14"/>
          <w:color w:val="auto"/>
        </w:rPr>
        <w:t>35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-8890</wp:posOffset>
            </wp:positionH>
            <wp:positionV relativeFrom="paragraph">
              <wp:posOffset>55880</wp:posOffset>
            </wp:positionV>
            <wp:extent cx="7186930" cy="38735"/>
            <wp:wrapNone/>
            <wp:docPr id="48" name="Picture 4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8"/>
                    <pic:cNvPicPr>
                      <a:picLocks noChangeAspect="1" noChangeArrowheads="1"/>
                    </pic:cNvPicPr>
                  </pic:nvPicPr>
                  <pic:blipFill>
                    <a:blip r:embed="rId55">
                      <a:extLst>
                        <a:ext uri="{28A0092B-C50C-407E-A947-70E740481C1C}"/>
                      </a:extLst>
                    </a:blip>
                    <a:srcRect/>
                    <a:stretch>
                      <a:fillRect/>
                    </a:stretch>
                  </pic:blipFill>
                  <pic:spPr bwMode="auto">
                    <a:xfrm>
                      <a:off x="0" y="0"/>
                      <a:ext cx="7186930" cy="38735"/>
                    </a:xfrm>
                    <a:prstGeom prst="rect">
                      <a:avLst/>
                    </a:prstGeom>
                    <a:noFill/>
                  </pic:spPr>
                </pic:pic>
              </a:graphicData>
            </a:graphic>
          </wp:anchor>
        </w:drawing>
      </w:r>
    </w:p>
    <w:p>
      <w:pPr>
        <w:sectPr>
          <w:pgSz w:w="11900" w:h="16838" w:orient="portrait"/>
          <w:cols w:equalWidth="0" w:num="1">
            <w:col w:w="11260"/>
          </w:cols>
          <w:pgMar w:left="300" w:top="814" w:right="339" w:bottom="1440" w:gutter="0" w:footer="0" w:header="0"/>
        </w:sectPr>
      </w:pPr>
    </w:p>
    <w:bookmarkStart w:id="37" w:name="page38"/>
    <w:bookmarkEnd w:id="37"/>
    <w:p>
      <w:pPr>
        <w:spacing w:after="0"/>
        <w:rPr>
          <w:sz w:val="20"/>
          <w:szCs w:val="20"/>
          <w:color w:val="auto"/>
        </w:rPr>
      </w:pPr>
      <w:r>
        <w:rPr>
          <w:rFonts w:ascii="Times New Roman" w:cs="Times New Roman" w:eastAsia="Times New Roman" w:hAnsi="Times New Roman"/>
          <w:sz w:val="14"/>
          <w:szCs w:val="14"/>
          <w:b w:val="1"/>
          <w:bCs w:val="1"/>
          <w:color w:val="auto"/>
        </w:rPr>
        <w:t>REPORT OF WESTWOOD HOLDINGS GROUP, INC.’S MANAGEMENT ASSESSMENT OF INTERNAL CONTROL OVER FINANCIAL REPORTING</w:t>
      </w:r>
    </w:p>
    <w:p>
      <w:pPr>
        <w:spacing w:after="0" w:line="96"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color w:val="auto"/>
        </w:rPr>
        <w:t>To the Board of Directors and Stockholders of</w:t>
      </w:r>
    </w:p>
    <w:p>
      <w:pPr>
        <w:spacing w:after="0" w:line="94" w:lineRule="exact"/>
        <w:rPr>
          <w:sz w:val="20"/>
          <w:szCs w:val="20"/>
          <w:color w:val="auto"/>
        </w:rPr>
      </w:pPr>
    </w:p>
    <w:p>
      <w:pPr>
        <w:ind w:left="360"/>
        <w:spacing w:after="0"/>
        <w:rPr>
          <w:sz w:val="20"/>
          <w:szCs w:val="20"/>
          <w:color w:val="auto"/>
        </w:rPr>
      </w:pPr>
      <w:r>
        <w:rPr>
          <w:rFonts w:ascii="Times New Roman" w:cs="Times New Roman" w:eastAsia="Times New Roman" w:hAnsi="Times New Roman"/>
          <w:sz w:val="14"/>
          <w:szCs w:val="14"/>
          <w:color w:val="auto"/>
        </w:rPr>
        <w:t>Westwood Holdings Group, Inc.:</w:t>
      </w:r>
    </w:p>
    <w:p>
      <w:pPr>
        <w:spacing w:after="0" w:line="94" w:lineRule="exact"/>
        <w:rPr>
          <w:sz w:val="20"/>
          <w:szCs w:val="20"/>
          <w:color w:val="auto"/>
        </w:rPr>
      </w:pPr>
    </w:p>
    <w:p>
      <w:pPr>
        <w:spacing w:after="0" w:line="270" w:lineRule="auto"/>
        <w:rPr>
          <w:sz w:val="20"/>
          <w:szCs w:val="20"/>
          <w:color w:val="auto"/>
        </w:rPr>
      </w:pPr>
      <w:r>
        <w:rPr>
          <w:rFonts w:ascii="Times New Roman" w:cs="Times New Roman" w:eastAsia="Times New Roman" w:hAnsi="Times New Roman"/>
          <w:sz w:val="14"/>
          <w:szCs w:val="14"/>
          <w:color w:val="auto"/>
        </w:rPr>
        <w:t>The management of Westwood Holdings Group, Inc. (“Westwood”) is responsible for establishing and maintaining adequate internal control over financial reporting (as defined in Exchange Act Rules 13a-15(f) and 15d-15(f)). Westwood’s internal control system was designed to provide reasonable assurance to the company’s management and Board of Directors regarding the preparation and fair presentation of published financial statements.</w:t>
      </w:r>
    </w:p>
    <w:p>
      <w:pPr>
        <w:spacing w:after="0" w:line="51" w:lineRule="exact"/>
        <w:rPr>
          <w:sz w:val="20"/>
          <w:szCs w:val="20"/>
          <w:color w:val="auto"/>
        </w:rPr>
      </w:pPr>
    </w:p>
    <w:p>
      <w:pPr>
        <w:jc w:val="both"/>
        <w:spacing w:after="0" w:line="270" w:lineRule="auto"/>
        <w:rPr>
          <w:sz w:val="20"/>
          <w:szCs w:val="20"/>
          <w:color w:val="auto"/>
        </w:rPr>
      </w:pPr>
      <w:r>
        <w:rPr>
          <w:rFonts w:ascii="Times New Roman" w:cs="Times New Roman" w:eastAsia="Times New Roman" w:hAnsi="Times New Roman"/>
          <w:sz w:val="14"/>
          <w:szCs w:val="14"/>
          <w:color w:val="auto"/>
        </w:rPr>
        <w:t>All internal control systems, no matter how well designed, contain inherent limitations. Therefore, even those systems determined to be effective can only provide reasonable assurance with respect to financial statement preparation and presentation. Also, projections of any evaluation of the effectiveness of the internal control over financial reporting to future periods are subject to the risk that the controls may become inadequate because of changes in conditions, or that the degree of compliance with the policies or procedures may deteriorate.</w:t>
      </w:r>
    </w:p>
    <w:p>
      <w:pPr>
        <w:spacing w:after="0" w:line="51" w:lineRule="exact"/>
        <w:rPr>
          <w:sz w:val="20"/>
          <w:szCs w:val="20"/>
          <w:color w:val="auto"/>
        </w:rPr>
      </w:pPr>
    </w:p>
    <w:p>
      <w:pPr>
        <w:ind w:right="100"/>
        <w:spacing w:after="0" w:line="270" w:lineRule="auto"/>
        <w:rPr>
          <w:sz w:val="20"/>
          <w:szCs w:val="20"/>
          <w:color w:val="auto"/>
        </w:rPr>
      </w:pPr>
      <w:r>
        <w:rPr>
          <w:rFonts w:ascii="Times New Roman" w:cs="Times New Roman" w:eastAsia="Times New Roman" w:hAnsi="Times New Roman"/>
          <w:sz w:val="14"/>
          <w:szCs w:val="14"/>
          <w:color w:val="auto"/>
        </w:rPr>
        <w:t xml:space="preserve">The management of Westwood assessed the effectiveness of Westwood’s internal control over financial reporting as of December 31, 2025. In making this assessment, it used the criteria set forth by the Committee of Sponsoring Organizations of the Treadway Commission (COSO) in the 2013 </w:t>
      </w:r>
      <w:r>
        <w:rPr>
          <w:rFonts w:ascii="Times New Roman" w:cs="Times New Roman" w:eastAsia="Times New Roman" w:hAnsi="Times New Roman"/>
          <w:sz w:val="14"/>
          <w:szCs w:val="14"/>
          <w:i w:val="1"/>
          <w:iCs w:val="1"/>
          <w:color w:val="auto"/>
        </w:rPr>
        <w:t>Internal Control — Integrated Framework.</w:t>
      </w:r>
      <w:r>
        <w:rPr>
          <w:rFonts w:ascii="Times New Roman" w:cs="Times New Roman" w:eastAsia="Times New Roman" w:hAnsi="Times New Roman"/>
          <w:sz w:val="14"/>
          <w:szCs w:val="14"/>
          <w:color w:val="auto"/>
        </w:rPr>
        <w:t xml:space="preserve"> Based on our assessment, we believe that, as of December 31, 2025, Westwood’s internal control over financial reporting is effective based on those criteria.</w:t>
      </w:r>
    </w:p>
    <w:p>
      <w:pPr>
        <w:spacing w:after="0" w:line="51"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color w:val="auto"/>
        </w:rPr>
        <w:t>Westwood is not required to, nor did it, engage an independent registered public accounting firm to issue an audit report on our assessment of Westwood's internal control over financial reporting.</w:t>
      </w:r>
    </w:p>
    <w:p>
      <w:pPr>
        <w:spacing w:after="0" w:line="242" w:lineRule="exact"/>
        <w:rPr>
          <w:sz w:val="20"/>
          <w:szCs w:val="20"/>
          <w:color w:val="auto"/>
        </w:rPr>
      </w:pPr>
    </w:p>
    <w:p>
      <w:pPr>
        <w:ind w:left="20"/>
        <w:spacing w:after="0"/>
        <w:tabs>
          <w:tab w:leader="none" w:pos="500" w:val="left"/>
        </w:tabs>
        <w:rPr>
          <w:sz w:val="20"/>
          <w:szCs w:val="20"/>
          <w:color w:val="auto"/>
        </w:rPr>
      </w:pPr>
      <w:r>
        <w:rPr>
          <w:rFonts w:ascii="Times New Roman" w:cs="Times New Roman" w:eastAsia="Times New Roman" w:hAnsi="Times New Roman"/>
          <w:sz w:val="14"/>
          <w:szCs w:val="14"/>
          <w:color w:val="auto"/>
        </w:rPr>
        <w:t>By:</w:t>
      </w:r>
      <w:r>
        <w:rPr>
          <w:sz w:val="20"/>
          <w:szCs w:val="20"/>
          <w:color w:val="auto"/>
        </w:rPr>
        <w:tab/>
      </w:r>
      <w:r>
        <w:rPr>
          <w:rFonts w:ascii="Times New Roman" w:cs="Times New Roman" w:eastAsia="Times New Roman" w:hAnsi="Times New Roman"/>
          <w:sz w:val="14"/>
          <w:szCs w:val="14"/>
          <w:color w:val="auto"/>
        </w:rPr>
        <w:t>/s/ Brian O. Casey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326390</wp:posOffset>
            </wp:positionH>
            <wp:positionV relativeFrom="paragraph">
              <wp:posOffset>14605</wp:posOffset>
            </wp:positionV>
            <wp:extent cx="3766185" cy="6985"/>
            <wp:wrapNone/>
            <wp:docPr id="49" name="Picture 4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9"/>
                    <pic:cNvPicPr>
                      <a:picLocks noChangeAspect="1" noChangeArrowheads="1"/>
                    </pic:cNvPicPr>
                  </pic:nvPicPr>
                  <pic:blipFill>
                    <a:blip r:embed="rId56">
                      <a:extLst>
                        <a:ext uri="{28A0092B-C50C-407E-A947-70E740481C1C}"/>
                      </a:extLst>
                    </a:blip>
                    <a:srcRect/>
                    <a:stretch>
                      <a:fillRect/>
                    </a:stretch>
                  </pic:blipFill>
                  <pic:spPr bwMode="auto">
                    <a:xfrm>
                      <a:off x="0" y="0"/>
                      <a:ext cx="3766185" cy="6985"/>
                    </a:xfrm>
                    <a:prstGeom prst="rect">
                      <a:avLst/>
                    </a:prstGeom>
                    <a:noFill/>
                  </pic:spPr>
                </pic:pic>
              </a:graphicData>
            </a:graphic>
          </wp:anchor>
        </w:drawing>
      </w:r>
    </w:p>
    <w:p>
      <w:pPr>
        <w:spacing w:after="0" w:line="10" w:lineRule="exact"/>
        <w:rPr>
          <w:sz w:val="20"/>
          <w:szCs w:val="20"/>
          <w:color w:val="auto"/>
        </w:rPr>
      </w:pPr>
    </w:p>
    <w:p>
      <w:pPr>
        <w:ind w:left="520"/>
        <w:spacing w:after="0"/>
        <w:rPr>
          <w:sz w:val="20"/>
          <w:szCs w:val="20"/>
          <w:color w:val="auto"/>
        </w:rPr>
      </w:pPr>
      <w:r>
        <w:rPr>
          <w:rFonts w:ascii="Times New Roman" w:cs="Times New Roman" w:eastAsia="Times New Roman" w:hAnsi="Times New Roman"/>
          <w:sz w:val="14"/>
          <w:szCs w:val="14"/>
          <w:color w:val="auto"/>
        </w:rPr>
        <w:t>Brian O. Casey, Chief Executive Officer</w:t>
      </w:r>
    </w:p>
    <w:p>
      <w:pPr>
        <w:spacing w:after="0" w:line="232" w:lineRule="exact"/>
        <w:rPr>
          <w:sz w:val="20"/>
          <w:szCs w:val="20"/>
          <w:color w:val="auto"/>
        </w:rPr>
      </w:pPr>
    </w:p>
    <w:p>
      <w:pPr>
        <w:ind w:left="520"/>
        <w:spacing w:after="0"/>
        <w:rPr>
          <w:sz w:val="20"/>
          <w:szCs w:val="20"/>
          <w:color w:val="auto"/>
        </w:rPr>
      </w:pPr>
      <w:r>
        <w:rPr>
          <w:rFonts w:ascii="Times New Roman" w:cs="Times New Roman" w:eastAsia="Times New Roman" w:hAnsi="Times New Roman"/>
          <w:sz w:val="14"/>
          <w:szCs w:val="14"/>
          <w:color w:val="auto"/>
        </w:rPr>
        <w:t>/s/ Murray Forbes III</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326390</wp:posOffset>
            </wp:positionH>
            <wp:positionV relativeFrom="paragraph">
              <wp:posOffset>14605</wp:posOffset>
            </wp:positionV>
            <wp:extent cx="3766185" cy="6985"/>
            <wp:wrapNone/>
            <wp:docPr id="50" name="Picture 5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0"/>
                    <pic:cNvPicPr>
                      <a:picLocks noChangeAspect="1" noChangeArrowheads="1"/>
                    </pic:cNvPicPr>
                  </pic:nvPicPr>
                  <pic:blipFill>
                    <a:blip r:embed="rId57">
                      <a:extLst>
                        <a:ext uri="{28A0092B-C50C-407E-A947-70E740481C1C}"/>
                      </a:extLst>
                    </a:blip>
                    <a:srcRect/>
                    <a:stretch>
                      <a:fillRect/>
                    </a:stretch>
                  </pic:blipFill>
                  <pic:spPr bwMode="auto">
                    <a:xfrm>
                      <a:off x="0" y="0"/>
                      <a:ext cx="3766185" cy="6985"/>
                    </a:xfrm>
                    <a:prstGeom prst="rect">
                      <a:avLst/>
                    </a:prstGeom>
                    <a:noFill/>
                  </pic:spPr>
                </pic:pic>
              </a:graphicData>
            </a:graphic>
          </wp:anchor>
        </w:drawing>
      </w:r>
    </w:p>
    <w:p>
      <w:pPr>
        <w:spacing w:after="0" w:line="10" w:lineRule="exact"/>
        <w:rPr>
          <w:sz w:val="20"/>
          <w:szCs w:val="20"/>
          <w:color w:val="auto"/>
        </w:rPr>
      </w:pPr>
    </w:p>
    <w:p>
      <w:pPr>
        <w:ind w:left="520"/>
        <w:spacing w:after="0"/>
        <w:rPr>
          <w:sz w:val="20"/>
          <w:szCs w:val="20"/>
          <w:color w:val="auto"/>
        </w:rPr>
      </w:pPr>
      <w:r>
        <w:rPr>
          <w:rFonts w:ascii="Times New Roman" w:cs="Times New Roman" w:eastAsia="Times New Roman" w:hAnsi="Times New Roman"/>
          <w:sz w:val="14"/>
          <w:szCs w:val="14"/>
          <w:color w:val="auto"/>
        </w:rPr>
        <w:t>Murray Forbes III, Chief Financial Officer &amp; Treasurer</w:t>
      </w:r>
    </w:p>
    <w:p>
      <w:pPr>
        <w:spacing w:after="0" w:line="253"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color w:val="auto"/>
        </w:rPr>
        <w:t>March 4, 2026</w:t>
      </w:r>
    </w:p>
    <w:p>
      <w:pPr>
        <w:spacing w:after="0" w:line="23"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color w:val="auto"/>
        </w:rPr>
        <w:t>Dallas, Texas</w:t>
      </w:r>
    </w:p>
    <w:p>
      <w:pPr>
        <w:spacing w:after="0" w:line="200" w:lineRule="exact"/>
        <w:rPr>
          <w:sz w:val="20"/>
          <w:szCs w:val="20"/>
          <w:color w:val="auto"/>
        </w:rPr>
      </w:pPr>
    </w:p>
    <w:p>
      <w:pPr>
        <w:spacing w:after="0" w:line="200" w:lineRule="exact"/>
        <w:rPr>
          <w:sz w:val="20"/>
          <w:szCs w:val="20"/>
          <w:color w:val="auto"/>
        </w:rPr>
      </w:pPr>
    </w:p>
    <w:p>
      <w:pPr>
        <w:spacing w:after="0" w:line="220"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4"/>
          <w:szCs w:val="14"/>
          <w:color w:val="auto"/>
        </w:rPr>
        <w:t>36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-8890</wp:posOffset>
            </wp:positionH>
            <wp:positionV relativeFrom="paragraph">
              <wp:posOffset>55880</wp:posOffset>
            </wp:positionV>
            <wp:extent cx="7186930" cy="38735"/>
            <wp:wrapNone/>
            <wp:docPr id="51" name="Picture 5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1"/>
                    <pic:cNvPicPr>
                      <a:picLocks noChangeAspect="1" noChangeArrowheads="1"/>
                    </pic:cNvPicPr>
                  </pic:nvPicPr>
                  <pic:blipFill>
                    <a:blip r:embed="rId58">
                      <a:extLst>
                        <a:ext uri="{28A0092B-C50C-407E-A947-70E740481C1C}"/>
                      </a:extLst>
                    </a:blip>
                    <a:srcRect/>
                    <a:stretch>
                      <a:fillRect/>
                    </a:stretch>
                  </pic:blipFill>
                  <pic:spPr bwMode="auto">
                    <a:xfrm>
                      <a:off x="0" y="0"/>
                      <a:ext cx="7186930" cy="38735"/>
                    </a:xfrm>
                    <a:prstGeom prst="rect">
                      <a:avLst/>
                    </a:prstGeom>
                    <a:noFill/>
                  </pic:spPr>
                </pic:pic>
              </a:graphicData>
            </a:graphic>
          </wp:anchor>
        </w:drawing>
      </w:r>
    </w:p>
    <w:p>
      <w:pPr>
        <w:sectPr>
          <w:pgSz w:w="11900" w:h="16838" w:orient="portrait"/>
          <w:cols w:equalWidth="0" w:num="1">
            <w:col w:w="11280"/>
          </w:cols>
          <w:pgMar w:left="300" w:top="897" w:right="319" w:bottom="1440" w:gutter="0" w:footer="0" w:header="0"/>
        </w:sectPr>
      </w:pPr>
    </w:p>
    <w:bookmarkStart w:id="38" w:name="page39"/>
    <w:bookmarkEnd w:id="38"/>
    <w:p>
      <w:pPr>
        <w:spacing w:after="0"/>
        <w:tabs>
          <w:tab w:leader="none" w:pos="640" w:val="left"/>
        </w:tabs>
        <w:rPr>
          <w:sz w:val="20"/>
          <w:szCs w:val="20"/>
          <w:color w:val="auto"/>
        </w:rPr>
      </w:pPr>
      <w:r>
        <w:rPr>
          <w:rFonts w:ascii="Times New Roman" w:cs="Times New Roman" w:eastAsia="Times New Roman" w:hAnsi="Times New Roman"/>
          <w:sz w:val="14"/>
          <w:szCs w:val="14"/>
          <w:b w:val="1"/>
          <w:bCs w:val="1"/>
          <w:color w:val="auto"/>
        </w:rPr>
        <w:t>Item 9B.</w:t>
        <w:tab/>
        <w:t>Other Information.</w:t>
      </w:r>
    </w:p>
    <w:p>
      <w:pPr>
        <w:spacing w:after="0" w:line="96" w:lineRule="exact"/>
        <w:rPr>
          <w:sz w:val="20"/>
          <w:szCs w:val="20"/>
          <w:color w:val="auto"/>
        </w:rPr>
      </w:pPr>
    </w:p>
    <w:p>
      <w:pPr>
        <w:ind w:right="460" w:firstLine="382"/>
        <w:spacing w:after="0" w:line="287" w:lineRule="auto"/>
        <w:rPr>
          <w:sz w:val="20"/>
          <w:szCs w:val="20"/>
          <w:color w:val="auto"/>
        </w:rPr>
      </w:pPr>
      <w:r>
        <w:rPr>
          <w:rFonts w:ascii="Times New Roman" w:cs="Times New Roman" w:eastAsia="Times New Roman" w:hAnsi="Times New Roman"/>
          <w:sz w:val="14"/>
          <w:szCs w:val="14"/>
          <w:color w:val="auto"/>
        </w:rPr>
        <w:t>During the quarter ended December 31, 2025, none of our directors or officers (as defined in Rule 16a-1(f) of the Exchange Act) adopted, terminated or modified a Rule 10b5-1 trading arrangement or non-Rule 10b5-1 trading arrangement (as such terms are defined in Item 408 of Regulation S-K).</w:t>
      </w:r>
    </w:p>
    <w:p>
      <w:pPr>
        <w:spacing w:after="0" w:line="165" w:lineRule="exact"/>
        <w:rPr>
          <w:sz w:val="20"/>
          <w:szCs w:val="20"/>
          <w:color w:val="auto"/>
        </w:rPr>
      </w:pPr>
    </w:p>
    <w:p>
      <w:pPr>
        <w:spacing w:after="0"/>
        <w:tabs>
          <w:tab w:leader="none" w:pos="660" w:val="left"/>
        </w:tabs>
        <w:rPr>
          <w:sz w:val="20"/>
          <w:szCs w:val="20"/>
          <w:color w:val="auto"/>
        </w:rPr>
      </w:pPr>
      <w:r>
        <w:rPr>
          <w:rFonts w:ascii="Times New Roman" w:cs="Times New Roman" w:eastAsia="Times New Roman" w:hAnsi="Times New Roman"/>
          <w:sz w:val="14"/>
          <w:szCs w:val="14"/>
          <w:b w:val="1"/>
          <w:bCs w:val="1"/>
          <w:color w:val="auto"/>
        </w:rPr>
        <w:t>Item 9C.</w:t>
        <w:tab/>
        <w:t>Disclosure Regarding Foreign Jurisdictions that Prevent Inspections</w:t>
      </w:r>
    </w:p>
    <w:p>
      <w:pPr>
        <w:spacing w:after="0" w:line="96" w:lineRule="exact"/>
        <w:rPr>
          <w:sz w:val="20"/>
          <w:szCs w:val="20"/>
          <w:color w:val="auto"/>
        </w:rPr>
      </w:pPr>
    </w:p>
    <w:p>
      <w:pPr>
        <w:ind w:left="380"/>
        <w:spacing w:after="0"/>
        <w:rPr>
          <w:sz w:val="20"/>
          <w:szCs w:val="20"/>
          <w:color w:val="auto"/>
        </w:rPr>
      </w:pPr>
      <w:r>
        <w:rPr>
          <w:rFonts w:ascii="Times New Roman" w:cs="Times New Roman" w:eastAsia="Times New Roman" w:hAnsi="Times New Roman"/>
          <w:sz w:val="14"/>
          <w:szCs w:val="14"/>
          <w:color w:val="auto"/>
        </w:rPr>
        <w:t>Not Applicable.</w:t>
      </w:r>
    </w:p>
    <w:p>
      <w:pPr>
        <w:spacing w:after="0" w:line="23"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4"/>
          <w:szCs w:val="14"/>
          <w:b w:val="1"/>
          <w:bCs w:val="1"/>
          <w:color w:val="auto"/>
        </w:rPr>
        <w:t>PART III</w:t>
      </w:r>
    </w:p>
    <w:p>
      <w:pPr>
        <w:spacing w:after="0" w:line="77" w:lineRule="exact"/>
        <w:rPr>
          <w:sz w:val="20"/>
          <w:szCs w:val="20"/>
          <w:color w:val="auto"/>
        </w:rPr>
      </w:pPr>
    </w:p>
    <w:p>
      <w:pPr>
        <w:spacing w:after="0"/>
        <w:tabs>
          <w:tab w:leader="none" w:pos="620" w:val="left"/>
        </w:tabs>
        <w:rPr>
          <w:sz w:val="20"/>
          <w:szCs w:val="20"/>
          <w:color w:val="auto"/>
        </w:rPr>
      </w:pPr>
      <w:r>
        <w:rPr>
          <w:rFonts w:ascii="Times New Roman" w:cs="Times New Roman" w:eastAsia="Times New Roman" w:hAnsi="Times New Roman"/>
          <w:sz w:val="14"/>
          <w:szCs w:val="14"/>
          <w:b w:val="1"/>
          <w:bCs w:val="1"/>
          <w:color w:val="auto"/>
        </w:rPr>
        <w:t>Item 10.</w:t>
        <w:tab/>
        <w:t>Directors, Executive Officers and Corporate Governance.</w:t>
      </w:r>
    </w:p>
    <w:p>
      <w:pPr>
        <w:spacing w:after="0" w:line="96" w:lineRule="exact"/>
        <w:rPr>
          <w:sz w:val="20"/>
          <w:szCs w:val="20"/>
          <w:color w:val="auto"/>
        </w:rPr>
      </w:pPr>
    </w:p>
    <w:p>
      <w:pPr>
        <w:ind w:firstLine="382"/>
        <w:spacing w:after="0" w:line="270" w:lineRule="auto"/>
        <w:rPr>
          <w:sz w:val="20"/>
          <w:szCs w:val="20"/>
          <w:color w:val="auto"/>
        </w:rPr>
      </w:pPr>
      <w:r>
        <w:rPr>
          <w:rFonts w:ascii="Times New Roman" w:cs="Times New Roman" w:eastAsia="Times New Roman" w:hAnsi="Times New Roman"/>
          <w:sz w:val="14"/>
          <w:szCs w:val="14"/>
          <w:color w:val="auto"/>
        </w:rPr>
        <w:t>The information required by this item is, or will be, set forth in the definitive proxy statement relating to the 2026 Annual Meeting of Stockholders of Westwood Holdings Group, Inc., which is to be filed with the SEC pursuant to Regulation 14A under the Exchange Act (the “Proxy Statement”). The Proxy Statement relates to a meeting of stockholders involving the election of directors, and the portions therefrom required to be set forth in this Report by this item are incorporated herein by reference pursuant to General Instruction G(3) to Form 10-K.</w:t>
      </w:r>
    </w:p>
    <w:p>
      <w:pPr>
        <w:spacing w:after="0" w:line="51" w:lineRule="exact"/>
        <w:rPr>
          <w:sz w:val="20"/>
          <w:szCs w:val="20"/>
          <w:color w:val="auto"/>
        </w:rPr>
      </w:pPr>
    </w:p>
    <w:p>
      <w:pPr>
        <w:ind w:right="80" w:firstLine="382"/>
        <w:spacing w:after="0" w:line="270" w:lineRule="auto"/>
        <w:rPr>
          <w:sz w:val="20"/>
          <w:szCs w:val="20"/>
          <w:color w:val="auto"/>
        </w:rPr>
      </w:pPr>
      <w:r>
        <w:rPr>
          <w:rFonts w:ascii="Times New Roman" w:cs="Times New Roman" w:eastAsia="Times New Roman" w:hAnsi="Times New Roman"/>
          <w:sz w:val="14"/>
          <w:szCs w:val="14"/>
          <w:color w:val="auto"/>
        </w:rPr>
        <w:t>The Company has adopted an insider trading policy governing the purchase, sale and other disposition of the Company’s securities by its directors, officers and employees, and by the Company itself. The Company believes this policy is reasonably designed to promote compliance with insider trading laws, rules and regulations, and New York Stock Exchange listing standards. A copy of the Westwood Holdings Group, Inc. Amended and Restated Insider Trading Policy is filed as Exhibit 19 to this Report.</w:t>
      </w:r>
    </w:p>
    <w:p>
      <w:pPr>
        <w:spacing w:after="0" w:line="49" w:lineRule="exact"/>
        <w:rPr>
          <w:sz w:val="20"/>
          <w:szCs w:val="20"/>
          <w:color w:val="auto"/>
        </w:rPr>
      </w:pPr>
    </w:p>
    <w:p>
      <w:pPr>
        <w:spacing w:after="0"/>
        <w:tabs>
          <w:tab w:leader="none" w:pos="620" w:val="left"/>
        </w:tabs>
        <w:rPr>
          <w:sz w:val="20"/>
          <w:szCs w:val="20"/>
          <w:color w:val="auto"/>
        </w:rPr>
      </w:pPr>
      <w:r>
        <w:rPr>
          <w:rFonts w:ascii="Times New Roman" w:cs="Times New Roman" w:eastAsia="Times New Roman" w:hAnsi="Times New Roman"/>
          <w:sz w:val="14"/>
          <w:szCs w:val="14"/>
          <w:b w:val="1"/>
          <w:bCs w:val="1"/>
          <w:color w:val="auto"/>
        </w:rPr>
        <w:t>Item 11.</w:t>
        <w:tab/>
        <w:t>Executive Compensation.</w:t>
      </w:r>
    </w:p>
    <w:p>
      <w:pPr>
        <w:spacing w:after="0" w:line="96" w:lineRule="exact"/>
        <w:rPr>
          <w:sz w:val="20"/>
          <w:szCs w:val="20"/>
          <w:color w:val="auto"/>
        </w:rPr>
      </w:pPr>
    </w:p>
    <w:p>
      <w:pPr>
        <w:ind w:right="400" w:firstLine="382"/>
        <w:spacing w:after="0" w:line="287" w:lineRule="auto"/>
        <w:rPr>
          <w:sz w:val="20"/>
          <w:szCs w:val="20"/>
          <w:color w:val="auto"/>
        </w:rPr>
      </w:pPr>
      <w:r>
        <w:rPr>
          <w:rFonts w:ascii="Times New Roman" w:cs="Times New Roman" w:eastAsia="Times New Roman" w:hAnsi="Times New Roman"/>
          <w:sz w:val="14"/>
          <w:szCs w:val="14"/>
          <w:color w:val="auto"/>
        </w:rPr>
        <w:t>The information required by this item is, or will be, set forth in the Proxy Statement. The Proxy Statement relates to a meeting of stockholders involving the election of directors, and the portions therefrom required to be set forth in this Report by this item are incorporated herein by reference pursuant to General Instruction G(3) to Form 10-K.</w:t>
      </w:r>
    </w:p>
    <w:p>
      <w:pPr>
        <w:spacing w:after="0" w:line="37" w:lineRule="exact"/>
        <w:rPr>
          <w:sz w:val="20"/>
          <w:szCs w:val="20"/>
          <w:color w:val="auto"/>
        </w:rPr>
      </w:pPr>
    </w:p>
    <w:p>
      <w:pPr>
        <w:spacing w:after="0"/>
        <w:tabs>
          <w:tab w:leader="none" w:pos="620" w:val="left"/>
        </w:tabs>
        <w:rPr>
          <w:sz w:val="20"/>
          <w:szCs w:val="20"/>
          <w:color w:val="auto"/>
        </w:rPr>
      </w:pPr>
      <w:r>
        <w:rPr>
          <w:rFonts w:ascii="Times New Roman" w:cs="Times New Roman" w:eastAsia="Times New Roman" w:hAnsi="Times New Roman"/>
          <w:sz w:val="14"/>
          <w:szCs w:val="14"/>
          <w:b w:val="1"/>
          <w:bCs w:val="1"/>
          <w:color w:val="auto"/>
        </w:rPr>
        <w:t>Item 12.</w:t>
        <w:tab/>
        <w:t>Security Ownership of Certain Beneficial Owners and Management and Related Stockholder Matters.</w:t>
      </w:r>
    </w:p>
    <w:p>
      <w:pPr>
        <w:spacing w:after="0" w:line="94"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b w:val="1"/>
          <w:bCs w:val="1"/>
          <w:color w:val="auto"/>
        </w:rPr>
        <w:t>Equity Compensation Plan Information</w:t>
      </w:r>
    </w:p>
    <w:p>
      <w:pPr>
        <w:spacing w:after="0" w:line="96" w:lineRule="exact"/>
        <w:rPr>
          <w:sz w:val="20"/>
          <w:szCs w:val="20"/>
          <w:color w:val="auto"/>
        </w:rPr>
      </w:pPr>
    </w:p>
    <w:p>
      <w:pPr>
        <w:jc w:val="both"/>
        <w:ind w:right="80" w:firstLine="382"/>
        <w:spacing w:after="0" w:line="270" w:lineRule="auto"/>
        <w:rPr>
          <w:sz w:val="20"/>
          <w:szCs w:val="20"/>
          <w:color w:val="auto"/>
        </w:rPr>
      </w:pPr>
      <w:r>
        <w:rPr>
          <w:rFonts w:ascii="Times New Roman" w:cs="Times New Roman" w:eastAsia="Times New Roman" w:hAnsi="Times New Roman"/>
          <w:sz w:val="14"/>
          <w:szCs w:val="14"/>
          <w:color w:val="auto"/>
        </w:rPr>
        <w:t xml:space="preserve">The following table provides information as of December 31, 2025 about shares of our common stock that may be issued upon the exercise of options, warrants and rights under our Eleventh Amended and Restated Westwood Holdings Group, Inc. Stock Incentive Plan, which is our only equity compensation plan in effect at that time. The material terms of this plan were approved by our stockholders and are discussed in Note 8 “Employee Benefits” to our Consolidated Financial Statements included in </w:t>
      </w:r>
      <w:r>
        <w:rPr>
          <w:rFonts w:ascii="Times New Roman" w:cs="Times New Roman" w:eastAsia="Times New Roman" w:hAnsi="Times New Roman"/>
          <w:sz w:val="14"/>
          <w:szCs w:val="14"/>
          <w:color w:val="222222"/>
        </w:rPr>
        <w:t>Part II. Item 8</w:t>
      </w:r>
      <w:r>
        <w:rPr>
          <w:rFonts w:ascii="Times New Roman" w:cs="Times New Roman" w:eastAsia="Times New Roman" w:hAnsi="Times New Roman"/>
          <w:sz w:val="14"/>
          <w:szCs w:val="14"/>
          <w:color w:val="auto"/>
        </w:rPr>
        <w:t xml:space="preserve"> “Financial Statements and Supplementary Data."</w:t>
      </w:r>
    </w:p>
    <w:p>
      <w:pPr>
        <w:spacing w:after="0" w:line="68" w:lineRule="exact"/>
        <w:rPr>
          <w:sz w:val="20"/>
          <w:szCs w:val="20"/>
          <w:color w:val="auto"/>
        </w:rPr>
      </w:pPr>
    </w:p>
    <w:tbl>
      <w:tblPr>
        <w:tblLayout w:type="fixed"/>
        <w:tblInd w:w="0" w:type="dxa"/>
        <w:tblCellMar>
          <w:top w:w="0" w:type="dxa"/>
          <w:left w:w="0" w:type="dxa"/>
          <w:bottom w:w="0" w:type="dxa"/>
          <w:right w:w="0" w:type="dxa"/>
        </w:tblCellMar>
      </w:tblPr>
      <w:tr>
        <w:trPr>
          <w:trHeight w:val="126"/>
        </w:trPr>
        <w:tc>
          <w:tcPr>
            <w:tcW w:w="544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170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300" w:type="dxa"/>
            <w:vAlign w:val="bottom"/>
          </w:tcPr>
          <w:p>
            <w:pPr>
              <w:spacing w:after="0"/>
              <w:rPr>
                <w:sz w:val="11"/>
                <w:szCs w:val="11"/>
                <w:color w:val="auto"/>
              </w:rPr>
            </w:pPr>
          </w:p>
        </w:tc>
        <w:tc>
          <w:tcPr>
            <w:tcW w:w="140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2120" w:type="dxa"/>
            <w:vAlign w:val="bottom"/>
            <w:gridSpan w:val="2"/>
          </w:tcPr>
          <w:p>
            <w:pPr>
              <w:jc w:val="center"/>
              <w:ind w:right="259"/>
              <w:spacing w:after="0"/>
              <w:rPr>
                <w:sz w:val="20"/>
                <w:szCs w:val="20"/>
                <w:color w:val="auto"/>
              </w:rPr>
            </w:pPr>
            <w:r>
              <w:rPr>
                <w:rFonts w:ascii="Times New Roman" w:cs="Times New Roman" w:eastAsia="Times New Roman" w:hAnsi="Times New Roman"/>
                <w:sz w:val="11"/>
                <w:szCs w:val="11"/>
                <w:b w:val="1"/>
                <w:bCs w:val="1"/>
                <w:color w:val="auto"/>
              </w:rPr>
              <w:t>Number of securities remaining</w:t>
            </w:r>
          </w:p>
        </w:tc>
        <w:tc>
          <w:tcPr>
            <w:tcW w:w="0" w:type="dxa"/>
            <w:vAlign w:val="bottom"/>
          </w:tcPr>
          <w:p>
            <w:pPr>
              <w:spacing w:after="0"/>
              <w:rPr>
                <w:sz w:val="1"/>
                <w:szCs w:val="1"/>
                <w:color w:val="auto"/>
              </w:rPr>
            </w:pPr>
          </w:p>
        </w:tc>
      </w:tr>
      <w:tr>
        <w:trPr>
          <w:trHeight w:val="115"/>
        </w:trPr>
        <w:tc>
          <w:tcPr>
            <w:tcW w:w="5440" w:type="dxa"/>
            <w:vAlign w:val="bottom"/>
          </w:tcPr>
          <w:p>
            <w:pPr>
              <w:spacing w:after="0"/>
              <w:rPr>
                <w:sz w:val="9"/>
                <w:szCs w:val="9"/>
                <w:color w:val="auto"/>
              </w:rPr>
            </w:pPr>
          </w:p>
        </w:tc>
        <w:tc>
          <w:tcPr>
            <w:tcW w:w="100" w:type="dxa"/>
            <w:vAlign w:val="bottom"/>
          </w:tcPr>
          <w:p>
            <w:pPr>
              <w:spacing w:after="0"/>
              <w:rPr>
                <w:sz w:val="9"/>
                <w:szCs w:val="9"/>
                <w:color w:val="auto"/>
              </w:rPr>
            </w:pPr>
          </w:p>
        </w:tc>
        <w:tc>
          <w:tcPr>
            <w:tcW w:w="1780" w:type="dxa"/>
            <w:vAlign w:val="bottom"/>
            <w:gridSpan w:val="2"/>
            <w:vMerge w:val="restart"/>
          </w:tcPr>
          <w:p>
            <w:pPr>
              <w:jc w:val="center"/>
              <w:ind w:right="100"/>
              <w:spacing w:after="0"/>
              <w:rPr>
                <w:sz w:val="20"/>
                <w:szCs w:val="20"/>
                <w:color w:val="auto"/>
              </w:rPr>
            </w:pPr>
            <w:r>
              <w:rPr>
                <w:rFonts w:ascii="Times New Roman" w:cs="Times New Roman" w:eastAsia="Times New Roman" w:hAnsi="Times New Roman"/>
                <w:sz w:val="11"/>
                <w:szCs w:val="11"/>
                <w:b w:val="1"/>
                <w:bCs w:val="1"/>
                <w:color w:val="auto"/>
              </w:rPr>
              <w:t>Number of securities to be issued</w:t>
            </w:r>
          </w:p>
        </w:tc>
        <w:tc>
          <w:tcPr>
            <w:tcW w:w="1800" w:type="dxa"/>
            <w:vAlign w:val="bottom"/>
            <w:gridSpan w:val="3"/>
            <w:vMerge w:val="restart"/>
          </w:tcPr>
          <w:p>
            <w:pPr>
              <w:jc w:val="center"/>
              <w:ind w:right="100"/>
              <w:spacing w:after="0"/>
              <w:rPr>
                <w:sz w:val="20"/>
                <w:szCs w:val="20"/>
                <w:color w:val="auto"/>
              </w:rPr>
            </w:pPr>
            <w:r>
              <w:rPr>
                <w:rFonts w:ascii="Times New Roman" w:cs="Times New Roman" w:eastAsia="Times New Roman" w:hAnsi="Times New Roman"/>
                <w:sz w:val="11"/>
                <w:szCs w:val="11"/>
                <w:b w:val="1"/>
                <w:bCs w:val="1"/>
                <w:color w:val="auto"/>
              </w:rPr>
              <w:t>Weighted- average exercise price</w:t>
            </w:r>
          </w:p>
        </w:tc>
        <w:tc>
          <w:tcPr>
            <w:tcW w:w="2120" w:type="dxa"/>
            <w:vAlign w:val="bottom"/>
            <w:gridSpan w:val="2"/>
          </w:tcPr>
          <w:p>
            <w:pPr>
              <w:jc w:val="center"/>
              <w:ind w:right="239"/>
              <w:spacing w:after="0" w:line="115" w:lineRule="exact"/>
              <w:rPr>
                <w:sz w:val="20"/>
                <w:szCs w:val="20"/>
                <w:color w:val="auto"/>
              </w:rPr>
            </w:pPr>
            <w:r>
              <w:rPr>
                <w:rFonts w:ascii="Times New Roman" w:cs="Times New Roman" w:eastAsia="Times New Roman" w:hAnsi="Times New Roman"/>
                <w:sz w:val="11"/>
                <w:szCs w:val="11"/>
                <w:b w:val="1"/>
                <w:bCs w:val="1"/>
                <w:color w:val="auto"/>
              </w:rPr>
              <w:t>available for future issuance under</w:t>
            </w:r>
          </w:p>
        </w:tc>
        <w:tc>
          <w:tcPr>
            <w:tcW w:w="0" w:type="dxa"/>
            <w:vAlign w:val="bottom"/>
          </w:tcPr>
          <w:p>
            <w:pPr>
              <w:spacing w:after="0"/>
              <w:rPr>
                <w:sz w:val="1"/>
                <w:szCs w:val="1"/>
                <w:color w:val="auto"/>
              </w:rPr>
            </w:pPr>
          </w:p>
        </w:tc>
      </w:tr>
      <w:tr>
        <w:trPr>
          <w:trHeight w:val="108"/>
        </w:trPr>
        <w:tc>
          <w:tcPr>
            <w:tcW w:w="5440" w:type="dxa"/>
            <w:vAlign w:val="bottom"/>
          </w:tcPr>
          <w:p>
            <w:pPr>
              <w:spacing w:after="0"/>
              <w:rPr>
                <w:sz w:val="9"/>
                <w:szCs w:val="9"/>
                <w:color w:val="auto"/>
              </w:rPr>
            </w:pPr>
          </w:p>
        </w:tc>
        <w:tc>
          <w:tcPr>
            <w:tcW w:w="100" w:type="dxa"/>
            <w:vAlign w:val="bottom"/>
          </w:tcPr>
          <w:p>
            <w:pPr>
              <w:spacing w:after="0"/>
              <w:rPr>
                <w:sz w:val="9"/>
                <w:szCs w:val="9"/>
                <w:color w:val="auto"/>
              </w:rPr>
            </w:pPr>
          </w:p>
        </w:tc>
        <w:tc>
          <w:tcPr>
            <w:tcW w:w="1780" w:type="dxa"/>
            <w:vAlign w:val="bottom"/>
            <w:gridSpan w:val="2"/>
            <w:vMerge w:val="continue"/>
          </w:tcPr>
          <w:p>
            <w:pPr>
              <w:spacing w:after="0"/>
              <w:rPr>
                <w:sz w:val="9"/>
                <w:szCs w:val="9"/>
                <w:color w:val="auto"/>
              </w:rPr>
            </w:pPr>
          </w:p>
        </w:tc>
        <w:tc>
          <w:tcPr>
            <w:tcW w:w="1800" w:type="dxa"/>
            <w:vAlign w:val="bottom"/>
            <w:gridSpan w:val="3"/>
            <w:vMerge w:val="continue"/>
          </w:tcPr>
          <w:p>
            <w:pPr>
              <w:spacing w:after="0"/>
              <w:rPr>
                <w:sz w:val="9"/>
                <w:szCs w:val="9"/>
                <w:color w:val="auto"/>
              </w:rPr>
            </w:pPr>
          </w:p>
        </w:tc>
        <w:tc>
          <w:tcPr>
            <w:tcW w:w="2120" w:type="dxa"/>
            <w:vAlign w:val="bottom"/>
            <w:gridSpan w:val="2"/>
          </w:tcPr>
          <w:p>
            <w:pPr>
              <w:jc w:val="center"/>
              <w:ind w:right="239"/>
              <w:spacing w:after="0" w:line="108" w:lineRule="exact"/>
              <w:rPr>
                <w:sz w:val="20"/>
                <w:szCs w:val="20"/>
                <w:color w:val="auto"/>
              </w:rPr>
            </w:pPr>
            <w:r>
              <w:rPr>
                <w:rFonts w:ascii="Times New Roman" w:cs="Times New Roman" w:eastAsia="Times New Roman" w:hAnsi="Times New Roman"/>
                <w:sz w:val="11"/>
                <w:szCs w:val="11"/>
                <w:b w:val="1"/>
                <w:bCs w:val="1"/>
                <w:color w:val="auto"/>
              </w:rPr>
              <w:t>equity compensation plans</w:t>
            </w:r>
          </w:p>
        </w:tc>
        <w:tc>
          <w:tcPr>
            <w:tcW w:w="0" w:type="dxa"/>
            <w:vAlign w:val="bottom"/>
          </w:tcPr>
          <w:p>
            <w:pPr>
              <w:spacing w:after="0"/>
              <w:rPr>
                <w:sz w:val="1"/>
                <w:szCs w:val="1"/>
                <w:color w:val="auto"/>
              </w:rPr>
            </w:pPr>
          </w:p>
        </w:tc>
      </w:tr>
      <w:tr>
        <w:trPr>
          <w:trHeight w:val="115"/>
        </w:trPr>
        <w:tc>
          <w:tcPr>
            <w:tcW w:w="5540" w:type="dxa"/>
            <w:vAlign w:val="bottom"/>
            <w:gridSpan w:val="2"/>
            <w:vMerge w:val="restart"/>
          </w:tcPr>
          <w:p>
            <w:pPr>
              <w:ind w:left="20"/>
              <w:spacing w:after="0"/>
              <w:rPr>
                <w:sz w:val="20"/>
                <w:szCs w:val="20"/>
                <w:color w:val="auto"/>
              </w:rPr>
            </w:pPr>
            <w:r>
              <w:rPr>
                <w:rFonts w:ascii="Times New Roman" w:cs="Times New Roman" w:eastAsia="Times New Roman" w:hAnsi="Times New Roman"/>
                <w:sz w:val="11"/>
                <w:szCs w:val="11"/>
                <w:b w:val="1"/>
                <w:bCs w:val="1"/>
                <w:color w:val="auto"/>
              </w:rPr>
              <w:t>Plan Category</w:t>
            </w:r>
          </w:p>
        </w:tc>
        <w:tc>
          <w:tcPr>
            <w:tcW w:w="1780" w:type="dxa"/>
            <w:vAlign w:val="bottom"/>
            <w:gridSpan w:val="2"/>
          </w:tcPr>
          <w:p>
            <w:pPr>
              <w:jc w:val="center"/>
              <w:ind w:right="100"/>
              <w:spacing w:after="0" w:line="115" w:lineRule="exact"/>
              <w:rPr>
                <w:sz w:val="20"/>
                <w:szCs w:val="20"/>
                <w:color w:val="auto"/>
              </w:rPr>
            </w:pPr>
            <w:r>
              <w:rPr>
                <w:rFonts w:ascii="Times New Roman" w:cs="Times New Roman" w:eastAsia="Times New Roman" w:hAnsi="Times New Roman"/>
                <w:sz w:val="11"/>
                <w:szCs w:val="11"/>
                <w:b w:val="1"/>
                <w:bCs w:val="1"/>
                <w:color w:val="auto"/>
              </w:rPr>
              <w:t>upon exercise of outstanding</w:t>
            </w:r>
          </w:p>
        </w:tc>
        <w:tc>
          <w:tcPr>
            <w:tcW w:w="1800" w:type="dxa"/>
            <w:vAlign w:val="bottom"/>
            <w:gridSpan w:val="3"/>
          </w:tcPr>
          <w:p>
            <w:pPr>
              <w:jc w:val="center"/>
              <w:ind w:right="100"/>
              <w:spacing w:after="0" w:line="115" w:lineRule="exact"/>
              <w:rPr>
                <w:sz w:val="20"/>
                <w:szCs w:val="20"/>
                <w:color w:val="auto"/>
              </w:rPr>
            </w:pPr>
            <w:r>
              <w:rPr>
                <w:rFonts w:ascii="Times New Roman" w:cs="Times New Roman" w:eastAsia="Times New Roman" w:hAnsi="Times New Roman"/>
                <w:sz w:val="11"/>
                <w:szCs w:val="11"/>
                <w:b w:val="1"/>
                <w:bCs w:val="1"/>
                <w:color w:val="auto"/>
              </w:rPr>
              <w:t>of outstanding options, warrants</w:t>
            </w:r>
          </w:p>
        </w:tc>
        <w:tc>
          <w:tcPr>
            <w:tcW w:w="2120" w:type="dxa"/>
            <w:vAlign w:val="bottom"/>
            <w:gridSpan w:val="2"/>
          </w:tcPr>
          <w:p>
            <w:pPr>
              <w:jc w:val="center"/>
              <w:ind w:right="259"/>
              <w:spacing w:after="0" w:line="115" w:lineRule="exact"/>
              <w:rPr>
                <w:sz w:val="20"/>
                <w:szCs w:val="20"/>
                <w:color w:val="auto"/>
              </w:rPr>
            </w:pPr>
            <w:r>
              <w:rPr>
                <w:rFonts w:ascii="Times New Roman" w:cs="Times New Roman" w:eastAsia="Times New Roman" w:hAnsi="Times New Roman"/>
                <w:sz w:val="11"/>
                <w:szCs w:val="11"/>
                <w:b w:val="1"/>
                <w:bCs w:val="1"/>
                <w:color w:val="auto"/>
              </w:rPr>
              <w:t>(excluding securities reflected in</w:t>
            </w:r>
          </w:p>
        </w:tc>
        <w:tc>
          <w:tcPr>
            <w:tcW w:w="0" w:type="dxa"/>
            <w:vAlign w:val="bottom"/>
          </w:tcPr>
          <w:p>
            <w:pPr>
              <w:spacing w:after="0"/>
              <w:rPr>
                <w:sz w:val="1"/>
                <w:szCs w:val="1"/>
                <w:color w:val="auto"/>
              </w:rPr>
            </w:pPr>
          </w:p>
        </w:tc>
      </w:tr>
      <w:tr>
        <w:trPr>
          <w:trHeight w:val="155"/>
        </w:trPr>
        <w:tc>
          <w:tcPr>
            <w:tcW w:w="5540" w:type="dxa"/>
            <w:vAlign w:val="bottom"/>
            <w:gridSpan w:val="2"/>
            <w:vMerge w:val="continue"/>
          </w:tcPr>
          <w:p>
            <w:pPr>
              <w:spacing w:after="0"/>
              <w:rPr>
                <w:sz w:val="13"/>
                <w:szCs w:val="13"/>
                <w:color w:val="auto"/>
              </w:rPr>
            </w:pPr>
          </w:p>
        </w:tc>
        <w:tc>
          <w:tcPr>
            <w:tcW w:w="1780" w:type="dxa"/>
            <w:vAlign w:val="bottom"/>
            <w:gridSpan w:val="2"/>
          </w:tcPr>
          <w:p>
            <w:pPr>
              <w:jc w:val="center"/>
              <w:ind w:right="100"/>
              <w:spacing w:after="0"/>
              <w:rPr>
                <w:sz w:val="20"/>
                <w:szCs w:val="20"/>
                <w:color w:val="auto"/>
              </w:rPr>
            </w:pPr>
            <w:r>
              <w:rPr>
                <w:rFonts w:ascii="Times New Roman" w:cs="Times New Roman" w:eastAsia="Times New Roman" w:hAnsi="Times New Roman"/>
                <w:sz w:val="11"/>
                <w:szCs w:val="11"/>
                <w:b w:val="1"/>
                <w:bCs w:val="1"/>
                <w:color w:val="auto"/>
              </w:rPr>
              <w:t>options, warrants and rights (a)</w:t>
            </w:r>
          </w:p>
        </w:tc>
        <w:tc>
          <w:tcPr>
            <w:tcW w:w="300" w:type="dxa"/>
            <w:vAlign w:val="bottom"/>
          </w:tcPr>
          <w:p>
            <w:pPr>
              <w:spacing w:after="0"/>
              <w:rPr>
                <w:sz w:val="13"/>
                <w:szCs w:val="13"/>
                <w:color w:val="auto"/>
              </w:rPr>
            </w:pPr>
          </w:p>
        </w:tc>
        <w:tc>
          <w:tcPr>
            <w:tcW w:w="1500" w:type="dxa"/>
            <w:vAlign w:val="bottom"/>
            <w:gridSpan w:val="2"/>
          </w:tcPr>
          <w:p>
            <w:pPr>
              <w:jc w:val="center"/>
              <w:ind w:right="400"/>
              <w:spacing w:after="0"/>
              <w:rPr>
                <w:sz w:val="20"/>
                <w:szCs w:val="20"/>
                <w:color w:val="auto"/>
              </w:rPr>
            </w:pPr>
            <w:r>
              <w:rPr>
                <w:rFonts w:ascii="Times New Roman" w:cs="Times New Roman" w:eastAsia="Times New Roman" w:hAnsi="Times New Roman"/>
                <w:sz w:val="11"/>
                <w:szCs w:val="11"/>
                <w:b w:val="1"/>
                <w:bCs w:val="1"/>
                <w:color w:val="auto"/>
              </w:rPr>
              <w:t>and rights (b)</w:t>
            </w:r>
          </w:p>
        </w:tc>
        <w:tc>
          <w:tcPr>
            <w:tcW w:w="2120" w:type="dxa"/>
            <w:vAlign w:val="bottom"/>
            <w:gridSpan w:val="2"/>
          </w:tcPr>
          <w:p>
            <w:pPr>
              <w:jc w:val="center"/>
              <w:ind w:right="259"/>
              <w:spacing w:after="0"/>
              <w:rPr>
                <w:sz w:val="20"/>
                <w:szCs w:val="20"/>
                <w:color w:val="auto"/>
              </w:rPr>
            </w:pPr>
            <w:r>
              <w:rPr>
                <w:rFonts w:ascii="Times New Roman" w:cs="Times New Roman" w:eastAsia="Times New Roman" w:hAnsi="Times New Roman"/>
                <w:sz w:val="11"/>
                <w:szCs w:val="11"/>
                <w:b w:val="1"/>
                <w:bCs w:val="1"/>
                <w:color w:val="auto"/>
              </w:rPr>
              <w:t>column (a)) (c)</w:t>
            </w:r>
          </w:p>
        </w:tc>
        <w:tc>
          <w:tcPr>
            <w:tcW w:w="0" w:type="dxa"/>
            <w:vAlign w:val="bottom"/>
          </w:tcPr>
          <w:p>
            <w:pPr>
              <w:spacing w:after="0"/>
              <w:rPr>
                <w:sz w:val="1"/>
                <w:szCs w:val="1"/>
                <w:color w:val="auto"/>
              </w:rPr>
            </w:pPr>
          </w:p>
        </w:tc>
      </w:tr>
      <w:tr>
        <w:trPr>
          <w:trHeight w:val="175"/>
        </w:trPr>
        <w:tc>
          <w:tcPr>
            <w:tcW w:w="5440" w:type="dxa"/>
            <w:vAlign w:val="bottom"/>
            <w:tcBorders>
              <w:top w:val="single" w:sz="8" w:color="auto"/>
            </w:tcBorders>
            <w:shd w:val="clear" w:color="auto" w:fill="CCEEFF"/>
          </w:tcPr>
          <w:p>
            <w:pPr>
              <w:ind w:left="20"/>
              <w:spacing w:after="0"/>
              <w:rPr>
                <w:sz w:val="20"/>
                <w:szCs w:val="20"/>
                <w:color w:val="auto"/>
              </w:rPr>
            </w:pPr>
            <w:r>
              <w:rPr>
                <w:rFonts w:ascii="Times New Roman" w:cs="Times New Roman" w:eastAsia="Times New Roman" w:hAnsi="Times New Roman"/>
                <w:sz w:val="14"/>
                <w:szCs w:val="14"/>
                <w:color w:val="auto"/>
              </w:rPr>
              <w:t>Equity compensation plans approved by security holders</w:t>
            </w:r>
          </w:p>
        </w:tc>
        <w:tc>
          <w:tcPr>
            <w:tcW w:w="100" w:type="dxa"/>
            <w:vAlign w:val="bottom"/>
            <w:tcBorders>
              <w:top w:val="single" w:sz="8" w:color="CCEEFF"/>
            </w:tcBorders>
            <w:shd w:val="clear" w:color="auto" w:fill="CCEEFF"/>
          </w:tcPr>
          <w:p>
            <w:pPr>
              <w:spacing w:after="0"/>
              <w:rPr>
                <w:sz w:val="15"/>
                <w:szCs w:val="15"/>
                <w:color w:val="auto"/>
              </w:rPr>
            </w:pPr>
          </w:p>
        </w:tc>
        <w:tc>
          <w:tcPr>
            <w:tcW w:w="1700" w:type="dxa"/>
            <w:vAlign w:val="bottom"/>
            <w:tcBorders>
              <w:top w:val="single" w:sz="8" w:color="auto"/>
            </w:tcBorders>
            <w:shd w:val="clear" w:color="auto" w:fill="CCEEFF"/>
          </w:tcPr>
          <w:p>
            <w:pPr>
              <w:ind w:left="1500"/>
              <w:spacing w:after="0"/>
              <w:rPr>
                <w:sz w:val="20"/>
                <w:szCs w:val="20"/>
                <w:color w:val="auto"/>
              </w:rPr>
            </w:pPr>
            <w:r>
              <w:rPr>
                <w:rFonts w:ascii="Times New Roman" w:cs="Times New Roman" w:eastAsia="Times New Roman" w:hAnsi="Times New Roman"/>
                <w:sz w:val="14"/>
                <w:szCs w:val="14"/>
                <w:color w:val="auto"/>
              </w:rPr>
              <w:t>—</w:t>
            </w:r>
          </w:p>
        </w:tc>
        <w:tc>
          <w:tcPr>
            <w:tcW w:w="80" w:type="dxa"/>
            <w:vAlign w:val="bottom"/>
            <w:tcBorders>
              <w:top w:val="single" w:sz="8" w:color="CCEEFF"/>
            </w:tcBorders>
            <w:shd w:val="clear" w:color="auto" w:fill="CCEEFF"/>
          </w:tcPr>
          <w:p>
            <w:pPr>
              <w:spacing w:after="0"/>
              <w:rPr>
                <w:sz w:val="15"/>
                <w:szCs w:val="15"/>
                <w:color w:val="auto"/>
              </w:rPr>
            </w:pPr>
          </w:p>
        </w:tc>
        <w:tc>
          <w:tcPr>
            <w:tcW w:w="300" w:type="dxa"/>
            <w:vAlign w:val="bottom"/>
            <w:tcBorders>
              <w:top w:val="single" w:sz="8" w:color="auto"/>
            </w:tcBorders>
            <w:shd w:val="clear" w:color="auto" w:fill="CCEEFF"/>
          </w:tcPr>
          <w:p>
            <w:pPr>
              <w:jc w:val="right"/>
              <w:ind w:right="139"/>
              <w:spacing w:after="0"/>
              <w:rPr>
                <w:sz w:val="20"/>
                <w:szCs w:val="20"/>
                <w:color w:val="auto"/>
              </w:rPr>
            </w:pPr>
            <w:r>
              <w:rPr>
                <w:rFonts w:ascii="Times New Roman" w:cs="Times New Roman" w:eastAsia="Times New Roman" w:hAnsi="Times New Roman"/>
                <w:sz w:val="14"/>
                <w:szCs w:val="14"/>
                <w:color w:val="auto"/>
              </w:rPr>
              <w:t>$</w:t>
            </w:r>
          </w:p>
        </w:tc>
        <w:tc>
          <w:tcPr>
            <w:tcW w:w="1400" w:type="dxa"/>
            <w:vAlign w:val="bottom"/>
            <w:tcBorders>
              <w:top w:val="single" w:sz="8" w:color="auto"/>
            </w:tcBorders>
            <w:shd w:val="clear" w:color="auto" w:fill="CCEEFF"/>
          </w:tcPr>
          <w:p>
            <w:pPr>
              <w:ind w:left="1200"/>
              <w:spacing w:after="0"/>
              <w:rPr>
                <w:sz w:val="20"/>
                <w:szCs w:val="20"/>
                <w:color w:val="auto"/>
              </w:rPr>
            </w:pPr>
            <w:r>
              <w:rPr>
                <w:rFonts w:ascii="Times New Roman" w:cs="Times New Roman" w:eastAsia="Times New Roman" w:hAnsi="Times New Roman"/>
                <w:sz w:val="14"/>
                <w:szCs w:val="14"/>
                <w:color w:val="auto"/>
              </w:rPr>
              <w:t>—</w:t>
            </w:r>
          </w:p>
        </w:tc>
        <w:tc>
          <w:tcPr>
            <w:tcW w:w="100" w:type="dxa"/>
            <w:vAlign w:val="bottom"/>
            <w:tcBorders>
              <w:top w:val="single" w:sz="8" w:color="CCEEFF"/>
            </w:tcBorders>
            <w:shd w:val="clear" w:color="auto" w:fill="CCEEFF"/>
          </w:tcPr>
          <w:p>
            <w:pPr>
              <w:spacing w:after="0"/>
              <w:rPr>
                <w:sz w:val="15"/>
                <w:szCs w:val="15"/>
                <w:color w:val="auto"/>
              </w:rPr>
            </w:pPr>
          </w:p>
        </w:tc>
        <w:tc>
          <w:tcPr>
            <w:tcW w:w="1820" w:type="dxa"/>
            <w:vAlign w:val="bottom"/>
            <w:tcBorders>
              <w:top w:val="single" w:sz="8" w:color="auto"/>
            </w:tcBorders>
            <w:shd w:val="clear" w:color="auto" w:fill="CCEEFF"/>
          </w:tcPr>
          <w:p>
            <w:pPr>
              <w:jc w:val="right"/>
              <w:ind w:right="1"/>
              <w:spacing w:after="0"/>
              <w:rPr>
                <w:sz w:val="20"/>
                <w:szCs w:val="20"/>
                <w:color w:val="auto"/>
              </w:rPr>
            </w:pPr>
            <w:r>
              <w:rPr>
                <w:rFonts w:ascii="Times New Roman" w:cs="Times New Roman" w:eastAsia="Times New Roman" w:hAnsi="Times New Roman"/>
                <w:sz w:val="14"/>
                <w:szCs w:val="14"/>
                <w:color w:val="auto"/>
              </w:rPr>
              <w:t>774,000</w:t>
            </w:r>
          </w:p>
        </w:tc>
        <w:tc>
          <w:tcPr>
            <w:tcW w:w="300" w:type="dxa"/>
            <w:vAlign w:val="bottom"/>
            <w:tcBorders>
              <w:top w:val="single" w:sz="8" w:color="CCEEFF"/>
            </w:tcBorders>
            <w:shd w:val="clear" w:color="auto" w:fill="CCEEFF"/>
          </w:tcPr>
          <w:p>
            <w:pPr>
              <w:jc w:val="right"/>
              <w:ind w:right="139"/>
              <w:spacing w:after="0"/>
              <w:rPr>
                <w:sz w:val="20"/>
                <w:szCs w:val="20"/>
                <w:color w:val="auto"/>
              </w:rPr>
            </w:pPr>
            <w:r>
              <w:rPr>
                <w:rFonts w:ascii="Times New Roman" w:cs="Times New Roman" w:eastAsia="Times New Roman" w:hAnsi="Times New Roman"/>
                <w:sz w:val="8"/>
                <w:szCs w:val="8"/>
                <w:color w:val="auto"/>
              </w:rPr>
              <w:t>(1)</w:t>
            </w:r>
          </w:p>
        </w:tc>
        <w:tc>
          <w:tcPr>
            <w:tcW w:w="0" w:type="dxa"/>
            <w:vAlign w:val="bottom"/>
          </w:tcPr>
          <w:p>
            <w:pPr>
              <w:spacing w:after="0"/>
              <w:rPr>
                <w:sz w:val="1"/>
                <w:szCs w:val="1"/>
                <w:color w:val="auto"/>
              </w:rPr>
            </w:pPr>
          </w:p>
        </w:tc>
      </w:tr>
    </w:tbl>
    <w:p>
      <w:pPr>
        <w:spacing w:after="0" w:line="142" w:lineRule="exact"/>
        <w:rPr>
          <w:sz w:val="20"/>
          <w:szCs w:val="20"/>
          <w:color w:val="auto"/>
        </w:rPr>
      </w:pPr>
    </w:p>
    <w:p>
      <w:pPr>
        <w:spacing w:after="0"/>
        <w:rPr>
          <w:sz w:val="20"/>
          <w:szCs w:val="20"/>
          <w:color w:val="auto"/>
        </w:rPr>
      </w:pPr>
      <w:r>
        <w:rPr>
          <w:rFonts w:ascii="Times New Roman" w:cs="Times New Roman" w:eastAsia="Times New Roman" w:hAnsi="Times New Roman"/>
          <w:sz w:val="11"/>
          <w:szCs w:val="11"/>
          <w:color w:val="auto"/>
        </w:rPr>
        <w:t>(1) 774,000 shares are available under our Eleventh Amended and Restated Stock Incentive Plan.</w:t>
      </w:r>
    </w:p>
    <w:p>
      <w:pPr>
        <w:spacing w:after="0" w:line="88" w:lineRule="exact"/>
        <w:rPr>
          <w:sz w:val="20"/>
          <w:szCs w:val="20"/>
          <w:color w:val="auto"/>
        </w:rPr>
      </w:pPr>
    </w:p>
    <w:p>
      <w:pPr>
        <w:ind w:right="60" w:firstLine="382"/>
        <w:spacing w:after="0" w:line="287" w:lineRule="auto"/>
        <w:rPr>
          <w:sz w:val="20"/>
          <w:szCs w:val="20"/>
          <w:color w:val="auto"/>
        </w:rPr>
      </w:pPr>
      <w:r>
        <w:rPr>
          <w:rFonts w:ascii="Times New Roman" w:cs="Times New Roman" w:eastAsia="Times New Roman" w:hAnsi="Times New Roman"/>
          <w:sz w:val="14"/>
          <w:szCs w:val="14"/>
          <w:color w:val="auto"/>
        </w:rPr>
        <w:t>The other information required by this item is, or will be, set forth in the Proxy Statement. The Proxy Statement relates to a meeting of stockholders involving the election of directors, and the portions therefrom required to be set forth in this Report by this item are incorporated herein by reference pursuant to General Instruction G(3) to Form 10-K.</w:t>
      </w:r>
    </w:p>
    <w:p>
      <w:pPr>
        <w:spacing w:after="0" w:line="165" w:lineRule="exact"/>
        <w:rPr>
          <w:sz w:val="20"/>
          <w:szCs w:val="20"/>
          <w:color w:val="auto"/>
        </w:rPr>
      </w:pPr>
    </w:p>
    <w:p>
      <w:pPr>
        <w:spacing w:after="0"/>
        <w:tabs>
          <w:tab w:leader="none" w:pos="620" w:val="left"/>
        </w:tabs>
        <w:rPr>
          <w:sz w:val="20"/>
          <w:szCs w:val="20"/>
          <w:color w:val="auto"/>
        </w:rPr>
      </w:pPr>
      <w:r>
        <w:rPr>
          <w:rFonts w:ascii="Times New Roman" w:cs="Times New Roman" w:eastAsia="Times New Roman" w:hAnsi="Times New Roman"/>
          <w:sz w:val="14"/>
          <w:szCs w:val="14"/>
          <w:b w:val="1"/>
          <w:bCs w:val="1"/>
          <w:color w:val="auto"/>
        </w:rPr>
        <w:t>Item 13.</w:t>
        <w:tab/>
        <w:t>Certain Relationships and Related Transactions, and Director Independence.</w:t>
      </w:r>
    </w:p>
    <w:p>
      <w:pPr>
        <w:spacing w:after="0" w:line="96" w:lineRule="exact"/>
        <w:rPr>
          <w:sz w:val="20"/>
          <w:szCs w:val="20"/>
          <w:color w:val="auto"/>
        </w:rPr>
      </w:pPr>
    </w:p>
    <w:p>
      <w:pPr>
        <w:ind w:right="400" w:firstLine="382"/>
        <w:spacing w:after="0" w:line="287" w:lineRule="auto"/>
        <w:rPr>
          <w:sz w:val="20"/>
          <w:szCs w:val="20"/>
          <w:color w:val="auto"/>
        </w:rPr>
      </w:pPr>
      <w:r>
        <w:rPr>
          <w:rFonts w:ascii="Times New Roman" w:cs="Times New Roman" w:eastAsia="Times New Roman" w:hAnsi="Times New Roman"/>
          <w:sz w:val="14"/>
          <w:szCs w:val="14"/>
          <w:color w:val="auto"/>
        </w:rPr>
        <w:t>The information required by this item is, or will be, set forth in the Proxy Statement. The Proxy Statement relates to a meeting of stockholders involving the election of directors, and the portions therefrom required to be set forth in this Report by this item are incorporated herein by reference.</w:t>
      </w:r>
    </w:p>
    <w:p>
      <w:pPr>
        <w:spacing w:after="0" w:line="165" w:lineRule="exact"/>
        <w:rPr>
          <w:sz w:val="20"/>
          <w:szCs w:val="20"/>
          <w:color w:val="auto"/>
        </w:rPr>
      </w:pPr>
    </w:p>
    <w:p>
      <w:pPr>
        <w:spacing w:after="0"/>
        <w:tabs>
          <w:tab w:leader="none" w:pos="620" w:val="left"/>
        </w:tabs>
        <w:rPr>
          <w:sz w:val="20"/>
          <w:szCs w:val="20"/>
          <w:color w:val="auto"/>
        </w:rPr>
      </w:pPr>
      <w:r>
        <w:rPr>
          <w:rFonts w:ascii="Times New Roman" w:cs="Times New Roman" w:eastAsia="Times New Roman" w:hAnsi="Times New Roman"/>
          <w:sz w:val="14"/>
          <w:szCs w:val="14"/>
          <w:b w:val="1"/>
          <w:bCs w:val="1"/>
          <w:color w:val="auto"/>
        </w:rPr>
        <w:t>Item 14.</w:t>
        <w:tab/>
        <w:t>Principal Accounting Fees and Services.</w:t>
      </w:r>
    </w:p>
    <w:p>
      <w:pPr>
        <w:spacing w:after="0" w:line="200" w:lineRule="exact"/>
        <w:rPr>
          <w:sz w:val="20"/>
          <w:szCs w:val="20"/>
          <w:color w:val="auto"/>
        </w:rPr>
      </w:pPr>
    </w:p>
    <w:p>
      <w:pPr>
        <w:spacing w:after="0" w:line="246"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4"/>
          <w:szCs w:val="14"/>
          <w:color w:val="auto"/>
        </w:rPr>
        <w:t>37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-8890</wp:posOffset>
            </wp:positionH>
            <wp:positionV relativeFrom="paragraph">
              <wp:posOffset>55880</wp:posOffset>
            </wp:positionV>
            <wp:extent cx="7186930" cy="38735"/>
            <wp:wrapNone/>
            <wp:docPr id="52" name="Picture 5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2"/>
                    <pic:cNvPicPr>
                      <a:picLocks noChangeAspect="1" noChangeArrowheads="1"/>
                    </pic:cNvPicPr>
                  </pic:nvPicPr>
                  <pic:blipFill>
                    <a:blip r:embed="rId59">
                      <a:extLst>
                        <a:ext uri="{28A0092B-C50C-407E-A947-70E740481C1C}"/>
                      </a:extLst>
                    </a:blip>
                    <a:srcRect/>
                    <a:stretch>
                      <a:fillRect/>
                    </a:stretch>
                  </pic:blipFill>
                  <pic:spPr bwMode="auto">
                    <a:xfrm>
                      <a:off x="0" y="0"/>
                      <a:ext cx="7186930" cy="38735"/>
                    </a:xfrm>
                    <a:prstGeom prst="rect">
                      <a:avLst/>
                    </a:prstGeom>
                    <a:noFill/>
                  </pic:spPr>
                </pic:pic>
              </a:graphicData>
            </a:graphic>
          </wp:anchor>
        </w:drawing>
      </w:r>
    </w:p>
    <w:p>
      <w:pPr>
        <w:sectPr>
          <w:pgSz w:w="11900" w:h="16838" w:orient="portrait"/>
          <w:cols w:equalWidth="0" w:num="1">
            <w:col w:w="11260"/>
          </w:cols>
          <w:pgMar w:left="300" w:top="812" w:right="339" w:bottom="1440" w:gutter="0" w:footer="0" w:header="0"/>
        </w:sectPr>
      </w:pPr>
    </w:p>
    <w:bookmarkStart w:id="39" w:name="page40"/>
    <w:bookmarkEnd w:id="39"/>
    <w:p>
      <w:pPr>
        <w:ind w:firstLine="382"/>
        <w:spacing w:after="0" w:line="287" w:lineRule="auto"/>
        <w:rPr>
          <w:sz w:val="20"/>
          <w:szCs w:val="20"/>
          <w:color w:val="auto"/>
        </w:rPr>
      </w:pPr>
      <w:r>
        <w:rPr>
          <w:rFonts w:ascii="Times New Roman" w:cs="Times New Roman" w:eastAsia="Times New Roman" w:hAnsi="Times New Roman"/>
          <w:sz w:val="14"/>
          <w:szCs w:val="14"/>
          <w:color w:val="auto"/>
        </w:rPr>
        <w:t>The information required by this item is, or will be, set forth in the Proxy Statement. The Proxy Statement relates to a meeting of stockholders involving the election of directors, and the portions therefrom required to be set forth in this Report by this item are incorporated herein by reference.</w:t>
      </w:r>
    </w:p>
    <w:p>
      <w:pPr>
        <w:spacing w:after="0" w:line="389" w:lineRule="exact"/>
        <w:rPr>
          <w:sz w:val="20"/>
          <w:szCs w:val="20"/>
          <w:color w:val="auto"/>
        </w:rPr>
      </w:pPr>
    </w:p>
    <w:p>
      <w:pPr>
        <w:jc w:val="center"/>
        <w:ind w:right="-419"/>
        <w:spacing w:after="0"/>
        <w:rPr>
          <w:sz w:val="20"/>
          <w:szCs w:val="20"/>
          <w:color w:val="auto"/>
        </w:rPr>
      </w:pPr>
      <w:r>
        <w:rPr>
          <w:rFonts w:ascii="Times New Roman" w:cs="Times New Roman" w:eastAsia="Times New Roman" w:hAnsi="Times New Roman"/>
          <w:sz w:val="14"/>
          <w:szCs w:val="14"/>
          <w:color w:val="auto"/>
        </w:rPr>
        <w:t>38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-8890</wp:posOffset>
            </wp:positionH>
            <wp:positionV relativeFrom="paragraph">
              <wp:posOffset>55880</wp:posOffset>
            </wp:positionV>
            <wp:extent cx="7186930" cy="38735"/>
            <wp:wrapNone/>
            <wp:docPr id="53" name="Picture 5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3"/>
                    <pic:cNvPicPr>
                      <a:picLocks noChangeAspect="1" noChangeArrowheads="1"/>
                    </pic:cNvPicPr>
                  </pic:nvPicPr>
                  <pic:blipFill>
                    <a:blip r:embed="rId60">
                      <a:extLst>
                        <a:ext uri="{28A0092B-C50C-407E-A947-70E740481C1C}"/>
                      </a:extLst>
                    </a:blip>
                    <a:srcRect/>
                    <a:stretch>
                      <a:fillRect/>
                    </a:stretch>
                  </pic:blipFill>
                  <pic:spPr bwMode="auto">
                    <a:xfrm>
                      <a:off x="0" y="0"/>
                      <a:ext cx="7186930" cy="38735"/>
                    </a:xfrm>
                    <a:prstGeom prst="rect">
                      <a:avLst/>
                    </a:prstGeom>
                    <a:noFill/>
                  </pic:spPr>
                </pic:pic>
              </a:graphicData>
            </a:graphic>
          </wp:anchor>
        </w:drawing>
      </w:r>
    </w:p>
    <w:p>
      <w:pPr>
        <w:sectPr>
          <w:pgSz w:w="11900" w:h="16838" w:orient="portrait"/>
          <w:cols w:equalWidth="0" w:num="1">
            <w:col w:w="10860"/>
          </w:cols>
          <w:pgMar w:left="300" w:top="814" w:right="739" w:bottom="1440" w:gutter="0" w:footer="0" w:header="0"/>
        </w:sectPr>
      </w:pPr>
    </w:p>
    <w:bookmarkStart w:id="40" w:name="page41"/>
    <w:bookmarkEnd w:id="40"/>
    <w:p>
      <w:pPr>
        <w:jc w:val="center"/>
        <w:ind w:right="-279"/>
        <w:spacing w:after="0"/>
        <w:rPr>
          <w:sz w:val="20"/>
          <w:szCs w:val="20"/>
          <w:color w:val="auto"/>
        </w:rPr>
      </w:pPr>
      <w:r>
        <w:rPr>
          <w:rFonts w:ascii="Times New Roman" w:cs="Times New Roman" w:eastAsia="Times New Roman" w:hAnsi="Times New Roman"/>
          <w:sz w:val="14"/>
          <w:szCs w:val="14"/>
          <w:b w:val="1"/>
          <w:bCs w:val="1"/>
          <w:color w:val="auto"/>
        </w:rPr>
        <w:t>PART IV</w:t>
      </w:r>
    </w:p>
    <w:p>
      <w:pPr>
        <w:spacing w:after="0" w:line="94" w:lineRule="exact"/>
        <w:rPr>
          <w:sz w:val="20"/>
          <w:szCs w:val="20"/>
          <w:color w:val="auto"/>
        </w:rPr>
      </w:pPr>
    </w:p>
    <w:p>
      <w:pPr>
        <w:spacing w:after="0"/>
        <w:tabs>
          <w:tab w:leader="none" w:pos="620" w:val="left"/>
        </w:tabs>
        <w:rPr>
          <w:sz w:val="20"/>
          <w:szCs w:val="20"/>
          <w:color w:val="auto"/>
        </w:rPr>
      </w:pPr>
      <w:r>
        <w:rPr>
          <w:rFonts w:ascii="Times New Roman" w:cs="Times New Roman" w:eastAsia="Times New Roman" w:hAnsi="Times New Roman"/>
          <w:sz w:val="14"/>
          <w:szCs w:val="14"/>
          <w:b w:val="1"/>
          <w:bCs w:val="1"/>
          <w:color w:val="auto"/>
        </w:rPr>
        <w:t>Item 15.</w:t>
        <w:tab/>
        <w:t>Exhibits, Financial Statement Schedules.</w:t>
      </w:r>
    </w:p>
    <w:p>
      <w:pPr>
        <w:spacing w:after="0" w:line="94"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b w:val="1"/>
          <w:bCs w:val="1"/>
          <w:color w:val="auto"/>
        </w:rPr>
        <w:t>Financial Statement Schedules</w:t>
      </w:r>
    </w:p>
    <w:p>
      <w:pPr>
        <w:spacing w:after="0" w:line="96" w:lineRule="exact"/>
        <w:rPr>
          <w:sz w:val="20"/>
          <w:szCs w:val="20"/>
          <w:color w:val="auto"/>
        </w:rPr>
      </w:pPr>
    </w:p>
    <w:p>
      <w:pPr>
        <w:ind w:firstLine="382"/>
        <w:spacing w:after="0" w:line="287" w:lineRule="auto"/>
        <w:rPr>
          <w:sz w:val="20"/>
          <w:szCs w:val="20"/>
          <w:color w:val="auto"/>
        </w:rPr>
      </w:pPr>
      <w:r>
        <w:rPr>
          <w:rFonts w:ascii="Times New Roman" w:cs="Times New Roman" w:eastAsia="Times New Roman" w:hAnsi="Times New Roman"/>
          <w:sz w:val="14"/>
          <w:szCs w:val="14"/>
          <w:color w:val="auto"/>
        </w:rPr>
        <w:t>The financial statements included in this Report are listed in the Index to Financial Statements on page 1 of this Report. Schedules for which provision is made in the applicable accounting regulations of the SEC are either not required under the related instructions or are not applicable.</w:t>
      </w:r>
    </w:p>
    <w:p>
      <w:pPr>
        <w:spacing w:after="0" w:line="37"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b w:val="1"/>
          <w:bCs w:val="1"/>
          <w:color w:val="auto"/>
        </w:rPr>
        <w:t>Exhibits</w:t>
      </w:r>
    </w:p>
    <w:p>
      <w:pPr>
        <w:spacing w:after="0" w:line="96" w:lineRule="exact"/>
        <w:rPr>
          <w:sz w:val="20"/>
          <w:szCs w:val="20"/>
          <w:color w:val="auto"/>
        </w:rPr>
      </w:pPr>
    </w:p>
    <w:p>
      <w:pPr>
        <w:ind w:left="380"/>
        <w:spacing w:after="0"/>
        <w:rPr>
          <w:sz w:val="20"/>
          <w:szCs w:val="20"/>
          <w:color w:val="auto"/>
        </w:rPr>
      </w:pPr>
      <w:r>
        <w:rPr>
          <w:rFonts w:ascii="Times New Roman" w:cs="Times New Roman" w:eastAsia="Times New Roman" w:hAnsi="Times New Roman"/>
          <w:sz w:val="14"/>
          <w:szCs w:val="14"/>
          <w:color w:val="auto"/>
        </w:rPr>
        <w:t>The exhibits required to be furnished pursuant to Item 15 are listed in the Index to Exhibits filed herewith, which Index to Exhibits is incorporated herein by reference.</w:t>
      </w:r>
    </w:p>
    <w:p>
      <w:pPr>
        <w:spacing w:after="0" w:line="200" w:lineRule="exact"/>
        <w:rPr>
          <w:sz w:val="20"/>
          <w:szCs w:val="20"/>
          <w:color w:val="auto"/>
        </w:rPr>
      </w:pPr>
    </w:p>
    <w:p>
      <w:pPr>
        <w:spacing w:after="0" w:line="244" w:lineRule="exact"/>
        <w:rPr>
          <w:sz w:val="20"/>
          <w:szCs w:val="20"/>
          <w:color w:val="auto"/>
        </w:rPr>
      </w:pPr>
    </w:p>
    <w:p>
      <w:pPr>
        <w:jc w:val="center"/>
        <w:ind w:right="-279"/>
        <w:spacing w:after="0"/>
        <w:rPr>
          <w:sz w:val="20"/>
          <w:szCs w:val="20"/>
          <w:color w:val="auto"/>
        </w:rPr>
      </w:pPr>
      <w:r>
        <w:rPr>
          <w:rFonts w:ascii="Times New Roman" w:cs="Times New Roman" w:eastAsia="Times New Roman" w:hAnsi="Times New Roman"/>
          <w:sz w:val="14"/>
          <w:szCs w:val="14"/>
          <w:color w:val="auto"/>
        </w:rPr>
        <w:t>39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-8890</wp:posOffset>
            </wp:positionH>
            <wp:positionV relativeFrom="paragraph">
              <wp:posOffset>55880</wp:posOffset>
            </wp:positionV>
            <wp:extent cx="7186930" cy="38735"/>
            <wp:wrapNone/>
            <wp:docPr id="54" name="Picture 5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4"/>
                    <pic:cNvPicPr>
                      <a:picLocks noChangeAspect="1" noChangeArrowheads="1"/>
                    </pic:cNvPicPr>
                  </pic:nvPicPr>
                  <pic:blipFill>
                    <a:blip r:embed="rId61">
                      <a:extLst>
                        <a:ext uri="{28A0092B-C50C-407E-A947-70E740481C1C}"/>
                      </a:extLst>
                    </a:blip>
                    <a:srcRect/>
                    <a:stretch>
                      <a:fillRect/>
                    </a:stretch>
                  </pic:blipFill>
                  <pic:spPr bwMode="auto">
                    <a:xfrm>
                      <a:off x="0" y="0"/>
                      <a:ext cx="7186930" cy="38735"/>
                    </a:xfrm>
                    <a:prstGeom prst="rect">
                      <a:avLst/>
                    </a:prstGeom>
                    <a:noFill/>
                  </pic:spPr>
                </pic:pic>
              </a:graphicData>
            </a:graphic>
          </wp:anchor>
        </w:drawing>
      </w:r>
    </w:p>
    <w:p>
      <w:pPr>
        <w:sectPr>
          <w:pgSz w:w="11900" w:h="16838" w:orient="portrait"/>
          <w:cols w:equalWidth="0" w:num="1">
            <w:col w:w="11000"/>
          </w:cols>
          <w:pgMar w:left="300" w:top="897" w:right="599" w:bottom="1440" w:gutter="0" w:footer="0" w:header="0"/>
        </w:sectPr>
      </w:pPr>
    </w:p>
    <w:bookmarkStart w:id="41" w:name="page42"/>
    <w:bookmarkEnd w:id="41"/>
    <w:p>
      <w:pPr>
        <w:jc w:val="center"/>
        <w:ind w:right="-139"/>
        <w:spacing w:after="0"/>
        <w:rPr>
          <w:sz w:val="20"/>
          <w:szCs w:val="20"/>
          <w:color w:val="auto"/>
        </w:rPr>
      </w:pPr>
      <w:r>
        <w:rPr>
          <w:rFonts w:ascii="Times New Roman" w:cs="Times New Roman" w:eastAsia="Times New Roman" w:hAnsi="Times New Roman"/>
          <w:sz w:val="14"/>
          <w:szCs w:val="14"/>
          <w:b w:val="1"/>
          <w:bCs w:val="1"/>
          <w:color w:val="auto"/>
        </w:rPr>
        <w:t>SIGNATURES</w:t>
      </w:r>
    </w:p>
    <w:p>
      <w:pPr>
        <w:spacing w:after="0" w:line="96" w:lineRule="exact"/>
        <w:rPr>
          <w:sz w:val="20"/>
          <w:szCs w:val="20"/>
          <w:color w:val="auto"/>
        </w:rPr>
      </w:pPr>
    </w:p>
    <w:p>
      <w:pPr>
        <w:ind w:right="60" w:firstLine="382"/>
        <w:spacing w:after="0" w:line="300" w:lineRule="auto"/>
        <w:rPr>
          <w:sz w:val="20"/>
          <w:szCs w:val="20"/>
          <w:color w:val="auto"/>
        </w:rPr>
      </w:pPr>
      <w:r>
        <w:rPr>
          <w:rFonts w:ascii="Times New Roman" w:cs="Times New Roman" w:eastAsia="Times New Roman" w:hAnsi="Times New Roman"/>
          <w:sz w:val="14"/>
          <w:szCs w:val="14"/>
          <w:color w:val="auto"/>
        </w:rPr>
        <w:t>Pursuant to the requirements of Section 13 or 15(d) of the Securities Exchange Act of 1934, the registrant has duly caused this report to be signed on its behalf by the undersigned, thereunto duly authorized.</w:t>
      </w:r>
    </w:p>
    <w:p>
      <w:pPr>
        <w:spacing w:after="0" w:line="1" w:lineRule="exact"/>
        <w:rPr>
          <w:sz w:val="20"/>
          <w:szCs w:val="20"/>
          <w:color w:val="auto"/>
        </w:rPr>
      </w:pPr>
    </w:p>
    <w:p>
      <w:pPr>
        <w:ind w:left="6020"/>
        <w:spacing w:after="0"/>
        <w:rPr>
          <w:sz w:val="20"/>
          <w:szCs w:val="20"/>
          <w:color w:val="auto"/>
        </w:rPr>
      </w:pPr>
      <w:r>
        <w:rPr>
          <w:rFonts w:ascii="Times New Roman" w:cs="Times New Roman" w:eastAsia="Times New Roman" w:hAnsi="Times New Roman"/>
          <w:sz w:val="14"/>
          <w:szCs w:val="14"/>
          <w:color w:val="auto"/>
        </w:rPr>
        <w:t>WESTWOOD HOLDINGS GROUP, INC.</w:t>
      </w:r>
    </w:p>
    <w:p>
      <w:pPr>
        <w:spacing w:after="0" w:line="232" w:lineRule="exact"/>
        <w:rPr>
          <w:sz w:val="20"/>
          <w:szCs w:val="20"/>
          <w:color w:val="auto"/>
        </w:rPr>
      </w:pPr>
    </w:p>
    <w:p>
      <w:pPr>
        <w:ind w:left="6020"/>
        <w:spacing w:after="0"/>
        <w:tabs>
          <w:tab w:leader="none" w:pos="6520" w:val="left"/>
        </w:tabs>
        <w:rPr>
          <w:sz w:val="20"/>
          <w:szCs w:val="20"/>
          <w:color w:val="auto"/>
        </w:rPr>
      </w:pPr>
      <w:r>
        <w:rPr>
          <w:rFonts w:ascii="Times New Roman" w:cs="Times New Roman" w:eastAsia="Times New Roman" w:hAnsi="Times New Roman"/>
          <w:sz w:val="14"/>
          <w:szCs w:val="14"/>
          <w:color w:val="auto"/>
        </w:rPr>
        <w:t>By:</w:t>
      </w:r>
      <w:r>
        <w:rPr>
          <w:sz w:val="20"/>
          <w:szCs w:val="20"/>
          <w:color w:val="auto"/>
        </w:rPr>
        <w:tab/>
      </w:r>
      <w:r>
        <w:rPr>
          <w:rFonts w:ascii="Times New Roman" w:cs="Times New Roman" w:eastAsia="Times New Roman" w:hAnsi="Times New Roman"/>
          <w:sz w:val="14"/>
          <w:szCs w:val="14"/>
          <w:color w:val="auto"/>
        </w:rPr>
        <w:t>/s/ Brian O. Casey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4146550</wp:posOffset>
            </wp:positionH>
            <wp:positionV relativeFrom="paragraph">
              <wp:posOffset>14605</wp:posOffset>
            </wp:positionV>
            <wp:extent cx="3004820" cy="6985"/>
            <wp:wrapNone/>
            <wp:docPr id="55" name="Picture 5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5"/>
                    <pic:cNvPicPr>
                      <a:picLocks noChangeAspect="1" noChangeArrowheads="1"/>
                    </pic:cNvPicPr>
                  </pic:nvPicPr>
                  <pic:blipFill>
                    <a:blip r:embed="rId62">
                      <a:extLst>
                        <a:ext uri="{28A0092B-C50C-407E-A947-70E740481C1C}"/>
                      </a:extLst>
                    </a:blip>
                    <a:srcRect/>
                    <a:stretch>
                      <a:fillRect/>
                    </a:stretch>
                  </pic:blipFill>
                  <pic:spPr bwMode="auto">
                    <a:xfrm>
                      <a:off x="0" y="0"/>
                      <a:ext cx="3004820" cy="6985"/>
                    </a:xfrm>
                    <a:prstGeom prst="rect">
                      <a:avLst/>
                    </a:prstGeom>
                    <a:noFill/>
                  </pic:spPr>
                </pic:pic>
              </a:graphicData>
            </a:graphic>
          </wp:anchor>
        </w:drawing>
      </w:r>
    </w:p>
    <w:p>
      <w:pPr>
        <w:spacing w:after="0" w:line="10" w:lineRule="exact"/>
        <w:rPr>
          <w:sz w:val="20"/>
          <w:szCs w:val="20"/>
          <w:color w:val="auto"/>
        </w:rPr>
      </w:pPr>
    </w:p>
    <w:p>
      <w:pPr>
        <w:ind w:left="6580"/>
        <w:spacing w:after="0"/>
        <w:rPr>
          <w:sz w:val="20"/>
          <w:szCs w:val="20"/>
          <w:color w:val="auto"/>
        </w:rPr>
      </w:pPr>
      <w:r>
        <w:rPr>
          <w:rFonts w:ascii="Times New Roman" w:cs="Times New Roman" w:eastAsia="Times New Roman" w:hAnsi="Times New Roman"/>
          <w:sz w:val="14"/>
          <w:szCs w:val="14"/>
          <w:color w:val="auto"/>
        </w:rPr>
        <w:t>Brian O. Casey</w:t>
      </w:r>
    </w:p>
    <w:p>
      <w:pPr>
        <w:spacing w:after="0" w:line="30" w:lineRule="exact"/>
        <w:rPr>
          <w:sz w:val="20"/>
          <w:szCs w:val="20"/>
          <w:color w:val="auto"/>
        </w:rPr>
      </w:pPr>
    </w:p>
    <w:p>
      <w:pPr>
        <w:ind w:left="6540"/>
        <w:spacing w:after="0"/>
        <w:rPr>
          <w:sz w:val="20"/>
          <w:szCs w:val="20"/>
          <w:color w:val="auto"/>
        </w:rPr>
      </w:pPr>
      <w:r>
        <w:rPr>
          <w:rFonts w:ascii="Times New Roman" w:cs="Times New Roman" w:eastAsia="Times New Roman" w:hAnsi="Times New Roman"/>
          <w:sz w:val="14"/>
          <w:szCs w:val="14"/>
          <w:color w:val="auto"/>
        </w:rPr>
        <w:t>Chief Executive Officer and Director</w:t>
      </w:r>
    </w:p>
    <w:p>
      <w:pPr>
        <w:spacing w:after="0" w:line="168"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color w:val="auto"/>
        </w:rPr>
        <w:t>Dated: March 4, 2026</w:t>
      </w:r>
    </w:p>
    <w:p>
      <w:pPr>
        <w:spacing w:after="0" w:line="92" w:lineRule="exact"/>
        <w:rPr>
          <w:sz w:val="20"/>
          <w:szCs w:val="20"/>
          <w:color w:val="auto"/>
        </w:rPr>
      </w:pPr>
    </w:p>
    <w:p>
      <w:pPr>
        <w:jc w:val="center"/>
        <w:ind w:right="-139"/>
        <w:spacing w:after="0"/>
        <w:rPr>
          <w:sz w:val="20"/>
          <w:szCs w:val="20"/>
          <w:color w:val="auto"/>
        </w:rPr>
      </w:pPr>
      <w:r>
        <w:rPr>
          <w:rFonts w:ascii="Times New Roman" w:cs="Times New Roman" w:eastAsia="Times New Roman" w:hAnsi="Times New Roman"/>
          <w:sz w:val="14"/>
          <w:szCs w:val="14"/>
          <w:b w:val="1"/>
          <w:bCs w:val="1"/>
          <w:color w:val="auto"/>
        </w:rPr>
        <w:t>POWER OF ATTORNEY</w:t>
      </w:r>
    </w:p>
    <w:p>
      <w:pPr>
        <w:spacing w:after="0" w:line="96" w:lineRule="exact"/>
        <w:rPr>
          <w:sz w:val="20"/>
          <w:szCs w:val="20"/>
          <w:color w:val="auto"/>
        </w:rPr>
      </w:pPr>
    </w:p>
    <w:p>
      <w:pPr>
        <w:ind w:firstLine="382"/>
        <w:spacing w:after="0" w:line="259" w:lineRule="auto"/>
        <w:rPr>
          <w:sz w:val="20"/>
          <w:szCs w:val="20"/>
          <w:color w:val="auto"/>
        </w:rPr>
      </w:pPr>
      <w:r>
        <w:rPr>
          <w:rFonts w:ascii="Times New Roman" w:cs="Times New Roman" w:eastAsia="Times New Roman" w:hAnsi="Times New Roman"/>
          <w:sz w:val="14"/>
          <w:szCs w:val="14"/>
          <w:color w:val="auto"/>
        </w:rPr>
        <w:t>KNOW ALL MEN BY THESE PRESENTS that each of Westwood Holdings Group, Inc., a Delaware corporation, and the undersigned directors and officers of Westwood Holdings Group, Inc. hereby constitutes and appoints Brian O. Casey its, his or her true and lawful attorney-in-fact and agent, for it, him or her and in its, his or her name, place and stead, in any and all capacities, with full power to act alone, to sign any and all amendments to this Report, and to file each such amendment to the Report, with all exhibits thereto, and any and all other documents in connection therewith, with the Securities and Exchange Commission, hereby granting unto said attorney-in-fact and agent full power and authority to do and perform any and all acts and things requisite and necessary to be done in and about the premises as fully to all intents and purposes as it, he or she might or could do in person, hereby ratifying and confirming all that said attorney-in-fact and agent may lawfully do or cause to be done by virtue hereof.</w:t>
      </w:r>
    </w:p>
    <w:p>
      <w:pPr>
        <w:spacing w:after="0" w:line="61" w:lineRule="exact"/>
        <w:rPr>
          <w:sz w:val="20"/>
          <w:szCs w:val="20"/>
          <w:color w:val="auto"/>
        </w:rPr>
      </w:pPr>
    </w:p>
    <w:p>
      <w:pPr>
        <w:ind w:right="160" w:firstLine="382"/>
        <w:spacing w:after="0" w:line="273" w:lineRule="auto"/>
        <w:rPr>
          <w:sz w:val="20"/>
          <w:szCs w:val="20"/>
          <w:color w:val="auto"/>
        </w:rPr>
      </w:pPr>
      <w:r>
        <w:rPr>
          <w:rFonts w:ascii="Times New Roman" w:cs="Times New Roman" w:eastAsia="Times New Roman" w:hAnsi="Times New Roman"/>
          <w:sz w:val="14"/>
          <w:szCs w:val="14"/>
          <w:color w:val="auto"/>
        </w:rPr>
        <w:t>Pursuant to the requirements of the Securities Exchange Act of 1934, this report has been signed below by the following persons on behalf of the registrant and in the capacities and on the dates indicated.</w:t>
      </w:r>
    </w:p>
    <w:p>
      <w:pPr>
        <w:spacing w:after="0" w:line="1" w:lineRule="exact"/>
        <w:rPr>
          <w:sz w:val="20"/>
          <w:szCs w:val="20"/>
          <w:color w:val="auto"/>
        </w:rPr>
      </w:pPr>
    </w:p>
    <w:p>
      <w:pPr>
        <w:ind w:left="2220"/>
        <w:spacing w:after="0"/>
        <w:tabs>
          <w:tab w:leader="none" w:pos="8200" w:val="left"/>
        </w:tabs>
        <w:rPr>
          <w:sz w:val="20"/>
          <w:szCs w:val="20"/>
          <w:color w:val="auto"/>
        </w:rPr>
      </w:pPr>
      <w:r>
        <w:rPr>
          <w:rFonts w:ascii="Times New Roman" w:cs="Times New Roman" w:eastAsia="Times New Roman" w:hAnsi="Times New Roman"/>
          <w:sz w:val="11"/>
          <w:szCs w:val="11"/>
          <w:b w:val="1"/>
          <w:bCs w:val="1"/>
          <w:color w:val="auto"/>
        </w:rPr>
        <w:t>Signatures</w:t>
      </w:r>
      <w:r>
        <w:rPr>
          <w:sz w:val="20"/>
          <w:szCs w:val="20"/>
          <w:color w:val="auto"/>
        </w:rPr>
        <w:tab/>
      </w:r>
      <w:r>
        <w:rPr>
          <w:rFonts w:ascii="Times New Roman" w:cs="Times New Roman" w:eastAsia="Times New Roman" w:hAnsi="Times New Roman"/>
          <w:sz w:val="11"/>
          <w:szCs w:val="11"/>
          <w:b w:val="1"/>
          <w:bCs w:val="1"/>
          <w:color w:val="auto"/>
        </w:rPr>
        <w:t>Title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26035</wp:posOffset>
            </wp:positionV>
            <wp:extent cx="7148195" cy="6985"/>
            <wp:wrapNone/>
            <wp:docPr id="56" name="Picture 5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6"/>
                    <pic:cNvPicPr>
                      <a:picLocks noChangeAspect="1" noChangeArrowheads="1"/>
                    </pic:cNvPicPr>
                  </pic:nvPicPr>
                  <pic:blipFill>
                    <a:blip r:embed="rId63">
                      <a:extLst>
                        <a:ext uri="{28A0092B-C50C-407E-A947-70E740481C1C}"/>
                      </a:extLst>
                    </a:blip>
                    <a:srcRect/>
                    <a:stretch>
                      <a:fillRect/>
                    </a:stretch>
                  </pic:blipFill>
                  <pic:spPr bwMode="auto">
                    <a:xfrm>
                      <a:off x="0" y="0"/>
                      <a:ext cx="7148195" cy="6985"/>
                    </a:xfrm>
                    <a:prstGeom prst="rect">
                      <a:avLst/>
                    </a:prstGeom>
                    <a:noFill/>
                  </pic:spPr>
                </pic:pic>
              </a:graphicData>
            </a:graphic>
          </wp:anchor>
        </w:drawing>
      </w:r>
    </w:p>
    <w:p>
      <w:pPr>
        <w:sectPr>
          <w:pgSz w:w="11900" w:h="16838" w:orient="portrait"/>
          <w:cols w:equalWidth="0" w:num="1">
            <w:col w:w="11140"/>
          </w:cols>
          <w:pgMar w:left="300" w:top="728" w:right="459" w:bottom="1440" w:gutter="0" w:footer="0" w:header="0"/>
        </w:sectPr>
      </w:pPr>
    </w:p>
    <w:p>
      <w:pPr>
        <w:spacing w:after="0" w:line="175" w:lineRule="exact"/>
        <w:rPr>
          <w:sz w:val="20"/>
          <w:szCs w:val="20"/>
          <w:color w:val="auto"/>
        </w:rPr>
      </w:pPr>
    </w:p>
    <w:p>
      <w:pPr>
        <w:jc w:val="center"/>
        <w:ind w:left="260"/>
        <w:spacing w:after="0"/>
        <w:rPr>
          <w:sz w:val="20"/>
          <w:szCs w:val="20"/>
          <w:color w:val="auto"/>
        </w:rPr>
      </w:pPr>
      <w:r>
        <w:rPr>
          <w:rFonts w:ascii="Times New Roman" w:cs="Times New Roman" w:eastAsia="Times New Roman" w:hAnsi="Times New Roman"/>
          <w:sz w:val="14"/>
          <w:szCs w:val="14"/>
          <w:color w:val="auto"/>
        </w:rPr>
        <w:t>/s/ Brian O. Casey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14605</wp:posOffset>
            </wp:positionV>
            <wp:extent cx="3146425" cy="6985"/>
            <wp:wrapNone/>
            <wp:docPr id="57" name="Picture 5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7"/>
                    <pic:cNvPicPr>
                      <a:picLocks noChangeAspect="1" noChangeArrowheads="1"/>
                    </pic:cNvPicPr>
                  </pic:nvPicPr>
                  <pic:blipFill>
                    <a:blip r:embed="rId64">
                      <a:extLst>
                        <a:ext uri="{28A0092B-C50C-407E-A947-70E740481C1C}"/>
                      </a:extLst>
                    </a:blip>
                    <a:srcRect/>
                    <a:stretch>
                      <a:fillRect/>
                    </a:stretch>
                  </pic:blipFill>
                  <pic:spPr bwMode="auto">
                    <a:xfrm>
                      <a:off x="0" y="0"/>
                      <a:ext cx="3146425" cy="6985"/>
                    </a:xfrm>
                    <a:prstGeom prst="rect">
                      <a:avLst/>
                    </a:prstGeom>
                    <a:noFill/>
                  </pic:spPr>
                </pic:pic>
              </a:graphicData>
            </a:graphic>
          </wp:anchor>
        </w:drawing>
      </w:r>
    </w:p>
    <w:p>
      <w:pPr>
        <w:spacing w:after="0" w:line="10" w:lineRule="exact"/>
        <w:rPr>
          <w:sz w:val="20"/>
          <w:szCs w:val="20"/>
          <w:color w:val="auto"/>
        </w:rPr>
      </w:pPr>
    </w:p>
    <w:p>
      <w:pPr>
        <w:jc w:val="center"/>
        <w:ind w:left="260"/>
        <w:spacing w:after="0"/>
        <w:rPr>
          <w:sz w:val="20"/>
          <w:szCs w:val="20"/>
          <w:color w:val="auto"/>
        </w:rPr>
      </w:pPr>
      <w:r>
        <w:rPr>
          <w:rFonts w:ascii="Times New Roman" w:cs="Times New Roman" w:eastAsia="Times New Roman" w:hAnsi="Times New Roman"/>
          <w:sz w:val="14"/>
          <w:szCs w:val="14"/>
          <w:color w:val="auto"/>
        </w:rPr>
        <w:t>Brian O. Casey</w:t>
      </w:r>
    </w:p>
    <w:p>
      <w:pPr>
        <w:spacing w:after="0" w:line="147" w:lineRule="exact"/>
        <w:rPr>
          <w:sz w:val="20"/>
          <w:szCs w:val="20"/>
          <w:color w:val="auto"/>
        </w:rPr>
      </w:pPr>
    </w:p>
    <w:p>
      <w:pPr>
        <w:jc w:val="center"/>
        <w:ind w:left="260"/>
        <w:spacing w:after="0"/>
        <w:rPr>
          <w:sz w:val="20"/>
          <w:szCs w:val="20"/>
          <w:color w:val="auto"/>
        </w:rPr>
      </w:pPr>
      <w:r>
        <w:rPr>
          <w:rFonts w:ascii="Times New Roman" w:cs="Times New Roman" w:eastAsia="Times New Roman" w:hAnsi="Times New Roman"/>
          <w:sz w:val="14"/>
          <w:szCs w:val="14"/>
          <w:color w:val="auto"/>
        </w:rPr>
        <w:t>/s/ Murray Forbes III</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14605</wp:posOffset>
            </wp:positionV>
            <wp:extent cx="3146425" cy="6985"/>
            <wp:wrapNone/>
            <wp:docPr id="58" name="Picture 5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8"/>
                    <pic:cNvPicPr>
                      <a:picLocks noChangeAspect="1" noChangeArrowheads="1"/>
                    </pic:cNvPicPr>
                  </pic:nvPicPr>
                  <pic:blipFill>
                    <a:blip r:embed="rId65">
                      <a:extLst>
                        <a:ext uri="{28A0092B-C50C-407E-A947-70E740481C1C}"/>
                      </a:extLst>
                    </a:blip>
                    <a:srcRect/>
                    <a:stretch>
                      <a:fillRect/>
                    </a:stretch>
                  </pic:blipFill>
                  <pic:spPr bwMode="auto">
                    <a:xfrm>
                      <a:off x="0" y="0"/>
                      <a:ext cx="3146425" cy="6985"/>
                    </a:xfrm>
                    <a:prstGeom prst="rect">
                      <a:avLst/>
                    </a:prstGeom>
                    <a:noFill/>
                  </pic:spPr>
                </pic:pic>
              </a:graphicData>
            </a:graphic>
          </wp:anchor>
        </w:drawing>
      </w:r>
    </w:p>
    <w:p>
      <w:pPr>
        <w:spacing w:after="0" w:line="10" w:lineRule="exact"/>
        <w:rPr>
          <w:sz w:val="20"/>
          <w:szCs w:val="20"/>
          <w:color w:val="auto"/>
        </w:rPr>
      </w:pPr>
    </w:p>
    <w:p>
      <w:pPr>
        <w:jc w:val="center"/>
        <w:ind w:left="260"/>
        <w:spacing w:after="0"/>
        <w:rPr>
          <w:sz w:val="20"/>
          <w:szCs w:val="20"/>
          <w:color w:val="auto"/>
        </w:rPr>
      </w:pPr>
      <w:r>
        <w:rPr>
          <w:rFonts w:ascii="Times New Roman" w:cs="Times New Roman" w:eastAsia="Times New Roman" w:hAnsi="Times New Roman"/>
          <w:sz w:val="14"/>
          <w:szCs w:val="14"/>
          <w:color w:val="auto"/>
        </w:rPr>
        <w:t>Murray Forbes III</w:t>
      </w:r>
    </w:p>
    <w:p>
      <w:pPr>
        <w:spacing w:after="0" w:line="147" w:lineRule="exact"/>
        <w:rPr>
          <w:sz w:val="20"/>
          <w:szCs w:val="20"/>
          <w:color w:val="auto"/>
        </w:rPr>
      </w:pPr>
    </w:p>
    <w:p>
      <w:pPr>
        <w:jc w:val="center"/>
        <w:ind w:left="260"/>
        <w:spacing w:after="0"/>
        <w:rPr>
          <w:sz w:val="20"/>
          <w:szCs w:val="20"/>
          <w:color w:val="auto"/>
        </w:rPr>
      </w:pPr>
      <w:r>
        <w:rPr>
          <w:rFonts w:ascii="Times New Roman" w:cs="Times New Roman" w:eastAsia="Times New Roman" w:hAnsi="Times New Roman"/>
          <w:sz w:val="14"/>
          <w:szCs w:val="14"/>
          <w:color w:val="auto"/>
        </w:rPr>
        <w:t>/s/ Randy A. Bowman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14605</wp:posOffset>
            </wp:positionV>
            <wp:extent cx="3146425" cy="6985"/>
            <wp:wrapNone/>
            <wp:docPr id="59" name="Picture 5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9"/>
                    <pic:cNvPicPr>
                      <a:picLocks noChangeAspect="1" noChangeArrowheads="1"/>
                    </pic:cNvPicPr>
                  </pic:nvPicPr>
                  <pic:blipFill>
                    <a:blip r:embed="rId66">
                      <a:extLst>
                        <a:ext uri="{28A0092B-C50C-407E-A947-70E740481C1C}"/>
                      </a:extLst>
                    </a:blip>
                    <a:srcRect/>
                    <a:stretch>
                      <a:fillRect/>
                    </a:stretch>
                  </pic:blipFill>
                  <pic:spPr bwMode="auto">
                    <a:xfrm>
                      <a:off x="0" y="0"/>
                      <a:ext cx="3146425" cy="6985"/>
                    </a:xfrm>
                    <a:prstGeom prst="rect">
                      <a:avLst/>
                    </a:prstGeom>
                    <a:noFill/>
                  </pic:spPr>
                </pic:pic>
              </a:graphicData>
            </a:graphic>
          </wp:anchor>
        </w:drawing>
      </w:r>
    </w:p>
    <w:p>
      <w:pPr>
        <w:spacing w:after="0" w:line="10" w:lineRule="exact"/>
        <w:rPr>
          <w:sz w:val="20"/>
          <w:szCs w:val="20"/>
          <w:color w:val="auto"/>
        </w:rPr>
      </w:pPr>
    </w:p>
    <w:p>
      <w:pPr>
        <w:jc w:val="center"/>
        <w:ind w:left="260"/>
        <w:spacing w:after="0"/>
        <w:rPr>
          <w:sz w:val="20"/>
          <w:szCs w:val="20"/>
          <w:color w:val="auto"/>
        </w:rPr>
      </w:pPr>
      <w:r>
        <w:rPr>
          <w:rFonts w:ascii="Times New Roman" w:cs="Times New Roman" w:eastAsia="Times New Roman" w:hAnsi="Times New Roman"/>
          <w:sz w:val="14"/>
          <w:szCs w:val="14"/>
          <w:color w:val="auto"/>
        </w:rPr>
        <w:t>Randy A. Bowman</w:t>
      </w:r>
    </w:p>
    <w:p>
      <w:pPr>
        <w:spacing w:after="0" w:line="147" w:lineRule="exact"/>
        <w:rPr>
          <w:sz w:val="20"/>
          <w:szCs w:val="20"/>
          <w:color w:val="auto"/>
        </w:rPr>
      </w:pPr>
    </w:p>
    <w:p>
      <w:pPr>
        <w:jc w:val="center"/>
        <w:ind w:left="260"/>
        <w:spacing w:after="0"/>
        <w:rPr>
          <w:sz w:val="20"/>
          <w:szCs w:val="20"/>
          <w:color w:val="auto"/>
        </w:rPr>
      </w:pPr>
      <w:r>
        <w:rPr>
          <w:rFonts w:ascii="Times New Roman" w:cs="Times New Roman" w:eastAsia="Times New Roman" w:hAnsi="Times New Roman"/>
          <w:sz w:val="14"/>
          <w:szCs w:val="14"/>
          <w:color w:val="auto"/>
        </w:rPr>
        <w:t>/s/ Ellen H. Masterson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14605</wp:posOffset>
            </wp:positionV>
            <wp:extent cx="3146425" cy="6985"/>
            <wp:wrapNone/>
            <wp:docPr id="60" name="Picture 6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0"/>
                    <pic:cNvPicPr>
                      <a:picLocks noChangeAspect="1" noChangeArrowheads="1"/>
                    </pic:cNvPicPr>
                  </pic:nvPicPr>
                  <pic:blipFill>
                    <a:blip r:embed="rId67">
                      <a:extLst>
                        <a:ext uri="{28A0092B-C50C-407E-A947-70E740481C1C}"/>
                      </a:extLst>
                    </a:blip>
                    <a:srcRect/>
                    <a:stretch>
                      <a:fillRect/>
                    </a:stretch>
                  </pic:blipFill>
                  <pic:spPr bwMode="auto">
                    <a:xfrm>
                      <a:off x="0" y="0"/>
                      <a:ext cx="3146425" cy="6985"/>
                    </a:xfrm>
                    <a:prstGeom prst="rect">
                      <a:avLst/>
                    </a:prstGeom>
                    <a:noFill/>
                  </pic:spPr>
                </pic:pic>
              </a:graphicData>
            </a:graphic>
          </wp:anchor>
        </w:drawing>
      </w:r>
    </w:p>
    <w:p>
      <w:pPr>
        <w:spacing w:after="0" w:line="10" w:lineRule="exact"/>
        <w:rPr>
          <w:sz w:val="20"/>
          <w:szCs w:val="20"/>
          <w:color w:val="auto"/>
        </w:rPr>
      </w:pPr>
    </w:p>
    <w:p>
      <w:pPr>
        <w:jc w:val="center"/>
        <w:ind w:left="260"/>
        <w:spacing w:after="0"/>
        <w:rPr>
          <w:sz w:val="20"/>
          <w:szCs w:val="20"/>
          <w:color w:val="auto"/>
        </w:rPr>
      </w:pPr>
      <w:r>
        <w:rPr>
          <w:rFonts w:ascii="Times New Roman" w:cs="Times New Roman" w:eastAsia="Times New Roman" w:hAnsi="Times New Roman"/>
          <w:sz w:val="14"/>
          <w:szCs w:val="14"/>
          <w:color w:val="auto"/>
        </w:rPr>
        <w:t>Ellen H. Masterson</w:t>
      </w:r>
    </w:p>
    <w:p>
      <w:pPr>
        <w:spacing w:after="0" w:line="147" w:lineRule="exact"/>
        <w:rPr>
          <w:sz w:val="20"/>
          <w:szCs w:val="20"/>
          <w:color w:val="auto"/>
        </w:rPr>
      </w:pPr>
    </w:p>
    <w:p>
      <w:pPr>
        <w:jc w:val="center"/>
        <w:ind w:left="260"/>
        <w:spacing w:after="0"/>
        <w:rPr>
          <w:sz w:val="20"/>
          <w:szCs w:val="20"/>
          <w:color w:val="auto"/>
        </w:rPr>
      </w:pPr>
      <w:r>
        <w:rPr>
          <w:rFonts w:ascii="Times New Roman" w:cs="Times New Roman" w:eastAsia="Times New Roman" w:hAnsi="Times New Roman"/>
          <w:sz w:val="14"/>
          <w:szCs w:val="14"/>
          <w:color w:val="auto"/>
        </w:rPr>
        <w:t>/s/ Geoffrey R. Norman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14605</wp:posOffset>
            </wp:positionV>
            <wp:extent cx="3146425" cy="6985"/>
            <wp:wrapNone/>
            <wp:docPr id="61" name="Picture 6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1"/>
                    <pic:cNvPicPr>
                      <a:picLocks noChangeAspect="1" noChangeArrowheads="1"/>
                    </pic:cNvPicPr>
                  </pic:nvPicPr>
                  <pic:blipFill>
                    <a:blip r:embed="rId68">
                      <a:extLst>
                        <a:ext uri="{28A0092B-C50C-407E-A947-70E740481C1C}"/>
                      </a:extLst>
                    </a:blip>
                    <a:srcRect/>
                    <a:stretch>
                      <a:fillRect/>
                    </a:stretch>
                  </pic:blipFill>
                  <pic:spPr bwMode="auto">
                    <a:xfrm>
                      <a:off x="0" y="0"/>
                      <a:ext cx="3146425" cy="6985"/>
                    </a:xfrm>
                    <a:prstGeom prst="rect">
                      <a:avLst/>
                    </a:prstGeom>
                    <a:noFill/>
                  </pic:spPr>
                </pic:pic>
              </a:graphicData>
            </a:graphic>
          </wp:anchor>
        </w:drawing>
      </w:r>
    </w:p>
    <w:p>
      <w:pPr>
        <w:spacing w:after="0" w:line="10" w:lineRule="exact"/>
        <w:rPr>
          <w:sz w:val="20"/>
          <w:szCs w:val="20"/>
          <w:color w:val="auto"/>
        </w:rPr>
      </w:pPr>
    </w:p>
    <w:p>
      <w:pPr>
        <w:jc w:val="center"/>
        <w:ind w:left="260"/>
        <w:spacing w:after="0"/>
        <w:rPr>
          <w:sz w:val="20"/>
          <w:szCs w:val="20"/>
          <w:color w:val="auto"/>
        </w:rPr>
      </w:pPr>
      <w:r>
        <w:rPr>
          <w:rFonts w:ascii="Times New Roman" w:cs="Times New Roman" w:eastAsia="Times New Roman" w:hAnsi="Times New Roman"/>
          <w:sz w:val="14"/>
          <w:szCs w:val="14"/>
          <w:color w:val="auto"/>
        </w:rPr>
        <w:t>Geoffrey R. Norman</w:t>
      </w:r>
    </w:p>
    <w:p>
      <w:pPr>
        <w:spacing w:after="0" w:line="147" w:lineRule="exact"/>
        <w:rPr>
          <w:sz w:val="20"/>
          <w:szCs w:val="20"/>
          <w:color w:val="auto"/>
        </w:rPr>
      </w:pPr>
    </w:p>
    <w:p>
      <w:pPr>
        <w:jc w:val="center"/>
        <w:ind w:left="260"/>
        <w:spacing w:after="0"/>
        <w:rPr>
          <w:sz w:val="20"/>
          <w:szCs w:val="20"/>
          <w:color w:val="auto"/>
        </w:rPr>
      </w:pPr>
      <w:r>
        <w:rPr>
          <w:rFonts w:ascii="Times New Roman" w:cs="Times New Roman" w:eastAsia="Times New Roman" w:hAnsi="Times New Roman"/>
          <w:sz w:val="14"/>
          <w:szCs w:val="14"/>
          <w:color w:val="auto"/>
        </w:rPr>
        <w:t>/s/ J. Hale Hoak</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14605</wp:posOffset>
            </wp:positionV>
            <wp:extent cx="3146425" cy="6985"/>
            <wp:wrapNone/>
            <wp:docPr id="62" name="Picture 6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2"/>
                    <pic:cNvPicPr>
                      <a:picLocks noChangeAspect="1" noChangeArrowheads="1"/>
                    </pic:cNvPicPr>
                  </pic:nvPicPr>
                  <pic:blipFill>
                    <a:blip r:embed="rId69">
                      <a:extLst>
                        <a:ext uri="{28A0092B-C50C-407E-A947-70E740481C1C}"/>
                      </a:extLst>
                    </a:blip>
                    <a:srcRect/>
                    <a:stretch>
                      <a:fillRect/>
                    </a:stretch>
                  </pic:blipFill>
                  <pic:spPr bwMode="auto">
                    <a:xfrm>
                      <a:off x="0" y="0"/>
                      <a:ext cx="3146425" cy="6985"/>
                    </a:xfrm>
                    <a:prstGeom prst="rect">
                      <a:avLst/>
                    </a:prstGeom>
                    <a:noFill/>
                  </pic:spPr>
                </pic:pic>
              </a:graphicData>
            </a:graphic>
          </wp:anchor>
        </w:drawing>
      </w:r>
    </w:p>
    <w:p>
      <w:pPr>
        <w:spacing w:after="0" w:line="10" w:lineRule="exact"/>
        <w:rPr>
          <w:sz w:val="20"/>
          <w:szCs w:val="20"/>
          <w:color w:val="auto"/>
        </w:rPr>
      </w:pPr>
    </w:p>
    <w:p>
      <w:pPr>
        <w:jc w:val="center"/>
        <w:ind w:left="260"/>
        <w:spacing w:after="0"/>
        <w:rPr>
          <w:sz w:val="20"/>
          <w:szCs w:val="20"/>
          <w:color w:val="auto"/>
        </w:rPr>
      </w:pPr>
      <w:r>
        <w:rPr>
          <w:rFonts w:ascii="Times New Roman" w:cs="Times New Roman" w:eastAsia="Times New Roman" w:hAnsi="Times New Roman"/>
          <w:sz w:val="14"/>
          <w:szCs w:val="14"/>
          <w:color w:val="auto"/>
        </w:rPr>
        <w:t>J. Hale Hoak</w:t>
      </w:r>
    </w:p>
    <w:p>
      <w:pPr>
        <w:spacing w:after="0" w:line="147" w:lineRule="exact"/>
        <w:rPr>
          <w:sz w:val="20"/>
          <w:szCs w:val="20"/>
          <w:color w:val="auto"/>
        </w:rPr>
      </w:pPr>
    </w:p>
    <w:p>
      <w:pPr>
        <w:jc w:val="center"/>
        <w:ind w:left="260"/>
        <w:spacing w:after="0"/>
        <w:rPr>
          <w:sz w:val="20"/>
          <w:szCs w:val="20"/>
          <w:color w:val="auto"/>
        </w:rPr>
      </w:pPr>
      <w:r>
        <w:rPr>
          <w:rFonts w:ascii="Times New Roman" w:cs="Times New Roman" w:eastAsia="Times New Roman" w:hAnsi="Times New Roman"/>
          <w:sz w:val="14"/>
          <w:szCs w:val="14"/>
          <w:color w:val="auto"/>
        </w:rPr>
        <w:t>/s/ Katherine A. Murray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14605</wp:posOffset>
            </wp:positionV>
            <wp:extent cx="3146425" cy="6985"/>
            <wp:wrapNone/>
            <wp:docPr id="63" name="Picture 6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3"/>
                    <pic:cNvPicPr>
                      <a:picLocks noChangeAspect="1" noChangeArrowheads="1"/>
                    </pic:cNvPicPr>
                  </pic:nvPicPr>
                  <pic:blipFill>
                    <a:blip r:embed="rId70">
                      <a:extLst>
                        <a:ext uri="{28A0092B-C50C-407E-A947-70E740481C1C}"/>
                      </a:extLst>
                    </a:blip>
                    <a:srcRect/>
                    <a:stretch>
                      <a:fillRect/>
                    </a:stretch>
                  </pic:blipFill>
                  <pic:spPr bwMode="auto">
                    <a:xfrm>
                      <a:off x="0" y="0"/>
                      <a:ext cx="3146425" cy="6985"/>
                    </a:xfrm>
                    <a:prstGeom prst="rect">
                      <a:avLst/>
                    </a:prstGeom>
                    <a:noFill/>
                  </pic:spPr>
                </pic:pic>
              </a:graphicData>
            </a:graphic>
          </wp:anchor>
        </w:drawing>
      </w:r>
    </w:p>
    <w:p>
      <w:pPr>
        <w:spacing w:after="0" w:line="10" w:lineRule="exact"/>
        <w:rPr>
          <w:sz w:val="20"/>
          <w:szCs w:val="20"/>
          <w:color w:val="auto"/>
        </w:rPr>
      </w:pPr>
    </w:p>
    <w:p>
      <w:pPr>
        <w:jc w:val="center"/>
        <w:ind w:left="260"/>
        <w:spacing w:after="0"/>
        <w:rPr>
          <w:sz w:val="20"/>
          <w:szCs w:val="20"/>
          <w:color w:val="auto"/>
        </w:rPr>
      </w:pPr>
      <w:r>
        <w:rPr>
          <w:rFonts w:ascii="Times New Roman" w:cs="Times New Roman" w:eastAsia="Times New Roman" w:hAnsi="Times New Roman"/>
          <w:sz w:val="14"/>
          <w:szCs w:val="14"/>
          <w:color w:val="auto"/>
        </w:rPr>
        <w:t>Katherine Murray</w:t>
      </w:r>
    </w:p>
    <w:p>
      <w:pPr>
        <w:spacing w:after="0" w:line="147" w:lineRule="exact"/>
        <w:rPr>
          <w:sz w:val="20"/>
          <w:szCs w:val="20"/>
          <w:color w:val="auto"/>
        </w:rPr>
      </w:pPr>
    </w:p>
    <w:p>
      <w:pPr>
        <w:jc w:val="center"/>
        <w:ind w:left="260"/>
        <w:spacing w:after="0"/>
        <w:rPr>
          <w:sz w:val="20"/>
          <w:szCs w:val="20"/>
          <w:color w:val="auto"/>
        </w:rPr>
      </w:pPr>
      <w:r>
        <w:rPr>
          <w:rFonts w:ascii="Times New Roman" w:cs="Times New Roman" w:eastAsia="Times New Roman" w:hAnsi="Times New Roman"/>
          <w:sz w:val="14"/>
          <w:szCs w:val="14"/>
          <w:color w:val="auto"/>
        </w:rPr>
        <w:t>/s/ Janice Ryan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14605</wp:posOffset>
            </wp:positionV>
            <wp:extent cx="3146425" cy="6985"/>
            <wp:wrapNone/>
            <wp:docPr id="64" name="Picture 6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4"/>
                    <pic:cNvPicPr>
                      <a:picLocks noChangeAspect="1" noChangeArrowheads="1"/>
                    </pic:cNvPicPr>
                  </pic:nvPicPr>
                  <pic:blipFill>
                    <a:blip r:embed="rId71">
                      <a:extLst>
                        <a:ext uri="{28A0092B-C50C-407E-A947-70E740481C1C}"/>
                      </a:extLst>
                    </a:blip>
                    <a:srcRect/>
                    <a:stretch>
                      <a:fillRect/>
                    </a:stretch>
                  </pic:blipFill>
                  <pic:spPr bwMode="auto">
                    <a:xfrm>
                      <a:off x="0" y="0"/>
                      <a:ext cx="3146425" cy="6985"/>
                    </a:xfrm>
                    <a:prstGeom prst="rect">
                      <a:avLst/>
                    </a:prstGeom>
                    <a:noFill/>
                  </pic:spPr>
                </pic:pic>
              </a:graphicData>
            </a:graphic>
          </wp:anchor>
        </w:drawing>
      </w:r>
    </w:p>
    <w:p>
      <w:pPr>
        <w:spacing w:after="0" w:line="10" w:lineRule="exact"/>
        <w:rPr>
          <w:sz w:val="20"/>
          <w:szCs w:val="20"/>
          <w:color w:val="auto"/>
        </w:rPr>
      </w:pPr>
    </w:p>
    <w:p>
      <w:pPr>
        <w:jc w:val="center"/>
        <w:ind w:left="260"/>
        <w:spacing w:after="0"/>
        <w:rPr>
          <w:sz w:val="20"/>
          <w:szCs w:val="20"/>
          <w:color w:val="auto"/>
        </w:rPr>
      </w:pPr>
      <w:r>
        <w:rPr>
          <w:rFonts w:ascii="Times New Roman" w:cs="Times New Roman" w:eastAsia="Times New Roman" w:hAnsi="Times New Roman"/>
          <w:sz w:val="14"/>
          <w:szCs w:val="14"/>
          <w:color w:val="auto"/>
        </w:rPr>
        <w:t>Janice Ryan</w:t>
      </w:r>
    </w:p>
    <w:p>
      <w:pPr>
        <w:spacing w:after="0" w:line="20" w:lineRule="exact"/>
        <w:rPr>
          <w:sz w:val="20"/>
          <w:szCs w:val="20"/>
          <w:color w:val="auto"/>
        </w:rPr>
      </w:pPr>
      <w:r>
        <w:rPr>
          <w:sz w:val="20"/>
          <w:szCs w:val="20"/>
          <w:color w:val="auto"/>
        </w:rPr>
        <w:br w:type="column"/>
      </w:r>
    </w:p>
    <w:p>
      <w:pPr>
        <w:spacing w:after="0" w:line="155"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color w:val="auto"/>
        </w:rPr>
        <w:t>Chief Executive Officer and Director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-8890</wp:posOffset>
            </wp:positionH>
            <wp:positionV relativeFrom="paragraph">
              <wp:posOffset>14605</wp:posOffset>
            </wp:positionV>
            <wp:extent cx="3719195" cy="6985"/>
            <wp:wrapNone/>
            <wp:docPr id="65" name="Picture 6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5"/>
                    <pic:cNvPicPr>
                      <a:picLocks noChangeAspect="1" noChangeArrowheads="1"/>
                    </pic:cNvPicPr>
                  </pic:nvPicPr>
                  <pic:blipFill>
                    <a:blip r:embed="rId72">
                      <a:extLst>
                        <a:ext uri="{28A0092B-C50C-407E-A947-70E740481C1C}"/>
                      </a:extLst>
                    </a:blip>
                    <a:srcRect/>
                    <a:stretch>
                      <a:fillRect/>
                    </a:stretch>
                  </pic:blipFill>
                  <pic:spPr bwMode="auto">
                    <a:xfrm>
                      <a:off x="0" y="0"/>
                      <a:ext cx="3719195" cy="6985"/>
                    </a:xfrm>
                    <a:prstGeom prst="rect">
                      <a:avLst/>
                    </a:prstGeom>
                    <a:noFill/>
                  </pic:spPr>
                </pic:pic>
              </a:graphicData>
            </a:graphic>
          </wp:anchor>
        </w:drawing>
      </w:r>
    </w:p>
    <w:p>
      <w:pPr>
        <w:spacing w:after="0" w:line="10"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color w:val="auto"/>
        </w:rPr>
        <w:t>(Principal Executive Officer)</w:t>
      </w:r>
    </w:p>
    <w:p>
      <w:pPr>
        <w:spacing w:after="0" w:line="147"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color w:val="auto"/>
        </w:rPr>
        <w:t>Chief Financial Officer and Treasurer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-8890</wp:posOffset>
            </wp:positionH>
            <wp:positionV relativeFrom="paragraph">
              <wp:posOffset>14605</wp:posOffset>
            </wp:positionV>
            <wp:extent cx="3719195" cy="6985"/>
            <wp:wrapNone/>
            <wp:docPr id="66" name="Picture 6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6"/>
                    <pic:cNvPicPr>
                      <a:picLocks noChangeAspect="1" noChangeArrowheads="1"/>
                    </pic:cNvPicPr>
                  </pic:nvPicPr>
                  <pic:blipFill>
                    <a:blip r:embed="rId73">
                      <a:extLst>
                        <a:ext uri="{28A0092B-C50C-407E-A947-70E740481C1C}"/>
                      </a:extLst>
                    </a:blip>
                    <a:srcRect/>
                    <a:stretch>
                      <a:fillRect/>
                    </a:stretch>
                  </pic:blipFill>
                  <pic:spPr bwMode="auto">
                    <a:xfrm>
                      <a:off x="0" y="0"/>
                      <a:ext cx="3719195" cy="6985"/>
                    </a:xfrm>
                    <a:prstGeom prst="rect">
                      <a:avLst/>
                    </a:prstGeom>
                    <a:noFill/>
                  </pic:spPr>
                </pic:pic>
              </a:graphicData>
            </a:graphic>
          </wp:anchor>
        </w:drawing>
      </w:r>
    </w:p>
    <w:p>
      <w:pPr>
        <w:spacing w:after="0" w:line="10"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color w:val="auto"/>
        </w:rPr>
        <w:t>(Principal Financial Officer and Principal Accounting Officer)</w:t>
      </w:r>
    </w:p>
    <w:p>
      <w:pPr>
        <w:spacing w:after="0" w:line="147"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color w:val="auto"/>
        </w:rPr>
        <w:t>Chairman of the Board of Directors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-8890</wp:posOffset>
            </wp:positionH>
            <wp:positionV relativeFrom="paragraph">
              <wp:posOffset>14605</wp:posOffset>
            </wp:positionV>
            <wp:extent cx="3719195" cy="6985"/>
            <wp:wrapNone/>
            <wp:docPr id="67" name="Picture 6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7"/>
                    <pic:cNvPicPr>
                      <a:picLocks noChangeAspect="1" noChangeArrowheads="1"/>
                    </pic:cNvPicPr>
                  </pic:nvPicPr>
                  <pic:blipFill>
                    <a:blip r:embed="rId74">
                      <a:extLst>
                        <a:ext uri="{28A0092B-C50C-407E-A947-70E740481C1C}"/>
                      </a:extLst>
                    </a:blip>
                    <a:srcRect/>
                    <a:stretch>
                      <a:fillRect/>
                    </a:stretch>
                  </pic:blipFill>
                  <pic:spPr bwMode="auto">
                    <a:xfrm>
                      <a:off x="0" y="0"/>
                      <a:ext cx="3719195" cy="6985"/>
                    </a:xfrm>
                    <a:prstGeom prst="rect">
                      <a:avLst/>
                    </a:prstGeom>
                    <a:noFill/>
                  </pic:spPr>
                </pic:pic>
              </a:graphicData>
            </a:graphic>
          </wp:anchor>
        </w:drawing>
      </w:r>
    </w:p>
    <w:p>
      <w:pPr>
        <w:spacing w:after="0" w:line="318"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color w:val="auto"/>
        </w:rPr>
        <w:t>Director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-8890</wp:posOffset>
            </wp:positionH>
            <wp:positionV relativeFrom="paragraph">
              <wp:posOffset>14605</wp:posOffset>
            </wp:positionV>
            <wp:extent cx="3719195" cy="6985"/>
            <wp:wrapNone/>
            <wp:docPr id="68" name="Picture 6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8"/>
                    <pic:cNvPicPr>
                      <a:picLocks noChangeAspect="1" noChangeArrowheads="1"/>
                    </pic:cNvPicPr>
                  </pic:nvPicPr>
                  <pic:blipFill>
                    <a:blip r:embed="rId75">
                      <a:extLst>
                        <a:ext uri="{28A0092B-C50C-407E-A947-70E740481C1C}"/>
                      </a:extLst>
                    </a:blip>
                    <a:srcRect/>
                    <a:stretch>
                      <a:fillRect/>
                    </a:stretch>
                  </pic:blipFill>
                  <pic:spPr bwMode="auto">
                    <a:xfrm>
                      <a:off x="0" y="0"/>
                      <a:ext cx="3719195" cy="6985"/>
                    </a:xfrm>
                    <a:prstGeom prst="rect">
                      <a:avLst/>
                    </a:prstGeom>
                    <a:noFill/>
                  </pic:spPr>
                </pic:pic>
              </a:graphicData>
            </a:graphic>
          </wp:anchor>
        </w:drawing>
      </w:r>
    </w:p>
    <w:p>
      <w:pPr>
        <w:spacing w:after="0" w:line="318"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color w:val="auto"/>
        </w:rPr>
        <w:t>Director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-8890</wp:posOffset>
            </wp:positionH>
            <wp:positionV relativeFrom="paragraph">
              <wp:posOffset>14605</wp:posOffset>
            </wp:positionV>
            <wp:extent cx="3719195" cy="6985"/>
            <wp:wrapNone/>
            <wp:docPr id="69" name="Picture 6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9"/>
                    <pic:cNvPicPr>
                      <a:picLocks noChangeAspect="1" noChangeArrowheads="1"/>
                    </pic:cNvPicPr>
                  </pic:nvPicPr>
                  <pic:blipFill>
                    <a:blip r:embed="rId76">
                      <a:extLst>
                        <a:ext uri="{28A0092B-C50C-407E-A947-70E740481C1C}"/>
                      </a:extLst>
                    </a:blip>
                    <a:srcRect/>
                    <a:stretch>
                      <a:fillRect/>
                    </a:stretch>
                  </pic:blipFill>
                  <pic:spPr bwMode="auto">
                    <a:xfrm>
                      <a:off x="0" y="0"/>
                      <a:ext cx="3719195" cy="6985"/>
                    </a:xfrm>
                    <a:prstGeom prst="rect">
                      <a:avLst/>
                    </a:prstGeom>
                    <a:noFill/>
                  </pic:spPr>
                </pic:pic>
              </a:graphicData>
            </a:graphic>
          </wp:anchor>
        </w:drawing>
      </w:r>
    </w:p>
    <w:p>
      <w:pPr>
        <w:spacing w:after="0" w:line="318"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color w:val="auto"/>
        </w:rPr>
        <w:t>Director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-8890</wp:posOffset>
            </wp:positionH>
            <wp:positionV relativeFrom="paragraph">
              <wp:posOffset>14605</wp:posOffset>
            </wp:positionV>
            <wp:extent cx="3719195" cy="6985"/>
            <wp:wrapNone/>
            <wp:docPr id="70" name="Picture 7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0"/>
                    <pic:cNvPicPr>
                      <a:picLocks noChangeAspect="1" noChangeArrowheads="1"/>
                    </pic:cNvPicPr>
                  </pic:nvPicPr>
                  <pic:blipFill>
                    <a:blip r:embed="rId77">
                      <a:extLst>
                        <a:ext uri="{28A0092B-C50C-407E-A947-70E740481C1C}"/>
                      </a:extLst>
                    </a:blip>
                    <a:srcRect/>
                    <a:stretch>
                      <a:fillRect/>
                    </a:stretch>
                  </pic:blipFill>
                  <pic:spPr bwMode="auto">
                    <a:xfrm>
                      <a:off x="0" y="0"/>
                      <a:ext cx="3719195" cy="6985"/>
                    </a:xfrm>
                    <a:prstGeom prst="rect">
                      <a:avLst/>
                    </a:prstGeom>
                    <a:noFill/>
                  </pic:spPr>
                </pic:pic>
              </a:graphicData>
            </a:graphic>
          </wp:anchor>
        </w:drawing>
      </w:r>
    </w:p>
    <w:p>
      <w:pPr>
        <w:spacing w:after="0" w:line="318"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color w:val="auto"/>
        </w:rPr>
        <w:t>Director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-8890</wp:posOffset>
            </wp:positionH>
            <wp:positionV relativeFrom="paragraph">
              <wp:posOffset>14605</wp:posOffset>
            </wp:positionV>
            <wp:extent cx="3719195" cy="6985"/>
            <wp:wrapNone/>
            <wp:docPr id="71" name="Picture 7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1"/>
                    <pic:cNvPicPr>
                      <a:picLocks noChangeAspect="1" noChangeArrowheads="1"/>
                    </pic:cNvPicPr>
                  </pic:nvPicPr>
                  <pic:blipFill>
                    <a:blip r:embed="rId78">
                      <a:extLst>
                        <a:ext uri="{28A0092B-C50C-407E-A947-70E740481C1C}"/>
                      </a:extLst>
                    </a:blip>
                    <a:srcRect/>
                    <a:stretch>
                      <a:fillRect/>
                    </a:stretch>
                  </pic:blipFill>
                  <pic:spPr bwMode="auto">
                    <a:xfrm>
                      <a:off x="0" y="0"/>
                      <a:ext cx="3719195" cy="6985"/>
                    </a:xfrm>
                    <a:prstGeom prst="rect">
                      <a:avLst/>
                    </a:prstGeom>
                    <a:noFill/>
                  </pic:spPr>
                </pic:pic>
              </a:graphicData>
            </a:graphic>
          </wp:anchor>
        </w:drawing>
      </w:r>
    </w:p>
    <w:p>
      <w:pPr>
        <w:spacing w:after="0" w:line="318"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color w:val="auto"/>
        </w:rPr>
        <w:t>Director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-8890</wp:posOffset>
            </wp:positionH>
            <wp:positionV relativeFrom="paragraph">
              <wp:posOffset>14605</wp:posOffset>
            </wp:positionV>
            <wp:extent cx="3719195" cy="6985"/>
            <wp:wrapNone/>
            <wp:docPr id="72" name="Picture 7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2"/>
                    <pic:cNvPicPr>
                      <a:picLocks noChangeAspect="1" noChangeArrowheads="1"/>
                    </pic:cNvPicPr>
                  </pic:nvPicPr>
                  <pic:blipFill>
                    <a:blip r:embed="rId79">
                      <a:extLst>
                        <a:ext uri="{28A0092B-C50C-407E-A947-70E740481C1C}"/>
                      </a:extLst>
                    </a:blip>
                    <a:srcRect/>
                    <a:stretch>
                      <a:fillRect/>
                    </a:stretch>
                  </pic:blipFill>
                  <pic:spPr bwMode="auto">
                    <a:xfrm>
                      <a:off x="0" y="0"/>
                      <a:ext cx="3719195" cy="6985"/>
                    </a:xfrm>
                    <a:prstGeom prst="rect">
                      <a:avLst/>
                    </a:prstGeom>
                    <a:noFill/>
                  </pic:spPr>
                </pic:pic>
              </a:graphicData>
            </a:graphic>
          </wp:anchor>
        </w:drawing>
      </w:r>
    </w:p>
    <w:p>
      <w:pPr>
        <w:spacing w:after="0" w:line="390" w:lineRule="exact"/>
        <w:rPr>
          <w:sz w:val="20"/>
          <w:szCs w:val="20"/>
          <w:color w:val="auto"/>
        </w:rPr>
      </w:pPr>
    </w:p>
    <w:p>
      <w:pPr>
        <w:sectPr>
          <w:pgSz w:w="11900" w:h="16838" w:orient="portrait"/>
          <w:cols w:equalWidth="0" w:num="2">
            <w:col w:w="4700" w:space="720"/>
            <w:col w:w="5720"/>
          </w:cols>
          <w:pgMar w:left="300" w:top="728" w:right="459" w:bottom="1440" w:gutter="0" w:footer="0" w:header="0"/>
          <w:type w:val="continuous"/>
        </w:sectPr>
      </w:pPr>
    </w:p>
    <w:p>
      <w:pPr>
        <w:spacing w:after="0" w:line="200" w:lineRule="exact"/>
        <w:rPr>
          <w:sz w:val="20"/>
          <w:szCs w:val="20"/>
          <w:color w:val="auto"/>
        </w:rPr>
      </w:pPr>
    </w:p>
    <w:p>
      <w:pPr>
        <w:spacing w:after="0" w:line="309" w:lineRule="exact"/>
        <w:rPr>
          <w:sz w:val="20"/>
          <w:szCs w:val="20"/>
          <w:color w:val="auto"/>
        </w:rPr>
      </w:pPr>
    </w:p>
    <w:p>
      <w:pPr>
        <w:jc w:val="center"/>
        <w:ind w:right="-159"/>
        <w:spacing w:after="0"/>
        <w:rPr>
          <w:sz w:val="20"/>
          <w:szCs w:val="20"/>
          <w:color w:val="auto"/>
        </w:rPr>
      </w:pPr>
      <w:r>
        <w:rPr>
          <w:rFonts w:ascii="Times New Roman" w:cs="Times New Roman" w:eastAsia="Times New Roman" w:hAnsi="Times New Roman"/>
          <w:sz w:val="14"/>
          <w:szCs w:val="14"/>
          <w:color w:val="auto"/>
        </w:rPr>
        <w:t>40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-8890</wp:posOffset>
            </wp:positionH>
            <wp:positionV relativeFrom="paragraph">
              <wp:posOffset>55880</wp:posOffset>
            </wp:positionV>
            <wp:extent cx="7186930" cy="38735"/>
            <wp:wrapNone/>
            <wp:docPr id="73" name="Picture 7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3"/>
                    <pic:cNvPicPr>
                      <a:picLocks noChangeAspect="1" noChangeArrowheads="1"/>
                    </pic:cNvPicPr>
                  </pic:nvPicPr>
                  <pic:blipFill>
                    <a:blip r:embed="rId80">
                      <a:extLst>
                        <a:ext uri="{28A0092B-C50C-407E-A947-70E740481C1C}"/>
                      </a:extLst>
                    </a:blip>
                    <a:srcRect/>
                    <a:stretch>
                      <a:fillRect/>
                    </a:stretch>
                  </pic:blipFill>
                  <pic:spPr bwMode="auto">
                    <a:xfrm>
                      <a:off x="0" y="0"/>
                      <a:ext cx="7186930" cy="38735"/>
                    </a:xfrm>
                    <a:prstGeom prst="rect">
                      <a:avLst/>
                    </a:prstGeom>
                    <a:noFill/>
                  </pic:spPr>
                </pic:pic>
              </a:graphicData>
            </a:graphic>
          </wp:anchor>
        </w:drawing>
      </w:r>
    </w:p>
    <w:p>
      <w:pPr>
        <w:sectPr>
          <w:pgSz w:w="11900" w:h="16838" w:orient="portrait"/>
          <w:cols w:equalWidth="0" w:num="1">
            <w:col w:w="11140"/>
          </w:cols>
          <w:pgMar w:left="300" w:top="728" w:right="459" w:bottom="1440" w:gutter="0" w:footer="0" w:header="0"/>
          <w:type w:val="continuous"/>
        </w:sectPr>
      </w:pPr>
    </w:p>
    <w:bookmarkStart w:id="42" w:name="page43"/>
    <w:bookmarkEnd w:id="42"/>
    <w:p>
      <w:pPr>
        <w:jc w:val="center"/>
        <w:spacing w:after="0"/>
        <w:rPr>
          <w:sz w:val="20"/>
          <w:szCs w:val="20"/>
          <w:color w:val="auto"/>
        </w:rPr>
      </w:pPr>
      <w:r>
        <w:rPr>
          <w:rFonts w:ascii="Times New Roman" w:cs="Times New Roman" w:eastAsia="Times New Roman" w:hAnsi="Times New Roman"/>
          <w:sz w:val="14"/>
          <w:szCs w:val="14"/>
          <w:b w:val="1"/>
          <w:bCs w:val="1"/>
          <w:color w:val="auto"/>
        </w:rPr>
        <w:t>INDEX TO FINANCIAL STATEMENTS</w:t>
      </w:r>
    </w:p>
    <w:p>
      <w:pPr>
        <w:spacing w:after="0" w:line="242" w:lineRule="exact"/>
        <w:rPr>
          <w:sz w:val="20"/>
          <w:szCs w:val="20"/>
          <w:color w:val="auto"/>
        </w:rPr>
      </w:pPr>
    </w:p>
    <w:tbl>
      <w:tblPr>
        <w:tblLayout w:type="fixed"/>
        <w:tblInd w:w="0" w:type="dxa"/>
        <w:tblCellMar>
          <w:top w:w="0" w:type="dxa"/>
          <w:left w:w="0" w:type="dxa"/>
          <w:bottom w:w="0" w:type="dxa"/>
          <w:right w:w="0" w:type="dxa"/>
        </w:tblCellMar>
      </w:tblPr>
      <w:tr>
        <w:trPr>
          <w:trHeight w:val="147"/>
        </w:trPr>
        <w:tc>
          <w:tcPr>
            <w:tcW w:w="20" w:type="dxa"/>
            <w:vAlign w:val="bottom"/>
          </w:tcPr>
          <w:p>
            <w:pPr>
              <w:spacing w:after="0"/>
              <w:rPr>
                <w:sz w:val="12"/>
                <w:szCs w:val="12"/>
                <w:color w:val="auto"/>
              </w:rPr>
            </w:pPr>
          </w:p>
        </w:tc>
        <w:tc>
          <w:tcPr>
            <w:tcW w:w="1640" w:type="dxa"/>
            <w:vAlign w:val="bottom"/>
          </w:tcPr>
          <w:p>
            <w:pPr>
              <w:spacing w:after="0"/>
              <w:rPr>
                <w:sz w:val="12"/>
                <w:szCs w:val="12"/>
                <w:color w:val="auto"/>
              </w:rPr>
            </w:pPr>
          </w:p>
        </w:tc>
        <w:tc>
          <w:tcPr>
            <w:tcW w:w="58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300" w:type="dxa"/>
            <w:vAlign w:val="bottom"/>
          </w:tcPr>
          <w:p>
            <w:pPr>
              <w:spacing w:after="0"/>
              <w:rPr>
                <w:sz w:val="12"/>
                <w:szCs w:val="12"/>
                <w:color w:val="auto"/>
              </w:rPr>
            </w:pPr>
          </w:p>
        </w:tc>
        <w:tc>
          <w:tcPr>
            <w:tcW w:w="540" w:type="dxa"/>
            <w:vAlign w:val="bottom"/>
          </w:tcPr>
          <w:p>
            <w:pPr>
              <w:spacing w:after="0"/>
              <w:rPr>
                <w:sz w:val="12"/>
                <w:szCs w:val="12"/>
                <w:color w:val="auto"/>
              </w:rPr>
            </w:pPr>
          </w:p>
        </w:tc>
        <w:tc>
          <w:tcPr>
            <w:tcW w:w="1140" w:type="dxa"/>
            <w:vAlign w:val="bottom"/>
          </w:tcPr>
          <w:p>
            <w:pPr>
              <w:spacing w:after="0"/>
              <w:rPr>
                <w:sz w:val="12"/>
                <w:szCs w:val="12"/>
                <w:color w:val="auto"/>
              </w:rPr>
            </w:pPr>
          </w:p>
        </w:tc>
        <w:tc>
          <w:tcPr>
            <w:tcW w:w="4440" w:type="dxa"/>
            <w:vAlign w:val="bottom"/>
          </w:tcPr>
          <w:p>
            <w:pPr>
              <w:spacing w:after="0"/>
              <w:rPr>
                <w:sz w:val="12"/>
                <w:szCs w:val="12"/>
                <w:color w:val="auto"/>
              </w:rPr>
            </w:pPr>
          </w:p>
        </w:tc>
        <w:tc>
          <w:tcPr>
            <w:tcW w:w="1420" w:type="dxa"/>
            <w:vAlign w:val="bottom"/>
          </w:tcPr>
          <w:p>
            <w:pPr>
              <w:spacing w:after="0"/>
              <w:rPr>
                <w:sz w:val="12"/>
                <w:szCs w:val="12"/>
                <w:color w:val="auto"/>
              </w:rPr>
            </w:pPr>
          </w:p>
        </w:tc>
        <w:tc>
          <w:tcPr>
            <w:tcW w:w="940" w:type="dxa"/>
            <w:vAlign w:val="bottom"/>
          </w:tcPr>
          <w:p>
            <w:pPr>
              <w:jc w:val="center"/>
              <w:ind w:right="17"/>
              <w:spacing w:after="0"/>
              <w:rPr>
                <w:sz w:val="20"/>
                <w:szCs w:val="20"/>
                <w:color w:val="auto"/>
              </w:rPr>
            </w:pPr>
            <w:r>
              <w:rPr>
                <w:rFonts w:ascii="Times New Roman" w:cs="Times New Roman" w:eastAsia="Times New Roman" w:hAnsi="Times New Roman"/>
                <w:sz w:val="11"/>
                <w:szCs w:val="11"/>
                <w:color w:val="auto"/>
              </w:rPr>
              <w:t>Page</w:t>
            </w:r>
          </w:p>
        </w:tc>
      </w:tr>
      <w:tr>
        <w:trPr>
          <w:trHeight w:val="168"/>
        </w:trPr>
        <w:tc>
          <w:tcPr>
            <w:tcW w:w="20" w:type="dxa"/>
            <w:vAlign w:val="bottom"/>
          </w:tcPr>
          <w:p>
            <w:pPr>
              <w:spacing w:after="0"/>
              <w:rPr>
                <w:sz w:val="14"/>
                <w:szCs w:val="14"/>
                <w:color w:val="auto"/>
              </w:rPr>
            </w:pPr>
          </w:p>
        </w:tc>
        <w:tc>
          <w:tcPr>
            <w:tcW w:w="3320" w:type="dxa"/>
            <w:vAlign w:val="bottom"/>
            <w:tcBorders>
              <w:bottom w:val="single" w:sz="8" w:color="0000FF"/>
            </w:tcBorders>
            <w:gridSpan w:val="6"/>
          </w:tcPr>
          <w:p>
            <w:pPr>
              <w:spacing w:after="0"/>
              <w:rPr>
                <w:sz w:val="20"/>
                <w:szCs w:val="20"/>
                <w:color w:val="auto"/>
              </w:rPr>
            </w:pPr>
            <w:r>
              <w:rPr>
                <w:rFonts w:ascii="Times New Roman" w:cs="Times New Roman" w:eastAsia="Times New Roman" w:hAnsi="Times New Roman"/>
                <w:sz w:val="14"/>
                <w:szCs w:val="14"/>
                <w:color w:val="0000FF"/>
              </w:rPr>
              <w:t>Report of Independent Registered Public Accounting Firm</w:t>
            </w:r>
          </w:p>
        </w:tc>
        <w:tc>
          <w:tcPr>
            <w:tcW w:w="1140" w:type="dxa"/>
            <w:vAlign w:val="bottom"/>
          </w:tcPr>
          <w:p>
            <w:pPr>
              <w:spacing w:after="0"/>
              <w:rPr>
                <w:sz w:val="14"/>
                <w:szCs w:val="14"/>
                <w:color w:val="auto"/>
              </w:rPr>
            </w:pPr>
          </w:p>
        </w:tc>
        <w:tc>
          <w:tcPr>
            <w:tcW w:w="4440" w:type="dxa"/>
            <w:vAlign w:val="bottom"/>
          </w:tcPr>
          <w:p>
            <w:pPr>
              <w:jc w:val="right"/>
              <w:ind w:right="153"/>
              <w:spacing w:after="0"/>
              <w:rPr>
                <w:sz w:val="20"/>
                <w:szCs w:val="20"/>
                <w:color w:val="auto"/>
              </w:rPr>
            </w:pPr>
            <w:r>
              <w:rPr>
                <w:rFonts w:ascii="Times New Roman" w:cs="Times New Roman" w:eastAsia="Times New Roman" w:hAnsi="Times New Roman"/>
                <w:sz w:val="13"/>
                <w:szCs w:val="13"/>
                <w:color w:val="auto"/>
              </w:rPr>
              <w:t>BDO USA, P.C.; Dallas, TX USA;</w:t>
            </w:r>
          </w:p>
        </w:tc>
        <w:tc>
          <w:tcPr>
            <w:tcW w:w="1420" w:type="dxa"/>
            <w:vAlign w:val="bottom"/>
          </w:tcPr>
          <w:p>
            <w:pPr>
              <w:ind w:left="240"/>
              <w:spacing w:after="0"/>
              <w:rPr>
                <w:sz w:val="20"/>
                <w:szCs w:val="20"/>
                <w:color w:val="auto"/>
              </w:rPr>
            </w:pPr>
            <w:r>
              <w:rPr>
                <w:rFonts w:ascii="Times New Roman" w:cs="Times New Roman" w:eastAsia="Times New Roman" w:hAnsi="Times New Roman"/>
                <w:sz w:val="13"/>
                <w:szCs w:val="13"/>
                <w:color w:val="auto"/>
              </w:rPr>
              <w:t>PCAOB ID: 243</w:t>
            </w:r>
          </w:p>
        </w:tc>
        <w:tc>
          <w:tcPr>
            <w:tcW w:w="940" w:type="dxa"/>
            <w:vAlign w:val="bottom"/>
          </w:tcPr>
          <w:p>
            <w:pPr>
              <w:jc w:val="center"/>
              <w:ind w:right="17"/>
              <w:spacing w:after="0"/>
              <w:rPr>
                <w:sz w:val="20"/>
                <w:szCs w:val="20"/>
                <w:color w:val="auto"/>
              </w:rPr>
            </w:pPr>
            <w:r>
              <w:rPr>
                <w:rFonts w:ascii="Times New Roman" w:cs="Times New Roman" w:eastAsia="Times New Roman" w:hAnsi="Times New Roman"/>
                <w:sz w:val="13"/>
                <w:szCs w:val="13"/>
                <w:color w:val="auto"/>
                <w:w w:val="91"/>
              </w:rPr>
              <w:t>2</w:t>
            </w:r>
          </w:p>
        </w:tc>
      </w:tr>
      <w:tr>
        <w:trPr>
          <w:trHeight w:val="160"/>
        </w:trPr>
        <w:tc>
          <w:tcPr>
            <w:tcW w:w="20" w:type="dxa"/>
            <w:vAlign w:val="bottom"/>
          </w:tcPr>
          <w:p>
            <w:pPr>
              <w:spacing w:after="0"/>
              <w:rPr>
                <w:sz w:val="13"/>
                <w:szCs w:val="13"/>
                <w:color w:val="auto"/>
              </w:rPr>
            </w:pPr>
          </w:p>
        </w:tc>
        <w:tc>
          <w:tcPr>
            <w:tcW w:w="4460" w:type="dxa"/>
            <w:vAlign w:val="bottom"/>
            <w:gridSpan w:val="7"/>
          </w:tcPr>
          <w:p>
            <w:pPr>
              <w:spacing w:after="0"/>
              <w:rPr>
                <w:sz w:val="20"/>
                <w:szCs w:val="20"/>
                <w:color w:val="auto"/>
              </w:rPr>
            </w:pPr>
            <w:r>
              <w:rPr>
                <w:rFonts w:ascii="Times New Roman" w:cs="Times New Roman" w:eastAsia="Times New Roman" w:hAnsi="Times New Roman"/>
                <w:sz w:val="14"/>
                <w:szCs w:val="14"/>
                <w:color w:val="0000FF"/>
              </w:rPr>
              <w:t>Consolidated Balance Sheets</w:t>
            </w:r>
          </w:p>
        </w:tc>
        <w:tc>
          <w:tcPr>
            <w:tcW w:w="4440" w:type="dxa"/>
            <w:vAlign w:val="bottom"/>
          </w:tcPr>
          <w:p>
            <w:pPr>
              <w:spacing w:after="0"/>
              <w:rPr>
                <w:sz w:val="13"/>
                <w:szCs w:val="13"/>
                <w:color w:val="auto"/>
              </w:rPr>
            </w:pPr>
          </w:p>
        </w:tc>
        <w:tc>
          <w:tcPr>
            <w:tcW w:w="1420" w:type="dxa"/>
            <w:vAlign w:val="bottom"/>
          </w:tcPr>
          <w:p>
            <w:pPr>
              <w:spacing w:after="0"/>
              <w:rPr>
                <w:sz w:val="13"/>
                <w:szCs w:val="13"/>
                <w:color w:val="auto"/>
              </w:rPr>
            </w:pPr>
          </w:p>
        </w:tc>
        <w:tc>
          <w:tcPr>
            <w:tcW w:w="940" w:type="dxa"/>
            <w:vAlign w:val="bottom"/>
          </w:tcPr>
          <w:p>
            <w:pPr>
              <w:jc w:val="center"/>
              <w:ind w:right="17"/>
              <w:spacing w:after="0"/>
              <w:rPr>
                <w:sz w:val="20"/>
                <w:szCs w:val="20"/>
                <w:color w:val="auto"/>
              </w:rPr>
            </w:pPr>
            <w:r>
              <w:rPr>
                <w:rFonts w:ascii="Times New Roman" w:cs="Times New Roman" w:eastAsia="Times New Roman" w:hAnsi="Times New Roman"/>
                <w:sz w:val="13"/>
                <w:szCs w:val="13"/>
                <w:color w:val="auto"/>
                <w:w w:val="91"/>
              </w:rPr>
              <w:t>4</w:t>
            </w:r>
          </w:p>
        </w:tc>
      </w:tr>
      <w:tr>
        <w:trPr>
          <w:trHeight w:val="20"/>
        </w:trPr>
        <w:tc>
          <w:tcPr>
            <w:tcW w:w="20" w:type="dxa"/>
            <w:vAlign w:val="bottom"/>
          </w:tcPr>
          <w:p>
            <w:pPr>
              <w:spacing w:after="0" w:line="20" w:lineRule="exact"/>
              <w:rPr>
                <w:sz w:val="1"/>
                <w:szCs w:val="1"/>
                <w:color w:val="auto"/>
              </w:rPr>
            </w:pPr>
          </w:p>
        </w:tc>
        <w:tc>
          <w:tcPr>
            <w:tcW w:w="1640" w:type="dxa"/>
            <w:vAlign w:val="bottom"/>
            <w:shd w:val="clear" w:color="auto" w:fill="0000FF"/>
          </w:tcPr>
          <w:p>
            <w:pPr>
              <w:spacing w:after="0" w:line="20" w:lineRule="exact"/>
              <w:rPr>
                <w:sz w:val="1"/>
                <w:szCs w:val="1"/>
                <w:color w:val="auto"/>
              </w:rPr>
            </w:pPr>
          </w:p>
        </w:tc>
        <w:tc>
          <w:tcPr>
            <w:tcW w:w="58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1680" w:type="dxa"/>
            <w:vAlign w:val="bottom"/>
            <w:gridSpan w:val="2"/>
          </w:tcPr>
          <w:p>
            <w:pPr>
              <w:spacing w:after="0" w:line="20" w:lineRule="exact"/>
              <w:rPr>
                <w:sz w:val="1"/>
                <w:szCs w:val="1"/>
                <w:color w:val="auto"/>
              </w:rPr>
            </w:pPr>
          </w:p>
        </w:tc>
        <w:tc>
          <w:tcPr>
            <w:tcW w:w="4440" w:type="dxa"/>
            <w:vAlign w:val="bottom"/>
          </w:tcPr>
          <w:p>
            <w:pPr>
              <w:spacing w:after="0" w:line="20" w:lineRule="exact"/>
              <w:rPr>
                <w:sz w:val="1"/>
                <w:szCs w:val="1"/>
                <w:color w:val="auto"/>
              </w:rPr>
            </w:pPr>
          </w:p>
        </w:tc>
        <w:tc>
          <w:tcPr>
            <w:tcW w:w="1420" w:type="dxa"/>
            <w:vAlign w:val="bottom"/>
          </w:tcPr>
          <w:p>
            <w:pPr>
              <w:spacing w:after="0" w:line="20" w:lineRule="exact"/>
              <w:rPr>
                <w:sz w:val="1"/>
                <w:szCs w:val="1"/>
                <w:color w:val="auto"/>
              </w:rPr>
            </w:pPr>
          </w:p>
        </w:tc>
        <w:tc>
          <w:tcPr>
            <w:tcW w:w="940" w:type="dxa"/>
            <w:vAlign w:val="bottom"/>
          </w:tcPr>
          <w:p>
            <w:pPr>
              <w:spacing w:after="0" w:line="20" w:lineRule="exact"/>
              <w:rPr>
                <w:sz w:val="1"/>
                <w:szCs w:val="1"/>
                <w:color w:val="auto"/>
              </w:rPr>
            </w:pPr>
          </w:p>
        </w:tc>
      </w:tr>
      <w:tr>
        <w:trPr>
          <w:trHeight w:val="160"/>
        </w:trPr>
        <w:tc>
          <w:tcPr>
            <w:tcW w:w="20" w:type="dxa"/>
            <w:vAlign w:val="bottom"/>
          </w:tcPr>
          <w:p>
            <w:pPr>
              <w:spacing w:after="0"/>
              <w:rPr>
                <w:sz w:val="13"/>
                <w:szCs w:val="13"/>
                <w:color w:val="auto"/>
              </w:rPr>
            </w:pPr>
          </w:p>
        </w:tc>
        <w:tc>
          <w:tcPr>
            <w:tcW w:w="2220" w:type="dxa"/>
            <w:vAlign w:val="bottom"/>
            <w:tcBorders>
              <w:bottom w:val="single" w:sz="8" w:color="0000FF"/>
            </w:tcBorders>
            <w:gridSpan w:val="2"/>
          </w:tcPr>
          <w:p>
            <w:pPr>
              <w:spacing w:after="0"/>
              <w:rPr>
                <w:sz w:val="20"/>
                <w:szCs w:val="20"/>
                <w:color w:val="auto"/>
              </w:rPr>
            </w:pPr>
            <w:r>
              <w:rPr>
                <w:rFonts w:ascii="Times New Roman" w:cs="Times New Roman" w:eastAsia="Times New Roman" w:hAnsi="Times New Roman"/>
                <w:sz w:val="14"/>
                <w:szCs w:val="14"/>
                <w:color w:val="0000FF"/>
              </w:rPr>
              <w:t>Consolidated Statements of Operations</w:t>
            </w:r>
          </w:p>
        </w:tc>
        <w:tc>
          <w:tcPr>
            <w:tcW w:w="2240" w:type="dxa"/>
            <w:vAlign w:val="bottom"/>
            <w:gridSpan w:val="5"/>
          </w:tcPr>
          <w:p>
            <w:pPr>
              <w:spacing w:after="0"/>
              <w:rPr>
                <w:sz w:val="13"/>
                <w:szCs w:val="13"/>
                <w:color w:val="auto"/>
              </w:rPr>
            </w:pPr>
          </w:p>
        </w:tc>
        <w:tc>
          <w:tcPr>
            <w:tcW w:w="4440" w:type="dxa"/>
            <w:vAlign w:val="bottom"/>
          </w:tcPr>
          <w:p>
            <w:pPr>
              <w:spacing w:after="0"/>
              <w:rPr>
                <w:sz w:val="13"/>
                <w:szCs w:val="13"/>
                <w:color w:val="auto"/>
              </w:rPr>
            </w:pPr>
          </w:p>
        </w:tc>
        <w:tc>
          <w:tcPr>
            <w:tcW w:w="1420" w:type="dxa"/>
            <w:vAlign w:val="bottom"/>
          </w:tcPr>
          <w:p>
            <w:pPr>
              <w:spacing w:after="0"/>
              <w:rPr>
                <w:sz w:val="13"/>
                <w:szCs w:val="13"/>
                <w:color w:val="auto"/>
              </w:rPr>
            </w:pPr>
          </w:p>
        </w:tc>
        <w:tc>
          <w:tcPr>
            <w:tcW w:w="940" w:type="dxa"/>
            <w:vAlign w:val="bottom"/>
          </w:tcPr>
          <w:p>
            <w:pPr>
              <w:jc w:val="center"/>
              <w:ind w:right="17"/>
              <w:spacing w:after="0"/>
              <w:rPr>
                <w:sz w:val="20"/>
                <w:szCs w:val="20"/>
                <w:color w:val="auto"/>
              </w:rPr>
            </w:pPr>
            <w:r>
              <w:rPr>
                <w:rFonts w:ascii="Times New Roman" w:cs="Times New Roman" w:eastAsia="Times New Roman" w:hAnsi="Times New Roman"/>
                <w:sz w:val="13"/>
                <w:szCs w:val="13"/>
                <w:color w:val="auto"/>
                <w:w w:val="91"/>
              </w:rPr>
              <w:t>5</w:t>
            </w:r>
          </w:p>
        </w:tc>
      </w:tr>
      <w:tr>
        <w:trPr>
          <w:trHeight w:val="160"/>
        </w:trPr>
        <w:tc>
          <w:tcPr>
            <w:tcW w:w="20" w:type="dxa"/>
            <w:vAlign w:val="bottom"/>
          </w:tcPr>
          <w:p>
            <w:pPr>
              <w:spacing w:after="0"/>
              <w:rPr>
                <w:sz w:val="13"/>
                <w:szCs w:val="13"/>
                <w:color w:val="auto"/>
              </w:rPr>
            </w:pPr>
          </w:p>
        </w:tc>
        <w:tc>
          <w:tcPr>
            <w:tcW w:w="4460" w:type="dxa"/>
            <w:vAlign w:val="bottom"/>
            <w:gridSpan w:val="7"/>
          </w:tcPr>
          <w:p>
            <w:pPr>
              <w:spacing w:after="0"/>
              <w:rPr>
                <w:sz w:val="20"/>
                <w:szCs w:val="20"/>
                <w:color w:val="auto"/>
              </w:rPr>
            </w:pPr>
            <w:r>
              <w:rPr>
                <w:rFonts w:ascii="Times New Roman" w:cs="Times New Roman" w:eastAsia="Times New Roman" w:hAnsi="Times New Roman"/>
                <w:sz w:val="14"/>
                <w:szCs w:val="14"/>
                <w:color w:val="0000FF"/>
              </w:rPr>
              <w:t>Consolidated Statements of Stockholders’ Equity</w:t>
            </w:r>
          </w:p>
        </w:tc>
        <w:tc>
          <w:tcPr>
            <w:tcW w:w="4440" w:type="dxa"/>
            <w:vAlign w:val="bottom"/>
          </w:tcPr>
          <w:p>
            <w:pPr>
              <w:spacing w:after="0"/>
              <w:rPr>
                <w:sz w:val="13"/>
                <w:szCs w:val="13"/>
                <w:color w:val="auto"/>
              </w:rPr>
            </w:pPr>
          </w:p>
        </w:tc>
        <w:tc>
          <w:tcPr>
            <w:tcW w:w="1420" w:type="dxa"/>
            <w:vAlign w:val="bottom"/>
          </w:tcPr>
          <w:p>
            <w:pPr>
              <w:spacing w:after="0"/>
              <w:rPr>
                <w:sz w:val="13"/>
                <w:szCs w:val="13"/>
                <w:color w:val="auto"/>
              </w:rPr>
            </w:pPr>
          </w:p>
        </w:tc>
        <w:tc>
          <w:tcPr>
            <w:tcW w:w="940" w:type="dxa"/>
            <w:vAlign w:val="bottom"/>
          </w:tcPr>
          <w:p>
            <w:pPr>
              <w:jc w:val="center"/>
              <w:ind w:right="17"/>
              <w:spacing w:after="0"/>
              <w:rPr>
                <w:sz w:val="20"/>
                <w:szCs w:val="20"/>
                <w:color w:val="auto"/>
              </w:rPr>
            </w:pPr>
            <w:r>
              <w:rPr>
                <w:rFonts w:ascii="Times New Roman" w:cs="Times New Roman" w:eastAsia="Times New Roman" w:hAnsi="Times New Roman"/>
                <w:sz w:val="13"/>
                <w:szCs w:val="13"/>
                <w:color w:val="auto"/>
                <w:w w:val="91"/>
              </w:rPr>
              <w:t>6</w:t>
            </w:r>
          </w:p>
        </w:tc>
      </w:tr>
      <w:tr>
        <w:trPr>
          <w:trHeight w:val="160"/>
        </w:trPr>
        <w:tc>
          <w:tcPr>
            <w:tcW w:w="20" w:type="dxa"/>
            <w:vAlign w:val="bottom"/>
          </w:tcPr>
          <w:p>
            <w:pPr>
              <w:spacing w:after="0"/>
              <w:rPr>
                <w:sz w:val="13"/>
                <w:szCs w:val="13"/>
                <w:color w:val="auto"/>
              </w:rPr>
            </w:pPr>
          </w:p>
        </w:tc>
        <w:tc>
          <w:tcPr>
            <w:tcW w:w="2260" w:type="dxa"/>
            <w:vAlign w:val="bottom"/>
            <w:tcBorders>
              <w:top w:val="single" w:sz="8" w:color="0000FF"/>
              <w:bottom w:val="single" w:sz="8" w:color="0000FF"/>
            </w:tcBorders>
            <w:gridSpan w:val="3"/>
          </w:tcPr>
          <w:p>
            <w:pPr>
              <w:spacing w:after="0"/>
              <w:rPr>
                <w:sz w:val="20"/>
                <w:szCs w:val="20"/>
                <w:color w:val="auto"/>
              </w:rPr>
            </w:pPr>
            <w:r>
              <w:rPr>
                <w:rFonts w:ascii="Times New Roman" w:cs="Times New Roman" w:eastAsia="Times New Roman" w:hAnsi="Times New Roman"/>
                <w:sz w:val="14"/>
                <w:szCs w:val="14"/>
                <w:color w:val="0000FF"/>
              </w:rPr>
              <w:t>Consolidated Statements of Cash Flows</w:t>
            </w:r>
          </w:p>
        </w:tc>
        <w:tc>
          <w:tcPr>
            <w:tcW w:w="520" w:type="dxa"/>
            <w:vAlign w:val="bottom"/>
            <w:tcBorders>
              <w:top w:val="single" w:sz="8" w:color="0000FF"/>
            </w:tcBorders>
            <w:gridSpan w:val="2"/>
          </w:tcPr>
          <w:p>
            <w:pPr>
              <w:spacing w:after="0"/>
              <w:rPr>
                <w:sz w:val="13"/>
                <w:szCs w:val="13"/>
                <w:color w:val="auto"/>
              </w:rPr>
            </w:pPr>
          </w:p>
        </w:tc>
        <w:tc>
          <w:tcPr>
            <w:tcW w:w="1680" w:type="dxa"/>
            <w:vAlign w:val="bottom"/>
            <w:gridSpan w:val="2"/>
          </w:tcPr>
          <w:p>
            <w:pPr>
              <w:spacing w:after="0"/>
              <w:rPr>
                <w:sz w:val="13"/>
                <w:szCs w:val="13"/>
                <w:color w:val="auto"/>
              </w:rPr>
            </w:pPr>
          </w:p>
        </w:tc>
        <w:tc>
          <w:tcPr>
            <w:tcW w:w="4440" w:type="dxa"/>
            <w:vAlign w:val="bottom"/>
          </w:tcPr>
          <w:p>
            <w:pPr>
              <w:spacing w:after="0"/>
              <w:rPr>
                <w:sz w:val="13"/>
                <w:szCs w:val="13"/>
                <w:color w:val="auto"/>
              </w:rPr>
            </w:pPr>
          </w:p>
        </w:tc>
        <w:tc>
          <w:tcPr>
            <w:tcW w:w="1420" w:type="dxa"/>
            <w:vAlign w:val="bottom"/>
          </w:tcPr>
          <w:p>
            <w:pPr>
              <w:spacing w:after="0"/>
              <w:rPr>
                <w:sz w:val="13"/>
                <w:szCs w:val="13"/>
                <w:color w:val="auto"/>
              </w:rPr>
            </w:pPr>
          </w:p>
        </w:tc>
        <w:tc>
          <w:tcPr>
            <w:tcW w:w="940" w:type="dxa"/>
            <w:vAlign w:val="bottom"/>
          </w:tcPr>
          <w:p>
            <w:pPr>
              <w:jc w:val="center"/>
              <w:ind w:right="17"/>
              <w:spacing w:after="0"/>
              <w:rPr>
                <w:sz w:val="20"/>
                <w:szCs w:val="20"/>
                <w:color w:val="auto"/>
              </w:rPr>
            </w:pPr>
            <w:r>
              <w:rPr>
                <w:rFonts w:ascii="Times New Roman" w:cs="Times New Roman" w:eastAsia="Times New Roman" w:hAnsi="Times New Roman"/>
                <w:sz w:val="13"/>
                <w:szCs w:val="13"/>
                <w:color w:val="auto"/>
                <w:w w:val="91"/>
              </w:rPr>
              <w:t>7</w:t>
            </w:r>
          </w:p>
        </w:tc>
      </w:tr>
      <w:tr>
        <w:trPr>
          <w:trHeight w:val="160"/>
        </w:trPr>
        <w:tc>
          <w:tcPr>
            <w:tcW w:w="20" w:type="dxa"/>
            <w:vAlign w:val="bottom"/>
          </w:tcPr>
          <w:p>
            <w:pPr>
              <w:spacing w:after="0"/>
              <w:rPr>
                <w:sz w:val="13"/>
                <w:szCs w:val="13"/>
                <w:color w:val="auto"/>
              </w:rPr>
            </w:pPr>
          </w:p>
        </w:tc>
        <w:tc>
          <w:tcPr>
            <w:tcW w:w="4460" w:type="dxa"/>
            <w:vAlign w:val="bottom"/>
            <w:gridSpan w:val="7"/>
          </w:tcPr>
          <w:p>
            <w:pPr>
              <w:spacing w:after="0"/>
              <w:rPr>
                <w:sz w:val="20"/>
                <w:szCs w:val="20"/>
                <w:color w:val="auto"/>
              </w:rPr>
            </w:pPr>
            <w:r>
              <w:rPr>
                <w:rFonts w:ascii="Times New Roman" w:cs="Times New Roman" w:eastAsia="Times New Roman" w:hAnsi="Times New Roman"/>
                <w:sz w:val="14"/>
                <w:szCs w:val="14"/>
                <w:color w:val="0000FF"/>
              </w:rPr>
              <w:t>Notes to Consolidated Financial Statements</w:t>
            </w:r>
          </w:p>
        </w:tc>
        <w:tc>
          <w:tcPr>
            <w:tcW w:w="4440" w:type="dxa"/>
            <w:vAlign w:val="bottom"/>
          </w:tcPr>
          <w:p>
            <w:pPr>
              <w:spacing w:after="0"/>
              <w:rPr>
                <w:sz w:val="13"/>
                <w:szCs w:val="13"/>
                <w:color w:val="auto"/>
              </w:rPr>
            </w:pPr>
          </w:p>
        </w:tc>
        <w:tc>
          <w:tcPr>
            <w:tcW w:w="1420" w:type="dxa"/>
            <w:vAlign w:val="bottom"/>
          </w:tcPr>
          <w:p>
            <w:pPr>
              <w:spacing w:after="0"/>
              <w:rPr>
                <w:sz w:val="13"/>
                <w:szCs w:val="13"/>
                <w:color w:val="auto"/>
              </w:rPr>
            </w:pPr>
          </w:p>
        </w:tc>
        <w:tc>
          <w:tcPr>
            <w:tcW w:w="940" w:type="dxa"/>
            <w:vAlign w:val="bottom"/>
          </w:tcPr>
          <w:p>
            <w:pPr>
              <w:jc w:val="center"/>
              <w:ind w:right="17"/>
              <w:spacing w:after="0"/>
              <w:rPr>
                <w:sz w:val="20"/>
                <w:szCs w:val="20"/>
                <w:color w:val="auto"/>
              </w:rPr>
            </w:pPr>
            <w:r>
              <w:rPr>
                <w:rFonts w:ascii="Times New Roman" w:cs="Times New Roman" w:eastAsia="Times New Roman" w:hAnsi="Times New Roman"/>
                <w:sz w:val="13"/>
                <w:szCs w:val="13"/>
                <w:color w:val="auto"/>
                <w:w w:val="91"/>
              </w:rPr>
              <w:t>8</w:t>
            </w:r>
          </w:p>
        </w:tc>
      </w:tr>
      <w:tr>
        <w:trPr>
          <w:trHeight w:val="881"/>
        </w:trPr>
        <w:tc>
          <w:tcPr>
            <w:tcW w:w="20" w:type="dxa"/>
            <w:vAlign w:val="bottom"/>
          </w:tcPr>
          <w:p>
            <w:pPr>
              <w:spacing w:after="0"/>
              <w:rPr>
                <w:sz w:val="24"/>
                <w:szCs w:val="24"/>
                <w:color w:val="auto"/>
              </w:rPr>
            </w:pPr>
          </w:p>
        </w:tc>
        <w:tc>
          <w:tcPr>
            <w:tcW w:w="1640" w:type="dxa"/>
            <w:vAlign w:val="bottom"/>
            <w:tcBorders>
              <w:top w:val="single" w:sz="8" w:color="0000FF"/>
            </w:tcBorders>
          </w:tcPr>
          <w:p>
            <w:pPr>
              <w:spacing w:after="0"/>
              <w:rPr>
                <w:sz w:val="24"/>
                <w:szCs w:val="24"/>
                <w:color w:val="auto"/>
              </w:rPr>
            </w:pPr>
          </w:p>
        </w:tc>
        <w:tc>
          <w:tcPr>
            <w:tcW w:w="580" w:type="dxa"/>
            <w:vAlign w:val="bottom"/>
            <w:tcBorders>
              <w:top w:val="single" w:sz="8" w:color="0000FF"/>
            </w:tcBorders>
          </w:tcPr>
          <w:p>
            <w:pPr>
              <w:spacing w:after="0"/>
              <w:rPr>
                <w:sz w:val="24"/>
                <w:szCs w:val="24"/>
                <w:color w:val="auto"/>
              </w:rPr>
            </w:pPr>
          </w:p>
        </w:tc>
        <w:tc>
          <w:tcPr>
            <w:tcW w:w="40" w:type="dxa"/>
            <w:vAlign w:val="bottom"/>
            <w:tcBorders>
              <w:top w:val="single" w:sz="8" w:color="0000FF"/>
            </w:tcBorders>
          </w:tcPr>
          <w:p>
            <w:pPr>
              <w:spacing w:after="0"/>
              <w:rPr>
                <w:sz w:val="24"/>
                <w:szCs w:val="24"/>
                <w:color w:val="auto"/>
              </w:rPr>
            </w:pPr>
          </w:p>
        </w:tc>
        <w:tc>
          <w:tcPr>
            <w:tcW w:w="220" w:type="dxa"/>
            <w:vAlign w:val="bottom"/>
            <w:tcBorders>
              <w:top w:val="single" w:sz="8" w:color="0000FF"/>
            </w:tcBorders>
          </w:tcPr>
          <w:p>
            <w:pPr>
              <w:spacing w:after="0"/>
              <w:rPr>
                <w:sz w:val="24"/>
                <w:szCs w:val="24"/>
                <w:color w:val="auto"/>
              </w:rPr>
            </w:pPr>
          </w:p>
        </w:tc>
        <w:tc>
          <w:tcPr>
            <w:tcW w:w="300" w:type="dxa"/>
            <w:vAlign w:val="bottom"/>
          </w:tcPr>
          <w:p>
            <w:pPr>
              <w:spacing w:after="0"/>
              <w:rPr>
                <w:sz w:val="24"/>
                <w:szCs w:val="24"/>
                <w:color w:val="auto"/>
              </w:rPr>
            </w:pPr>
          </w:p>
        </w:tc>
        <w:tc>
          <w:tcPr>
            <w:tcW w:w="540" w:type="dxa"/>
            <w:vAlign w:val="bottom"/>
          </w:tcPr>
          <w:p>
            <w:pPr>
              <w:spacing w:after="0"/>
              <w:rPr>
                <w:sz w:val="24"/>
                <w:szCs w:val="24"/>
                <w:color w:val="auto"/>
              </w:rPr>
            </w:pPr>
          </w:p>
        </w:tc>
        <w:tc>
          <w:tcPr>
            <w:tcW w:w="1140" w:type="dxa"/>
            <w:vAlign w:val="bottom"/>
          </w:tcPr>
          <w:p>
            <w:pPr>
              <w:spacing w:after="0"/>
              <w:rPr>
                <w:sz w:val="24"/>
                <w:szCs w:val="24"/>
                <w:color w:val="auto"/>
              </w:rPr>
            </w:pPr>
          </w:p>
        </w:tc>
        <w:tc>
          <w:tcPr>
            <w:tcW w:w="4440" w:type="dxa"/>
            <w:vAlign w:val="bottom"/>
          </w:tcPr>
          <w:p>
            <w:pPr>
              <w:jc w:val="right"/>
              <w:ind w:right="3173"/>
              <w:spacing w:after="0"/>
              <w:rPr>
                <w:sz w:val="20"/>
                <w:szCs w:val="20"/>
                <w:color w:val="auto"/>
              </w:rPr>
            </w:pPr>
            <w:r>
              <w:rPr>
                <w:rFonts w:ascii="Times New Roman" w:cs="Times New Roman" w:eastAsia="Times New Roman" w:hAnsi="Times New Roman"/>
                <w:sz w:val="14"/>
                <w:szCs w:val="14"/>
                <w:color w:val="auto"/>
              </w:rPr>
              <w:t>1</w:t>
            </w:r>
          </w:p>
        </w:tc>
        <w:tc>
          <w:tcPr>
            <w:tcW w:w="1420" w:type="dxa"/>
            <w:vAlign w:val="bottom"/>
          </w:tcPr>
          <w:p>
            <w:pPr>
              <w:spacing w:after="0"/>
              <w:rPr>
                <w:sz w:val="24"/>
                <w:szCs w:val="24"/>
                <w:color w:val="auto"/>
              </w:rPr>
            </w:pPr>
          </w:p>
        </w:tc>
        <w:tc>
          <w:tcPr>
            <w:tcW w:w="940" w:type="dxa"/>
            <w:vAlign w:val="bottom"/>
          </w:tcPr>
          <w:p>
            <w:pPr>
              <w:spacing w:after="0"/>
              <w:rPr>
                <w:sz w:val="24"/>
                <w:szCs w:val="24"/>
                <w:color w:val="auto"/>
              </w:rPr>
            </w:pPr>
          </w:p>
        </w:tc>
      </w:tr>
      <w:tr>
        <w:trPr>
          <w:trHeight w:val="87"/>
        </w:trPr>
        <w:tc>
          <w:tcPr>
            <w:tcW w:w="20" w:type="dxa"/>
            <w:vAlign w:val="bottom"/>
            <w:tcBorders>
              <w:bottom w:val="single" w:sz="8" w:color="9A9A9A"/>
            </w:tcBorders>
          </w:tcPr>
          <w:p>
            <w:pPr>
              <w:spacing w:after="0"/>
              <w:rPr>
                <w:sz w:val="7"/>
                <w:szCs w:val="7"/>
                <w:color w:val="auto"/>
              </w:rPr>
            </w:pPr>
          </w:p>
        </w:tc>
        <w:tc>
          <w:tcPr>
            <w:tcW w:w="1640" w:type="dxa"/>
            <w:vAlign w:val="bottom"/>
            <w:tcBorders>
              <w:bottom w:val="single" w:sz="8" w:color="9A9A9A"/>
            </w:tcBorders>
          </w:tcPr>
          <w:p>
            <w:pPr>
              <w:spacing w:after="0"/>
              <w:rPr>
                <w:sz w:val="7"/>
                <w:szCs w:val="7"/>
                <w:color w:val="auto"/>
              </w:rPr>
            </w:pPr>
          </w:p>
        </w:tc>
        <w:tc>
          <w:tcPr>
            <w:tcW w:w="580" w:type="dxa"/>
            <w:vAlign w:val="bottom"/>
            <w:tcBorders>
              <w:bottom w:val="single" w:sz="8" w:color="9A9A9A"/>
            </w:tcBorders>
          </w:tcPr>
          <w:p>
            <w:pPr>
              <w:spacing w:after="0"/>
              <w:rPr>
                <w:sz w:val="7"/>
                <w:szCs w:val="7"/>
                <w:color w:val="auto"/>
              </w:rPr>
            </w:pPr>
          </w:p>
        </w:tc>
        <w:tc>
          <w:tcPr>
            <w:tcW w:w="40" w:type="dxa"/>
            <w:vAlign w:val="bottom"/>
            <w:tcBorders>
              <w:bottom w:val="single" w:sz="8" w:color="9A9A9A"/>
            </w:tcBorders>
          </w:tcPr>
          <w:p>
            <w:pPr>
              <w:spacing w:after="0"/>
              <w:rPr>
                <w:sz w:val="7"/>
                <w:szCs w:val="7"/>
                <w:color w:val="auto"/>
              </w:rPr>
            </w:pPr>
          </w:p>
        </w:tc>
        <w:tc>
          <w:tcPr>
            <w:tcW w:w="220" w:type="dxa"/>
            <w:vAlign w:val="bottom"/>
            <w:tcBorders>
              <w:bottom w:val="single" w:sz="8" w:color="9A9A9A"/>
            </w:tcBorders>
          </w:tcPr>
          <w:p>
            <w:pPr>
              <w:spacing w:after="0"/>
              <w:rPr>
                <w:sz w:val="7"/>
                <w:szCs w:val="7"/>
                <w:color w:val="auto"/>
              </w:rPr>
            </w:pPr>
          </w:p>
        </w:tc>
        <w:tc>
          <w:tcPr>
            <w:tcW w:w="300" w:type="dxa"/>
            <w:vAlign w:val="bottom"/>
            <w:tcBorders>
              <w:bottom w:val="single" w:sz="8" w:color="9A9A9A"/>
            </w:tcBorders>
          </w:tcPr>
          <w:p>
            <w:pPr>
              <w:spacing w:after="0"/>
              <w:rPr>
                <w:sz w:val="7"/>
                <w:szCs w:val="7"/>
                <w:color w:val="auto"/>
              </w:rPr>
            </w:pPr>
          </w:p>
        </w:tc>
        <w:tc>
          <w:tcPr>
            <w:tcW w:w="540" w:type="dxa"/>
            <w:vAlign w:val="bottom"/>
            <w:tcBorders>
              <w:bottom w:val="single" w:sz="8" w:color="9A9A9A"/>
            </w:tcBorders>
          </w:tcPr>
          <w:p>
            <w:pPr>
              <w:spacing w:after="0"/>
              <w:rPr>
                <w:sz w:val="7"/>
                <w:szCs w:val="7"/>
                <w:color w:val="auto"/>
              </w:rPr>
            </w:pPr>
          </w:p>
        </w:tc>
        <w:tc>
          <w:tcPr>
            <w:tcW w:w="1140" w:type="dxa"/>
            <w:vAlign w:val="bottom"/>
            <w:tcBorders>
              <w:bottom w:val="single" w:sz="8" w:color="9A9A9A"/>
            </w:tcBorders>
          </w:tcPr>
          <w:p>
            <w:pPr>
              <w:spacing w:after="0"/>
              <w:rPr>
                <w:sz w:val="7"/>
                <w:szCs w:val="7"/>
                <w:color w:val="auto"/>
              </w:rPr>
            </w:pPr>
          </w:p>
        </w:tc>
        <w:tc>
          <w:tcPr>
            <w:tcW w:w="4440" w:type="dxa"/>
            <w:vAlign w:val="bottom"/>
            <w:tcBorders>
              <w:bottom w:val="single" w:sz="8" w:color="9A9A9A"/>
            </w:tcBorders>
          </w:tcPr>
          <w:p>
            <w:pPr>
              <w:spacing w:after="0"/>
              <w:rPr>
                <w:sz w:val="7"/>
                <w:szCs w:val="7"/>
                <w:color w:val="auto"/>
              </w:rPr>
            </w:pPr>
          </w:p>
        </w:tc>
        <w:tc>
          <w:tcPr>
            <w:tcW w:w="1420" w:type="dxa"/>
            <w:vAlign w:val="bottom"/>
            <w:tcBorders>
              <w:bottom w:val="single" w:sz="8" w:color="9A9A9A"/>
            </w:tcBorders>
          </w:tcPr>
          <w:p>
            <w:pPr>
              <w:spacing w:after="0"/>
              <w:rPr>
                <w:sz w:val="7"/>
                <w:szCs w:val="7"/>
                <w:color w:val="auto"/>
              </w:rPr>
            </w:pPr>
          </w:p>
        </w:tc>
        <w:tc>
          <w:tcPr>
            <w:tcW w:w="940" w:type="dxa"/>
            <w:vAlign w:val="bottom"/>
            <w:tcBorders>
              <w:bottom w:val="single" w:sz="8" w:color="9A9A9A"/>
            </w:tcBorders>
          </w:tcPr>
          <w:p>
            <w:pPr>
              <w:spacing w:after="0"/>
              <w:rPr>
                <w:sz w:val="7"/>
                <w:szCs w:val="7"/>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7145655</wp:posOffset>
            </wp:positionH>
            <wp:positionV relativeFrom="paragraph">
              <wp:posOffset>-25400</wp:posOffset>
            </wp:positionV>
            <wp:extent cx="32385" cy="38735"/>
            <wp:wrapNone/>
            <wp:docPr id="74" name="Picture 7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4"/>
                    <pic:cNvPicPr>
                      <a:picLocks noChangeAspect="1" noChangeArrowheads="1"/>
                    </pic:cNvPicPr>
                  </pic:nvPicPr>
                  <pic:blipFill>
                    <a:blip r:embed="rId81">
                      <a:extLst>
                        <a:ext uri="{28A0092B-C50C-407E-A947-70E740481C1C}"/>
                      </a:extLst>
                    </a:blip>
                    <a:srcRect/>
                    <a:stretch>
                      <a:fillRect/>
                    </a:stretch>
                  </pic:blipFill>
                  <pic:spPr bwMode="auto">
                    <a:xfrm>
                      <a:off x="0" y="0"/>
                      <a:ext cx="32385" cy="38735"/>
                    </a:xfrm>
                    <a:prstGeom prst="rect">
                      <a:avLst/>
                    </a:prstGeom>
                    <a:noFill/>
                  </pic:spPr>
                </pic:pic>
              </a:graphicData>
            </a:graphic>
          </wp:anchor>
        </w:drawing>
        <w:drawing>
          <wp:anchor simplePos="0" relativeHeight="251657728" behindDoc="1" locked="0" layoutInCell="0" allowOverlap="1">
            <wp:simplePos x="0" y="0"/>
            <wp:positionH relativeFrom="column">
              <wp:posOffset>-8890</wp:posOffset>
            </wp:positionH>
            <wp:positionV relativeFrom="paragraph">
              <wp:posOffset>-25400</wp:posOffset>
            </wp:positionV>
            <wp:extent cx="32385" cy="38735"/>
            <wp:wrapNone/>
            <wp:docPr id="75" name="Picture 7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5"/>
                    <pic:cNvPicPr>
                      <a:picLocks noChangeAspect="1" noChangeArrowheads="1"/>
                    </pic:cNvPicPr>
                  </pic:nvPicPr>
                  <pic:blipFill>
                    <a:blip r:embed="rId82">
                      <a:extLst>
                        <a:ext uri="{28A0092B-C50C-407E-A947-70E740481C1C}"/>
                      </a:extLst>
                    </a:blip>
                    <a:srcRect/>
                    <a:stretch>
                      <a:fillRect/>
                    </a:stretch>
                  </pic:blipFill>
                  <pic:spPr bwMode="auto">
                    <a:xfrm>
                      <a:off x="0" y="0"/>
                      <a:ext cx="32385" cy="38735"/>
                    </a:xfrm>
                    <a:prstGeom prst="rect">
                      <a:avLst/>
                    </a:prstGeom>
                    <a:noFill/>
                  </pic:spPr>
                </pic:pic>
              </a:graphicData>
            </a:graphic>
          </wp:anchor>
        </w:drawing>
      </w:r>
    </w:p>
    <w:p>
      <w:pPr>
        <w:sectPr>
          <w:pgSz w:w="11900" w:h="16838" w:orient="portrait"/>
          <w:cols w:equalWidth="0" w:num="1">
            <w:col w:w="11280"/>
          </w:cols>
          <w:pgMar w:left="300" w:top="728" w:right="319" w:bottom="1440" w:gutter="0" w:footer="0" w:header="0"/>
        </w:sectPr>
      </w:pPr>
    </w:p>
    <w:bookmarkStart w:id="43" w:name="page44"/>
    <w:bookmarkEnd w:id="43"/>
    <w:p>
      <w:pPr>
        <w:spacing w:after="0"/>
        <w:rPr>
          <w:sz w:val="20"/>
          <w:szCs w:val="20"/>
          <w:color w:val="auto"/>
        </w:rPr>
      </w:pPr>
      <w:r>
        <w:rPr>
          <w:rFonts w:ascii="Times New Roman" w:cs="Times New Roman" w:eastAsia="Times New Roman" w:hAnsi="Times New Roman"/>
          <w:sz w:val="14"/>
          <w:szCs w:val="14"/>
          <w:b w:val="1"/>
          <w:bCs w:val="1"/>
          <w:color w:val="auto"/>
        </w:rPr>
        <w:t>REPORT OF INDEPENDENT REGISTERED PUBLIC ACCOUNTING FIRM</w:t>
      </w:r>
    </w:p>
    <w:p>
      <w:pPr>
        <w:spacing w:after="0" w:line="127"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color w:val="auto"/>
        </w:rPr>
        <w:t>Stockholders and Board of Directors</w:t>
      </w:r>
    </w:p>
    <w:p>
      <w:pPr>
        <w:spacing w:after="0" w:line="94"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color w:val="auto"/>
        </w:rPr>
        <w:t>Westwood Holdings Group, Inc.</w:t>
      </w:r>
    </w:p>
    <w:p>
      <w:pPr>
        <w:spacing w:after="0" w:line="94"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color w:val="auto"/>
        </w:rPr>
        <w:t>Dallas, Texas</w:t>
      </w:r>
    </w:p>
    <w:p>
      <w:pPr>
        <w:spacing w:after="0" w:line="92"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b w:val="1"/>
          <w:bCs w:val="1"/>
          <w:color w:val="auto"/>
        </w:rPr>
        <w:t>Opinion on the Consolidated Financial Statements</w:t>
      </w:r>
    </w:p>
    <w:p>
      <w:pPr>
        <w:spacing w:after="0" w:line="96" w:lineRule="exact"/>
        <w:rPr>
          <w:sz w:val="20"/>
          <w:szCs w:val="20"/>
          <w:color w:val="auto"/>
        </w:rPr>
      </w:pPr>
    </w:p>
    <w:p>
      <w:pPr>
        <w:jc w:val="both"/>
        <w:spacing w:after="0" w:line="264" w:lineRule="auto"/>
        <w:rPr>
          <w:sz w:val="20"/>
          <w:szCs w:val="20"/>
          <w:color w:val="auto"/>
        </w:rPr>
      </w:pPr>
      <w:r>
        <w:rPr>
          <w:rFonts w:ascii="Times New Roman" w:cs="Times New Roman" w:eastAsia="Times New Roman" w:hAnsi="Times New Roman"/>
          <w:sz w:val="14"/>
          <w:szCs w:val="14"/>
          <w:color w:val="auto"/>
        </w:rPr>
        <w:t>We have audited the accompanying consolidated balance sheets of Westwood Holdings Group, Inc. (the “Company”) as of December 31, 2025 and 2024, the related consolidated statements of operations, stockholders’ equity, and cash flows for each of the three years in the period ended December 31, 2025, and the related notes (collectively referred to as the “consolidated financial statements”). In our opinion, the consolidated financial statements present fairly, in all material respects, the financial position of the Company at December 31, 2025 and 2024, and the results of its operations and its cash flows for each of the three years in the period ended December 31, 2025, in conformity with accounting principles generally accepted in the United States of America.</w:t>
      </w:r>
    </w:p>
    <w:p>
      <w:pPr>
        <w:spacing w:after="0" w:line="54"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b w:val="1"/>
          <w:bCs w:val="1"/>
          <w:color w:val="auto"/>
        </w:rPr>
        <w:t>Basis for Opinion</w:t>
      </w:r>
    </w:p>
    <w:p>
      <w:pPr>
        <w:spacing w:after="0" w:line="96" w:lineRule="exact"/>
        <w:rPr>
          <w:sz w:val="20"/>
          <w:szCs w:val="20"/>
          <w:color w:val="auto"/>
        </w:rPr>
      </w:pPr>
    </w:p>
    <w:p>
      <w:pPr>
        <w:jc w:val="both"/>
        <w:spacing w:after="0" w:line="270" w:lineRule="auto"/>
        <w:rPr>
          <w:sz w:val="20"/>
          <w:szCs w:val="20"/>
          <w:color w:val="auto"/>
        </w:rPr>
      </w:pPr>
      <w:r>
        <w:rPr>
          <w:rFonts w:ascii="Times New Roman" w:cs="Times New Roman" w:eastAsia="Times New Roman" w:hAnsi="Times New Roman"/>
          <w:sz w:val="14"/>
          <w:szCs w:val="14"/>
          <w:color w:val="auto"/>
        </w:rPr>
        <w:t>These consolidated financial statements are the responsibility of the Company’s management. Our responsibility is to express an opinion on the Company’s consolidated financial statements based on our audits. We are a public accounting firm registered with the Public Company Accounting Oversight Board (United States) (PCAOB) and are required to be independent with respect to the Company in accordance with the U.S. federal securities laws and the applicable rules and regulations of the Securities and Exchange Commission and the PCAOB.</w:t>
      </w:r>
    </w:p>
    <w:p>
      <w:pPr>
        <w:spacing w:after="0" w:line="51" w:lineRule="exact"/>
        <w:rPr>
          <w:sz w:val="20"/>
          <w:szCs w:val="20"/>
          <w:color w:val="auto"/>
        </w:rPr>
      </w:pPr>
    </w:p>
    <w:p>
      <w:pPr>
        <w:jc w:val="both"/>
        <w:spacing w:after="0" w:line="264" w:lineRule="auto"/>
        <w:rPr>
          <w:sz w:val="20"/>
          <w:szCs w:val="20"/>
          <w:color w:val="auto"/>
        </w:rPr>
      </w:pPr>
      <w:r>
        <w:rPr>
          <w:rFonts w:ascii="Times New Roman" w:cs="Times New Roman" w:eastAsia="Times New Roman" w:hAnsi="Times New Roman"/>
          <w:sz w:val="14"/>
          <w:szCs w:val="14"/>
          <w:color w:val="auto"/>
        </w:rPr>
        <w:t>We conducted our audits in accordance with the standards of the PCAOB. Those standards require that we plan and perform the audit to obtain reasonable assurance about whether the consolidated financial statements are free of material misstatement, whether due to error or fraud. The Company is not required to have, nor were we engaged to perform, an audit of its internal control over financial reporting. As part of our audits we are required to obtain an understanding of internal control over financial reporting but not for the purpose of expressing an opinion on the effectiveness of the Company’s internal control over financial reporting. Accordingly, we express no such opinion.</w:t>
      </w:r>
    </w:p>
    <w:p>
      <w:pPr>
        <w:spacing w:after="0" w:line="56" w:lineRule="exact"/>
        <w:rPr>
          <w:sz w:val="20"/>
          <w:szCs w:val="20"/>
          <w:color w:val="auto"/>
        </w:rPr>
      </w:pPr>
    </w:p>
    <w:p>
      <w:pPr>
        <w:jc w:val="both"/>
        <w:spacing w:after="0" w:line="264" w:lineRule="auto"/>
        <w:rPr>
          <w:sz w:val="20"/>
          <w:szCs w:val="20"/>
          <w:color w:val="auto"/>
        </w:rPr>
      </w:pPr>
      <w:r>
        <w:rPr>
          <w:rFonts w:ascii="Times New Roman" w:cs="Times New Roman" w:eastAsia="Times New Roman" w:hAnsi="Times New Roman"/>
          <w:sz w:val="14"/>
          <w:szCs w:val="14"/>
          <w:color w:val="auto"/>
        </w:rPr>
        <w:t>Our audits included performing procedures to assess the risks of material misstatement of the consolidated financial statements, whether due to error or fraud, and performing procedures that respond to those risks. Such procedures included examining, on a test basis, evidence regarding the amounts and disclosures in the consolidated financial statements. Our audits also included evaluating the accounting principles used and significant estimates made by management, as well as evaluating the overall presentation of the consolidated financial statements. We believe that our audits provide a reasonable basis for our opinion.</w:t>
      </w:r>
    </w:p>
    <w:p>
      <w:pPr>
        <w:spacing w:after="0" w:line="54"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b w:val="1"/>
          <w:bCs w:val="1"/>
          <w:color w:val="auto"/>
        </w:rPr>
        <w:t>Critical Audit Matter</w:t>
      </w:r>
    </w:p>
    <w:p>
      <w:pPr>
        <w:spacing w:after="0" w:line="96" w:lineRule="exact"/>
        <w:rPr>
          <w:sz w:val="20"/>
          <w:szCs w:val="20"/>
          <w:color w:val="auto"/>
        </w:rPr>
      </w:pPr>
    </w:p>
    <w:p>
      <w:pPr>
        <w:jc w:val="both"/>
        <w:spacing w:after="0" w:line="264" w:lineRule="auto"/>
        <w:rPr>
          <w:sz w:val="20"/>
          <w:szCs w:val="20"/>
          <w:color w:val="auto"/>
        </w:rPr>
      </w:pPr>
      <w:r>
        <w:rPr>
          <w:rFonts w:ascii="Times New Roman" w:cs="Times New Roman" w:eastAsia="Times New Roman" w:hAnsi="Times New Roman"/>
          <w:sz w:val="14"/>
          <w:szCs w:val="14"/>
          <w:color w:val="auto"/>
        </w:rPr>
        <w:t xml:space="preserve">The critical audit matter communicated below is a matter arising from the current period audit of the consolidated financial statements that was communicated or required to be communicated to the audit committee and that: (1) relates to accounts or disclosures that are material to the consolidated financial statements and (2) involved our especially challenging, subjective, or complex judgments. The communication of the critical audit matter does not alter in any way our opinion on the consolidated financial statements, </w:t>
      </w:r>
      <w:r>
        <w:rPr>
          <w:rFonts w:ascii="Times New Roman" w:cs="Times New Roman" w:eastAsia="Times New Roman" w:hAnsi="Times New Roman"/>
          <w:sz w:val="14"/>
          <w:szCs w:val="14"/>
          <w:color w:val="212529"/>
        </w:rPr>
        <w:t>taken as a whole, and we are not, by communicating the critical audit</w:t>
      </w:r>
      <w:r>
        <w:rPr>
          <w:rFonts w:ascii="Times New Roman" w:cs="Times New Roman" w:eastAsia="Times New Roman" w:hAnsi="Times New Roman"/>
          <w:sz w:val="14"/>
          <w:szCs w:val="14"/>
          <w:color w:val="auto"/>
        </w:rPr>
        <w:t xml:space="preserve"> </w:t>
      </w:r>
      <w:r>
        <w:rPr>
          <w:rFonts w:ascii="Times New Roman" w:cs="Times New Roman" w:eastAsia="Times New Roman" w:hAnsi="Times New Roman"/>
          <w:sz w:val="14"/>
          <w:szCs w:val="14"/>
          <w:color w:val="212529"/>
        </w:rPr>
        <w:t>matter below, providing a separate opinion on the critical audit matter or on the accounts or disclosures to which it relates.</w:t>
      </w:r>
    </w:p>
    <w:p>
      <w:pPr>
        <w:spacing w:after="0" w:line="54"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i w:val="1"/>
          <w:iCs w:val="1"/>
          <w:color w:val="212529"/>
        </w:rPr>
        <w:t>Revenue Recognition for Advisory and Trust Revenues</w:t>
      </w:r>
    </w:p>
    <w:p>
      <w:pPr>
        <w:spacing w:after="0" w:line="96" w:lineRule="exact"/>
        <w:rPr>
          <w:sz w:val="20"/>
          <w:szCs w:val="20"/>
          <w:color w:val="auto"/>
        </w:rPr>
      </w:pPr>
    </w:p>
    <w:p>
      <w:pPr>
        <w:jc w:val="both"/>
        <w:spacing w:after="0" w:line="270" w:lineRule="auto"/>
        <w:rPr>
          <w:sz w:val="20"/>
          <w:szCs w:val="20"/>
          <w:color w:val="auto"/>
        </w:rPr>
      </w:pPr>
      <w:r>
        <w:rPr>
          <w:rFonts w:ascii="Times New Roman" w:cs="Times New Roman" w:eastAsia="Times New Roman" w:hAnsi="Times New Roman"/>
          <w:sz w:val="14"/>
          <w:szCs w:val="14"/>
          <w:color w:val="212529"/>
        </w:rPr>
        <w:t>As described in Note 4 to the consolidated financial statements, during the year ended December 31, 2025, the Company recognized $74.7 million and $21.6 million of advisory and trust revenues, respectively, excluding performance-based fees. Advisory and trust fees are typically calculated based on a percentage of assets under management (“AUM”) and assets under advisement (“AUA”) and are recognized as services are rendered.</w:t>
      </w:r>
    </w:p>
    <w:p>
      <w:pPr>
        <w:spacing w:after="0" w:line="51" w:lineRule="exact"/>
        <w:rPr>
          <w:sz w:val="20"/>
          <w:szCs w:val="20"/>
          <w:color w:val="auto"/>
        </w:rPr>
      </w:pPr>
    </w:p>
    <w:p>
      <w:pPr>
        <w:jc w:val="both"/>
        <w:spacing w:after="0" w:line="287" w:lineRule="auto"/>
        <w:rPr>
          <w:sz w:val="20"/>
          <w:szCs w:val="20"/>
          <w:color w:val="auto"/>
        </w:rPr>
      </w:pPr>
      <w:r>
        <w:rPr>
          <w:rFonts w:ascii="Times New Roman" w:cs="Times New Roman" w:eastAsia="Times New Roman" w:hAnsi="Times New Roman"/>
          <w:sz w:val="14"/>
          <w:szCs w:val="14"/>
          <w:color w:val="212529"/>
        </w:rPr>
        <w:t>We identified the auditing of the recognition of advisory and trust revenues as a critical audit matter, as auditing advisory and trust revenues involved especially challenging auditor judgment due to the nature and extent of audit effort required to address this matter.</w:t>
      </w:r>
    </w:p>
    <w:p>
      <w:pPr>
        <w:spacing w:after="0" w:line="39"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color w:val="212529"/>
        </w:rPr>
        <w:t>The primary procedures we performed to address this critical audit matter included:</w:t>
      </w:r>
    </w:p>
    <w:p>
      <w:pPr>
        <w:spacing w:after="0" w:line="94" w:lineRule="exact"/>
        <w:rPr>
          <w:sz w:val="20"/>
          <w:szCs w:val="20"/>
          <w:color w:val="auto"/>
        </w:rPr>
      </w:pPr>
    </w:p>
    <w:p>
      <w:pPr>
        <w:ind w:left="520" w:hanging="260"/>
        <w:spacing w:after="0" w:line="287" w:lineRule="auto"/>
        <w:tabs>
          <w:tab w:leader="none" w:pos="516" w:val="left"/>
        </w:tabs>
        <w:numPr>
          <w:ilvl w:val="0"/>
          <w:numId w:val="17"/>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212529"/>
        </w:rPr>
        <w:t>Evaluating the amount of advisory and trust revenues recognized by performing substantive analytical procedures, which includes developing expectations of advisory and trust revenues based on the contractual advisory and trust rates, and the AUM/AUA balances, and comparing the expectations to the amount of revenues recorded by the Company.</w:t>
      </w:r>
    </w:p>
    <w:p>
      <w:pPr>
        <w:spacing w:after="0" w:line="38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4"/>
          <w:szCs w:val="14"/>
          <w:color w:val="auto"/>
        </w:rPr>
        <w:t>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-8890</wp:posOffset>
            </wp:positionH>
            <wp:positionV relativeFrom="paragraph">
              <wp:posOffset>55880</wp:posOffset>
            </wp:positionV>
            <wp:extent cx="7186930" cy="38735"/>
            <wp:wrapNone/>
            <wp:docPr id="76" name="Picture 7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6"/>
                    <pic:cNvPicPr>
                      <a:picLocks noChangeAspect="1" noChangeArrowheads="1"/>
                    </pic:cNvPicPr>
                  </pic:nvPicPr>
                  <pic:blipFill>
                    <a:blip r:embed="rId83">
                      <a:extLst>
                        <a:ext uri="{28A0092B-C50C-407E-A947-70E740481C1C}"/>
                      </a:extLst>
                    </a:blip>
                    <a:srcRect/>
                    <a:stretch>
                      <a:fillRect/>
                    </a:stretch>
                  </pic:blipFill>
                  <pic:spPr bwMode="auto">
                    <a:xfrm>
                      <a:off x="0" y="0"/>
                      <a:ext cx="7186930" cy="38735"/>
                    </a:xfrm>
                    <a:prstGeom prst="rect">
                      <a:avLst/>
                    </a:prstGeom>
                    <a:noFill/>
                  </pic:spPr>
                </pic:pic>
              </a:graphicData>
            </a:graphic>
          </wp:anchor>
        </w:drawing>
      </w:r>
    </w:p>
    <w:p>
      <w:pPr>
        <w:sectPr>
          <w:pgSz w:w="11900" w:h="16838" w:orient="portrait"/>
          <w:cols w:equalWidth="0" w:num="1">
            <w:col w:w="11280"/>
          </w:cols>
          <w:pgMar w:left="300" w:top="812" w:right="319" w:bottom="1440" w:gutter="0" w:footer="0" w:header="0"/>
        </w:sectPr>
      </w:pPr>
    </w:p>
    <w:bookmarkStart w:id="44" w:name="page45"/>
    <w:bookmarkEnd w:id="44"/>
    <w:p>
      <w:pPr>
        <w:jc w:val="both"/>
        <w:ind w:left="520" w:hanging="260"/>
        <w:spacing w:after="0" w:line="270" w:lineRule="auto"/>
        <w:tabs>
          <w:tab w:leader="none" w:pos="516" w:val="left"/>
        </w:tabs>
        <w:numPr>
          <w:ilvl w:val="0"/>
          <w:numId w:val="18"/>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 xml:space="preserve">Testing the accuracy of the data used to calculate the Company’s advisory and trust revenue, by selecting a sample of advisory and trust accounts, and: (i) testing the accuracy of the percentage rates used in the calculation of the sampled account by verifying the percentage rates against the respective </w:t>
      </w:r>
      <w:r>
        <w:rPr>
          <w:rFonts w:ascii="Times New Roman" w:cs="Times New Roman" w:eastAsia="Times New Roman" w:hAnsi="Times New Roman"/>
          <w:sz w:val="14"/>
          <w:szCs w:val="14"/>
          <w:color w:val="212529"/>
        </w:rPr>
        <w:t>investment advisory agreements, and (ii)</w:t>
      </w:r>
      <w:r>
        <w:rPr>
          <w:rFonts w:ascii="Times New Roman" w:cs="Times New Roman" w:eastAsia="Times New Roman" w:hAnsi="Times New Roman"/>
          <w:sz w:val="14"/>
          <w:szCs w:val="14"/>
          <w:color w:val="auto"/>
        </w:rPr>
        <w:t xml:space="preserve"> testing the accuracy of the AUM/AUA data used in the calculation of the sampled account by verifying the security pricing information against third party statements and market data.</w:t>
      </w:r>
    </w:p>
    <w:p>
      <w:pPr>
        <w:spacing w:after="0" w:line="51"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color w:val="auto"/>
        </w:rPr>
        <w:t>We have served as the Company's auditor since 2022.</w:t>
      </w:r>
    </w:p>
    <w:p>
      <w:pPr>
        <w:spacing w:after="0" w:line="338" w:lineRule="exact"/>
        <w:rPr>
          <w:sz w:val="20"/>
          <w:szCs w:val="20"/>
          <w:color w:val="auto"/>
        </w:rPr>
      </w:pPr>
    </w:p>
    <w:p>
      <w:pPr>
        <w:ind w:left="20"/>
        <w:spacing w:after="0"/>
        <w:tabs>
          <w:tab w:leader="none" w:pos="380" w:val="left"/>
        </w:tabs>
        <w:rPr>
          <w:sz w:val="20"/>
          <w:szCs w:val="20"/>
          <w:color w:val="auto"/>
        </w:rPr>
      </w:pPr>
      <w:r>
        <w:rPr>
          <w:rFonts w:ascii="Times New Roman" w:cs="Times New Roman" w:eastAsia="Times New Roman" w:hAnsi="Times New Roman"/>
          <w:sz w:val="14"/>
          <w:szCs w:val="14"/>
          <w:color w:val="auto"/>
        </w:rPr>
        <w:t>/s/</w:t>
      </w:r>
      <w:r>
        <w:rPr>
          <w:sz w:val="20"/>
          <w:szCs w:val="20"/>
          <w:color w:val="auto"/>
        </w:rPr>
        <w:tab/>
      </w:r>
      <w:r>
        <w:rPr>
          <w:rFonts w:ascii="Times New Roman" w:cs="Times New Roman" w:eastAsia="Times New Roman" w:hAnsi="Times New Roman"/>
          <w:sz w:val="14"/>
          <w:szCs w:val="14"/>
          <w:color w:val="auto"/>
        </w:rPr>
        <w:t>BDO USA, P.C.</w:t>
      </w:r>
    </w:p>
    <w:p>
      <w:pPr>
        <w:spacing w:after="0" w:line="23" w:lineRule="exact"/>
        <w:rPr>
          <w:sz w:val="20"/>
          <w:szCs w:val="20"/>
          <w:color w:val="auto"/>
        </w:rPr>
      </w:pPr>
    </w:p>
    <w:p>
      <w:pPr>
        <w:ind w:left="20"/>
        <w:spacing w:after="0"/>
        <w:rPr>
          <w:sz w:val="20"/>
          <w:szCs w:val="20"/>
          <w:color w:val="auto"/>
        </w:rPr>
      </w:pPr>
      <w:r>
        <w:rPr>
          <w:rFonts w:ascii="Times New Roman" w:cs="Times New Roman" w:eastAsia="Times New Roman" w:hAnsi="Times New Roman"/>
          <w:sz w:val="14"/>
          <w:szCs w:val="14"/>
          <w:color w:val="auto"/>
        </w:rPr>
        <w:t>Dallas, Texas</w:t>
      </w:r>
    </w:p>
    <w:p>
      <w:pPr>
        <w:spacing w:after="0" w:line="19" w:lineRule="exact"/>
        <w:rPr>
          <w:sz w:val="20"/>
          <w:szCs w:val="20"/>
          <w:color w:val="auto"/>
        </w:rPr>
      </w:pPr>
    </w:p>
    <w:p>
      <w:pPr>
        <w:ind w:left="20"/>
        <w:spacing w:after="0"/>
        <w:rPr>
          <w:sz w:val="20"/>
          <w:szCs w:val="20"/>
          <w:color w:val="auto"/>
        </w:rPr>
      </w:pPr>
      <w:r>
        <w:rPr>
          <w:rFonts w:ascii="Times New Roman" w:cs="Times New Roman" w:eastAsia="Times New Roman" w:hAnsi="Times New Roman"/>
          <w:sz w:val="14"/>
          <w:szCs w:val="14"/>
          <w:color w:val="auto"/>
        </w:rPr>
        <w:t>March 4, 2026</w:t>
      </w:r>
    </w:p>
    <w:p>
      <w:pPr>
        <w:spacing w:after="0" w:line="200" w:lineRule="exact"/>
        <w:rPr>
          <w:sz w:val="20"/>
          <w:szCs w:val="20"/>
          <w:color w:val="auto"/>
        </w:rPr>
      </w:pPr>
    </w:p>
    <w:p>
      <w:pPr>
        <w:spacing w:after="0" w:line="314"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4"/>
          <w:szCs w:val="14"/>
          <w:color w:val="auto"/>
        </w:rPr>
        <w:t>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-8890</wp:posOffset>
            </wp:positionH>
            <wp:positionV relativeFrom="paragraph">
              <wp:posOffset>55880</wp:posOffset>
            </wp:positionV>
            <wp:extent cx="7186930" cy="38735"/>
            <wp:wrapNone/>
            <wp:docPr id="77" name="Picture 7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7"/>
                    <pic:cNvPicPr>
                      <a:picLocks noChangeAspect="1" noChangeArrowheads="1"/>
                    </pic:cNvPicPr>
                  </pic:nvPicPr>
                  <pic:blipFill>
                    <a:blip r:embed="rId84">
                      <a:extLst>
                        <a:ext uri="{28A0092B-C50C-407E-A947-70E740481C1C}"/>
                      </a:extLst>
                    </a:blip>
                    <a:srcRect/>
                    <a:stretch>
                      <a:fillRect/>
                    </a:stretch>
                  </pic:blipFill>
                  <pic:spPr bwMode="auto">
                    <a:xfrm>
                      <a:off x="0" y="0"/>
                      <a:ext cx="7186930" cy="38735"/>
                    </a:xfrm>
                    <a:prstGeom prst="rect">
                      <a:avLst/>
                    </a:prstGeom>
                    <a:noFill/>
                  </pic:spPr>
                </pic:pic>
              </a:graphicData>
            </a:graphic>
          </wp:anchor>
        </w:drawing>
      </w:r>
    </w:p>
    <w:p>
      <w:pPr>
        <w:sectPr>
          <w:pgSz w:w="11900" w:h="16838" w:orient="portrait"/>
          <w:cols w:equalWidth="0" w:num="1">
            <w:col w:w="11280"/>
          </w:cols>
          <w:pgMar w:left="300" w:top="814" w:right="319" w:bottom="1440" w:gutter="0" w:footer="0" w:header="0"/>
        </w:sectPr>
      </w:pPr>
    </w:p>
    <w:bookmarkStart w:id="45" w:name="page46"/>
    <w:bookmarkEnd w:id="45"/>
    <w:p>
      <w:pPr>
        <w:ind w:left="4360"/>
        <w:spacing w:after="0"/>
        <w:rPr>
          <w:sz w:val="20"/>
          <w:szCs w:val="20"/>
          <w:color w:val="auto"/>
        </w:rPr>
      </w:pPr>
      <w:r>
        <w:rPr>
          <w:rFonts w:ascii="Times New Roman" w:cs="Times New Roman" w:eastAsia="Times New Roman" w:hAnsi="Times New Roman"/>
          <w:sz w:val="14"/>
          <w:szCs w:val="14"/>
          <w:b w:val="1"/>
          <w:bCs w:val="1"/>
          <w:color w:val="auto"/>
        </w:rPr>
        <w:t>WESTWOOD HOLDINGS GROUP, INC.</w:t>
      </w:r>
    </w:p>
    <w:p>
      <w:pPr>
        <w:spacing w:after="0" w:line="94" w:lineRule="exact"/>
        <w:rPr>
          <w:sz w:val="20"/>
          <w:szCs w:val="20"/>
          <w:color w:val="auto"/>
        </w:rPr>
      </w:pPr>
    </w:p>
    <w:p>
      <w:pPr>
        <w:ind w:left="4400"/>
        <w:spacing w:after="0"/>
        <w:rPr>
          <w:sz w:val="20"/>
          <w:szCs w:val="20"/>
          <w:color w:val="auto"/>
        </w:rPr>
      </w:pPr>
      <w:r>
        <w:rPr>
          <w:rFonts w:ascii="Times New Roman" w:cs="Times New Roman" w:eastAsia="Times New Roman" w:hAnsi="Times New Roman"/>
          <w:sz w:val="14"/>
          <w:szCs w:val="14"/>
          <w:b w:val="1"/>
          <w:bCs w:val="1"/>
          <w:color w:val="auto"/>
        </w:rPr>
        <w:t>CONSOLIDATED BALANCE SHEETS</w:t>
      </w:r>
    </w:p>
    <w:p>
      <w:pPr>
        <w:spacing w:after="0" w:line="25" w:lineRule="exact"/>
        <w:rPr>
          <w:sz w:val="20"/>
          <w:szCs w:val="20"/>
          <w:color w:val="auto"/>
        </w:rPr>
      </w:pPr>
    </w:p>
    <w:p>
      <w:pPr>
        <w:jc w:val="center"/>
        <w:ind w:right="20"/>
        <w:spacing w:after="0"/>
        <w:rPr>
          <w:sz w:val="20"/>
          <w:szCs w:val="20"/>
          <w:color w:val="auto"/>
        </w:rPr>
      </w:pPr>
      <w:r>
        <w:rPr>
          <w:rFonts w:ascii="Times New Roman" w:cs="Times New Roman" w:eastAsia="Times New Roman" w:hAnsi="Times New Roman"/>
          <w:sz w:val="13"/>
          <w:szCs w:val="13"/>
          <w:b w:val="1"/>
          <w:bCs w:val="1"/>
          <w:color w:val="auto"/>
        </w:rPr>
        <w:t>(in thousands, except par values and share amounts)</w:t>
      </w:r>
    </w:p>
    <w:p>
      <w:pPr>
        <w:spacing w:after="0" w:line="19" w:lineRule="exact"/>
        <w:rPr>
          <w:sz w:val="20"/>
          <w:szCs w:val="20"/>
          <w:color w:val="auto"/>
        </w:rPr>
      </w:pPr>
    </w:p>
    <w:tbl>
      <w:tblPr>
        <w:tblLayout w:type="fixed"/>
        <w:tblInd w:w="0" w:type="dxa"/>
        <w:tblCellMar>
          <w:top w:w="0" w:type="dxa"/>
          <w:left w:w="0" w:type="dxa"/>
          <w:bottom w:w="0" w:type="dxa"/>
          <w:right w:w="0" w:type="dxa"/>
        </w:tblCellMar>
      </w:tblPr>
      <w:tr>
        <w:trPr>
          <w:trHeight w:val="170"/>
        </w:trPr>
        <w:tc>
          <w:tcPr>
            <w:tcW w:w="8400" w:type="dxa"/>
            <w:vAlign w:val="bottom"/>
          </w:tcPr>
          <w:p>
            <w:pPr>
              <w:spacing w:after="0"/>
              <w:rPr>
                <w:sz w:val="14"/>
                <w:szCs w:val="14"/>
                <w:color w:val="auto"/>
              </w:rPr>
            </w:pPr>
          </w:p>
        </w:tc>
        <w:tc>
          <w:tcPr>
            <w:tcW w:w="860" w:type="dxa"/>
            <w:vAlign w:val="bottom"/>
            <w:tcBorders>
              <w:bottom w:val="single" w:sz="8" w:color="auto"/>
            </w:tcBorders>
          </w:tcPr>
          <w:p>
            <w:pPr>
              <w:spacing w:after="0"/>
              <w:rPr>
                <w:sz w:val="14"/>
                <w:szCs w:val="14"/>
                <w:color w:val="auto"/>
              </w:rPr>
            </w:pPr>
          </w:p>
        </w:tc>
        <w:tc>
          <w:tcPr>
            <w:tcW w:w="1060" w:type="dxa"/>
            <w:vAlign w:val="bottom"/>
            <w:tcBorders>
              <w:bottom w:val="single" w:sz="8" w:color="auto"/>
            </w:tcBorders>
            <w:gridSpan w:val="3"/>
          </w:tcPr>
          <w:p>
            <w:pPr>
              <w:jc w:val="right"/>
              <w:ind w:right="56"/>
              <w:spacing w:after="0"/>
              <w:rPr>
                <w:sz w:val="20"/>
                <w:szCs w:val="20"/>
                <w:color w:val="auto"/>
              </w:rPr>
            </w:pPr>
            <w:r>
              <w:rPr>
                <w:rFonts w:ascii="Times New Roman" w:cs="Times New Roman" w:eastAsia="Times New Roman" w:hAnsi="Times New Roman"/>
                <w:sz w:val="13"/>
                <w:szCs w:val="13"/>
                <w:b w:val="1"/>
                <w:bCs w:val="1"/>
                <w:color w:val="auto"/>
              </w:rPr>
              <w:t>December 31,</w:t>
            </w:r>
          </w:p>
        </w:tc>
        <w:tc>
          <w:tcPr>
            <w:tcW w:w="940" w:type="dxa"/>
            <w:vAlign w:val="bottom"/>
            <w:tcBorders>
              <w:bottom w:val="single" w:sz="8" w:color="auto"/>
            </w:tcBorders>
          </w:tcPr>
          <w:p>
            <w:pPr>
              <w:spacing w:after="0"/>
              <w:rPr>
                <w:sz w:val="14"/>
                <w:szCs w:val="14"/>
                <w:color w:val="auto"/>
              </w:rPr>
            </w:pPr>
          </w:p>
        </w:tc>
        <w:tc>
          <w:tcPr>
            <w:tcW w:w="0" w:type="dxa"/>
            <w:vAlign w:val="bottom"/>
          </w:tcPr>
          <w:p>
            <w:pPr>
              <w:spacing w:after="0"/>
              <w:rPr>
                <w:sz w:val="1"/>
                <w:szCs w:val="1"/>
                <w:color w:val="auto"/>
              </w:rPr>
            </w:pPr>
          </w:p>
        </w:tc>
      </w:tr>
      <w:tr>
        <w:trPr>
          <w:trHeight w:val="161"/>
        </w:trPr>
        <w:tc>
          <w:tcPr>
            <w:tcW w:w="8400" w:type="dxa"/>
            <w:vAlign w:val="bottom"/>
            <w:tcBorders>
              <w:bottom w:val="single" w:sz="8" w:color="CCEEFF"/>
            </w:tcBorders>
          </w:tcPr>
          <w:p>
            <w:pPr>
              <w:spacing w:after="0"/>
              <w:rPr>
                <w:sz w:val="14"/>
                <w:szCs w:val="14"/>
                <w:color w:val="auto"/>
              </w:rPr>
            </w:pPr>
          </w:p>
        </w:tc>
        <w:tc>
          <w:tcPr>
            <w:tcW w:w="8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3"/>
                <w:szCs w:val="13"/>
                <w:b w:val="1"/>
                <w:bCs w:val="1"/>
                <w:color w:val="auto"/>
              </w:rPr>
              <w:t>2025</w:t>
            </w:r>
          </w:p>
        </w:tc>
        <w:tc>
          <w:tcPr>
            <w:tcW w:w="520" w:type="dxa"/>
            <w:vAlign w:val="bottom"/>
            <w:tcBorders>
              <w:bottom w:val="single" w:sz="8" w:color="auto"/>
            </w:tcBorders>
          </w:tcPr>
          <w:p>
            <w:pPr>
              <w:spacing w:after="0"/>
              <w:rPr>
                <w:sz w:val="14"/>
                <w:szCs w:val="14"/>
                <w:color w:val="auto"/>
              </w:rPr>
            </w:pPr>
          </w:p>
        </w:tc>
        <w:tc>
          <w:tcPr>
            <w:tcW w:w="100" w:type="dxa"/>
            <w:vAlign w:val="bottom"/>
            <w:tcBorders>
              <w:bottom w:val="single" w:sz="8" w:color="CCEEFF"/>
            </w:tcBorders>
          </w:tcPr>
          <w:p>
            <w:pPr>
              <w:spacing w:after="0"/>
              <w:rPr>
                <w:sz w:val="14"/>
                <w:szCs w:val="14"/>
                <w:color w:val="auto"/>
              </w:rPr>
            </w:pPr>
          </w:p>
        </w:tc>
        <w:tc>
          <w:tcPr>
            <w:tcW w:w="440" w:type="dxa"/>
            <w:vAlign w:val="bottom"/>
            <w:tcBorders>
              <w:bottom w:val="single" w:sz="8" w:color="auto"/>
            </w:tcBorders>
          </w:tcPr>
          <w:p>
            <w:pPr>
              <w:spacing w:after="0"/>
              <w:rPr>
                <w:sz w:val="14"/>
                <w:szCs w:val="14"/>
                <w:color w:val="auto"/>
              </w:rPr>
            </w:pPr>
          </w:p>
        </w:tc>
        <w:tc>
          <w:tcPr>
            <w:tcW w:w="940" w:type="dxa"/>
            <w:vAlign w:val="bottom"/>
            <w:tcBorders>
              <w:bottom w:val="single" w:sz="8" w:color="auto"/>
            </w:tcBorders>
          </w:tcPr>
          <w:p>
            <w:pPr>
              <w:jc w:val="right"/>
              <w:ind w:right="496"/>
              <w:spacing w:after="0"/>
              <w:rPr>
                <w:sz w:val="20"/>
                <w:szCs w:val="20"/>
                <w:color w:val="auto"/>
              </w:rPr>
            </w:pPr>
            <w:r>
              <w:rPr>
                <w:rFonts w:ascii="Times New Roman" w:cs="Times New Roman" w:eastAsia="Times New Roman" w:hAnsi="Times New Roman"/>
                <w:sz w:val="13"/>
                <w:szCs w:val="13"/>
                <w:b w:val="1"/>
                <w:bCs w:val="1"/>
                <w:color w:val="auto"/>
              </w:rPr>
              <w:t>2024</w:t>
            </w:r>
          </w:p>
        </w:tc>
        <w:tc>
          <w:tcPr>
            <w:tcW w:w="0" w:type="dxa"/>
            <w:vAlign w:val="bottom"/>
          </w:tcPr>
          <w:p>
            <w:pPr>
              <w:spacing w:after="0"/>
              <w:rPr>
                <w:sz w:val="1"/>
                <w:szCs w:val="1"/>
                <w:color w:val="auto"/>
              </w:rPr>
            </w:pPr>
          </w:p>
        </w:tc>
      </w:tr>
      <w:tr>
        <w:trPr>
          <w:trHeight w:val="162"/>
        </w:trPr>
        <w:tc>
          <w:tcPr>
            <w:tcW w:w="8400" w:type="dxa"/>
            <w:vAlign w:val="bottom"/>
            <w:shd w:val="clear" w:color="auto" w:fill="CCEEFF"/>
          </w:tcPr>
          <w:p>
            <w:pPr>
              <w:ind w:left="3920"/>
              <w:spacing w:after="0"/>
              <w:rPr>
                <w:sz w:val="20"/>
                <w:szCs w:val="20"/>
                <w:color w:val="auto"/>
              </w:rPr>
            </w:pPr>
            <w:r>
              <w:rPr>
                <w:rFonts w:ascii="Times New Roman" w:cs="Times New Roman" w:eastAsia="Times New Roman" w:hAnsi="Times New Roman"/>
                <w:sz w:val="13"/>
                <w:szCs w:val="13"/>
                <w:b w:val="1"/>
                <w:bCs w:val="1"/>
                <w:color w:val="auto"/>
              </w:rPr>
              <w:t>ASSETS</w:t>
            </w:r>
          </w:p>
        </w:tc>
        <w:tc>
          <w:tcPr>
            <w:tcW w:w="860" w:type="dxa"/>
            <w:vAlign w:val="bottom"/>
            <w:shd w:val="clear" w:color="auto" w:fill="CCEEFF"/>
          </w:tcPr>
          <w:p>
            <w:pPr>
              <w:spacing w:after="0"/>
              <w:rPr>
                <w:sz w:val="14"/>
                <w:szCs w:val="14"/>
                <w:color w:val="auto"/>
              </w:rPr>
            </w:pPr>
          </w:p>
        </w:tc>
        <w:tc>
          <w:tcPr>
            <w:tcW w:w="52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440" w:type="dxa"/>
            <w:vAlign w:val="bottom"/>
            <w:shd w:val="clear" w:color="auto" w:fill="CCEEFF"/>
          </w:tcPr>
          <w:p>
            <w:pPr>
              <w:spacing w:after="0"/>
              <w:rPr>
                <w:sz w:val="14"/>
                <w:szCs w:val="14"/>
                <w:color w:val="auto"/>
              </w:rPr>
            </w:pPr>
          </w:p>
        </w:tc>
        <w:tc>
          <w:tcPr>
            <w:tcW w:w="940" w:type="dxa"/>
            <w:vAlign w:val="bottom"/>
            <w:shd w:val="clear" w:color="auto" w:fill="CCEEFF"/>
          </w:tcPr>
          <w:p>
            <w:pPr>
              <w:spacing w:after="0"/>
              <w:rPr>
                <w:sz w:val="14"/>
                <w:szCs w:val="14"/>
                <w:color w:val="auto"/>
              </w:rPr>
            </w:pPr>
          </w:p>
        </w:tc>
        <w:tc>
          <w:tcPr>
            <w:tcW w:w="0" w:type="dxa"/>
            <w:vAlign w:val="bottom"/>
          </w:tcPr>
          <w:p>
            <w:pPr>
              <w:spacing w:after="0"/>
              <w:rPr>
                <w:sz w:val="1"/>
                <w:szCs w:val="1"/>
                <w:color w:val="auto"/>
              </w:rPr>
            </w:pPr>
          </w:p>
        </w:tc>
      </w:tr>
      <w:tr>
        <w:trPr>
          <w:trHeight w:val="168"/>
        </w:trPr>
        <w:tc>
          <w:tcPr>
            <w:tcW w:w="8400" w:type="dxa"/>
            <w:vAlign w:val="bottom"/>
          </w:tcPr>
          <w:p>
            <w:pPr>
              <w:spacing w:after="0"/>
              <w:rPr>
                <w:sz w:val="20"/>
                <w:szCs w:val="20"/>
                <w:color w:val="auto"/>
              </w:rPr>
            </w:pPr>
            <w:r>
              <w:rPr>
                <w:rFonts w:ascii="Times New Roman" w:cs="Times New Roman" w:eastAsia="Times New Roman" w:hAnsi="Times New Roman"/>
                <w:sz w:val="13"/>
                <w:szCs w:val="13"/>
                <w:color w:val="auto"/>
              </w:rPr>
              <w:t>Cash and cash equivalents</w:t>
            </w:r>
          </w:p>
        </w:tc>
        <w:tc>
          <w:tcPr>
            <w:tcW w:w="860" w:type="dxa"/>
            <w:vAlign w:val="bottom"/>
          </w:tcPr>
          <w:p>
            <w:pPr>
              <w:jc w:val="right"/>
              <w:ind w:right="716"/>
              <w:spacing w:after="0"/>
              <w:rPr>
                <w:sz w:val="20"/>
                <w:szCs w:val="20"/>
                <w:color w:val="auto"/>
              </w:rPr>
            </w:pPr>
            <w:r>
              <w:rPr>
                <w:rFonts w:ascii="Times New Roman" w:cs="Times New Roman" w:eastAsia="Times New Roman" w:hAnsi="Times New Roman"/>
                <w:sz w:val="13"/>
                <w:szCs w:val="13"/>
                <w:color w:val="auto"/>
                <w:w w:val="91"/>
              </w:rPr>
              <w:t>$</w:t>
            </w:r>
          </w:p>
        </w:tc>
        <w:tc>
          <w:tcPr>
            <w:tcW w:w="52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26,249</w:t>
            </w:r>
          </w:p>
        </w:tc>
        <w:tc>
          <w:tcPr>
            <w:tcW w:w="100" w:type="dxa"/>
            <w:vAlign w:val="bottom"/>
          </w:tcPr>
          <w:p>
            <w:pPr>
              <w:spacing w:after="0"/>
              <w:rPr>
                <w:sz w:val="14"/>
                <w:szCs w:val="14"/>
                <w:color w:val="auto"/>
              </w:rPr>
            </w:pPr>
          </w:p>
        </w:tc>
        <w:tc>
          <w:tcPr>
            <w:tcW w:w="440" w:type="dxa"/>
            <w:vAlign w:val="bottom"/>
          </w:tcPr>
          <w:p>
            <w:pPr>
              <w:jc w:val="right"/>
              <w:ind w:right="296"/>
              <w:spacing w:after="0"/>
              <w:rPr>
                <w:sz w:val="20"/>
                <w:szCs w:val="20"/>
                <w:color w:val="auto"/>
              </w:rPr>
            </w:pPr>
            <w:r>
              <w:rPr>
                <w:rFonts w:ascii="Times New Roman" w:cs="Times New Roman" w:eastAsia="Times New Roman" w:hAnsi="Times New Roman"/>
                <w:sz w:val="13"/>
                <w:szCs w:val="13"/>
                <w:color w:val="auto"/>
                <w:w w:val="91"/>
              </w:rPr>
              <w:t>$</w:t>
            </w:r>
          </w:p>
        </w:tc>
        <w:tc>
          <w:tcPr>
            <w:tcW w:w="94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18,847</w:t>
            </w:r>
          </w:p>
        </w:tc>
        <w:tc>
          <w:tcPr>
            <w:tcW w:w="0" w:type="dxa"/>
            <w:vAlign w:val="bottom"/>
          </w:tcPr>
          <w:p>
            <w:pPr>
              <w:spacing w:after="0"/>
              <w:rPr>
                <w:sz w:val="1"/>
                <w:szCs w:val="1"/>
                <w:color w:val="auto"/>
              </w:rPr>
            </w:pPr>
          </w:p>
        </w:tc>
      </w:tr>
      <w:tr>
        <w:trPr>
          <w:trHeight w:val="172"/>
        </w:trPr>
        <w:tc>
          <w:tcPr>
            <w:tcW w:w="8400" w:type="dxa"/>
            <w:vAlign w:val="bottom"/>
            <w:shd w:val="clear" w:color="auto" w:fill="CCEEFF"/>
          </w:tcPr>
          <w:p>
            <w:pPr>
              <w:spacing w:after="0"/>
              <w:rPr>
                <w:sz w:val="20"/>
                <w:szCs w:val="20"/>
                <w:color w:val="auto"/>
              </w:rPr>
            </w:pPr>
            <w:r>
              <w:rPr>
                <w:rFonts w:ascii="Times New Roman" w:cs="Times New Roman" w:eastAsia="Times New Roman" w:hAnsi="Times New Roman"/>
                <w:sz w:val="13"/>
                <w:szCs w:val="13"/>
                <w:color w:val="auto"/>
              </w:rPr>
              <w:t>Accounts receivable</w:t>
            </w:r>
          </w:p>
        </w:tc>
        <w:tc>
          <w:tcPr>
            <w:tcW w:w="860" w:type="dxa"/>
            <w:vAlign w:val="bottom"/>
            <w:shd w:val="clear" w:color="auto" w:fill="CCEEFF"/>
          </w:tcPr>
          <w:p>
            <w:pPr>
              <w:spacing w:after="0"/>
              <w:rPr>
                <w:sz w:val="14"/>
                <w:szCs w:val="14"/>
                <w:color w:val="auto"/>
              </w:rPr>
            </w:pPr>
          </w:p>
        </w:tc>
        <w:tc>
          <w:tcPr>
            <w:tcW w:w="5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16,751</w:t>
            </w:r>
          </w:p>
        </w:tc>
        <w:tc>
          <w:tcPr>
            <w:tcW w:w="100" w:type="dxa"/>
            <w:vAlign w:val="bottom"/>
            <w:shd w:val="clear" w:color="auto" w:fill="CCEEFF"/>
          </w:tcPr>
          <w:p>
            <w:pPr>
              <w:spacing w:after="0"/>
              <w:rPr>
                <w:sz w:val="14"/>
                <w:szCs w:val="14"/>
                <w:color w:val="auto"/>
              </w:rPr>
            </w:pPr>
          </w:p>
        </w:tc>
        <w:tc>
          <w:tcPr>
            <w:tcW w:w="440" w:type="dxa"/>
            <w:vAlign w:val="bottom"/>
            <w:shd w:val="clear" w:color="auto" w:fill="CCEEFF"/>
          </w:tcPr>
          <w:p>
            <w:pPr>
              <w:spacing w:after="0"/>
              <w:rPr>
                <w:sz w:val="14"/>
                <w:szCs w:val="14"/>
                <w:color w:val="auto"/>
              </w:rPr>
            </w:pPr>
          </w:p>
        </w:tc>
        <w:tc>
          <w:tcPr>
            <w:tcW w:w="9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14,453</w:t>
            </w:r>
          </w:p>
        </w:tc>
        <w:tc>
          <w:tcPr>
            <w:tcW w:w="0" w:type="dxa"/>
            <w:vAlign w:val="bottom"/>
          </w:tcPr>
          <w:p>
            <w:pPr>
              <w:spacing w:after="0"/>
              <w:rPr>
                <w:sz w:val="1"/>
                <w:szCs w:val="1"/>
                <w:color w:val="auto"/>
              </w:rPr>
            </w:pPr>
          </w:p>
        </w:tc>
      </w:tr>
      <w:tr>
        <w:trPr>
          <w:trHeight w:val="168"/>
        </w:trPr>
        <w:tc>
          <w:tcPr>
            <w:tcW w:w="8400" w:type="dxa"/>
            <w:vAlign w:val="bottom"/>
          </w:tcPr>
          <w:p>
            <w:pPr>
              <w:spacing w:after="0"/>
              <w:rPr>
                <w:sz w:val="20"/>
                <w:szCs w:val="20"/>
                <w:color w:val="auto"/>
              </w:rPr>
            </w:pPr>
            <w:r>
              <w:rPr>
                <w:rFonts w:ascii="Times New Roman" w:cs="Times New Roman" w:eastAsia="Times New Roman" w:hAnsi="Times New Roman"/>
                <w:sz w:val="13"/>
                <w:szCs w:val="13"/>
                <w:color w:val="auto"/>
              </w:rPr>
              <w:t>Investments at fair value (amortized cost of $19,923 and $26,788)</w:t>
            </w:r>
          </w:p>
        </w:tc>
        <w:tc>
          <w:tcPr>
            <w:tcW w:w="860" w:type="dxa"/>
            <w:vAlign w:val="bottom"/>
          </w:tcPr>
          <w:p>
            <w:pPr>
              <w:spacing w:after="0"/>
              <w:rPr>
                <w:sz w:val="14"/>
                <w:szCs w:val="14"/>
                <w:color w:val="auto"/>
              </w:rPr>
            </w:pPr>
          </w:p>
        </w:tc>
        <w:tc>
          <w:tcPr>
            <w:tcW w:w="52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21,433</w:t>
            </w:r>
          </w:p>
        </w:tc>
        <w:tc>
          <w:tcPr>
            <w:tcW w:w="100" w:type="dxa"/>
            <w:vAlign w:val="bottom"/>
          </w:tcPr>
          <w:p>
            <w:pPr>
              <w:spacing w:after="0"/>
              <w:rPr>
                <w:sz w:val="14"/>
                <w:szCs w:val="14"/>
                <w:color w:val="auto"/>
              </w:rPr>
            </w:pPr>
          </w:p>
        </w:tc>
        <w:tc>
          <w:tcPr>
            <w:tcW w:w="440" w:type="dxa"/>
            <w:vAlign w:val="bottom"/>
          </w:tcPr>
          <w:p>
            <w:pPr>
              <w:spacing w:after="0"/>
              <w:rPr>
                <w:sz w:val="14"/>
                <w:szCs w:val="14"/>
                <w:color w:val="auto"/>
              </w:rPr>
            </w:pPr>
          </w:p>
        </w:tc>
        <w:tc>
          <w:tcPr>
            <w:tcW w:w="94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27,694</w:t>
            </w:r>
          </w:p>
        </w:tc>
        <w:tc>
          <w:tcPr>
            <w:tcW w:w="0" w:type="dxa"/>
            <w:vAlign w:val="bottom"/>
          </w:tcPr>
          <w:p>
            <w:pPr>
              <w:spacing w:after="0"/>
              <w:rPr>
                <w:sz w:val="1"/>
                <w:szCs w:val="1"/>
                <w:color w:val="auto"/>
              </w:rPr>
            </w:pPr>
          </w:p>
        </w:tc>
      </w:tr>
      <w:tr>
        <w:trPr>
          <w:trHeight w:val="172"/>
        </w:trPr>
        <w:tc>
          <w:tcPr>
            <w:tcW w:w="8400" w:type="dxa"/>
            <w:vAlign w:val="bottom"/>
            <w:shd w:val="clear" w:color="auto" w:fill="CCEEFF"/>
          </w:tcPr>
          <w:p>
            <w:pPr>
              <w:spacing w:after="0"/>
              <w:rPr>
                <w:sz w:val="20"/>
                <w:szCs w:val="20"/>
                <w:color w:val="auto"/>
              </w:rPr>
            </w:pPr>
            <w:r>
              <w:rPr>
                <w:rFonts w:ascii="Times New Roman" w:cs="Times New Roman" w:eastAsia="Times New Roman" w:hAnsi="Times New Roman"/>
                <w:sz w:val="13"/>
                <w:szCs w:val="13"/>
                <w:color w:val="auto"/>
              </w:rPr>
              <w:t>Investments under measurement alternative</w:t>
            </w:r>
          </w:p>
        </w:tc>
        <w:tc>
          <w:tcPr>
            <w:tcW w:w="860" w:type="dxa"/>
            <w:vAlign w:val="bottom"/>
            <w:shd w:val="clear" w:color="auto" w:fill="CCEEFF"/>
          </w:tcPr>
          <w:p>
            <w:pPr>
              <w:spacing w:after="0"/>
              <w:rPr>
                <w:sz w:val="14"/>
                <w:szCs w:val="14"/>
                <w:color w:val="auto"/>
              </w:rPr>
            </w:pPr>
          </w:p>
        </w:tc>
        <w:tc>
          <w:tcPr>
            <w:tcW w:w="5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15,697</w:t>
            </w:r>
          </w:p>
        </w:tc>
        <w:tc>
          <w:tcPr>
            <w:tcW w:w="100" w:type="dxa"/>
            <w:vAlign w:val="bottom"/>
            <w:shd w:val="clear" w:color="auto" w:fill="CCEEFF"/>
          </w:tcPr>
          <w:p>
            <w:pPr>
              <w:spacing w:after="0"/>
              <w:rPr>
                <w:sz w:val="14"/>
                <w:szCs w:val="14"/>
                <w:color w:val="auto"/>
              </w:rPr>
            </w:pPr>
          </w:p>
        </w:tc>
        <w:tc>
          <w:tcPr>
            <w:tcW w:w="440" w:type="dxa"/>
            <w:vAlign w:val="bottom"/>
            <w:shd w:val="clear" w:color="auto" w:fill="CCEEFF"/>
          </w:tcPr>
          <w:p>
            <w:pPr>
              <w:spacing w:after="0"/>
              <w:rPr>
                <w:sz w:val="14"/>
                <w:szCs w:val="14"/>
                <w:color w:val="auto"/>
              </w:rPr>
            </w:pPr>
          </w:p>
        </w:tc>
        <w:tc>
          <w:tcPr>
            <w:tcW w:w="9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10,747</w:t>
            </w:r>
          </w:p>
        </w:tc>
        <w:tc>
          <w:tcPr>
            <w:tcW w:w="0" w:type="dxa"/>
            <w:vAlign w:val="bottom"/>
          </w:tcPr>
          <w:p>
            <w:pPr>
              <w:spacing w:after="0"/>
              <w:rPr>
                <w:sz w:val="1"/>
                <w:szCs w:val="1"/>
                <w:color w:val="auto"/>
              </w:rPr>
            </w:pPr>
          </w:p>
        </w:tc>
      </w:tr>
      <w:tr>
        <w:trPr>
          <w:trHeight w:val="168"/>
        </w:trPr>
        <w:tc>
          <w:tcPr>
            <w:tcW w:w="8400" w:type="dxa"/>
            <w:vAlign w:val="bottom"/>
          </w:tcPr>
          <w:p>
            <w:pPr>
              <w:spacing w:after="0"/>
              <w:rPr>
                <w:sz w:val="20"/>
                <w:szCs w:val="20"/>
                <w:color w:val="auto"/>
              </w:rPr>
            </w:pPr>
            <w:r>
              <w:rPr>
                <w:rFonts w:ascii="Times New Roman" w:cs="Times New Roman" w:eastAsia="Times New Roman" w:hAnsi="Times New Roman"/>
                <w:sz w:val="13"/>
                <w:szCs w:val="13"/>
                <w:color w:val="auto"/>
              </w:rPr>
              <w:t>Equity method investments</w:t>
            </w:r>
          </w:p>
        </w:tc>
        <w:tc>
          <w:tcPr>
            <w:tcW w:w="860" w:type="dxa"/>
            <w:vAlign w:val="bottom"/>
          </w:tcPr>
          <w:p>
            <w:pPr>
              <w:spacing w:after="0"/>
              <w:rPr>
                <w:sz w:val="14"/>
                <w:szCs w:val="14"/>
                <w:color w:val="auto"/>
              </w:rPr>
            </w:pPr>
          </w:p>
        </w:tc>
        <w:tc>
          <w:tcPr>
            <w:tcW w:w="52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4,303</w:t>
            </w:r>
          </w:p>
        </w:tc>
        <w:tc>
          <w:tcPr>
            <w:tcW w:w="100" w:type="dxa"/>
            <w:vAlign w:val="bottom"/>
          </w:tcPr>
          <w:p>
            <w:pPr>
              <w:spacing w:after="0"/>
              <w:rPr>
                <w:sz w:val="14"/>
                <w:szCs w:val="14"/>
                <w:color w:val="auto"/>
              </w:rPr>
            </w:pPr>
          </w:p>
        </w:tc>
        <w:tc>
          <w:tcPr>
            <w:tcW w:w="440" w:type="dxa"/>
            <w:vAlign w:val="bottom"/>
          </w:tcPr>
          <w:p>
            <w:pPr>
              <w:spacing w:after="0"/>
              <w:rPr>
                <w:sz w:val="14"/>
                <w:szCs w:val="14"/>
                <w:color w:val="auto"/>
              </w:rPr>
            </w:pPr>
          </w:p>
        </w:tc>
        <w:tc>
          <w:tcPr>
            <w:tcW w:w="94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4,250</w:t>
            </w:r>
          </w:p>
        </w:tc>
        <w:tc>
          <w:tcPr>
            <w:tcW w:w="0" w:type="dxa"/>
            <w:vAlign w:val="bottom"/>
          </w:tcPr>
          <w:p>
            <w:pPr>
              <w:spacing w:after="0"/>
              <w:rPr>
                <w:sz w:val="1"/>
                <w:szCs w:val="1"/>
                <w:color w:val="auto"/>
              </w:rPr>
            </w:pPr>
          </w:p>
        </w:tc>
      </w:tr>
      <w:tr>
        <w:trPr>
          <w:trHeight w:val="172"/>
        </w:trPr>
        <w:tc>
          <w:tcPr>
            <w:tcW w:w="8400" w:type="dxa"/>
            <w:vAlign w:val="bottom"/>
            <w:shd w:val="clear" w:color="auto" w:fill="CCEEFF"/>
          </w:tcPr>
          <w:p>
            <w:pPr>
              <w:spacing w:after="0"/>
              <w:rPr>
                <w:sz w:val="20"/>
                <w:szCs w:val="20"/>
                <w:color w:val="auto"/>
              </w:rPr>
            </w:pPr>
            <w:r>
              <w:rPr>
                <w:rFonts w:ascii="Times New Roman" w:cs="Times New Roman" w:eastAsia="Times New Roman" w:hAnsi="Times New Roman"/>
                <w:sz w:val="13"/>
                <w:szCs w:val="13"/>
                <w:color w:val="auto"/>
              </w:rPr>
              <w:t>Income taxes receivable</w:t>
            </w:r>
          </w:p>
        </w:tc>
        <w:tc>
          <w:tcPr>
            <w:tcW w:w="860" w:type="dxa"/>
            <w:vAlign w:val="bottom"/>
            <w:shd w:val="clear" w:color="auto" w:fill="CCEEFF"/>
          </w:tcPr>
          <w:p>
            <w:pPr>
              <w:spacing w:after="0"/>
              <w:rPr>
                <w:sz w:val="14"/>
                <w:szCs w:val="14"/>
                <w:color w:val="auto"/>
              </w:rPr>
            </w:pPr>
          </w:p>
        </w:tc>
        <w:tc>
          <w:tcPr>
            <w:tcW w:w="62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3"/>
                <w:szCs w:val="13"/>
                <w:color w:val="auto"/>
              </w:rPr>
              <w:t>—</w:t>
            </w:r>
          </w:p>
        </w:tc>
        <w:tc>
          <w:tcPr>
            <w:tcW w:w="440" w:type="dxa"/>
            <w:vAlign w:val="bottom"/>
            <w:shd w:val="clear" w:color="auto" w:fill="CCEEFF"/>
          </w:tcPr>
          <w:p>
            <w:pPr>
              <w:spacing w:after="0"/>
              <w:rPr>
                <w:sz w:val="14"/>
                <w:szCs w:val="14"/>
                <w:color w:val="auto"/>
              </w:rPr>
            </w:pPr>
          </w:p>
        </w:tc>
        <w:tc>
          <w:tcPr>
            <w:tcW w:w="9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295</w:t>
            </w:r>
          </w:p>
        </w:tc>
        <w:tc>
          <w:tcPr>
            <w:tcW w:w="0" w:type="dxa"/>
            <w:vAlign w:val="bottom"/>
          </w:tcPr>
          <w:p>
            <w:pPr>
              <w:spacing w:after="0"/>
              <w:rPr>
                <w:sz w:val="1"/>
                <w:szCs w:val="1"/>
                <w:color w:val="auto"/>
              </w:rPr>
            </w:pPr>
          </w:p>
        </w:tc>
      </w:tr>
      <w:tr>
        <w:trPr>
          <w:trHeight w:val="168"/>
        </w:trPr>
        <w:tc>
          <w:tcPr>
            <w:tcW w:w="8400" w:type="dxa"/>
            <w:vAlign w:val="bottom"/>
          </w:tcPr>
          <w:p>
            <w:pPr>
              <w:spacing w:after="0"/>
              <w:rPr>
                <w:sz w:val="20"/>
                <w:szCs w:val="20"/>
                <w:color w:val="auto"/>
              </w:rPr>
            </w:pPr>
            <w:r>
              <w:rPr>
                <w:rFonts w:ascii="Times New Roman" w:cs="Times New Roman" w:eastAsia="Times New Roman" w:hAnsi="Times New Roman"/>
                <w:sz w:val="13"/>
                <w:szCs w:val="13"/>
                <w:color w:val="auto"/>
              </w:rPr>
              <w:t>Other assets</w:t>
            </w:r>
          </w:p>
        </w:tc>
        <w:tc>
          <w:tcPr>
            <w:tcW w:w="860" w:type="dxa"/>
            <w:vAlign w:val="bottom"/>
          </w:tcPr>
          <w:p>
            <w:pPr>
              <w:spacing w:after="0"/>
              <w:rPr>
                <w:sz w:val="14"/>
                <w:szCs w:val="14"/>
                <w:color w:val="auto"/>
              </w:rPr>
            </w:pPr>
          </w:p>
        </w:tc>
        <w:tc>
          <w:tcPr>
            <w:tcW w:w="52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7,501</w:t>
            </w:r>
          </w:p>
        </w:tc>
        <w:tc>
          <w:tcPr>
            <w:tcW w:w="100" w:type="dxa"/>
            <w:vAlign w:val="bottom"/>
          </w:tcPr>
          <w:p>
            <w:pPr>
              <w:spacing w:after="0"/>
              <w:rPr>
                <w:sz w:val="14"/>
                <w:szCs w:val="14"/>
                <w:color w:val="auto"/>
              </w:rPr>
            </w:pPr>
          </w:p>
        </w:tc>
        <w:tc>
          <w:tcPr>
            <w:tcW w:w="440" w:type="dxa"/>
            <w:vAlign w:val="bottom"/>
          </w:tcPr>
          <w:p>
            <w:pPr>
              <w:spacing w:after="0"/>
              <w:rPr>
                <w:sz w:val="14"/>
                <w:szCs w:val="14"/>
                <w:color w:val="auto"/>
              </w:rPr>
            </w:pPr>
          </w:p>
        </w:tc>
        <w:tc>
          <w:tcPr>
            <w:tcW w:w="94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6,780</w:t>
            </w:r>
          </w:p>
        </w:tc>
        <w:tc>
          <w:tcPr>
            <w:tcW w:w="0" w:type="dxa"/>
            <w:vAlign w:val="bottom"/>
          </w:tcPr>
          <w:p>
            <w:pPr>
              <w:spacing w:after="0"/>
              <w:rPr>
                <w:sz w:val="1"/>
                <w:szCs w:val="1"/>
                <w:color w:val="auto"/>
              </w:rPr>
            </w:pPr>
          </w:p>
        </w:tc>
      </w:tr>
      <w:tr>
        <w:trPr>
          <w:trHeight w:val="172"/>
        </w:trPr>
        <w:tc>
          <w:tcPr>
            <w:tcW w:w="8400" w:type="dxa"/>
            <w:vAlign w:val="bottom"/>
            <w:shd w:val="clear" w:color="auto" w:fill="CCEEFF"/>
          </w:tcPr>
          <w:p>
            <w:pPr>
              <w:spacing w:after="0"/>
              <w:rPr>
                <w:sz w:val="20"/>
                <w:szCs w:val="20"/>
                <w:color w:val="auto"/>
              </w:rPr>
            </w:pPr>
            <w:r>
              <w:rPr>
                <w:rFonts w:ascii="Times New Roman" w:cs="Times New Roman" w:eastAsia="Times New Roman" w:hAnsi="Times New Roman"/>
                <w:sz w:val="13"/>
                <w:szCs w:val="13"/>
                <w:color w:val="auto"/>
              </w:rPr>
              <w:t>Goodwill</w:t>
            </w:r>
          </w:p>
        </w:tc>
        <w:tc>
          <w:tcPr>
            <w:tcW w:w="860" w:type="dxa"/>
            <w:vAlign w:val="bottom"/>
            <w:shd w:val="clear" w:color="auto" w:fill="CCEEFF"/>
          </w:tcPr>
          <w:p>
            <w:pPr>
              <w:spacing w:after="0"/>
              <w:rPr>
                <w:sz w:val="14"/>
                <w:szCs w:val="14"/>
                <w:color w:val="auto"/>
              </w:rPr>
            </w:pPr>
          </w:p>
        </w:tc>
        <w:tc>
          <w:tcPr>
            <w:tcW w:w="5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39,501</w:t>
            </w:r>
          </w:p>
        </w:tc>
        <w:tc>
          <w:tcPr>
            <w:tcW w:w="100" w:type="dxa"/>
            <w:vAlign w:val="bottom"/>
            <w:shd w:val="clear" w:color="auto" w:fill="CCEEFF"/>
          </w:tcPr>
          <w:p>
            <w:pPr>
              <w:spacing w:after="0"/>
              <w:rPr>
                <w:sz w:val="14"/>
                <w:szCs w:val="14"/>
                <w:color w:val="auto"/>
              </w:rPr>
            </w:pPr>
          </w:p>
        </w:tc>
        <w:tc>
          <w:tcPr>
            <w:tcW w:w="440" w:type="dxa"/>
            <w:vAlign w:val="bottom"/>
            <w:shd w:val="clear" w:color="auto" w:fill="CCEEFF"/>
          </w:tcPr>
          <w:p>
            <w:pPr>
              <w:spacing w:after="0"/>
              <w:rPr>
                <w:sz w:val="14"/>
                <w:szCs w:val="14"/>
                <w:color w:val="auto"/>
              </w:rPr>
            </w:pPr>
          </w:p>
        </w:tc>
        <w:tc>
          <w:tcPr>
            <w:tcW w:w="9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39,501</w:t>
            </w:r>
          </w:p>
        </w:tc>
        <w:tc>
          <w:tcPr>
            <w:tcW w:w="0" w:type="dxa"/>
            <w:vAlign w:val="bottom"/>
          </w:tcPr>
          <w:p>
            <w:pPr>
              <w:spacing w:after="0"/>
              <w:rPr>
                <w:sz w:val="1"/>
                <w:szCs w:val="1"/>
                <w:color w:val="auto"/>
              </w:rPr>
            </w:pPr>
          </w:p>
        </w:tc>
      </w:tr>
      <w:tr>
        <w:trPr>
          <w:trHeight w:val="168"/>
        </w:trPr>
        <w:tc>
          <w:tcPr>
            <w:tcW w:w="8400" w:type="dxa"/>
            <w:vAlign w:val="bottom"/>
          </w:tcPr>
          <w:p>
            <w:pPr>
              <w:spacing w:after="0"/>
              <w:rPr>
                <w:sz w:val="20"/>
                <w:szCs w:val="20"/>
                <w:color w:val="auto"/>
              </w:rPr>
            </w:pPr>
            <w:r>
              <w:rPr>
                <w:rFonts w:ascii="Times New Roman" w:cs="Times New Roman" w:eastAsia="Times New Roman" w:hAnsi="Times New Roman"/>
                <w:sz w:val="13"/>
                <w:szCs w:val="13"/>
                <w:color w:val="auto"/>
              </w:rPr>
              <w:t>Deferred income taxes</w:t>
            </w:r>
          </w:p>
        </w:tc>
        <w:tc>
          <w:tcPr>
            <w:tcW w:w="860" w:type="dxa"/>
            <w:vAlign w:val="bottom"/>
          </w:tcPr>
          <w:p>
            <w:pPr>
              <w:spacing w:after="0"/>
              <w:rPr>
                <w:sz w:val="14"/>
                <w:szCs w:val="14"/>
                <w:color w:val="auto"/>
              </w:rPr>
            </w:pPr>
          </w:p>
        </w:tc>
        <w:tc>
          <w:tcPr>
            <w:tcW w:w="52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2,452</w:t>
            </w:r>
          </w:p>
        </w:tc>
        <w:tc>
          <w:tcPr>
            <w:tcW w:w="100" w:type="dxa"/>
            <w:vAlign w:val="bottom"/>
          </w:tcPr>
          <w:p>
            <w:pPr>
              <w:spacing w:after="0"/>
              <w:rPr>
                <w:sz w:val="14"/>
                <w:szCs w:val="14"/>
                <w:color w:val="auto"/>
              </w:rPr>
            </w:pPr>
          </w:p>
        </w:tc>
        <w:tc>
          <w:tcPr>
            <w:tcW w:w="440" w:type="dxa"/>
            <w:vAlign w:val="bottom"/>
          </w:tcPr>
          <w:p>
            <w:pPr>
              <w:spacing w:after="0"/>
              <w:rPr>
                <w:sz w:val="14"/>
                <w:szCs w:val="14"/>
                <w:color w:val="auto"/>
              </w:rPr>
            </w:pPr>
          </w:p>
        </w:tc>
        <w:tc>
          <w:tcPr>
            <w:tcW w:w="94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2,244</w:t>
            </w:r>
          </w:p>
        </w:tc>
        <w:tc>
          <w:tcPr>
            <w:tcW w:w="0" w:type="dxa"/>
            <w:vAlign w:val="bottom"/>
          </w:tcPr>
          <w:p>
            <w:pPr>
              <w:spacing w:after="0"/>
              <w:rPr>
                <w:sz w:val="1"/>
                <w:szCs w:val="1"/>
                <w:color w:val="auto"/>
              </w:rPr>
            </w:pPr>
          </w:p>
        </w:tc>
      </w:tr>
      <w:tr>
        <w:trPr>
          <w:trHeight w:val="172"/>
        </w:trPr>
        <w:tc>
          <w:tcPr>
            <w:tcW w:w="8400" w:type="dxa"/>
            <w:vAlign w:val="bottom"/>
            <w:shd w:val="clear" w:color="auto" w:fill="CCEEFF"/>
          </w:tcPr>
          <w:p>
            <w:pPr>
              <w:spacing w:after="0"/>
              <w:rPr>
                <w:sz w:val="20"/>
                <w:szCs w:val="20"/>
                <w:color w:val="auto"/>
              </w:rPr>
            </w:pPr>
            <w:r>
              <w:rPr>
                <w:rFonts w:ascii="Times New Roman" w:cs="Times New Roman" w:eastAsia="Times New Roman" w:hAnsi="Times New Roman"/>
                <w:sz w:val="13"/>
                <w:szCs w:val="13"/>
                <w:color w:val="auto"/>
              </w:rPr>
              <w:t>Operating lease right-of-use assets</w:t>
            </w:r>
          </w:p>
        </w:tc>
        <w:tc>
          <w:tcPr>
            <w:tcW w:w="860" w:type="dxa"/>
            <w:vAlign w:val="bottom"/>
            <w:shd w:val="clear" w:color="auto" w:fill="CCEEFF"/>
          </w:tcPr>
          <w:p>
            <w:pPr>
              <w:spacing w:after="0"/>
              <w:rPr>
                <w:sz w:val="14"/>
                <w:szCs w:val="14"/>
                <w:color w:val="auto"/>
              </w:rPr>
            </w:pPr>
          </w:p>
        </w:tc>
        <w:tc>
          <w:tcPr>
            <w:tcW w:w="5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9,676</w:t>
            </w:r>
          </w:p>
        </w:tc>
        <w:tc>
          <w:tcPr>
            <w:tcW w:w="100" w:type="dxa"/>
            <w:vAlign w:val="bottom"/>
            <w:shd w:val="clear" w:color="auto" w:fill="CCEEFF"/>
          </w:tcPr>
          <w:p>
            <w:pPr>
              <w:spacing w:after="0"/>
              <w:rPr>
                <w:sz w:val="14"/>
                <w:szCs w:val="14"/>
                <w:color w:val="auto"/>
              </w:rPr>
            </w:pPr>
          </w:p>
        </w:tc>
        <w:tc>
          <w:tcPr>
            <w:tcW w:w="440" w:type="dxa"/>
            <w:vAlign w:val="bottom"/>
            <w:shd w:val="clear" w:color="auto" w:fill="CCEEFF"/>
          </w:tcPr>
          <w:p>
            <w:pPr>
              <w:spacing w:after="0"/>
              <w:rPr>
                <w:sz w:val="14"/>
                <w:szCs w:val="14"/>
                <w:color w:val="auto"/>
              </w:rPr>
            </w:pPr>
          </w:p>
        </w:tc>
        <w:tc>
          <w:tcPr>
            <w:tcW w:w="9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2,559</w:t>
            </w:r>
          </w:p>
        </w:tc>
        <w:tc>
          <w:tcPr>
            <w:tcW w:w="0" w:type="dxa"/>
            <w:vAlign w:val="bottom"/>
          </w:tcPr>
          <w:p>
            <w:pPr>
              <w:spacing w:after="0"/>
              <w:rPr>
                <w:sz w:val="1"/>
                <w:szCs w:val="1"/>
                <w:color w:val="auto"/>
              </w:rPr>
            </w:pPr>
          </w:p>
        </w:tc>
      </w:tr>
      <w:tr>
        <w:trPr>
          <w:trHeight w:val="168"/>
        </w:trPr>
        <w:tc>
          <w:tcPr>
            <w:tcW w:w="8400" w:type="dxa"/>
            <w:vAlign w:val="bottom"/>
          </w:tcPr>
          <w:p>
            <w:pPr>
              <w:spacing w:after="0"/>
              <w:rPr>
                <w:sz w:val="20"/>
                <w:szCs w:val="20"/>
                <w:color w:val="auto"/>
              </w:rPr>
            </w:pPr>
            <w:r>
              <w:rPr>
                <w:rFonts w:ascii="Times New Roman" w:cs="Times New Roman" w:eastAsia="Times New Roman" w:hAnsi="Times New Roman"/>
                <w:sz w:val="13"/>
                <w:szCs w:val="13"/>
                <w:color w:val="auto"/>
              </w:rPr>
              <w:t>Intangible assets, net</w:t>
            </w:r>
          </w:p>
        </w:tc>
        <w:tc>
          <w:tcPr>
            <w:tcW w:w="860" w:type="dxa"/>
            <w:vAlign w:val="bottom"/>
          </w:tcPr>
          <w:p>
            <w:pPr>
              <w:spacing w:after="0"/>
              <w:rPr>
                <w:sz w:val="14"/>
                <w:szCs w:val="14"/>
                <w:color w:val="auto"/>
              </w:rPr>
            </w:pPr>
          </w:p>
        </w:tc>
        <w:tc>
          <w:tcPr>
            <w:tcW w:w="52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18,199</w:t>
            </w:r>
          </w:p>
        </w:tc>
        <w:tc>
          <w:tcPr>
            <w:tcW w:w="100" w:type="dxa"/>
            <w:vAlign w:val="bottom"/>
          </w:tcPr>
          <w:p>
            <w:pPr>
              <w:spacing w:after="0"/>
              <w:rPr>
                <w:sz w:val="14"/>
                <w:szCs w:val="14"/>
                <w:color w:val="auto"/>
              </w:rPr>
            </w:pPr>
          </w:p>
        </w:tc>
        <w:tc>
          <w:tcPr>
            <w:tcW w:w="440" w:type="dxa"/>
            <w:vAlign w:val="bottom"/>
          </w:tcPr>
          <w:p>
            <w:pPr>
              <w:spacing w:after="0"/>
              <w:rPr>
                <w:sz w:val="14"/>
                <w:szCs w:val="14"/>
                <w:color w:val="auto"/>
              </w:rPr>
            </w:pPr>
          </w:p>
        </w:tc>
        <w:tc>
          <w:tcPr>
            <w:tcW w:w="94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21,668</w:t>
            </w:r>
          </w:p>
        </w:tc>
        <w:tc>
          <w:tcPr>
            <w:tcW w:w="0" w:type="dxa"/>
            <w:vAlign w:val="bottom"/>
          </w:tcPr>
          <w:p>
            <w:pPr>
              <w:spacing w:after="0"/>
              <w:rPr>
                <w:sz w:val="1"/>
                <w:szCs w:val="1"/>
                <w:color w:val="auto"/>
              </w:rPr>
            </w:pPr>
          </w:p>
        </w:tc>
      </w:tr>
      <w:tr>
        <w:trPr>
          <w:trHeight w:val="172"/>
        </w:trPr>
        <w:tc>
          <w:tcPr>
            <w:tcW w:w="8400" w:type="dxa"/>
            <w:vAlign w:val="bottom"/>
            <w:shd w:val="clear" w:color="auto" w:fill="CCEEFF"/>
          </w:tcPr>
          <w:p>
            <w:pPr>
              <w:spacing w:after="0"/>
              <w:rPr>
                <w:sz w:val="20"/>
                <w:szCs w:val="20"/>
                <w:color w:val="auto"/>
              </w:rPr>
            </w:pPr>
            <w:r>
              <w:rPr>
                <w:rFonts w:ascii="Times New Roman" w:cs="Times New Roman" w:eastAsia="Times New Roman" w:hAnsi="Times New Roman"/>
                <w:sz w:val="13"/>
                <w:szCs w:val="13"/>
                <w:color w:val="auto"/>
              </w:rPr>
              <w:t>Property and equipment, net of accumulated depreciation of $8,952 and $8,424</w:t>
            </w:r>
          </w:p>
        </w:tc>
        <w:tc>
          <w:tcPr>
            <w:tcW w:w="860" w:type="dxa"/>
            <w:vAlign w:val="bottom"/>
            <w:tcBorders>
              <w:bottom w:val="single" w:sz="8" w:color="auto"/>
            </w:tcBorders>
            <w:shd w:val="clear" w:color="auto" w:fill="CCEEFF"/>
          </w:tcPr>
          <w:p>
            <w:pPr>
              <w:spacing w:after="0"/>
              <w:rPr>
                <w:sz w:val="14"/>
                <w:szCs w:val="14"/>
                <w:color w:val="auto"/>
              </w:rPr>
            </w:pPr>
          </w:p>
        </w:tc>
        <w:tc>
          <w:tcPr>
            <w:tcW w:w="5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536</w:t>
            </w:r>
          </w:p>
        </w:tc>
        <w:tc>
          <w:tcPr>
            <w:tcW w:w="100" w:type="dxa"/>
            <w:vAlign w:val="bottom"/>
            <w:shd w:val="clear" w:color="auto" w:fill="CCEEFF"/>
          </w:tcPr>
          <w:p>
            <w:pPr>
              <w:spacing w:after="0"/>
              <w:rPr>
                <w:sz w:val="14"/>
                <w:szCs w:val="14"/>
                <w:color w:val="auto"/>
              </w:rPr>
            </w:pPr>
          </w:p>
        </w:tc>
        <w:tc>
          <w:tcPr>
            <w:tcW w:w="440" w:type="dxa"/>
            <w:vAlign w:val="bottom"/>
            <w:tcBorders>
              <w:bottom w:val="single" w:sz="8" w:color="auto"/>
            </w:tcBorders>
            <w:shd w:val="clear" w:color="auto" w:fill="CCEEFF"/>
          </w:tcPr>
          <w:p>
            <w:pPr>
              <w:spacing w:after="0"/>
              <w:rPr>
                <w:sz w:val="14"/>
                <w:szCs w:val="14"/>
                <w:color w:val="auto"/>
              </w:rPr>
            </w:pPr>
          </w:p>
        </w:tc>
        <w:tc>
          <w:tcPr>
            <w:tcW w:w="9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951</w:t>
            </w:r>
          </w:p>
        </w:tc>
        <w:tc>
          <w:tcPr>
            <w:tcW w:w="0" w:type="dxa"/>
            <w:vAlign w:val="bottom"/>
          </w:tcPr>
          <w:p>
            <w:pPr>
              <w:spacing w:after="0"/>
              <w:rPr>
                <w:sz w:val="1"/>
                <w:szCs w:val="1"/>
                <w:color w:val="auto"/>
              </w:rPr>
            </w:pPr>
          </w:p>
        </w:tc>
      </w:tr>
      <w:tr>
        <w:trPr>
          <w:trHeight w:val="139"/>
        </w:trPr>
        <w:tc>
          <w:tcPr>
            <w:tcW w:w="8400" w:type="dxa"/>
            <w:vAlign w:val="bottom"/>
          </w:tcPr>
          <w:p>
            <w:pPr>
              <w:ind w:left="620"/>
              <w:spacing w:after="0" w:line="139" w:lineRule="exact"/>
              <w:rPr>
                <w:sz w:val="20"/>
                <w:szCs w:val="20"/>
                <w:color w:val="auto"/>
              </w:rPr>
            </w:pPr>
            <w:r>
              <w:rPr>
                <w:rFonts w:ascii="Times New Roman" w:cs="Times New Roman" w:eastAsia="Times New Roman" w:hAnsi="Times New Roman"/>
                <w:sz w:val="13"/>
                <w:szCs w:val="13"/>
                <w:b w:val="1"/>
                <w:bCs w:val="1"/>
                <w:color w:val="auto"/>
              </w:rPr>
              <w:t>Total assets</w:t>
            </w:r>
          </w:p>
        </w:tc>
        <w:tc>
          <w:tcPr>
            <w:tcW w:w="860" w:type="dxa"/>
            <w:vAlign w:val="bottom"/>
            <w:tcBorders>
              <w:bottom w:val="single" w:sz="8" w:color="auto"/>
            </w:tcBorders>
          </w:tcPr>
          <w:p>
            <w:pPr>
              <w:jc w:val="right"/>
              <w:ind w:right="716"/>
              <w:spacing w:after="0" w:line="139" w:lineRule="exact"/>
              <w:rPr>
                <w:sz w:val="20"/>
                <w:szCs w:val="20"/>
                <w:color w:val="auto"/>
              </w:rPr>
            </w:pPr>
            <w:r>
              <w:rPr>
                <w:rFonts w:ascii="Times New Roman" w:cs="Times New Roman" w:eastAsia="Times New Roman" w:hAnsi="Times New Roman"/>
                <w:sz w:val="13"/>
                <w:szCs w:val="13"/>
                <w:color w:val="auto"/>
                <w:w w:val="91"/>
              </w:rPr>
              <w:t>$</w:t>
            </w:r>
          </w:p>
        </w:tc>
        <w:tc>
          <w:tcPr>
            <w:tcW w:w="520" w:type="dxa"/>
            <w:vAlign w:val="bottom"/>
            <w:tcBorders>
              <w:bottom w:val="single" w:sz="8" w:color="auto"/>
            </w:tcBorders>
          </w:tcPr>
          <w:p>
            <w:pPr>
              <w:jc w:val="right"/>
              <w:spacing w:after="0" w:line="139" w:lineRule="exact"/>
              <w:rPr>
                <w:sz w:val="20"/>
                <w:szCs w:val="20"/>
                <w:color w:val="auto"/>
              </w:rPr>
            </w:pPr>
            <w:r>
              <w:rPr>
                <w:rFonts w:ascii="Times New Roman" w:cs="Times New Roman" w:eastAsia="Times New Roman" w:hAnsi="Times New Roman"/>
                <w:sz w:val="13"/>
                <w:szCs w:val="13"/>
                <w:color w:val="auto"/>
              </w:rPr>
              <w:t>162,298</w:t>
            </w:r>
          </w:p>
        </w:tc>
        <w:tc>
          <w:tcPr>
            <w:tcW w:w="100" w:type="dxa"/>
            <w:vAlign w:val="bottom"/>
          </w:tcPr>
          <w:p>
            <w:pPr>
              <w:spacing w:after="0"/>
              <w:rPr>
                <w:sz w:val="12"/>
                <w:szCs w:val="12"/>
                <w:color w:val="auto"/>
              </w:rPr>
            </w:pPr>
          </w:p>
        </w:tc>
        <w:tc>
          <w:tcPr>
            <w:tcW w:w="440" w:type="dxa"/>
            <w:vAlign w:val="bottom"/>
            <w:tcBorders>
              <w:bottom w:val="single" w:sz="8" w:color="auto"/>
            </w:tcBorders>
          </w:tcPr>
          <w:p>
            <w:pPr>
              <w:jc w:val="right"/>
              <w:ind w:right="296"/>
              <w:spacing w:after="0" w:line="139" w:lineRule="exact"/>
              <w:rPr>
                <w:sz w:val="20"/>
                <w:szCs w:val="20"/>
                <w:color w:val="auto"/>
              </w:rPr>
            </w:pPr>
            <w:r>
              <w:rPr>
                <w:rFonts w:ascii="Times New Roman" w:cs="Times New Roman" w:eastAsia="Times New Roman" w:hAnsi="Times New Roman"/>
                <w:sz w:val="13"/>
                <w:szCs w:val="13"/>
                <w:color w:val="auto"/>
                <w:w w:val="91"/>
              </w:rPr>
              <w:t>$</w:t>
            </w:r>
          </w:p>
        </w:tc>
        <w:tc>
          <w:tcPr>
            <w:tcW w:w="940" w:type="dxa"/>
            <w:vAlign w:val="bottom"/>
            <w:tcBorders>
              <w:bottom w:val="single" w:sz="8" w:color="auto"/>
            </w:tcBorders>
          </w:tcPr>
          <w:p>
            <w:pPr>
              <w:jc w:val="right"/>
              <w:spacing w:after="0" w:line="139" w:lineRule="exact"/>
              <w:rPr>
                <w:sz w:val="20"/>
                <w:szCs w:val="20"/>
                <w:color w:val="auto"/>
              </w:rPr>
            </w:pPr>
            <w:r>
              <w:rPr>
                <w:rFonts w:ascii="Times New Roman" w:cs="Times New Roman" w:eastAsia="Times New Roman" w:hAnsi="Times New Roman"/>
                <w:sz w:val="13"/>
                <w:szCs w:val="13"/>
                <w:color w:val="auto"/>
              </w:rPr>
              <w:t>149,989</w:t>
            </w:r>
          </w:p>
        </w:tc>
        <w:tc>
          <w:tcPr>
            <w:tcW w:w="0" w:type="dxa"/>
            <w:vAlign w:val="bottom"/>
          </w:tcPr>
          <w:p>
            <w:pPr>
              <w:spacing w:after="0"/>
              <w:rPr>
                <w:sz w:val="1"/>
                <w:szCs w:val="1"/>
                <w:color w:val="auto"/>
              </w:rPr>
            </w:pPr>
          </w:p>
        </w:tc>
      </w:tr>
      <w:tr>
        <w:trPr>
          <w:trHeight w:val="20"/>
        </w:trPr>
        <w:tc>
          <w:tcPr>
            <w:tcW w:w="8400" w:type="dxa"/>
            <w:vAlign w:val="bottom"/>
            <w:tcBorders>
              <w:bottom w:val="single" w:sz="8" w:color="CCEEFF"/>
            </w:tcBorders>
          </w:tcPr>
          <w:p>
            <w:pPr>
              <w:spacing w:after="0" w:line="20" w:lineRule="exact"/>
              <w:rPr>
                <w:sz w:val="1"/>
                <w:szCs w:val="1"/>
                <w:color w:val="auto"/>
              </w:rPr>
            </w:pPr>
          </w:p>
        </w:tc>
        <w:tc>
          <w:tcPr>
            <w:tcW w:w="860" w:type="dxa"/>
            <w:vAlign w:val="bottom"/>
            <w:tcBorders>
              <w:bottom w:val="single" w:sz="8" w:color="auto"/>
            </w:tcBorders>
          </w:tcPr>
          <w:p>
            <w:pPr>
              <w:spacing w:after="0" w:line="20" w:lineRule="exact"/>
              <w:rPr>
                <w:sz w:val="1"/>
                <w:szCs w:val="1"/>
                <w:color w:val="auto"/>
              </w:rPr>
            </w:pPr>
          </w:p>
        </w:tc>
        <w:tc>
          <w:tcPr>
            <w:tcW w:w="52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440" w:type="dxa"/>
            <w:vAlign w:val="bottom"/>
            <w:tcBorders>
              <w:bottom w:val="single" w:sz="8" w:color="auto"/>
            </w:tcBorders>
          </w:tcPr>
          <w:p>
            <w:pPr>
              <w:spacing w:after="0" w:line="20" w:lineRule="exact"/>
              <w:rPr>
                <w:sz w:val="1"/>
                <w:szCs w:val="1"/>
                <w:color w:val="auto"/>
              </w:rPr>
            </w:pPr>
          </w:p>
        </w:tc>
        <w:tc>
          <w:tcPr>
            <w:tcW w:w="94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52"/>
        </w:trPr>
        <w:tc>
          <w:tcPr>
            <w:tcW w:w="8400" w:type="dxa"/>
            <w:vAlign w:val="bottom"/>
            <w:shd w:val="clear" w:color="auto" w:fill="CCEEFF"/>
          </w:tcPr>
          <w:p>
            <w:pPr>
              <w:ind w:left="2760"/>
              <w:spacing w:after="0" w:line="147" w:lineRule="exact"/>
              <w:rPr>
                <w:sz w:val="20"/>
                <w:szCs w:val="20"/>
                <w:color w:val="auto"/>
              </w:rPr>
            </w:pPr>
            <w:r>
              <w:rPr>
                <w:rFonts w:ascii="Times New Roman" w:cs="Times New Roman" w:eastAsia="Times New Roman" w:hAnsi="Times New Roman"/>
                <w:sz w:val="13"/>
                <w:szCs w:val="13"/>
                <w:b w:val="1"/>
                <w:bCs w:val="1"/>
                <w:color w:val="auto"/>
              </w:rPr>
              <w:t>LIABILITIES AND STOCKHOLDERS’ EQUITY</w:t>
            </w:r>
          </w:p>
        </w:tc>
        <w:tc>
          <w:tcPr>
            <w:tcW w:w="860" w:type="dxa"/>
            <w:vAlign w:val="bottom"/>
            <w:shd w:val="clear" w:color="auto" w:fill="CCEEFF"/>
          </w:tcPr>
          <w:p>
            <w:pPr>
              <w:spacing w:after="0"/>
              <w:rPr>
                <w:sz w:val="13"/>
                <w:szCs w:val="13"/>
                <w:color w:val="auto"/>
              </w:rPr>
            </w:pPr>
          </w:p>
        </w:tc>
        <w:tc>
          <w:tcPr>
            <w:tcW w:w="520" w:type="dxa"/>
            <w:vAlign w:val="bottom"/>
            <w:shd w:val="clear" w:color="auto" w:fill="CCEEFF"/>
          </w:tcPr>
          <w:p>
            <w:pPr>
              <w:spacing w:after="0"/>
              <w:rPr>
                <w:sz w:val="13"/>
                <w:szCs w:val="13"/>
                <w:color w:val="auto"/>
              </w:rPr>
            </w:pPr>
          </w:p>
        </w:tc>
        <w:tc>
          <w:tcPr>
            <w:tcW w:w="100" w:type="dxa"/>
            <w:vAlign w:val="bottom"/>
            <w:shd w:val="clear" w:color="auto" w:fill="CCEEFF"/>
          </w:tcPr>
          <w:p>
            <w:pPr>
              <w:spacing w:after="0"/>
              <w:rPr>
                <w:sz w:val="13"/>
                <w:szCs w:val="13"/>
                <w:color w:val="auto"/>
              </w:rPr>
            </w:pPr>
          </w:p>
        </w:tc>
        <w:tc>
          <w:tcPr>
            <w:tcW w:w="440" w:type="dxa"/>
            <w:vAlign w:val="bottom"/>
            <w:shd w:val="clear" w:color="auto" w:fill="CCEEFF"/>
          </w:tcPr>
          <w:p>
            <w:pPr>
              <w:spacing w:after="0"/>
              <w:rPr>
                <w:sz w:val="13"/>
                <w:szCs w:val="13"/>
                <w:color w:val="auto"/>
              </w:rPr>
            </w:pPr>
          </w:p>
        </w:tc>
        <w:tc>
          <w:tcPr>
            <w:tcW w:w="940" w:type="dxa"/>
            <w:vAlign w:val="bottom"/>
            <w:shd w:val="clear" w:color="auto" w:fill="CCEEFF"/>
          </w:tcPr>
          <w:p>
            <w:pPr>
              <w:spacing w:after="0"/>
              <w:rPr>
                <w:sz w:val="13"/>
                <w:szCs w:val="13"/>
                <w:color w:val="auto"/>
              </w:rPr>
            </w:pPr>
          </w:p>
        </w:tc>
        <w:tc>
          <w:tcPr>
            <w:tcW w:w="0" w:type="dxa"/>
            <w:vAlign w:val="bottom"/>
          </w:tcPr>
          <w:p>
            <w:pPr>
              <w:spacing w:after="0"/>
              <w:rPr>
                <w:sz w:val="1"/>
                <w:szCs w:val="1"/>
                <w:color w:val="auto"/>
              </w:rPr>
            </w:pPr>
          </w:p>
        </w:tc>
      </w:tr>
      <w:tr>
        <w:trPr>
          <w:trHeight w:val="168"/>
        </w:trPr>
        <w:tc>
          <w:tcPr>
            <w:tcW w:w="8400" w:type="dxa"/>
            <w:vAlign w:val="bottom"/>
          </w:tcPr>
          <w:p>
            <w:pPr>
              <w:spacing w:after="0"/>
              <w:rPr>
                <w:sz w:val="20"/>
                <w:szCs w:val="20"/>
                <w:color w:val="auto"/>
              </w:rPr>
            </w:pPr>
            <w:r>
              <w:rPr>
                <w:rFonts w:ascii="Times New Roman" w:cs="Times New Roman" w:eastAsia="Times New Roman" w:hAnsi="Times New Roman"/>
                <w:sz w:val="13"/>
                <w:szCs w:val="13"/>
                <w:color w:val="auto"/>
              </w:rPr>
              <w:t>Liabilities</w:t>
            </w:r>
          </w:p>
        </w:tc>
        <w:tc>
          <w:tcPr>
            <w:tcW w:w="860" w:type="dxa"/>
            <w:vAlign w:val="bottom"/>
          </w:tcPr>
          <w:p>
            <w:pPr>
              <w:spacing w:after="0"/>
              <w:rPr>
                <w:sz w:val="14"/>
                <w:szCs w:val="14"/>
                <w:color w:val="auto"/>
              </w:rPr>
            </w:pPr>
          </w:p>
        </w:tc>
        <w:tc>
          <w:tcPr>
            <w:tcW w:w="5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440" w:type="dxa"/>
            <w:vAlign w:val="bottom"/>
          </w:tcPr>
          <w:p>
            <w:pPr>
              <w:spacing w:after="0"/>
              <w:rPr>
                <w:sz w:val="14"/>
                <w:szCs w:val="14"/>
                <w:color w:val="auto"/>
              </w:rPr>
            </w:pPr>
          </w:p>
        </w:tc>
        <w:tc>
          <w:tcPr>
            <w:tcW w:w="94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72"/>
        </w:trPr>
        <w:tc>
          <w:tcPr>
            <w:tcW w:w="8400" w:type="dxa"/>
            <w:vAlign w:val="bottom"/>
            <w:shd w:val="clear" w:color="auto" w:fill="CCEEFF"/>
          </w:tcPr>
          <w:p>
            <w:pPr>
              <w:ind w:left="100"/>
              <w:spacing w:after="0"/>
              <w:rPr>
                <w:sz w:val="20"/>
                <w:szCs w:val="20"/>
                <w:color w:val="auto"/>
              </w:rPr>
            </w:pPr>
            <w:r>
              <w:rPr>
                <w:rFonts w:ascii="Times New Roman" w:cs="Times New Roman" w:eastAsia="Times New Roman" w:hAnsi="Times New Roman"/>
                <w:sz w:val="13"/>
                <w:szCs w:val="13"/>
                <w:color w:val="auto"/>
              </w:rPr>
              <w:t>Accounts payable and accrued liabilities</w:t>
            </w:r>
          </w:p>
        </w:tc>
        <w:tc>
          <w:tcPr>
            <w:tcW w:w="860" w:type="dxa"/>
            <w:vAlign w:val="bottom"/>
            <w:shd w:val="clear" w:color="auto" w:fill="CCEEFF"/>
          </w:tcPr>
          <w:p>
            <w:pPr>
              <w:jc w:val="right"/>
              <w:ind w:right="716"/>
              <w:spacing w:after="0"/>
              <w:rPr>
                <w:sz w:val="20"/>
                <w:szCs w:val="20"/>
                <w:color w:val="auto"/>
              </w:rPr>
            </w:pPr>
            <w:r>
              <w:rPr>
                <w:rFonts w:ascii="Times New Roman" w:cs="Times New Roman" w:eastAsia="Times New Roman" w:hAnsi="Times New Roman"/>
                <w:sz w:val="13"/>
                <w:szCs w:val="13"/>
                <w:color w:val="auto"/>
                <w:w w:val="91"/>
              </w:rPr>
              <w:t>$</w:t>
            </w:r>
          </w:p>
        </w:tc>
        <w:tc>
          <w:tcPr>
            <w:tcW w:w="5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7,584</w:t>
            </w:r>
          </w:p>
        </w:tc>
        <w:tc>
          <w:tcPr>
            <w:tcW w:w="100" w:type="dxa"/>
            <w:vAlign w:val="bottom"/>
            <w:shd w:val="clear" w:color="auto" w:fill="CCEEFF"/>
          </w:tcPr>
          <w:p>
            <w:pPr>
              <w:spacing w:after="0"/>
              <w:rPr>
                <w:sz w:val="14"/>
                <w:szCs w:val="14"/>
                <w:color w:val="auto"/>
              </w:rPr>
            </w:pPr>
          </w:p>
        </w:tc>
        <w:tc>
          <w:tcPr>
            <w:tcW w:w="440" w:type="dxa"/>
            <w:vAlign w:val="bottom"/>
            <w:shd w:val="clear" w:color="auto" w:fill="CCEEFF"/>
          </w:tcPr>
          <w:p>
            <w:pPr>
              <w:jc w:val="right"/>
              <w:ind w:right="296"/>
              <w:spacing w:after="0"/>
              <w:rPr>
                <w:sz w:val="20"/>
                <w:szCs w:val="20"/>
                <w:color w:val="auto"/>
              </w:rPr>
            </w:pPr>
            <w:r>
              <w:rPr>
                <w:rFonts w:ascii="Times New Roman" w:cs="Times New Roman" w:eastAsia="Times New Roman" w:hAnsi="Times New Roman"/>
                <w:sz w:val="13"/>
                <w:szCs w:val="13"/>
                <w:color w:val="auto"/>
                <w:w w:val="91"/>
              </w:rPr>
              <w:t>$</w:t>
            </w:r>
          </w:p>
        </w:tc>
        <w:tc>
          <w:tcPr>
            <w:tcW w:w="9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6,413</w:t>
            </w:r>
          </w:p>
        </w:tc>
        <w:tc>
          <w:tcPr>
            <w:tcW w:w="0" w:type="dxa"/>
            <w:vAlign w:val="bottom"/>
          </w:tcPr>
          <w:p>
            <w:pPr>
              <w:spacing w:after="0"/>
              <w:rPr>
                <w:sz w:val="1"/>
                <w:szCs w:val="1"/>
                <w:color w:val="auto"/>
              </w:rPr>
            </w:pPr>
          </w:p>
        </w:tc>
      </w:tr>
      <w:tr>
        <w:trPr>
          <w:trHeight w:val="168"/>
        </w:trPr>
        <w:tc>
          <w:tcPr>
            <w:tcW w:w="8400" w:type="dxa"/>
            <w:vAlign w:val="bottom"/>
          </w:tcPr>
          <w:p>
            <w:pPr>
              <w:ind w:left="100"/>
              <w:spacing w:after="0"/>
              <w:rPr>
                <w:sz w:val="20"/>
                <w:szCs w:val="20"/>
                <w:color w:val="auto"/>
              </w:rPr>
            </w:pPr>
            <w:r>
              <w:rPr>
                <w:rFonts w:ascii="Times New Roman" w:cs="Times New Roman" w:eastAsia="Times New Roman" w:hAnsi="Times New Roman"/>
                <w:sz w:val="13"/>
                <w:szCs w:val="13"/>
                <w:color w:val="auto"/>
              </w:rPr>
              <w:t>Dividends payable</w:t>
            </w:r>
          </w:p>
        </w:tc>
        <w:tc>
          <w:tcPr>
            <w:tcW w:w="860" w:type="dxa"/>
            <w:vAlign w:val="bottom"/>
          </w:tcPr>
          <w:p>
            <w:pPr>
              <w:spacing w:after="0"/>
              <w:rPr>
                <w:sz w:val="14"/>
                <w:szCs w:val="14"/>
                <w:color w:val="auto"/>
              </w:rPr>
            </w:pPr>
          </w:p>
        </w:tc>
        <w:tc>
          <w:tcPr>
            <w:tcW w:w="52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2,701</w:t>
            </w:r>
          </w:p>
        </w:tc>
        <w:tc>
          <w:tcPr>
            <w:tcW w:w="100" w:type="dxa"/>
            <w:vAlign w:val="bottom"/>
          </w:tcPr>
          <w:p>
            <w:pPr>
              <w:spacing w:after="0"/>
              <w:rPr>
                <w:sz w:val="14"/>
                <w:szCs w:val="14"/>
                <w:color w:val="auto"/>
              </w:rPr>
            </w:pPr>
          </w:p>
        </w:tc>
        <w:tc>
          <w:tcPr>
            <w:tcW w:w="440" w:type="dxa"/>
            <w:vAlign w:val="bottom"/>
          </w:tcPr>
          <w:p>
            <w:pPr>
              <w:spacing w:after="0"/>
              <w:rPr>
                <w:sz w:val="14"/>
                <w:szCs w:val="14"/>
                <w:color w:val="auto"/>
              </w:rPr>
            </w:pPr>
          </w:p>
        </w:tc>
        <w:tc>
          <w:tcPr>
            <w:tcW w:w="94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2,466</w:t>
            </w:r>
          </w:p>
        </w:tc>
        <w:tc>
          <w:tcPr>
            <w:tcW w:w="0" w:type="dxa"/>
            <w:vAlign w:val="bottom"/>
          </w:tcPr>
          <w:p>
            <w:pPr>
              <w:spacing w:after="0"/>
              <w:rPr>
                <w:sz w:val="1"/>
                <w:szCs w:val="1"/>
                <w:color w:val="auto"/>
              </w:rPr>
            </w:pPr>
          </w:p>
        </w:tc>
      </w:tr>
      <w:tr>
        <w:trPr>
          <w:trHeight w:val="172"/>
        </w:trPr>
        <w:tc>
          <w:tcPr>
            <w:tcW w:w="8400" w:type="dxa"/>
            <w:vAlign w:val="bottom"/>
            <w:shd w:val="clear" w:color="auto" w:fill="CCEEFF"/>
          </w:tcPr>
          <w:p>
            <w:pPr>
              <w:ind w:left="100"/>
              <w:spacing w:after="0"/>
              <w:rPr>
                <w:sz w:val="20"/>
                <w:szCs w:val="20"/>
                <w:color w:val="auto"/>
              </w:rPr>
            </w:pPr>
            <w:r>
              <w:rPr>
                <w:rFonts w:ascii="Times New Roman" w:cs="Times New Roman" w:eastAsia="Times New Roman" w:hAnsi="Times New Roman"/>
                <w:sz w:val="13"/>
                <w:szCs w:val="13"/>
                <w:color w:val="auto"/>
              </w:rPr>
              <w:t>Compensation and benefits payable</w:t>
            </w:r>
          </w:p>
        </w:tc>
        <w:tc>
          <w:tcPr>
            <w:tcW w:w="860" w:type="dxa"/>
            <w:vAlign w:val="bottom"/>
            <w:shd w:val="clear" w:color="auto" w:fill="CCEEFF"/>
          </w:tcPr>
          <w:p>
            <w:pPr>
              <w:spacing w:after="0"/>
              <w:rPr>
                <w:sz w:val="14"/>
                <w:szCs w:val="14"/>
                <w:color w:val="auto"/>
              </w:rPr>
            </w:pPr>
          </w:p>
        </w:tc>
        <w:tc>
          <w:tcPr>
            <w:tcW w:w="5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13,626</w:t>
            </w:r>
          </w:p>
        </w:tc>
        <w:tc>
          <w:tcPr>
            <w:tcW w:w="100" w:type="dxa"/>
            <w:vAlign w:val="bottom"/>
            <w:shd w:val="clear" w:color="auto" w:fill="CCEEFF"/>
          </w:tcPr>
          <w:p>
            <w:pPr>
              <w:spacing w:after="0"/>
              <w:rPr>
                <w:sz w:val="14"/>
                <w:szCs w:val="14"/>
                <w:color w:val="auto"/>
              </w:rPr>
            </w:pPr>
          </w:p>
        </w:tc>
        <w:tc>
          <w:tcPr>
            <w:tcW w:w="440" w:type="dxa"/>
            <w:vAlign w:val="bottom"/>
            <w:shd w:val="clear" w:color="auto" w:fill="CCEEFF"/>
          </w:tcPr>
          <w:p>
            <w:pPr>
              <w:spacing w:after="0"/>
              <w:rPr>
                <w:sz w:val="14"/>
                <w:szCs w:val="14"/>
                <w:color w:val="auto"/>
              </w:rPr>
            </w:pPr>
          </w:p>
        </w:tc>
        <w:tc>
          <w:tcPr>
            <w:tcW w:w="9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10,924</w:t>
            </w:r>
          </w:p>
        </w:tc>
        <w:tc>
          <w:tcPr>
            <w:tcW w:w="0" w:type="dxa"/>
            <w:vAlign w:val="bottom"/>
          </w:tcPr>
          <w:p>
            <w:pPr>
              <w:spacing w:after="0"/>
              <w:rPr>
                <w:sz w:val="1"/>
                <w:szCs w:val="1"/>
                <w:color w:val="auto"/>
              </w:rPr>
            </w:pPr>
          </w:p>
        </w:tc>
      </w:tr>
      <w:tr>
        <w:trPr>
          <w:trHeight w:val="168"/>
        </w:trPr>
        <w:tc>
          <w:tcPr>
            <w:tcW w:w="8400" w:type="dxa"/>
            <w:vAlign w:val="bottom"/>
          </w:tcPr>
          <w:p>
            <w:pPr>
              <w:ind w:left="100"/>
              <w:spacing w:after="0"/>
              <w:rPr>
                <w:sz w:val="20"/>
                <w:szCs w:val="20"/>
                <w:color w:val="auto"/>
              </w:rPr>
            </w:pPr>
            <w:r>
              <w:rPr>
                <w:rFonts w:ascii="Times New Roman" w:cs="Times New Roman" w:eastAsia="Times New Roman" w:hAnsi="Times New Roman"/>
                <w:sz w:val="13"/>
                <w:szCs w:val="13"/>
                <w:color w:val="auto"/>
              </w:rPr>
              <w:t>Operating lease liabilities</w:t>
            </w:r>
          </w:p>
        </w:tc>
        <w:tc>
          <w:tcPr>
            <w:tcW w:w="860" w:type="dxa"/>
            <w:vAlign w:val="bottom"/>
          </w:tcPr>
          <w:p>
            <w:pPr>
              <w:spacing w:after="0"/>
              <w:rPr>
                <w:sz w:val="14"/>
                <w:szCs w:val="14"/>
                <w:color w:val="auto"/>
              </w:rPr>
            </w:pPr>
          </w:p>
        </w:tc>
        <w:tc>
          <w:tcPr>
            <w:tcW w:w="52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10,171</w:t>
            </w:r>
          </w:p>
        </w:tc>
        <w:tc>
          <w:tcPr>
            <w:tcW w:w="100" w:type="dxa"/>
            <w:vAlign w:val="bottom"/>
          </w:tcPr>
          <w:p>
            <w:pPr>
              <w:spacing w:after="0"/>
              <w:rPr>
                <w:sz w:val="14"/>
                <w:szCs w:val="14"/>
                <w:color w:val="auto"/>
              </w:rPr>
            </w:pPr>
          </w:p>
        </w:tc>
        <w:tc>
          <w:tcPr>
            <w:tcW w:w="440" w:type="dxa"/>
            <w:vAlign w:val="bottom"/>
          </w:tcPr>
          <w:p>
            <w:pPr>
              <w:spacing w:after="0"/>
              <w:rPr>
                <w:sz w:val="14"/>
                <w:szCs w:val="14"/>
                <w:color w:val="auto"/>
              </w:rPr>
            </w:pPr>
          </w:p>
        </w:tc>
        <w:tc>
          <w:tcPr>
            <w:tcW w:w="94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3,197</w:t>
            </w:r>
          </w:p>
        </w:tc>
        <w:tc>
          <w:tcPr>
            <w:tcW w:w="0" w:type="dxa"/>
            <w:vAlign w:val="bottom"/>
          </w:tcPr>
          <w:p>
            <w:pPr>
              <w:spacing w:after="0"/>
              <w:rPr>
                <w:sz w:val="1"/>
                <w:szCs w:val="1"/>
                <w:color w:val="auto"/>
              </w:rPr>
            </w:pPr>
          </w:p>
        </w:tc>
      </w:tr>
      <w:tr>
        <w:trPr>
          <w:trHeight w:val="172"/>
        </w:trPr>
        <w:tc>
          <w:tcPr>
            <w:tcW w:w="8400" w:type="dxa"/>
            <w:vAlign w:val="bottom"/>
            <w:shd w:val="clear" w:color="auto" w:fill="CCEEFF"/>
          </w:tcPr>
          <w:p>
            <w:pPr>
              <w:ind w:left="100"/>
              <w:spacing w:after="0"/>
              <w:rPr>
                <w:sz w:val="20"/>
                <w:szCs w:val="20"/>
                <w:color w:val="auto"/>
              </w:rPr>
            </w:pPr>
            <w:r>
              <w:rPr>
                <w:rFonts w:ascii="Times New Roman" w:cs="Times New Roman" w:eastAsia="Times New Roman" w:hAnsi="Times New Roman"/>
                <w:sz w:val="13"/>
                <w:szCs w:val="13"/>
                <w:color w:val="auto"/>
              </w:rPr>
              <w:t>Income taxes payable</w:t>
            </w:r>
          </w:p>
        </w:tc>
        <w:tc>
          <w:tcPr>
            <w:tcW w:w="860" w:type="dxa"/>
            <w:vAlign w:val="bottom"/>
            <w:shd w:val="clear" w:color="auto" w:fill="CCEEFF"/>
          </w:tcPr>
          <w:p>
            <w:pPr>
              <w:spacing w:after="0"/>
              <w:rPr>
                <w:sz w:val="14"/>
                <w:szCs w:val="14"/>
                <w:color w:val="auto"/>
              </w:rPr>
            </w:pPr>
          </w:p>
        </w:tc>
        <w:tc>
          <w:tcPr>
            <w:tcW w:w="5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1,493</w:t>
            </w:r>
          </w:p>
        </w:tc>
        <w:tc>
          <w:tcPr>
            <w:tcW w:w="100" w:type="dxa"/>
            <w:vAlign w:val="bottom"/>
            <w:shd w:val="clear" w:color="auto" w:fill="CCEEFF"/>
          </w:tcPr>
          <w:p>
            <w:pPr>
              <w:spacing w:after="0"/>
              <w:rPr>
                <w:sz w:val="14"/>
                <w:szCs w:val="14"/>
                <w:color w:val="auto"/>
              </w:rPr>
            </w:pPr>
          </w:p>
        </w:tc>
        <w:tc>
          <w:tcPr>
            <w:tcW w:w="440" w:type="dxa"/>
            <w:vAlign w:val="bottom"/>
            <w:shd w:val="clear" w:color="auto" w:fill="CCEEFF"/>
          </w:tcPr>
          <w:p>
            <w:pPr>
              <w:spacing w:after="0"/>
              <w:rPr>
                <w:sz w:val="14"/>
                <w:szCs w:val="14"/>
                <w:color w:val="auto"/>
              </w:rPr>
            </w:pPr>
          </w:p>
        </w:tc>
        <w:tc>
          <w:tcPr>
            <w:tcW w:w="9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w:t>
            </w:r>
          </w:p>
        </w:tc>
        <w:tc>
          <w:tcPr>
            <w:tcW w:w="0" w:type="dxa"/>
            <w:vAlign w:val="bottom"/>
          </w:tcPr>
          <w:p>
            <w:pPr>
              <w:spacing w:after="0"/>
              <w:rPr>
                <w:sz w:val="1"/>
                <w:szCs w:val="1"/>
                <w:color w:val="auto"/>
              </w:rPr>
            </w:pPr>
          </w:p>
        </w:tc>
      </w:tr>
      <w:tr>
        <w:trPr>
          <w:trHeight w:val="168"/>
        </w:trPr>
        <w:tc>
          <w:tcPr>
            <w:tcW w:w="8400" w:type="dxa"/>
            <w:vAlign w:val="bottom"/>
          </w:tcPr>
          <w:p>
            <w:pPr>
              <w:ind w:left="100"/>
              <w:spacing w:after="0"/>
              <w:rPr>
                <w:sz w:val="20"/>
                <w:szCs w:val="20"/>
                <w:color w:val="auto"/>
              </w:rPr>
            </w:pPr>
            <w:r>
              <w:rPr>
                <w:rFonts w:ascii="Times New Roman" w:cs="Times New Roman" w:eastAsia="Times New Roman" w:hAnsi="Times New Roman"/>
                <w:sz w:val="13"/>
                <w:szCs w:val="13"/>
                <w:color w:val="auto"/>
              </w:rPr>
              <w:t>Contingent consideration</w:t>
            </w:r>
          </w:p>
        </w:tc>
        <w:tc>
          <w:tcPr>
            <w:tcW w:w="860" w:type="dxa"/>
            <w:vAlign w:val="bottom"/>
          </w:tcPr>
          <w:p>
            <w:pPr>
              <w:spacing w:after="0"/>
              <w:rPr>
                <w:sz w:val="14"/>
                <w:szCs w:val="14"/>
                <w:color w:val="auto"/>
              </w:rPr>
            </w:pPr>
          </w:p>
        </w:tc>
        <w:tc>
          <w:tcPr>
            <w:tcW w:w="620" w:type="dxa"/>
            <w:vAlign w:val="bottom"/>
            <w:gridSpan w:val="2"/>
          </w:tcPr>
          <w:p>
            <w:pPr>
              <w:jc w:val="right"/>
              <w:ind w:right="160"/>
              <w:spacing w:after="0"/>
              <w:rPr>
                <w:sz w:val="20"/>
                <w:szCs w:val="20"/>
                <w:color w:val="auto"/>
              </w:rPr>
            </w:pPr>
            <w:r>
              <w:rPr>
                <w:rFonts w:ascii="Times New Roman" w:cs="Times New Roman" w:eastAsia="Times New Roman" w:hAnsi="Times New Roman"/>
                <w:sz w:val="13"/>
                <w:szCs w:val="13"/>
                <w:color w:val="auto"/>
              </w:rPr>
              <w:t>—</w:t>
            </w:r>
          </w:p>
        </w:tc>
        <w:tc>
          <w:tcPr>
            <w:tcW w:w="440" w:type="dxa"/>
            <w:vAlign w:val="bottom"/>
          </w:tcPr>
          <w:p>
            <w:pPr>
              <w:spacing w:after="0"/>
              <w:rPr>
                <w:sz w:val="14"/>
                <w:szCs w:val="14"/>
                <w:color w:val="auto"/>
              </w:rPr>
            </w:pPr>
          </w:p>
        </w:tc>
        <w:tc>
          <w:tcPr>
            <w:tcW w:w="94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4,657</w:t>
            </w:r>
          </w:p>
        </w:tc>
        <w:tc>
          <w:tcPr>
            <w:tcW w:w="0" w:type="dxa"/>
            <w:vAlign w:val="bottom"/>
          </w:tcPr>
          <w:p>
            <w:pPr>
              <w:spacing w:after="0"/>
              <w:rPr>
                <w:sz w:val="1"/>
                <w:szCs w:val="1"/>
                <w:color w:val="auto"/>
              </w:rPr>
            </w:pPr>
          </w:p>
        </w:tc>
      </w:tr>
      <w:tr>
        <w:trPr>
          <w:trHeight w:val="163"/>
        </w:trPr>
        <w:tc>
          <w:tcPr>
            <w:tcW w:w="8400" w:type="dxa"/>
            <w:vAlign w:val="bottom"/>
            <w:tcBorders>
              <w:top w:val="single" w:sz="8" w:color="CCEEFF"/>
            </w:tcBorders>
            <w:shd w:val="clear" w:color="auto" w:fill="CCEEFF"/>
          </w:tcPr>
          <w:p>
            <w:pPr>
              <w:ind w:left="620"/>
              <w:spacing w:after="0"/>
              <w:rPr>
                <w:sz w:val="20"/>
                <w:szCs w:val="20"/>
                <w:color w:val="auto"/>
              </w:rPr>
            </w:pPr>
            <w:r>
              <w:rPr>
                <w:rFonts w:ascii="Times New Roman" w:cs="Times New Roman" w:eastAsia="Times New Roman" w:hAnsi="Times New Roman"/>
                <w:sz w:val="13"/>
                <w:szCs w:val="13"/>
                <w:b w:val="1"/>
                <w:bCs w:val="1"/>
                <w:color w:val="auto"/>
              </w:rPr>
              <w:t>Total liabilities</w:t>
            </w:r>
          </w:p>
        </w:tc>
        <w:tc>
          <w:tcPr>
            <w:tcW w:w="860" w:type="dxa"/>
            <w:vAlign w:val="bottom"/>
            <w:tcBorders>
              <w:top w:val="single" w:sz="8" w:color="auto"/>
              <w:bottom w:val="single" w:sz="8" w:color="auto"/>
            </w:tcBorders>
            <w:shd w:val="clear" w:color="auto" w:fill="CCEEFF"/>
          </w:tcPr>
          <w:p>
            <w:pPr>
              <w:spacing w:after="0"/>
              <w:rPr>
                <w:sz w:val="14"/>
                <w:szCs w:val="14"/>
                <w:color w:val="auto"/>
              </w:rPr>
            </w:pPr>
          </w:p>
        </w:tc>
        <w:tc>
          <w:tcPr>
            <w:tcW w:w="5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35,575</w:t>
            </w:r>
          </w:p>
        </w:tc>
        <w:tc>
          <w:tcPr>
            <w:tcW w:w="100" w:type="dxa"/>
            <w:vAlign w:val="bottom"/>
            <w:tcBorders>
              <w:top w:val="single" w:sz="8" w:color="CCEEFF"/>
            </w:tcBorders>
            <w:shd w:val="clear" w:color="auto" w:fill="CCEEFF"/>
          </w:tcPr>
          <w:p>
            <w:pPr>
              <w:spacing w:after="0"/>
              <w:rPr>
                <w:sz w:val="14"/>
                <w:szCs w:val="14"/>
                <w:color w:val="auto"/>
              </w:rPr>
            </w:pPr>
          </w:p>
        </w:tc>
        <w:tc>
          <w:tcPr>
            <w:tcW w:w="440" w:type="dxa"/>
            <w:vAlign w:val="bottom"/>
            <w:tcBorders>
              <w:top w:val="single" w:sz="8" w:color="auto"/>
              <w:bottom w:val="single" w:sz="8" w:color="auto"/>
            </w:tcBorders>
            <w:shd w:val="clear" w:color="auto" w:fill="CCEEFF"/>
          </w:tcPr>
          <w:p>
            <w:pPr>
              <w:spacing w:after="0"/>
              <w:rPr>
                <w:sz w:val="14"/>
                <w:szCs w:val="14"/>
                <w:color w:val="auto"/>
              </w:rPr>
            </w:pPr>
          </w:p>
        </w:tc>
        <w:tc>
          <w:tcPr>
            <w:tcW w:w="9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27,657</w:t>
            </w:r>
          </w:p>
        </w:tc>
        <w:tc>
          <w:tcPr>
            <w:tcW w:w="0" w:type="dxa"/>
            <w:vAlign w:val="bottom"/>
          </w:tcPr>
          <w:p>
            <w:pPr>
              <w:spacing w:after="0"/>
              <w:rPr>
                <w:sz w:val="1"/>
                <w:szCs w:val="1"/>
                <w:color w:val="auto"/>
              </w:rPr>
            </w:pPr>
          </w:p>
        </w:tc>
      </w:tr>
      <w:tr>
        <w:trPr>
          <w:trHeight w:val="148"/>
        </w:trPr>
        <w:tc>
          <w:tcPr>
            <w:tcW w:w="8400" w:type="dxa"/>
            <w:vAlign w:val="bottom"/>
          </w:tcPr>
          <w:p>
            <w:pPr>
              <w:spacing w:after="0" w:line="146" w:lineRule="exact"/>
              <w:rPr>
                <w:sz w:val="20"/>
                <w:szCs w:val="20"/>
                <w:color w:val="auto"/>
              </w:rPr>
            </w:pPr>
            <w:r>
              <w:rPr>
                <w:rFonts w:ascii="Times New Roman" w:cs="Times New Roman" w:eastAsia="Times New Roman" w:hAnsi="Times New Roman"/>
                <w:sz w:val="13"/>
                <w:szCs w:val="13"/>
                <w:color w:val="auto"/>
              </w:rPr>
              <w:t>Commitments and contingencies (Note 14)</w:t>
            </w:r>
          </w:p>
        </w:tc>
        <w:tc>
          <w:tcPr>
            <w:tcW w:w="860" w:type="dxa"/>
            <w:vAlign w:val="bottom"/>
          </w:tcPr>
          <w:p>
            <w:pPr>
              <w:spacing w:after="0"/>
              <w:rPr>
                <w:sz w:val="12"/>
                <w:szCs w:val="12"/>
                <w:color w:val="auto"/>
              </w:rPr>
            </w:pPr>
          </w:p>
        </w:tc>
        <w:tc>
          <w:tcPr>
            <w:tcW w:w="5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440" w:type="dxa"/>
            <w:vAlign w:val="bottom"/>
          </w:tcPr>
          <w:p>
            <w:pPr>
              <w:spacing w:after="0"/>
              <w:rPr>
                <w:sz w:val="12"/>
                <w:szCs w:val="12"/>
                <w:color w:val="auto"/>
              </w:rPr>
            </w:pPr>
          </w:p>
        </w:tc>
        <w:tc>
          <w:tcPr>
            <w:tcW w:w="94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72"/>
        </w:trPr>
        <w:tc>
          <w:tcPr>
            <w:tcW w:w="8400" w:type="dxa"/>
            <w:vAlign w:val="bottom"/>
            <w:shd w:val="clear" w:color="auto" w:fill="CCEEFF"/>
          </w:tcPr>
          <w:p>
            <w:pPr>
              <w:spacing w:after="0"/>
              <w:rPr>
                <w:sz w:val="20"/>
                <w:szCs w:val="20"/>
                <w:color w:val="auto"/>
              </w:rPr>
            </w:pPr>
            <w:r>
              <w:rPr>
                <w:rFonts w:ascii="Times New Roman" w:cs="Times New Roman" w:eastAsia="Times New Roman" w:hAnsi="Times New Roman"/>
                <w:sz w:val="13"/>
                <w:szCs w:val="13"/>
                <w:color w:val="auto"/>
              </w:rPr>
              <w:t>Stockholders’ Equity:</w:t>
            </w:r>
          </w:p>
        </w:tc>
        <w:tc>
          <w:tcPr>
            <w:tcW w:w="860" w:type="dxa"/>
            <w:vAlign w:val="bottom"/>
            <w:shd w:val="clear" w:color="auto" w:fill="CCEEFF"/>
          </w:tcPr>
          <w:p>
            <w:pPr>
              <w:spacing w:after="0"/>
              <w:rPr>
                <w:sz w:val="14"/>
                <w:szCs w:val="14"/>
                <w:color w:val="auto"/>
              </w:rPr>
            </w:pPr>
          </w:p>
        </w:tc>
        <w:tc>
          <w:tcPr>
            <w:tcW w:w="52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440" w:type="dxa"/>
            <w:vAlign w:val="bottom"/>
            <w:shd w:val="clear" w:color="auto" w:fill="CCEEFF"/>
          </w:tcPr>
          <w:p>
            <w:pPr>
              <w:spacing w:after="0"/>
              <w:rPr>
                <w:sz w:val="14"/>
                <w:szCs w:val="14"/>
                <w:color w:val="auto"/>
              </w:rPr>
            </w:pPr>
          </w:p>
        </w:tc>
        <w:tc>
          <w:tcPr>
            <w:tcW w:w="940" w:type="dxa"/>
            <w:vAlign w:val="bottom"/>
            <w:shd w:val="clear" w:color="auto" w:fill="CCEEFF"/>
          </w:tcPr>
          <w:p>
            <w:pPr>
              <w:spacing w:after="0"/>
              <w:rPr>
                <w:sz w:val="14"/>
                <w:szCs w:val="14"/>
                <w:color w:val="auto"/>
              </w:rPr>
            </w:pPr>
          </w:p>
        </w:tc>
        <w:tc>
          <w:tcPr>
            <w:tcW w:w="0" w:type="dxa"/>
            <w:vAlign w:val="bottom"/>
          </w:tcPr>
          <w:p>
            <w:pPr>
              <w:spacing w:after="0"/>
              <w:rPr>
                <w:sz w:val="1"/>
                <w:szCs w:val="1"/>
                <w:color w:val="auto"/>
              </w:rPr>
            </w:pPr>
          </w:p>
        </w:tc>
      </w:tr>
      <w:tr>
        <w:trPr>
          <w:trHeight w:val="127"/>
        </w:trPr>
        <w:tc>
          <w:tcPr>
            <w:tcW w:w="8400" w:type="dxa"/>
            <w:vAlign w:val="bottom"/>
          </w:tcPr>
          <w:p>
            <w:pPr>
              <w:ind w:left="380"/>
              <w:spacing w:after="0" w:line="128" w:lineRule="exact"/>
              <w:rPr>
                <w:sz w:val="20"/>
                <w:szCs w:val="20"/>
                <w:color w:val="auto"/>
              </w:rPr>
            </w:pPr>
            <w:r>
              <w:rPr>
                <w:rFonts w:ascii="Times New Roman" w:cs="Times New Roman" w:eastAsia="Times New Roman" w:hAnsi="Times New Roman"/>
                <w:sz w:val="13"/>
                <w:szCs w:val="13"/>
                <w:color w:val="auto"/>
                <w:w w:val="99"/>
              </w:rPr>
              <w:t>Common stock, $0.01 par value, authorized 25,000,000 shares, issued 12,337,758 and 12,137,080, respectively and outstanding 9,394,066 and 9,234,575,</w:t>
            </w:r>
          </w:p>
        </w:tc>
        <w:tc>
          <w:tcPr>
            <w:tcW w:w="860" w:type="dxa"/>
            <w:vAlign w:val="bottom"/>
          </w:tcPr>
          <w:p>
            <w:pPr>
              <w:spacing w:after="0"/>
              <w:rPr>
                <w:sz w:val="11"/>
                <w:szCs w:val="11"/>
                <w:color w:val="auto"/>
              </w:rPr>
            </w:pPr>
          </w:p>
        </w:tc>
        <w:tc>
          <w:tcPr>
            <w:tcW w:w="520" w:type="dxa"/>
            <w:vAlign w:val="bottom"/>
            <w:vMerge w:val="restart"/>
          </w:tcPr>
          <w:p>
            <w:pPr>
              <w:jc w:val="right"/>
              <w:spacing w:after="0"/>
              <w:rPr>
                <w:sz w:val="20"/>
                <w:szCs w:val="20"/>
                <w:color w:val="auto"/>
              </w:rPr>
            </w:pPr>
            <w:r>
              <w:rPr>
                <w:rFonts w:ascii="Times New Roman" w:cs="Times New Roman" w:eastAsia="Times New Roman" w:hAnsi="Times New Roman"/>
                <w:sz w:val="13"/>
                <w:szCs w:val="13"/>
                <w:color w:val="auto"/>
              </w:rPr>
              <w:t>124</w:t>
            </w:r>
          </w:p>
        </w:tc>
        <w:tc>
          <w:tcPr>
            <w:tcW w:w="10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940" w:type="dxa"/>
            <w:vAlign w:val="bottom"/>
            <w:vMerge w:val="restart"/>
          </w:tcPr>
          <w:p>
            <w:pPr>
              <w:jc w:val="right"/>
              <w:spacing w:after="0"/>
              <w:rPr>
                <w:sz w:val="20"/>
                <w:szCs w:val="20"/>
                <w:color w:val="auto"/>
              </w:rPr>
            </w:pPr>
            <w:r>
              <w:rPr>
                <w:rFonts w:ascii="Times New Roman" w:cs="Times New Roman" w:eastAsia="Times New Roman" w:hAnsi="Times New Roman"/>
                <w:sz w:val="13"/>
                <w:szCs w:val="13"/>
                <w:color w:val="auto"/>
              </w:rPr>
              <w:t>122</w:t>
            </w:r>
          </w:p>
        </w:tc>
        <w:tc>
          <w:tcPr>
            <w:tcW w:w="0" w:type="dxa"/>
            <w:vAlign w:val="bottom"/>
          </w:tcPr>
          <w:p>
            <w:pPr>
              <w:spacing w:after="0"/>
              <w:rPr>
                <w:sz w:val="1"/>
                <w:szCs w:val="1"/>
                <w:color w:val="auto"/>
              </w:rPr>
            </w:pPr>
          </w:p>
        </w:tc>
      </w:tr>
      <w:tr>
        <w:trPr>
          <w:trHeight w:val="168"/>
        </w:trPr>
        <w:tc>
          <w:tcPr>
            <w:tcW w:w="8400" w:type="dxa"/>
            <w:vAlign w:val="bottom"/>
          </w:tcPr>
          <w:p>
            <w:pPr>
              <w:ind w:left="380"/>
              <w:spacing w:after="0"/>
              <w:rPr>
                <w:sz w:val="20"/>
                <w:szCs w:val="20"/>
                <w:color w:val="auto"/>
              </w:rPr>
            </w:pPr>
            <w:r>
              <w:rPr>
                <w:rFonts w:ascii="Times New Roman" w:cs="Times New Roman" w:eastAsia="Times New Roman" w:hAnsi="Times New Roman"/>
                <w:sz w:val="13"/>
                <w:szCs w:val="13"/>
                <w:color w:val="auto"/>
              </w:rPr>
              <w:t>respectively</w:t>
            </w:r>
          </w:p>
        </w:tc>
        <w:tc>
          <w:tcPr>
            <w:tcW w:w="860" w:type="dxa"/>
            <w:vAlign w:val="bottom"/>
          </w:tcPr>
          <w:p>
            <w:pPr>
              <w:spacing w:after="0"/>
              <w:rPr>
                <w:sz w:val="14"/>
                <w:szCs w:val="14"/>
                <w:color w:val="auto"/>
              </w:rPr>
            </w:pPr>
          </w:p>
        </w:tc>
        <w:tc>
          <w:tcPr>
            <w:tcW w:w="520" w:type="dxa"/>
            <w:vAlign w:val="bottom"/>
            <w:vMerge w:val="continue"/>
          </w:tcPr>
          <w:p>
            <w:pPr>
              <w:spacing w:after="0"/>
              <w:rPr>
                <w:sz w:val="14"/>
                <w:szCs w:val="14"/>
                <w:color w:val="auto"/>
              </w:rPr>
            </w:pPr>
          </w:p>
        </w:tc>
        <w:tc>
          <w:tcPr>
            <w:tcW w:w="100" w:type="dxa"/>
            <w:vAlign w:val="bottom"/>
          </w:tcPr>
          <w:p>
            <w:pPr>
              <w:spacing w:after="0"/>
              <w:rPr>
                <w:sz w:val="14"/>
                <w:szCs w:val="14"/>
                <w:color w:val="auto"/>
              </w:rPr>
            </w:pPr>
          </w:p>
        </w:tc>
        <w:tc>
          <w:tcPr>
            <w:tcW w:w="440" w:type="dxa"/>
            <w:vAlign w:val="bottom"/>
          </w:tcPr>
          <w:p>
            <w:pPr>
              <w:spacing w:after="0"/>
              <w:rPr>
                <w:sz w:val="14"/>
                <w:szCs w:val="14"/>
                <w:color w:val="auto"/>
              </w:rPr>
            </w:pPr>
          </w:p>
        </w:tc>
        <w:tc>
          <w:tcPr>
            <w:tcW w:w="940" w:type="dxa"/>
            <w:vAlign w:val="bottom"/>
            <w:vMerge w:val="continue"/>
          </w:tcPr>
          <w:p>
            <w:pPr>
              <w:spacing w:after="0"/>
              <w:rPr>
                <w:sz w:val="14"/>
                <w:szCs w:val="14"/>
                <w:color w:val="auto"/>
              </w:rPr>
            </w:pPr>
          </w:p>
        </w:tc>
        <w:tc>
          <w:tcPr>
            <w:tcW w:w="0" w:type="dxa"/>
            <w:vAlign w:val="bottom"/>
          </w:tcPr>
          <w:p>
            <w:pPr>
              <w:spacing w:after="0"/>
              <w:rPr>
                <w:sz w:val="1"/>
                <w:szCs w:val="1"/>
                <w:color w:val="auto"/>
              </w:rPr>
            </w:pPr>
          </w:p>
        </w:tc>
      </w:tr>
      <w:tr>
        <w:trPr>
          <w:trHeight w:val="172"/>
        </w:trPr>
        <w:tc>
          <w:tcPr>
            <w:tcW w:w="8400" w:type="dxa"/>
            <w:vAlign w:val="bottom"/>
            <w:shd w:val="clear" w:color="auto" w:fill="CCEEFF"/>
          </w:tcPr>
          <w:p>
            <w:pPr>
              <w:ind w:left="360"/>
              <w:spacing w:after="0"/>
              <w:rPr>
                <w:sz w:val="20"/>
                <w:szCs w:val="20"/>
                <w:color w:val="auto"/>
              </w:rPr>
            </w:pPr>
            <w:r>
              <w:rPr>
                <w:rFonts w:ascii="Times New Roman" w:cs="Times New Roman" w:eastAsia="Times New Roman" w:hAnsi="Times New Roman"/>
                <w:sz w:val="13"/>
                <w:szCs w:val="13"/>
                <w:color w:val="auto"/>
              </w:rPr>
              <w:t>Additional paid-in capital</w:t>
            </w:r>
          </w:p>
        </w:tc>
        <w:tc>
          <w:tcPr>
            <w:tcW w:w="860" w:type="dxa"/>
            <w:vAlign w:val="bottom"/>
            <w:shd w:val="clear" w:color="auto" w:fill="CCEEFF"/>
          </w:tcPr>
          <w:p>
            <w:pPr>
              <w:spacing w:after="0"/>
              <w:rPr>
                <w:sz w:val="14"/>
                <w:szCs w:val="14"/>
                <w:color w:val="auto"/>
              </w:rPr>
            </w:pPr>
          </w:p>
        </w:tc>
        <w:tc>
          <w:tcPr>
            <w:tcW w:w="5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206,120</w:t>
            </w:r>
          </w:p>
        </w:tc>
        <w:tc>
          <w:tcPr>
            <w:tcW w:w="100" w:type="dxa"/>
            <w:vAlign w:val="bottom"/>
            <w:shd w:val="clear" w:color="auto" w:fill="CCEEFF"/>
          </w:tcPr>
          <w:p>
            <w:pPr>
              <w:spacing w:after="0"/>
              <w:rPr>
                <w:sz w:val="14"/>
                <w:szCs w:val="14"/>
                <w:color w:val="auto"/>
              </w:rPr>
            </w:pPr>
          </w:p>
        </w:tc>
        <w:tc>
          <w:tcPr>
            <w:tcW w:w="440" w:type="dxa"/>
            <w:vAlign w:val="bottom"/>
            <w:shd w:val="clear" w:color="auto" w:fill="CCEEFF"/>
          </w:tcPr>
          <w:p>
            <w:pPr>
              <w:spacing w:after="0"/>
              <w:rPr>
                <w:sz w:val="14"/>
                <w:szCs w:val="14"/>
                <w:color w:val="auto"/>
              </w:rPr>
            </w:pPr>
          </w:p>
        </w:tc>
        <w:tc>
          <w:tcPr>
            <w:tcW w:w="9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202,239</w:t>
            </w:r>
          </w:p>
        </w:tc>
        <w:tc>
          <w:tcPr>
            <w:tcW w:w="0" w:type="dxa"/>
            <w:vAlign w:val="bottom"/>
          </w:tcPr>
          <w:p>
            <w:pPr>
              <w:spacing w:after="0"/>
              <w:rPr>
                <w:sz w:val="1"/>
                <w:szCs w:val="1"/>
                <w:color w:val="auto"/>
              </w:rPr>
            </w:pPr>
          </w:p>
        </w:tc>
      </w:tr>
      <w:tr>
        <w:trPr>
          <w:trHeight w:val="168"/>
        </w:trPr>
        <w:tc>
          <w:tcPr>
            <w:tcW w:w="8400" w:type="dxa"/>
            <w:vAlign w:val="bottom"/>
          </w:tcPr>
          <w:p>
            <w:pPr>
              <w:ind w:left="360"/>
              <w:spacing w:after="0"/>
              <w:rPr>
                <w:sz w:val="20"/>
                <w:szCs w:val="20"/>
                <w:color w:val="auto"/>
              </w:rPr>
            </w:pPr>
            <w:r>
              <w:rPr>
                <w:rFonts w:ascii="Times New Roman" w:cs="Times New Roman" w:eastAsia="Times New Roman" w:hAnsi="Times New Roman"/>
                <w:sz w:val="13"/>
                <w:szCs w:val="13"/>
                <w:color w:val="auto"/>
              </w:rPr>
              <w:t>Treasury stock, at cost – 2,983,692 and 2,902,505 shares, respectively</w:t>
            </w:r>
          </w:p>
        </w:tc>
        <w:tc>
          <w:tcPr>
            <w:tcW w:w="860" w:type="dxa"/>
            <w:vAlign w:val="bottom"/>
          </w:tcPr>
          <w:p>
            <w:pPr>
              <w:spacing w:after="0"/>
              <w:rPr>
                <w:sz w:val="14"/>
                <w:szCs w:val="14"/>
                <w:color w:val="auto"/>
              </w:rPr>
            </w:pPr>
          </w:p>
        </w:tc>
        <w:tc>
          <w:tcPr>
            <w:tcW w:w="52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(89,612)</w:t>
            </w:r>
          </w:p>
        </w:tc>
        <w:tc>
          <w:tcPr>
            <w:tcW w:w="100" w:type="dxa"/>
            <w:vAlign w:val="bottom"/>
          </w:tcPr>
          <w:p>
            <w:pPr>
              <w:spacing w:after="0"/>
              <w:rPr>
                <w:sz w:val="14"/>
                <w:szCs w:val="14"/>
                <w:color w:val="auto"/>
              </w:rPr>
            </w:pPr>
          </w:p>
        </w:tc>
        <w:tc>
          <w:tcPr>
            <w:tcW w:w="440" w:type="dxa"/>
            <w:vAlign w:val="bottom"/>
          </w:tcPr>
          <w:p>
            <w:pPr>
              <w:spacing w:after="0"/>
              <w:rPr>
                <w:sz w:val="14"/>
                <w:szCs w:val="14"/>
                <w:color w:val="auto"/>
              </w:rPr>
            </w:pPr>
          </w:p>
        </w:tc>
        <w:tc>
          <w:tcPr>
            <w:tcW w:w="94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(88,277)</w:t>
            </w:r>
          </w:p>
        </w:tc>
        <w:tc>
          <w:tcPr>
            <w:tcW w:w="0" w:type="dxa"/>
            <w:vAlign w:val="bottom"/>
          </w:tcPr>
          <w:p>
            <w:pPr>
              <w:spacing w:after="0"/>
              <w:rPr>
                <w:sz w:val="1"/>
                <w:szCs w:val="1"/>
                <w:color w:val="auto"/>
              </w:rPr>
            </w:pPr>
          </w:p>
        </w:tc>
      </w:tr>
      <w:tr>
        <w:trPr>
          <w:trHeight w:val="172"/>
        </w:trPr>
        <w:tc>
          <w:tcPr>
            <w:tcW w:w="8400" w:type="dxa"/>
            <w:vAlign w:val="bottom"/>
            <w:shd w:val="clear" w:color="auto" w:fill="CCEEFF"/>
          </w:tcPr>
          <w:p>
            <w:pPr>
              <w:ind w:left="360"/>
              <w:spacing w:after="0"/>
              <w:rPr>
                <w:sz w:val="20"/>
                <w:szCs w:val="20"/>
                <w:color w:val="auto"/>
              </w:rPr>
            </w:pPr>
            <w:r>
              <w:rPr>
                <w:rFonts w:ascii="Times New Roman" w:cs="Times New Roman" w:eastAsia="Times New Roman" w:hAnsi="Times New Roman"/>
                <w:sz w:val="13"/>
                <w:szCs w:val="13"/>
                <w:color w:val="auto"/>
              </w:rPr>
              <w:t>Retained earnings</w:t>
            </w:r>
          </w:p>
        </w:tc>
        <w:tc>
          <w:tcPr>
            <w:tcW w:w="860" w:type="dxa"/>
            <w:vAlign w:val="bottom"/>
            <w:tcBorders>
              <w:bottom w:val="single" w:sz="8" w:color="auto"/>
            </w:tcBorders>
            <w:shd w:val="clear" w:color="auto" w:fill="CCEEFF"/>
          </w:tcPr>
          <w:p>
            <w:pPr>
              <w:spacing w:after="0"/>
              <w:rPr>
                <w:sz w:val="14"/>
                <w:szCs w:val="14"/>
                <w:color w:val="auto"/>
              </w:rPr>
            </w:pPr>
          </w:p>
        </w:tc>
        <w:tc>
          <w:tcPr>
            <w:tcW w:w="5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8,983</w:t>
            </w:r>
          </w:p>
        </w:tc>
        <w:tc>
          <w:tcPr>
            <w:tcW w:w="100" w:type="dxa"/>
            <w:vAlign w:val="bottom"/>
            <w:shd w:val="clear" w:color="auto" w:fill="CCEEFF"/>
          </w:tcPr>
          <w:p>
            <w:pPr>
              <w:spacing w:after="0"/>
              <w:rPr>
                <w:sz w:val="14"/>
                <w:szCs w:val="14"/>
                <w:color w:val="auto"/>
              </w:rPr>
            </w:pPr>
          </w:p>
        </w:tc>
        <w:tc>
          <w:tcPr>
            <w:tcW w:w="440" w:type="dxa"/>
            <w:vAlign w:val="bottom"/>
            <w:tcBorders>
              <w:bottom w:val="single" w:sz="8" w:color="auto"/>
            </w:tcBorders>
            <w:shd w:val="clear" w:color="auto" w:fill="CCEEFF"/>
          </w:tcPr>
          <w:p>
            <w:pPr>
              <w:spacing w:after="0"/>
              <w:rPr>
                <w:sz w:val="14"/>
                <w:szCs w:val="14"/>
                <w:color w:val="auto"/>
              </w:rPr>
            </w:pPr>
          </w:p>
        </w:tc>
        <w:tc>
          <w:tcPr>
            <w:tcW w:w="9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6,207</w:t>
            </w:r>
          </w:p>
        </w:tc>
        <w:tc>
          <w:tcPr>
            <w:tcW w:w="0" w:type="dxa"/>
            <w:vAlign w:val="bottom"/>
          </w:tcPr>
          <w:p>
            <w:pPr>
              <w:spacing w:after="0"/>
              <w:rPr>
                <w:sz w:val="1"/>
                <w:szCs w:val="1"/>
                <w:color w:val="auto"/>
              </w:rPr>
            </w:pPr>
          </w:p>
        </w:tc>
      </w:tr>
      <w:tr>
        <w:trPr>
          <w:trHeight w:val="158"/>
        </w:trPr>
        <w:tc>
          <w:tcPr>
            <w:tcW w:w="8400" w:type="dxa"/>
            <w:vAlign w:val="bottom"/>
          </w:tcPr>
          <w:p>
            <w:pPr>
              <w:ind w:left="20"/>
              <w:spacing w:after="0" w:line="147" w:lineRule="exact"/>
              <w:rPr>
                <w:sz w:val="20"/>
                <w:szCs w:val="20"/>
                <w:color w:val="auto"/>
              </w:rPr>
            </w:pPr>
            <w:r>
              <w:rPr>
                <w:rFonts w:ascii="Times New Roman" w:cs="Times New Roman" w:eastAsia="Times New Roman" w:hAnsi="Times New Roman"/>
                <w:sz w:val="13"/>
                <w:szCs w:val="13"/>
                <w:b w:val="1"/>
                <w:bCs w:val="1"/>
                <w:color w:val="auto"/>
              </w:rPr>
              <w:t>Total Westwood Holdings Group, Inc. stockholders’ equity</w:t>
            </w:r>
          </w:p>
        </w:tc>
        <w:tc>
          <w:tcPr>
            <w:tcW w:w="860" w:type="dxa"/>
            <w:vAlign w:val="bottom"/>
          </w:tcPr>
          <w:p>
            <w:pPr>
              <w:spacing w:after="0"/>
              <w:rPr>
                <w:sz w:val="13"/>
                <w:szCs w:val="13"/>
                <w:color w:val="auto"/>
              </w:rPr>
            </w:pPr>
          </w:p>
        </w:tc>
        <w:tc>
          <w:tcPr>
            <w:tcW w:w="52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125,615</w:t>
            </w:r>
          </w:p>
        </w:tc>
        <w:tc>
          <w:tcPr>
            <w:tcW w:w="100" w:type="dxa"/>
            <w:vAlign w:val="bottom"/>
          </w:tcPr>
          <w:p>
            <w:pPr>
              <w:spacing w:after="0"/>
              <w:rPr>
                <w:sz w:val="13"/>
                <w:szCs w:val="13"/>
                <w:color w:val="auto"/>
              </w:rPr>
            </w:pPr>
          </w:p>
        </w:tc>
        <w:tc>
          <w:tcPr>
            <w:tcW w:w="440" w:type="dxa"/>
            <w:vAlign w:val="bottom"/>
          </w:tcPr>
          <w:p>
            <w:pPr>
              <w:spacing w:after="0"/>
              <w:rPr>
                <w:sz w:val="13"/>
                <w:szCs w:val="13"/>
                <w:color w:val="auto"/>
              </w:rPr>
            </w:pPr>
          </w:p>
        </w:tc>
        <w:tc>
          <w:tcPr>
            <w:tcW w:w="94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120,291</w:t>
            </w:r>
          </w:p>
        </w:tc>
        <w:tc>
          <w:tcPr>
            <w:tcW w:w="0" w:type="dxa"/>
            <w:vAlign w:val="bottom"/>
          </w:tcPr>
          <w:p>
            <w:pPr>
              <w:spacing w:after="0"/>
              <w:rPr>
                <w:sz w:val="1"/>
                <w:szCs w:val="1"/>
                <w:color w:val="auto"/>
              </w:rPr>
            </w:pPr>
          </w:p>
        </w:tc>
      </w:tr>
      <w:tr>
        <w:trPr>
          <w:trHeight w:val="172"/>
        </w:trPr>
        <w:tc>
          <w:tcPr>
            <w:tcW w:w="840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3"/>
                <w:szCs w:val="13"/>
                <w:b w:val="1"/>
                <w:bCs w:val="1"/>
                <w:color w:val="auto"/>
              </w:rPr>
              <w:t>Noncontrolling interest in consolidated subsidiary</w:t>
            </w:r>
          </w:p>
        </w:tc>
        <w:tc>
          <w:tcPr>
            <w:tcW w:w="860" w:type="dxa"/>
            <w:vAlign w:val="bottom"/>
            <w:tcBorders>
              <w:bottom w:val="single" w:sz="8" w:color="auto"/>
            </w:tcBorders>
            <w:shd w:val="clear" w:color="auto" w:fill="CCEEFF"/>
          </w:tcPr>
          <w:p>
            <w:pPr>
              <w:spacing w:after="0"/>
              <w:rPr>
                <w:sz w:val="14"/>
                <w:szCs w:val="14"/>
                <w:color w:val="auto"/>
              </w:rPr>
            </w:pPr>
          </w:p>
        </w:tc>
        <w:tc>
          <w:tcPr>
            <w:tcW w:w="5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1,108</w:t>
            </w:r>
          </w:p>
        </w:tc>
        <w:tc>
          <w:tcPr>
            <w:tcW w:w="100" w:type="dxa"/>
            <w:vAlign w:val="bottom"/>
            <w:shd w:val="clear" w:color="auto" w:fill="CCEEFF"/>
          </w:tcPr>
          <w:p>
            <w:pPr>
              <w:spacing w:after="0"/>
              <w:rPr>
                <w:sz w:val="14"/>
                <w:szCs w:val="14"/>
                <w:color w:val="auto"/>
              </w:rPr>
            </w:pPr>
          </w:p>
        </w:tc>
        <w:tc>
          <w:tcPr>
            <w:tcW w:w="440" w:type="dxa"/>
            <w:vAlign w:val="bottom"/>
            <w:tcBorders>
              <w:bottom w:val="single" w:sz="8" w:color="auto"/>
            </w:tcBorders>
            <w:shd w:val="clear" w:color="auto" w:fill="CCEEFF"/>
          </w:tcPr>
          <w:p>
            <w:pPr>
              <w:spacing w:after="0"/>
              <w:rPr>
                <w:sz w:val="14"/>
                <w:szCs w:val="14"/>
                <w:color w:val="auto"/>
              </w:rPr>
            </w:pPr>
          </w:p>
        </w:tc>
        <w:tc>
          <w:tcPr>
            <w:tcW w:w="9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2,041</w:t>
            </w:r>
          </w:p>
        </w:tc>
        <w:tc>
          <w:tcPr>
            <w:tcW w:w="0" w:type="dxa"/>
            <w:vAlign w:val="bottom"/>
          </w:tcPr>
          <w:p>
            <w:pPr>
              <w:spacing w:after="0"/>
              <w:rPr>
                <w:sz w:val="1"/>
                <w:szCs w:val="1"/>
                <w:color w:val="auto"/>
              </w:rPr>
            </w:pPr>
          </w:p>
        </w:tc>
      </w:tr>
      <w:tr>
        <w:trPr>
          <w:trHeight w:val="158"/>
        </w:trPr>
        <w:tc>
          <w:tcPr>
            <w:tcW w:w="8400" w:type="dxa"/>
            <w:vAlign w:val="bottom"/>
            <w:tcBorders>
              <w:bottom w:val="single" w:sz="8" w:color="CCEEFF"/>
            </w:tcBorders>
          </w:tcPr>
          <w:p>
            <w:pPr>
              <w:ind w:left="20"/>
              <w:spacing w:after="0" w:line="147" w:lineRule="exact"/>
              <w:rPr>
                <w:sz w:val="20"/>
                <w:szCs w:val="20"/>
                <w:color w:val="auto"/>
              </w:rPr>
            </w:pPr>
            <w:r>
              <w:rPr>
                <w:rFonts w:ascii="Times New Roman" w:cs="Times New Roman" w:eastAsia="Times New Roman" w:hAnsi="Times New Roman"/>
                <w:sz w:val="13"/>
                <w:szCs w:val="13"/>
                <w:b w:val="1"/>
                <w:bCs w:val="1"/>
                <w:color w:val="auto"/>
              </w:rPr>
              <w:t>Total equity</w:t>
            </w:r>
          </w:p>
        </w:tc>
        <w:tc>
          <w:tcPr>
            <w:tcW w:w="860" w:type="dxa"/>
            <w:vAlign w:val="bottom"/>
            <w:tcBorders>
              <w:bottom w:val="single" w:sz="8" w:color="auto"/>
            </w:tcBorders>
          </w:tcPr>
          <w:p>
            <w:pPr>
              <w:spacing w:after="0"/>
              <w:rPr>
                <w:sz w:val="13"/>
                <w:szCs w:val="13"/>
                <w:color w:val="auto"/>
              </w:rPr>
            </w:pPr>
          </w:p>
        </w:tc>
        <w:tc>
          <w:tcPr>
            <w:tcW w:w="5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3"/>
                <w:szCs w:val="13"/>
                <w:color w:val="auto"/>
              </w:rPr>
              <w:t>126,723</w:t>
            </w:r>
          </w:p>
        </w:tc>
        <w:tc>
          <w:tcPr>
            <w:tcW w:w="100" w:type="dxa"/>
            <w:vAlign w:val="bottom"/>
            <w:tcBorders>
              <w:bottom w:val="single" w:sz="8" w:color="CCEEFF"/>
            </w:tcBorders>
          </w:tcPr>
          <w:p>
            <w:pPr>
              <w:spacing w:after="0"/>
              <w:rPr>
                <w:sz w:val="13"/>
                <w:szCs w:val="13"/>
                <w:color w:val="auto"/>
              </w:rPr>
            </w:pPr>
          </w:p>
        </w:tc>
        <w:tc>
          <w:tcPr>
            <w:tcW w:w="440" w:type="dxa"/>
            <w:vAlign w:val="bottom"/>
            <w:tcBorders>
              <w:bottom w:val="single" w:sz="8" w:color="auto"/>
            </w:tcBorders>
          </w:tcPr>
          <w:p>
            <w:pPr>
              <w:spacing w:after="0"/>
              <w:rPr>
                <w:sz w:val="13"/>
                <w:szCs w:val="13"/>
                <w:color w:val="auto"/>
              </w:rPr>
            </w:pPr>
          </w:p>
        </w:tc>
        <w:tc>
          <w:tcPr>
            <w:tcW w:w="9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3"/>
                <w:szCs w:val="13"/>
                <w:color w:val="auto"/>
              </w:rPr>
              <w:t>122,332</w:t>
            </w:r>
          </w:p>
        </w:tc>
        <w:tc>
          <w:tcPr>
            <w:tcW w:w="0" w:type="dxa"/>
            <w:vAlign w:val="bottom"/>
          </w:tcPr>
          <w:p>
            <w:pPr>
              <w:spacing w:after="0"/>
              <w:rPr>
                <w:sz w:val="1"/>
                <w:szCs w:val="1"/>
                <w:color w:val="auto"/>
              </w:rPr>
            </w:pPr>
          </w:p>
        </w:tc>
      </w:tr>
      <w:tr>
        <w:trPr>
          <w:trHeight w:val="185"/>
        </w:trPr>
        <w:tc>
          <w:tcPr>
            <w:tcW w:w="8400" w:type="dxa"/>
            <w:vAlign w:val="bottom"/>
            <w:tcBorders>
              <w:bottom w:val="single" w:sz="8" w:color="CCEEFF"/>
            </w:tcBorders>
            <w:shd w:val="clear" w:color="auto" w:fill="CCEEFF"/>
          </w:tcPr>
          <w:p>
            <w:pPr>
              <w:ind w:left="600"/>
              <w:spacing w:after="0"/>
              <w:rPr>
                <w:sz w:val="20"/>
                <w:szCs w:val="20"/>
                <w:color w:val="auto"/>
              </w:rPr>
            </w:pPr>
            <w:r>
              <w:rPr>
                <w:rFonts w:ascii="Times New Roman" w:cs="Times New Roman" w:eastAsia="Times New Roman" w:hAnsi="Times New Roman"/>
                <w:sz w:val="13"/>
                <w:szCs w:val="13"/>
                <w:b w:val="1"/>
                <w:bCs w:val="1"/>
                <w:color w:val="auto"/>
              </w:rPr>
              <w:t>Total liabilities and stockholders’ equity</w:t>
            </w:r>
          </w:p>
        </w:tc>
        <w:tc>
          <w:tcPr>
            <w:tcW w:w="860" w:type="dxa"/>
            <w:vAlign w:val="bottom"/>
            <w:tcBorders>
              <w:bottom w:val="single" w:sz="8" w:color="auto"/>
            </w:tcBorders>
            <w:shd w:val="clear" w:color="auto" w:fill="CCEEFF"/>
          </w:tcPr>
          <w:p>
            <w:pPr>
              <w:jc w:val="right"/>
              <w:ind w:right="716"/>
              <w:spacing w:after="0"/>
              <w:rPr>
                <w:sz w:val="20"/>
                <w:szCs w:val="20"/>
                <w:color w:val="auto"/>
              </w:rPr>
            </w:pPr>
            <w:r>
              <w:rPr>
                <w:rFonts w:ascii="Times New Roman" w:cs="Times New Roman" w:eastAsia="Times New Roman" w:hAnsi="Times New Roman"/>
                <w:sz w:val="13"/>
                <w:szCs w:val="13"/>
                <w:color w:val="auto"/>
                <w:w w:val="91"/>
              </w:rPr>
              <w:t>$</w:t>
            </w:r>
          </w:p>
        </w:tc>
        <w:tc>
          <w:tcPr>
            <w:tcW w:w="5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162,298</w:t>
            </w:r>
          </w:p>
        </w:tc>
        <w:tc>
          <w:tcPr>
            <w:tcW w:w="100" w:type="dxa"/>
            <w:vAlign w:val="bottom"/>
            <w:tcBorders>
              <w:bottom w:val="single" w:sz="8" w:color="CCEEFF"/>
            </w:tcBorders>
            <w:shd w:val="clear" w:color="auto" w:fill="CCEEFF"/>
          </w:tcPr>
          <w:p>
            <w:pPr>
              <w:spacing w:after="0"/>
              <w:rPr>
                <w:sz w:val="15"/>
                <w:szCs w:val="15"/>
                <w:color w:val="auto"/>
              </w:rPr>
            </w:pPr>
          </w:p>
        </w:tc>
        <w:tc>
          <w:tcPr>
            <w:tcW w:w="440" w:type="dxa"/>
            <w:vAlign w:val="bottom"/>
            <w:tcBorders>
              <w:bottom w:val="single" w:sz="8" w:color="auto"/>
            </w:tcBorders>
            <w:shd w:val="clear" w:color="auto" w:fill="CCEEFF"/>
          </w:tcPr>
          <w:p>
            <w:pPr>
              <w:jc w:val="right"/>
              <w:ind w:right="296"/>
              <w:spacing w:after="0"/>
              <w:rPr>
                <w:sz w:val="20"/>
                <w:szCs w:val="20"/>
                <w:color w:val="auto"/>
              </w:rPr>
            </w:pPr>
            <w:r>
              <w:rPr>
                <w:rFonts w:ascii="Times New Roman" w:cs="Times New Roman" w:eastAsia="Times New Roman" w:hAnsi="Times New Roman"/>
                <w:sz w:val="13"/>
                <w:szCs w:val="13"/>
                <w:color w:val="auto"/>
                <w:w w:val="91"/>
              </w:rPr>
              <w:t>$</w:t>
            </w:r>
          </w:p>
        </w:tc>
        <w:tc>
          <w:tcPr>
            <w:tcW w:w="9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149,989</w:t>
            </w:r>
          </w:p>
        </w:tc>
        <w:tc>
          <w:tcPr>
            <w:tcW w:w="0" w:type="dxa"/>
            <w:vAlign w:val="bottom"/>
          </w:tcPr>
          <w:p>
            <w:pPr>
              <w:spacing w:after="0"/>
              <w:rPr>
                <w:sz w:val="1"/>
                <w:szCs w:val="1"/>
                <w:color w:val="auto"/>
              </w:rPr>
            </w:pPr>
          </w:p>
        </w:tc>
      </w:tr>
      <w:tr>
        <w:trPr>
          <w:trHeight w:val="20"/>
        </w:trPr>
        <w:tc>
          <w:tcPr>
            <w:tcW w:w="8400" w:type="dxa"/>
            <w:vAlign w:val="bottom"/>
            <w:tcBorders>
              <w:top w:val="single" w:sz="8" w:color="CCEEFF"/>
            </w:tcBorders>
          </w:tcPr>
          <w:p>
            <w:pPr>
              <w:spacing w:after="0" w:line="20" w:lineRule="exact"/>
              <w:rPr>
                <w:sz w:val="1"/>
                <w:szCs w:val="1"/>
                <w:color w:val="auto"/>
              </w:rPr>
            </w:pPr>
          </w:p>
        </w:tc>
        <w:tc>
          <w:tcPr>
            <w:tcW w:w="860" w:type="dxa"/>
            <w:vAlign w:val="bottom"/>
            <w:tcBorders>
              <w:top w:val="single" w:sz="8" w:color="CCEEFF"/>
              <w:bottom w:val="single" w:sz="8" w:color="auto"/>
            </w:tcBorders>
          </w:tcPr>
          <w:p>
            <w:pPr>
              <w:spacing w:after="0" w:line="20" w:lineRule="exact"/>
              <w:rPr>
                <w:sz w:val="1"/>
                <w:szCs w:val="1"/>
                <w:color w:val="auto"/>
              </w:rPr>
            </w:pPr>
          </w:p>
        </w:tc>
        <w:tc>
          <w:tcPr>
            <w:tcW w:w="52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440" w:type="dxa"/>
            <w:vAlign w:val="bottom"/>
            <w:tcBorders>
              <w:top w:val="single" w:sz="8" w:color="CCEEFF"/>
              <w:bottom w:val="single" w:sz="8" w:color="auto"/>
            </w:tcBorders>
          </w:tcPr>
          <w:p>
            <w:pPr>
              <w:spacing w:after="0" w:line="20" w:lineRule="exact"/>
              <w:rPr>
                <w:sz w:val="1"/>
                <w:szCs w:val="1"/>
                <w:color w:val="auto"/>
              </w:rPr>
            </w:pPr>
          </w:p>
        </w:tc>
        <w:tc>
          <w:tcPr>
            <w:tcW w:w="940" w:type="dxa"/>
            <w:vAlign w:val="bottom"/>
            <w:tcBorders>
              <w:top w:val="single" w:sz="8" w:color="CCEEFF"/>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0" w:lineRule="exact"/>
        <w:rPr>
          <w:sz w:val="20"/>
          <w:szCs w:val="20"/>
          <w:color w:val="auto"/>
        </w:rPr>
      </w:pPr>
    </w:p>
    <w:p>
      <w:pPr>
        <w:spacing w:after="0" w:line="295" w:lineRule="exact"/>
        <w:rPr>
          <w:sz w:val="20"/>
          <w:szCs w:val="20"/>
          <w:color w:val="auto"/>
        </w:rPr>
      </w:pPr>
    </w:p>
    <w:p>
      <w:pPr>
        <w:jc w:val="center"/>
        <w:ind w:right="20"/>
        <w:spacing w:after="0"/>
        <w:rPr>
          <w:sz w:val="20"/>
          <w:szCs w:val="20"/>
          <w:color w:val="auto"/>
        </w:rPr>
      </w:pPr>
      <w:r>
        <w:rPr>
          <w:rFonts w:ascii="Times New Roman" w:cs="Times New Roman" w:eastAsia="Times New Roman" w:hAnsi="Times New Roman"/>
          <w:sz w:val="14"/>
          <w:szCs w:val="14"/>
          <w:color w:val="auto"/>
        </w:rPr>
        <w:t>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-21590</wp:posOffset>
            </wp:positionH>
            <wp:positionV relativeFrom="paragraph">
              <wp:posOffset>55880</wp:posOffset>
            </wp:positionV>
            <wp:extent cx="7186930" cy="38735"/>
            <wp:wrapNone/>
            <wp:docPr id="78" name="Picture 7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8"/>
                    <pic:cNvPicPr>
                      <a:picLocks noChangeAspect="1" noChangeArrowheads="1"/>
                    </pic:cNvPicPr>
                  </pic:nvPicPr>
                  <pic:blipFill>
                    <a:blip r:embed="rId85">
                      <a:extLst>
                        <a:ext uri="{28A0092B-C50C-407E-A947-70E740481C1C}"/>
                      </a:extLst>
                    </a:blip>
                    <a:srcRect/>
                    <a:stretch>
                      <a:fillRect/>
                    </a:stretch>
                  </pic:blipFill>
                  <pic:spPr bwMode="auto">
                    <a:xfrm>
                      <a:off x="0" y="0"/>
                      <a:ext cx="7186930" cy="38735"/>
                    </a:xfrm>
                    <a:prstGeom prst="rect">
                      <a:avLst/>
                    </a:prstGeom>
                    <a:noFill/>
                  </pic:spPr>
                </pic:pic>
              </a:graphicData>
            </a:graphic>
          </wp:anchor>
        </w:drawing>
      </w:r>
    </w:p>
    <w:p>
      <w:pPr>
        <w:sectPr>
          <w:pgSz w:w="11900" w:h="16838" w:orient="portrait"/>
          <w:cols w:equalWidth="0" w:num="1">
            <w:col w:w="11260"/>
          </w:cols>
          <w:pgMar w:left="320" w:top="1385" w:right="319" w:bottom="1440" w:gutter="0" w:footer="0" w:header="0"/>
        </w:sectPr>
      </w:pPr>
    </w:p>
    <w:bookmarkStart w:id="46" w:name="page47"/>
    <w:bookmarkEnd w:id="46"/>
    <w:p>
      <w:pPr>
        <w:jc w:val="center"/>
        <w:ind w:right="-19"/>
        <w:spacing w:after="0"/>
        <w:rPr>
          <w:sz w:val="20"/>
          <w:szCs w:val="20"/>
          <w:color w:val="auto"/>
        </w:rPr>
      </w:pPr>
      <w:r>
        <w:rPr>
          <w:rFonts w:ascii="Times New Roman" w:cs="Times New Roman" w:eastAsia="Times New Roman" w:hAnsi="Times New Roman"/>
          <w:sz w:val="14"/>
          <w:szCs w:val="14"/>
          <w:b w:val="1"/>
          <w:bCs w:val="1"/>
          <w:color w:val="auto"/>
        </w:rPr>
        <w:t>WESTWOOD HOLDINGS GROUP, INC.</w:t>
      </w:r>
    </w:p>
    <w:p>
      <w:pPr>
        <w:spacing w:after="0" w:line="94"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4"/>
          <w:szCs w:val="14"/>
          <w:b w:val="1"/>
          <w:bCs w:val="1"/>
          <w:color w:val="auto"/>
        </w:rPr>
        <w:t>CONSOLIDATED STATEMENTS OF OPERATIONS</w:t>
      </w:r>
    </w:p>
    <w:p>
      <w:pPr>
        <w:spacing w:after="0" w:line="25"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3"/>
          <w:szCs w:val="13"/>
          <w:b w:val="1"/>
          <w:bCs w:val="1"/>
          <w:color w:val="auto"/>
        </w:rPr>
        <w:t>(in thousands, except shares and per share data)</w:t>
      </w:r>
    </w:p>
    <w:p>
      <w:pPr>
        <w:spacing w:after="0" w:line="12" w:lineRule="exact"/>
        <w:rPr>
          <w:sz w:val="20"/>
          <w:szCs w:val="20"/>
          <w:color w:val="auto"/>
        </w:rPr>
      </w:pPr>
    </w:p>
    <w:tbl>
      <w:tblPr>
        <w:tblLayout w:type="fixed"/>
        <w:tblInd w:w="0" w:type="dxa"/>
        <w:tblCellMar>
          <w:top w:w="0" w:type="dxa"/>
          <w:left w:w="0" w:type="dxa"/>
          <w:bottom w:w="0" w:type="dxa"/>
          <w:right w:w="0" w:type="dxa"/>
        </w:tblCellMar>
      </w:tblPr>
      <w:tr>
        <w:trPr>
          <w:trHeight w:val="158"/>
        </w:trPr>
        <w:tc>
          <w:tcPr>
            <w:tcW w:w="7320" w:type="dxa"/>
            <w:vAlign w:val="bottom"/>
          </w:tcPr>
          <w:p>
            <w:pPr>
              <w:spacing w:after="0"/>
              <w:rPr>
                <w:sz w:val="13"/>
                <w:szCs w:val="13"/>
                <w:color w:val="auto"/>
              </w:rPr>
            </w:pPr>
          </w:p>
        </w:tc>
        <w:tc>
          <w:tcPr>
            <w:tcW w:w="300" w:type="dxa"/>
            <w:vAlign w:val="bottom"/>
            <w:tcBorders>
              <w:bottom w:val="single" w:sz="8" w:color="auto"/>
            </w:tcBorders>
          </w:tcPr>
          <w:p>
            <w:pPr>
              <w:spacing w:after="0"/>
              <w:rPr>
                <w:sz w:val="13"/>
                <w:szCs w:val="13"/>
                <w:color w:val="auto"/>
              </w:rPr>
            </w:pPr>
          </w:p>
        </w:tc>
        <w:tc>
          <w:tcPr>
            <w:tcW w:w="940" w:type="dxa"/>
            <w:vAlign w:val="bottom"/>
            <w:tcBorders>
              <w:bottom w:val="single" w:sz="8" w:color="auto"/>
            </w:tcBorders>
          </w:tcPr>
          <w:p>
            <w:pPr>
              <w:spacing w:after="0"/>
              <w:rPr>
                <w:sz w:val="13"/>
                <w:szCs w:val="13"/>
                <w:color w:val="auto"/>
              </w:rPr>
            </w:pPr>
          </w:p>
        </w:tc>
        <w:tc>
          <w:tcPr>
            <w:tcW w:w="1440" w:type="dxa"/>
            <w:vAlign w:val="bottom"/>
            <w:tcBorders>
              <w:bottom w:val="single" w:sz="8" w:color="auto"/>
            </w:tcBorders>
            <w:gridSpan w:val="4"/>
          </w:tcPr>
          <w:p>
            <w:pPr>
              <w:ind w:left="100"/>
              <w:spacing w:after="0"/>
              <w:rPr>
                <w:sz w:val="20"/>
                <w:szCs w:val="20"/>
                <w:color w:val="auto"/>
              </w:rPr>
            </w:pPr>
            <w:r>
              <w:rPr>
                <w:rFonts w:ascii="Times New Roman" w:cs="Times New Roman" w:eastAsia="Times New Roman" w:hAnsi="Times New Roman"/>
                <w:sz w:val="11"/>
                <w:szCs w:val="11"/>
                <w:b w:val="1"/>
                <w:bCs w:val="1"/>
                <w:color w:val="auto"/>
              </w:rPr>
              <w:t>Years ended December 31,</w:t>
            </w:r>
          </w:p>
        </w:tc>
        <w:tc>
          <w:tcPr>
            <w:tcW w:w="300" w:type="dxa"/>
            <w:vAlign w:val="bottom"/>
            <w:tcBorders>
              <w:bottom w:val="single" w:sz="8" w:color="auto"/>
            </w:tcBorders>
          </w:tcPr>
          <w:p>
            <w:pPr>
              <w:spacing w:after="0"/>
              <w:rPr>
                <w:sz w:val="13"/>
                <w:szCs w:val="13"/>
                <w:color w:val="auto"/>
              </w:rPr>
            </w:pPr>
          </w:p>
        </w:tc>
        <w:tc>
          <w:tcPr>
            <w:tcW w:w="960" w:type="dxa"/>
            <w:vAlign w:val="bottom"/>
            <w:tcBorders>
              <w:bottom w:val="single" w:sz="8" w:color="auto"/>
            </w:tcBorders>
          </w:tcPr>
          <w:p>
            <w:pPr>
              <w:spacing w:after="0"/>
              <w:rPr>
                <w:sz w:val="13"/>
                <w:szCs w:val="13"/>
                <w:color w:val="auto"/>
              </w:rPr>
            </w:pPr>
          </w:p>
        </w:tc>
        <w:tc>
          <w:tcPr>
            <w:tcW w:w="0" w:type="dxa"/>
            <w:vAlign w:val="bottom"/>
          </w:tcPr>
          <w:p>
            <w:pPr>
              <w:spacing w:after="0"/>
              <w:rPr>
                <w:sz w:val="1"/>
                <w:szCs w:val="1"/>
                <w:color w:val="auto"/>
              </w:rPr>
            </w:pPr>
          </w:p>
        </w:tc>
      </w:tr>
      <w:tr>
        <w:trPr>
          <w:trHeight w:val="154"/>
        </w:trPr>
        <w:tc>
          <w:tcPr>
            <w:tcW w:w="7320" w:type="dxa"/>
            <w:vAlign w:val="bottom"/>
            <w:tcBorders>
              <w:bottom w:val="single" w:sz="8" w:color="CCEEFF"/>
            </w:tcBorders>
          </w:tcPr>
          <w:p>
            <w:pPr>
              <w:spacing w:after="0"/>
              <w:rPr>
                <w:sz w:val="13"/>
                <w:szCs w:val="13"/>
                <w:color w:val="auto"/>
              </w:rPr>
            </w:pPr>
          </w:p>
        </w:tc>
        <w:tc>
          <w:tcPr>
            <w:tcW w:w="300" w:type="dxa"/>
            <w:vAlign w:val="bottom"/>
            <w:tcBorders>
              <w:bottom w:val="single" w:sz="8" w:color="auto"/>
            </w:tcBorders>
          </w:tcPr>
          <w:p>
            <w:pPr>
              <w:spacing w:after="0"/>
              <w:rPr>
                <w:sz w:val="13"/>
                <w:szCs w:val="13"/>
                <w:color w:val="auto"/>
              </w:rPr>
            </w:pPr>
          </w:p>
        </w:tc>
        <w:tc>
          <w:tcPr>
            <w:tcW w:w="940" w:type="dxa"/>
            <w:vAlign w:val="bottom"/>
            <w:tcBorders>
              <w:bottom w:val="single" w:sz="8" w:color="auto"/>
            </w:tcBorders>
          </w:tcPr>
          <w:p>
            <w:pPr>
              <w:jc w:val="right"/>
              <w:ind w:right="437"/>
              <w:spacing w:after="0"/>
              <w:rPr>
                <w:sz w:val="20"/>
                <w:szCs w:val="20"/>
                <w:color w:val="auto"/>
              </w:rPr>
            </w:pPr>
            <w:r>
              <w:rPr>
                <w:rFonts w:ascii="Times New Roman" w:cs="Times New Roman" w:eastAsia="Times New Roman" w:hAnsi="Times New Roman"/>
                <w:sz w:val="11"/>
                <w:szCs w:val="11"/>
                <w:b w:val="1"/>
                <w:bCs w:val="1"/>
                <w:color w:val="auto"/>
              </w:rPr>
              <w:t>2025</w:t>
            </w:r>
          </w:p>
        </w:tc>
        <w:tc>
          <w:tcPr>
            <w:tcW w:w="100" w:type="dxa"/>
            <w:vAlign w:val="bottom"/>
            <w:tcBorders>
              <w:bottom w:val="single" w:sz="8" w:color="CCEEFF"/>
            </w:tcBorders>
          </w:tcPr>
          <w:p>
            <w:pPr>
              <w:spacing w:after="0"/>
              <w:rPr>
                <w:sz w:val="13"/>
                <w:szCs w:val="13"/>
                <w:color w:val="auto"/>
              </w:rPr>
            </w:pPr>
          </w:p>
        </w:tc>
        <w:tc>
          <w:tcPr>
            <w:tcW w:w="300" w:type="dxa"/>
            <w:vAlign w:val="bottom"/>
            <w:tcBorders>
              <w:bottom w:val="single" w:sz="8" w:color="auto"/>
            </w:tcBorders>
          </w:tcPr>
          <w:p>
            <w:pPr>
              <w:spacing w:after="0"/>
              <w:rPr>
                <w:sz w:val="13"/>
                <w:szCs w:val="13"/>
                <w:color w:val="auto"/>
              </w:rPr>
            </w:pPr>
          </w:p>
        </w:tc>
        <w:tc>
          <w:tcPr>
            <w:tcW w:w="960" w:type="dxa"/>
            <w:vAlign w:val="bottom"/>
            <w:tcBorders>
              <w:bottom w:val="single" w:sz="8" w:color="auto"/>
            </w:tcBorders>
          </w:tcPr>
          <w:p>
            <w:pPr>
              <w:jc w:val="right"/>
              <w:ind w:right="457"/>
              <w:spacing w:after="0"/>
              <w:rPr>
                <w:sz w:val="20"/>
                <w:szCs w:val="20"/>
                <w:color w:val="auto"/>
              </w:rPr>
            </w:pPr>
            <w:r>
              <w:rPr>
                <w:rFonts w:ascii="Times New Roman" w:cs="Times New Roman" w:eastAsia="Times New Roman" w:hAnsi="Times New Roman"/>
                <w:sz w:val="11"/>
                <w:szCs w:val="11"/>
                <w:b w:val="1"/>
                <w:bCs w:val="1"/>
                <w:color w:val="auto"/>
              </w:rPr>
              <w:t>2024</w:t>
            </w:r>
          </w:p>
        </w:tc>
        <w:tc>
          <w:tcPr>
            <w:tcW w:w="80" w:type="dxa"/>
            <w:vAlign w:val="bottom"/>
            <w:tcBorders>
              <w:bottom w:val="single" w:sz="8" w:color="CCEEFF"/>
            </w:tcBorders>
          </w:tcPr>
          <w:p>
            <w:pPr>
              <w:spacing w:after="0"/>
              <w:rPr>
                <w:sz w:val="13"/>
                <w:szCs w:val="13"/>
                <w:color w:val="auto"/>
              </w:rPr>
            </w:pPr>
          </w:p>
        </w:tc>
        <w:tc>
          <w:tcPr>
            <w:tcW w:w="300" w:type="dxa"/>
            <w:vAlign w:val="bottom"/>
            <w:tcBorders>
              <w:bottom w:val="single" w:sz="8" w:color="auto"/>
            </w:tcBorders>
          </w:tcPr>
          <w:p>
            <w:pPr>
              <w:spacing w:after="0"/>
              <w:rPr>
                <w:sz w:val="13"/>
                <w:szCs w:val="13"/>
                <w:color w:val="auto"/>
              </w:rPr>
            </w:pPr>
          </w:p>
        </w:tc>
        <w:tc>
          <w:tcPr>
            <w:tcW w:w="960" w:type="dxa"/>
            <w:vAlign w:val="bottom"/>
            <w:tcBorders>
              <w:bottom w:val="single" w:sz="8" w:color="auto"/>
            </w:tcBorders>
          </w:tcPr>
          <w:p>
            <w:pPr>
              <w:jc w:val="right"/>
              <w:ind w:right="457"/>
              <w:spacing w:after="0"/>
              <w:rPr>
                <w:sz w:val="20"/>
                <w:szCs w:val="20"/>
                <w:color w:val="auto"/>
              </w:rPr>
            </w:pPr>
            <w:r>
              <w:rPr>
                <w:rFonts w:ascii="Times New Roman" w:cs="Times New Roman" w:eastAsia="Times New Roman" w:hAnsi="Times New Roman"/>
                <w:sz w:val="11"/>
                <w:szCs w:val="11"/>
                <w:b w:val="1"/>
                <w:bCs w:val="1"/>
                <w:color w:val="auto"/>
              </w:rPr>
              <w:t>2023</w:t>
            </w:r>
          </w:p>
        </w:tc>
        <w:tc>
          <w:tcPr>
            <w:tcW w:w="0" w:type="dxa"/>
            <w:vAlign w:val="bottom"/>
          </w:tcPr>
          <w:p>
            <w:pPr>
              <w:spacing w:after="0"/>
              <w:rPr>
                <w:sz w:val="1"/>
                <w:szCs w:val="1"/>
                <w:color w:val="auto"/>
              </w:rPr>
            </w:pPr>
          </w:p>
        </w:tc>
      </w:tr>
      <w:tr>
        <w:trPr>
          <w:trHeight w:val="166"/>
        </w:trPr>
        <w:tc>
          <w:tcPr>
            <w:tcW w:w="732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3"/>
                <w:szCs w:val="13"/>
                <w:b w:val="1"/>
                <w:bCs w:val="1"/>
                <w:color w:val="auto"/>
              </w:rPr>
              <w:t>Revenues:</w:t>
            </w:r>
          </w:p>
        </w:tc>
        <w:tc>
          <w:tcPr>
            <w:tcW w:w="300" w:type="dxa"/>
            <w:vAlign w:val="bottom"/>
            <w:shd w:val="clear" w:color="auto" w:fill="CCEEFF"/>
          </w:tcPr>
          <w:p>
            <w:pPr>
              <w:spacing w:after="0"/>
              <w:rPr>
                <w:sz w:val="14"/>
                <w:szCs w:val="14"/>
                <w:color w:val="auto"/>
              </w:rPr>
            </w:pPr>
          </w:p>
        </w:tc>
        <w:tc>
          <w:tcPr>
            <w:tcW w:w="94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300" w:type="dxa"/>
            <w:vAlign w:val="bottom"/>
            <w:shd w:val="clear" w:color="auto" w:fill="CCEEFF"/>
          </w:tcPr>
          <w:p>
            <w:pPr>
              <w:spacing w:after="0"/>
              <w:rPr>
                <w:sz w:val="14"/>
                <w:szCs w:val="14"/>
                <w:color w:val="auto"/>
              </w:rPr>
            </w:pPr>
          </w:p>
        </w:tc>
        <w:tc>
          <w:tcPr>
            <w:tcW w:w="960" w:type="dxa"/>
            <w:vAlign w:val="bottom"/>
            <w:shd w:val="clear" w:color="auto" w:fill="CCEEFF"/>
          </w:tcPr>
          <w:p>
            <w:pPr>
              <w:spacing w:after="0"/>
              <w:rPr>
                <w:sz w:val="14"/>
                <w:szCs w:val="14"/>
                <w:color w:val="auto"/>
              </w:rPr>
            </w:pPr>
          </w:p>
        </w:tc>
        <w:tc>
          <w:tcPr>
            <w:tcW w:w="80" w:type="dxa"/>
            <w:vAlign w:val="bottom"/>
            <w:shd w:val="clear" w:color="auto" w:fill="CCEEFF"/>
          </w:tcPr>
          <w:p>
            <w:pPr>
              <w:spacing w:after="0"/>
              <w:rPr>
                <w:sz w:val="14"/>
                <w:szCs w:val="14"/>
                <w:color w:val="auto"/>
              </w:rPr>
            </w:pPr>
          </w:p>
        </w:tc>
        <w:tc>
          <w:tcPr>
            <w:tcW w:w="300" w:type="dxa"/>
            <w:vAlign w:val="bottom"/>
            <w:shd w:val="clear" w:color="auto" w:fill="CCEEFF"/>
          </w:tcPr>
          <w:p>
            <w:pPr>
              <w:spacing w:after="0"/>
              <w:rPr>
                <w:sz w:val="14"/>
                <w:szCs w:val="14"/>
                <w:color w:val="auto"/>
              </w:rPr>
            </w:pPr>
          </w:p>
        </w:tc>
        <w:tc>
          <w:tcPr>
            <w:tcW w:w="960" w:type="dxa"/>
            <w:vAlign w:val="bottom"/>
            <w:shd w:val="clear" w:color="auto" w:fill="CCEEFF"/>
          </w:tcPr>
          <w:p>
            <w:pPr>
              <w:spacing w:after="0"/>
              <w:rPr>
                <w:sz w:val="14"/>
                <w:szCs w:val="14"/>
                <w:color w:val="auto"/>
              </w:rPr>
            </w:pPr>
          </w:p>
        </w:tc>
        <w:tc>
          <w:tcPr>
            <w:tcW w:w="0" w:type="dxa"/>
            <w:vAlign w:val="bottom"/>
          </w:tcPr>
          <w:p>
            <w:pPr>
              <w:spacing w:after="0"/>
              <w:rPr>
                <w:sz w:val="1"/>
                <w:szCs w:val="1"/>
                <w:color w:val="auto"/>
              </w:rPr>
            </w:pPr>
          </w:p>
        </w:tc>
      </w:tr>
      <w:tr>
        <w:trPr>
          <w:trHeight w:val="168"/>
        </w:trPr>
        <w:tc>
          <w:tcPr>
            <w:tcW w:w="7320" w:type="dxa"/>
            <w:vAlign w:val="bottom"/>
          </w:tcPr>
          <w:p>
            <w:pPr>
              <w:ind w:left="360"/>
              <w:spacing w:after="0"/>
              <w:rPr>
                <w:sz w:val="20"/>
                <w:szCs w:val="20"/>
                <w:color w:val="auto"/>
              </w:rPr>
            </w:pPr>
            <w:r>
              <w:rPr>
                <w:rFonts w:ascii="Times New Roman" w:cs="Times New Roman" w:eastAsia="Times New Roman" w:hAnsi="Times New Roman"/>
                <w:sz w:val="13"/>
                <w:szCs w:val="13"/>
                <w:color w:val="auto"/>
              </w:rPr>
              <w:t>Advisory fees:</w:t>
            </w:r>
          </w:p>
        </w:tc>
        <w:tc>
          <w:tcPr>
            <w:tcW w:w="300" w:type="dxa"/>
            <w:vAlign w:val="bottom"/>
          </w:tcPr>
          <w:p>
            <w:pPr>
              <w:spacing w:after="0"/>
              <w:rPr>
                <w:sz w:val="14"/>
                <w:szCs w:val="14"/>
                <w:color w:val="auto"/>
              </w:rPr>
            </w:pPr>
          </w:p>
        </w:tc>
        <w:tc>
          <w:tcPr>
            <w:tcW w:w="94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300" w:type="dxa"/>
            <w:vAlign w:val="bottom"/>
          </w:tcPr>
          <w:p>
            <w:pPr>
              <w:spacing w:after="0"/>
              <w:rPr>
                <w:sz w:val="14"/>
                <w:szCs w:val="14"/>
                <w:color w:val="auto"/>
              </w:rPr>
            </w:pPr>
          </w:p>
        </w:tc>
        <w:tc>
          <w:tcPr>
            <w:tcW w:w="96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300" w:type="dxa"/>
            <w:vAlign w:val="bottom"/>
          </w:tcPr>
          <w:p>
            <w:pPr>
              <w:spacing w:after="0"/>
              <w:rPr>
                <w:sz w:val="14"/>
                <w:szCs w:val="14"/>
                <w:color w:val="auto"/>
              </w:rPr>
            </w:pPr>
          </w:p>
        </w:tc>
        <w:tc>
          <w:tcPr>
            <w:tcW w:w="96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72"/>
        </w:trPr>
        <w:tc>
          <w:tcPr>
            <w:tcW w:w="7320" w:type="dxa"/>
            <w:vAlign w:val="bottom"/>
            <w:shd w:val="clear" w:color="auto" w:fill="CCEEFF"/>
          </w:tcPr>
          <w:p>
            <w:pPr>
              <w:ind w:left="620"/>
              <w:spacing w:after="0"/>
              <w:rPr>
                <w:sz w:val="20"/>
                <w:szCs w:val="20"/>
                <w:color w:val="auto"/>
              </w:rPr>
            </w:pPr>
            <w:r>
              <w:rPr>
                <w:rFonts w:ascii="Times New Roman" w:cs="Times New Roman" w:eastAsia="Times New Roman" w:hAnsi="Times New Roman"/>
                <w:sz w:val="13"/>
                <w:szCs w:val="13"/>
                <w:color w:val="auto"/>
              </w:rPr>
              <w:t>Asset-based</w:t>
            </w:r>
          </w:p>
        </w:tc>
        <w:tc>
          <w:tcPr>
            <w:tcW w:w="300" w:type="dxa"/>
            <w:vAlign w:val="bottom"/>
            <w:shd w:val="clear" w:color="auto" w:fill="CCEEFF"/>
          </w:tcPr>
          <w:p>
            <w:pPr>
              <w:jc w:val="right"/>
              <w:ind w:right="156"/>
              <w:spacing w:after="0"/>
              <w:rPr>
                <w:sz w:val="20"/>
                <w:szCs w:val="20"/>
                <w:color w:val="auto"/>
              </w:rPr>
            </w:pPr>
            <w:r>
              <w:rPr>
                <w:rFonts w:ascii="Times New Roman" w:cs="Times New Roman" w:eastAsia="Times New Roman" w:hAnsi="Times New Roman"/>
                <w:sz w:val="13"/>
                <w:szCs w:val="13"/>
                <w:color w:val="auto"/>
                <w:w w:val="91"/>
              </w:rPr>
              <w:t>$</w:t>
            </w:r>
          </w:p>
        </w:tc>
        <w:tc>
          <w:tcPr>
            <w:tcW w:w="9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74,722</w:t>
            </w:r>
          </w:p>
        </w:tc>
        <w:tc>
          <w:tcPr>
            <w:tcW w:w="400" w:type="dxa"/>
            <w:vAlign w:val="bottom"/>
            <w:gridSpan w:val="2"/>
            <w:shd w:val="clear" w:color="auto" w:fill="CCEEFF"/>
          </w:tcPr>
          <w:p>
            <w:pPr>
              <w:jc w:val="right"/>
              <w:ind w:right="156"/>
              <w:spacing w:after="0"/>
              <w:rPr>
                <w:sz w:val="20"/>
                <w:szCs w:val="20"/>
                <w:color w:val="auto"/>
              </w:rPr>
            </w:pPr>
            <w:r>
              <w:rPr>
                <w:rFonts w:ascii="Times New Roman" w:cs="Times New Roman" w:eastAsia="Times New Roman" w:hAnsi="Times New Roman"/>
                <w:sz w:val="13"/>
                <w:szCs w:val="13"/>
                <w:color w:val="auto"/>
              </w:rPr>
              <w:t>$</w:t>
            </w:r>
          </w:p>
        </w:tc>
        <w:tc>
          <w:tcPr>
            <w:tcW w:w="9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69,755</w:t>
            </w:r>
          </w:p>
        </w:tc>
        <w:tc>
          <w:tcPr>
            <w:tcW w:w="80" w:type="dxa"/>
            <w:vAlign w:val="bottom"/>
            <w:shd w:val="clear" w:color="auto" w:fill="CCEEFF"/>
          </w:tcPr>
          <w:p>
            <w:pPr>
              <w:spacing w:after="0"/>
              <w:rPr>
                <w:sz w:val="14"/>
                <w:szCs w:val="14"/>
                <w:color w:val="auto"/>
              </w:rPr>
            </w:pPr>
          </w:p>
        </w:tc>
        <w:tc>
          <w:tcPr>
            <w:tcW w:w="300" w:type="dxa"/>
            <w:vAlign w:val="bottom"/>
            <w:shd w:val="clear" w:color="auto" w:fill="CCEEFF"/>
          </w:tcPr>
          <w:p>
            <w:pPr>
              <w:jc w:val="right"/>
              <w:ind w:right="156"/>
              <w:spacing w:after="0"/>
              <w:rPr>
                <w:sz w:val="20"/>
                <w:szCs w:val="20"/>
                <w:color w:val="auto"/>
              </w:rPr>
            </w:pPr>
            <w:r>
              <w:rPr>
                <w:rFonts w:ascii="Times New Roman" w:cs="Times New Roman" w:eastAsia="Times New Roman" w:hAnsi="Times New Roman"/>
                <w:sz w:val="13"/>
                <w:szCs w:val="13"/>
                <w:color w:val="auto"/>
                <w:w w:val="91"/>
              </w:rPr>
              <w:t>$</w:t>
            </w:r>
          </w:p>
        </w:tc>
        <w:tc>
          <w:tcPr>
            <w:tcW w:w="9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67,391</w:t>
            </w:r>
          </w:p>
        </w:tc>
        <w:tc>
          <w:tcPr>
            <w:tcW w:w="0" w:type="dxa"/>
            <w:vAlign w:val="bottom"/>
          </w:tcPr>
          <w:p>
            <w:pPr>
              <w:spacing w:after="0"/>
              <w:rPr>
                <w:sz w:val="1"/>
                <w:szCs w:val="1"/>
                <w:color w:val="auto"/>
              </w:rPr>
            </w:pPr>
          </w:p>
        </w:tc>
      </w:tr>
      <w:tr>
        <w:trPr>
          <w:trHeight w:val="168"/>
        </w:trPr>
        <w:tc>
          <w:tcPr>
            <w:tcW w:w="7320" w:type="dxa"/>
            <w:vAlign w:val="bottom"/>
          </w:tcPr>
          <w:p>
            <w:pPr>
              <w:ind w:left="620"/>
              <w:spacing w:after="0"/>
              <w:rPr>
                <w:sz w:val="20"/>
                <w:szCs w:val="20"/>
                <w:color w:val="auto"/>
              </w:rPr>
            </w:pPr>
            <w:r>
              <w:rPr>
                <w:rFonts w:ascii="Times New Roman" w:cs="Times New Roman" w:eastAsia="Times New Roman" w:hAnsi="Times New Roman"/>
                <w:sz w:val="13"/>
                <w:szCs w:val="13"/>
                <w:color w:val="auto"/>
              </w:rPr>
              <w:t>Performance-based</w:t>
            </w:r>
          </w:p>
        </w:tc>
        <w:tc>
          <w:tcPr>
            <w:tcW w:w="300" w:type="dxa"/>
            <w:vAlign w:val="bottom"/>
          </w:tcPr>
          <w:p>
            <w:pPr>
              <w:spacing w:after="0"/>
              <w:rPr>
                <w:sz w:val="14"/>
                <w:szCs w:val="14"/>
                <w:color w:val="auto"/>
              </w:rPr>
            </w:pPr>
          </w:p>
        </w:tc>
        <w:tc>
          <w:tcPr>
            <w:tcW w:w="94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874</w:t>
            </w:r>
          </w:p>
        </w:tc>
        <w:tc>
          <w:tcPr>
            <w:tcW w:w="100" w:type="dxa"/>
            <w:vAlign w:val="bottom"/>
          </w:tcPr>
          <w:p>
            <w:pPr>
              <w:spacing w:after="0"/>
              <w:rPr>
                <w:sz w:val="14"/>
                <w:szCs w:val="14"/>
                <w:color w:val="auto"/>
              </w:rPr>
            </w:pPr>
          </w:p>
        </w:tc>
        <w:tc>
          <w:tcPr>
            <w:tcW w:w="300" w:type="dxa"/>
            <w:vAlign w:val="bottom"/>
          </w:tcPr>
          <w:p>
            <w:pPr>
              <w:spacing w:after="0"/>
              <w:rPr>
                <w:sz w:val="14"/>
                <w:szCs w:val="14"/>
                <w:color w:val="auto"/>
              </w:rPr>
            </w:pPr>
          </w:p>
        </w:tc>
        <w:tc>
          <w:tcPr>
            <w:tcW w:w="96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1,393</w:t>
            </w:r>
          </w:p>
        </w:tc>
        <w:tc>
          <w:tcPr>
            <w:tcW w:w="80" w:type="dxa"/>
            <w:vAlign w:val="bottom"/>
          </w:tcPr>
          <w:p>
            <w:pPr>
              <w:spacing w:after="0"/>
              <w:rPr>
                <w:sz w:val="14"/>
                <w:szCs w:val="14"/>
                <w:color w:val="auto"/>
              </w:rPr>
            </w:pPr>
          </w:p>
        </w:tc>
        <w:tc>
          <w:tcPr>
            <w:tcW w:w="300" w:type="dxa"/>
            <w:vAlign w:val="bottom"/>
          </w:tcPr>
          <w:p>
            <w:pPr>
              <w:spacing w:after="0"/>
              <w:rPr>
                <w:sz w:val="14"/>
                <w:szCs w:val="14"/>
                <w:color w:val="auto"/>
              </w:rPr>
            </w:pPr>
          </w:p>
        </w:tc>
        <w:tc>
          <w:tcPr>
            <w:tcW w:w="96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1,265</w:t>
            </w:r>
          </w:p>
        </w:tc>
        <w:tc>
          <w:tcPr>
            <w:tcW w:w="0" w:type="dxa"/>
            <w:vAlign w:val="bottom"/>
          </w:tcPr>
          <w:p>
            <w:pPr>
              <w:spacing w:after="0"/>
              <w:rPr>
                <w:sz w:val="1"/>
                <w:szCs w:val="1"/>
                <w:color w:val="auto"/>
              </w:rPr>
            </w:pPr>
          </w:p>
        </w:tc>
      </w:tr>
      <w:tr>
        <w:trPr>
          <w:trHeight w:val="172"/>
        </w:trPr>
        <w:tc>
          <w:tcPr>
            <w:tcW w:w="7320" w:type="dxa"/>
            <w:vAlign w:val="bottom"/>
            <w:shd w:val="clear" w:color="auto" w:fill="CCEEFF"/>
          </w:tcPr>
          <w:p>
            <w:pPr>
              <w:ind w:left="360"/>
              <w:spacing w:after="0"/>
              <w:rPr>
                <w:sz w:val="20"/>
                <w:szCs w:val="20"/>
                <w:color w:val="auto"/>
              </w:rPr>
            </w:pPr>
            <w:r>
              <w:rPr>
                <w:rFonts w:ascii="Times New Roman" w:cs="Times New Roman" w:eastAsia="Times New Roman" w:hAnsi="Times New Roman"/>
                <w:sz w:val="13"/>
                <w:szCs w:val="13"/>
                <w:color w:val="auto"/>
              </w:rPr>
              <w:t>Trust fees</w:t>
            </w:r>
          </w:p>
        </w:tc>
        <w:tc>
          <w:tcPr>
            <w:tcW w:w="300" w:type="dxa"/>
            <w:vAlign w:val="bottom"/>
            <w:shd w:val="clear" w:color="auto" w:fill="CCEEFF"/>
          </w:tcPr>
          <w:p>
            <w:pPr>
              <w:spacing w:after="0"/>
              <w:rPr>
                <w:sz w:val="14"/>
                <w:szCs w:val="14"/>
                <w:color w:val="auto"/>
              </w:rPr>
            </w:pPr>
          </w:p>
        </w:tc>
        <w:tc>
          <w:tcPr>
            <w:tcW w:w="9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21,560</w:t>
            </w:r>
          </w:p>
        </w:tc>
        <w:tc>
          <w:tcPr>
            <w:tcW w:w="100" w:type="dxa"/>
            <w:vAlign w:val="bottom"/>
            <w:shd w:val="clear" w:color="auto" w:fill="CCEEFF"/>
          </w:tcPr>
          <w:p>
            <w:pPr>
              <w:spacing w:after="0"/>
              <w:rPr>
                <w:sz w:val="14"/>
                <w:szCs w:val="14"/>
                <w:color w:val="auto"/>
              </w:rPr>
            </w:pPr>
          </w:p>
        </w:tc>
        <w:tc>
          <w:tcPr>
            <w:tcW w:w="300" w:type="dxa"/>
            <w:vAlign w:val="bottom"/>
            <w:shd w:val="clear" w:color="auto" w:fill="CCEEFF"/>
          </w:tcPr>
          <w:p>
            <w:pPr>
              <w:spacing w:after="0"/>
              <w:rPr>
                <w:sz w:val="14"/>
                <w:szCs w:val="14"/>
                <w:color w:val="auto"/>
              </w:rPr>
            </w:pPr>
          </w:p>
        </w:tc>
        <w:tc>
          <w:tcPr>
            <w:tcW w:w="9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21,422</w:t>
            </w:r>
          </w:p>
        </w:tc>
        <w:tc>
          <w:tcPr>
            <w:tcW w:w="80" w:type="dxa"/>
            <w:vAlign w:val="bottom"/>
            <w:shd w:val="clear" w:color="auto" w:fill="CCEEFF"/>
          </w:tcPr>
          <w:p>
            <w:pPr>
              <w:spacing w:after="0"/>
              <w:rPr>
                <w:sz w:val="14"/>
                <w:szCs w:val="14"/>
                <w:color w:val="auto"/>
              </w:rPr>
            </w:pPr>
          </w:p>
        </w:tc>
        <w:tc>
          <w:tcPr>
            <w:tcW w:w="300" w:type="dxa"/>
            <w:vAlign w:val="bottom"/>
            <w:shd w:val="clear" w:color="auto" w:fill="CCEEFF"/>
          </w:tcPr>
          <w:p>
            <w:pPr>
              <w:spacing w:after="0"/>
              <w:rPr>
                <w:sz w:val="14"/>
                <w:szCs w:val="14"/>
                <w:color w:val="auto"/>
              </w:rPr>
            </w:pPr>
          </w:p>
        </w:tc>
        <w:tc>
          <w:tcPr>
            <w:tcW w:w="9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20,242</w:t>
            </w:r>
          </w:p>
        </w:tc>
        <w:tc>
          <w:tcPr>
            <w:tcW w:w="0" w:type="dxa"/>
            <w:vAlign w:val="bottom"/>
          </w:tcPr>
          <w:p>
            <w:pPr>
              <w:spacing w:after="0"/>
              <w:rPr>
                <w:sz w:val="1"/>
                <w:szCs w:val="1"/>
                <w:color w:val="auto"/>
              </w:rPr>
            </w:pPr>
          </w:p>
        </w:tc>
      </w:tr>
      <w:tr>
        <w:trPr>
          <w:trHeight w:val="168"/>
        </w:trPr>
        <w:tc>
          <w:tcPr>
            <w:tcW w:w="7320" w:type="dxa"/>
            <w:vAlign w:val="bottom"/>
          </w:tcPr>
          <w:p>
            <w:pPr>
              <w:ind w:left="360"/>
              <w:spacing w:after="0"/>
              <w:rPr>
                <w:sz w:val="20"/>
                <w:szCs w:val="20"/>
                <w:color w:val="auto"/>
              </w:rPr>
            </w:pPr>
            <w:r>
              <w:rPr>
                <w:rFonts w:ascii="Times New Roman" w:cs="Times New Roman" w:eastAsia="Times New Roman" w:hAnsi="Times New Roman"/>
                <w:sz w:val="13"/>
                <w:szCs w:val="13"/>
                <w:color w:val="auto"/>
              </w:rPr>
              <w:t>Trust performance-based</w:t>
            </w:r>
          </w:p>
        </w:tc>
        <w:tc>
          <w:tcPr>
            <w:tcW w:w="300" w:type="dxa"/>
            <w:vAlign w:val="bottom"/>
          </w:tcPr>
          <w:p>
            <w:pPr>
              <w:spacing w:after="0"/>
              <w:rPr>
                <w:sz w:val="14"/>
                <w:szCs w:val="14"/>
                <w:color w:val="auto"/>
              </w:rPr>
            </w:pPr>
          </w:p>
        </w:tc>
        <w:tc>
          <w:tcPr>
            <w:tcW w:w="94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260</w:t>
            </w:r>
          </w:p>
        </w:tc>
        <w:tc>
          <w:tcPr>
            <w:tcW w:w="100" w:type="dxa"/>
            <w:vAlign w:val="bottom"/>
          </w:tcPr>
          <w:p>
            <w:pPr>
              <w:spacing w:after="0"/>
              <w:rPr>
                <w:sz w:val="14"/>
                <w:szCs w:val="14"/>
                <w:color w:val="auto"/>
              </w:rPr>
            </w:pPr>
          </w:p>
        </w:tc>
        <w:tc>
          <w:tcPr>
            <w:tcW w:w="300" w:type="dxa"/>
            <w:vAlign w:val="bottom"/>
          </w:tcPr>
          <w:p>
            <w:pPr>
              <w:spacing w:after="0"/>
              <w:rPr>
                <w:sz w:val="14"/>
                <w:szCs w:val="14"/>
                <w:color w:val="auto"/>
              </w:rPr>
            </w:pPr>
          </w:p>
        </w:tc>
        <w:tc>
          <w:tcPr>
            <w:tcW w:w="96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482</w:t>
            </w:r>
          </w:p>
        </w:tc>
        <w:tc>
          <w:tcPr>
            <w:tcW w:w="80" w:type="dxa"/>
            <w:vAlign w:val="bottom"/>
          </w:tcPr>
          <w:p>
            <w:pPr>
              <w:spacing w:after="0"/>
              <w:rPr>
                <w:sz w:val="14"/>
                <w:szCs w:val="14"/>
                <w:color w:val="auto"/>
              </w:rPr>
            </w:pPr>
          </w:p>
        </w:tc>
        <w:tc>
          <w:tcPr>
            <w:tcW w:w="300" w:type="dxa"/>
            <w:vAlign w:val="bottom"/>
          </w:tcPr>
          <w:p>
            <w:pPr>
              <w:spacing w:after="0"/>
              <w:rPr>
                <w:sz w:val="14"/>
                <w:szCs w:val="14"/>
                <w:color w:val="auto"/>
              </w:rPr>
            </w:pPr>
          </w:p>
        </w:tc>
        <w:tc>
          <w:tcPr>
            <w:tcW w:w="96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349</w:t>
            </w:r>
          </w:p>
        </w:tc>
        <w:tc>
          <w:tcPr>
            <w:tcW w:w="0" w:type="dxa"/>
            <w:vAlign w:val="bottom"/>
          </w:tcPr>
          <w:p>
            <w:pPr>
              <w:spacing w:after="0"/>
              <w:rPr>
                <w:sz w:val="1"/>
                <w:szCs w:val="1"/>
                <w:color w:val="auto"/>
              </w:rPr>
            </w:pPr>
          </w:p>
        </w:tc>
      </w:tr>
      <w:tr>
        <w:trPr>
          <w:trHeight w:val="172"/>
        </w:trPr>
        <w:tc>
          <w:tcPr>
            <w:tcW w:w="7320" w:type="dxa"/>
            <w:vAlign w:val="bottom"/>
            <w:shd w:val="clear" w:color="auto" w:fill="CCEEFF"/>
          </w:tcPr>
          <w:p>
            <w:pPr>
              <w:ind w:left="360"/>
              <w:spacing w:after="0"/>
              <w:rPr>
                <w:sz w:val="20"/>
                <w:szCs w:val="20"/>
                <w:color w:val="auto"/>
              </w:rPr>
            </w:pPr>
            <w:r>
              <w:rPr>
                <w:rFonts w:ascii="Times New Roman" w:cs="Times New Roman" w:eastAsia="Times New Roman" w:hAnsi="Times New Roman"/>
                <w:sz w:val="13"/>
                <w:szCs w:val="13"/>
                <w:color w:val="auto"/>
              </w:rPr>
              <w:t>Other, net</w:t>
            </w:r>
          </w:p>
        </w:tc>
        <w:tc>
          <w:tcPr>
            <w:tcW w:w="300" w:type="dxa"/>
            <w:vAlign w:val="bottom"/>
            <w:tcBorders>
              <w:bottom w:val="single" w:sz="8" w:color="auto"/>
            </w:tcBorders>
            <w:shd w:val="clear" w:color="auto" w:fill="CCEEFF"/>
          </w:tcPr>
          <w:p>
            <w:pPr>
              <w:spacing w:after="0"/>
              <w:rPr>
                <w:sz w:val="14"/>
                <w:szCs w:val="14"/>
                <w:color w:val="auto"/>
              </w:rPr>
            </w:pPr>
          </w:p>
        </w:tc>
        <w:tc>
          <w:tcPr>
            <w:tcW w:w="9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346</w:t>
            </w:r>
          </w:p>
        </w:tc>
        <w:tc>
          <w:tcPr>
            <w:tcW w:w="100" w:type="dxa"/>
            <w:vAlign w:val="bottom"/>
            <w:shd w:val="clear" w:color="auto" w:fill="CCEEFF"/>
          </w:tcPr>
          <w:p>
            <w:pPr>
              <w:spacing w:after="0"/>
              <w:rPr>
                <w:sz w:val="14"/>
                <w:szCs w:val="14"/>
                <w:color w:val="auto"/>
              </w:rPr>
            </w:pPr>
          </w:p>
        </w:tc>
        <w:tc>
          <w:tcPr>
            <w:tcW w:w="300" w:type="dxa"/>
            <w:vAlign w:val="bottom"/>
            <w:tcBorders>
              <w:bottom w:val="single" w:sz="8" w:color="auto"/>
            </w:tcBorders>
            <w:shd w:val="clear" w:color="auto" w:fill="CCEEFF"/>
          </w:tcPr>
          <w:p>
            <w:pPr>
              <w:spacing w:after="0"/>
              <w:rPr>
                <w:sz w:val="14"/>
                <w:szCs w:val="14"/>
                <w:color w:val="auto"/>
              </w:rPr>
            </w:pPr>
          </w:p>
        </w:tc>
        <w:tc>
          <w:tcPr>
            <w:tcW w:w="9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1,669</w:t>
            </w:r>
          </w:p>
        </w:tc>
        <w:tc>
          <w:tcPr>
            <w:tcW w:w="80" w:type="dxa"/>
            <w:vAlign w:val="bottom"/>
            <w:shd w:val="clear" w:color="auto" w:fill="CCEEFF"/>
          </w:tcPr>
          <w:p>
            <w:pPr>
              <w:spacing w:after="0"/>
              <w:rPr>
                <w:sz w:val="14"/>
                <w:szCs w:val="14"/>
                <w:color w:val="auto"/>
              </w:rPr>
            </w:pPr>
          </w:p>
        </w:tc>
        <w:tc>
          <w:tcPr>
            <w:tcW w:w="300" w:type="dxa"/>
            <w:vAlign w:val="bottom"/>
            <w:tcBorders>
              <w:bottom w:val="single" w:sz="8" w:color="auto"/>
            </w:tcBorders>
            <w:shd w:val="clear" w:color="auto" w:fill="CCEEFF"/>
          </w:tcPr>
          <w:p>
            <w:pPr>
              <w:spacing w:after="0"/>
              <w:rPr>
                <w:sz w:val="14"/>
                <w:szCs w:val="14"/>
                <w:color w:val="auto"/>
              </w:rPr>
            </w:pPr>
          </w:p>
        </w:tc>
        <w:tc>
          <w:tcPr>
            <w:tcW w:w="9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534</w:t>
            </w:r>
          </w:p>
        </w:tc>
        <w:tc>
          <w:tcPr>
            <w:tcW w:w="0" w:type="dxa"/>
            <w:vAlign w:val="bottom"/>
          </w:tcPr>
          <w:p>
            <w:pPr>
              <w:spacing w:after="0"/>
              <w:rPr>
                <w:sz w:val="1"/>
                <w:szCs w:val="1"/>
                <w:color w:val="auto"/>
              </w:rPr>
            </w:pPr>
          </w:p>
        </w:tc>
      </w:tr>
      <w:tr>
        <w:trPr>
          <w:trHeight w:val="158"/>
        </w:trPr>
        <w:tc>
          <w:tcPr>
            <w:tcW w:w="7320" w:type="dxa"/>
            <w:vAlign w:val="bottom"/>
            <w:tcBorders>
              <w:bottom w:val="single" w:sz="8" w:color="CCEEFF"/>
            </w:tcBorders>
          </w:tcPr>
          <w:p>
            <w:pPr>
              <w:ind w:left="620"/>
              <w:spacing w:after="0" w:line="146" w:lineRule="exact"/>
              <w:rPr>
                <w:sz w:val="20"/>
                <w:szCs w:val="20"/>
                <w:color w:val="auto"/>
              </w:rPr>
            </w:pPr>
            <w:r>
              <w:rPr>
                <w:rFonts w:ascii="Times New Roman" w:cs="Times New Roman" w:eastAsia="Times New Roman" w:hAnsi="Times New Roman"/>
                <w:sz w:val="13"/>
                <w:szCs w:val="13"/>
                <w:color w:val="auto"/>
              </w:rPr>
              <w:t>Total revenues</w:t>
            </w:r>
          </w:p>
        </w:tc>
        <w:tc>
          <w:tcPr>
            <w:tcW w:w="300" w:type="dxa"/>
            <w:vAlign w:val="bottom"/>
            <w:tcBorders>
              <w:bottom w:val="single" w:sz="8" w:color="auto"/>
            </w:tcBorders>
          </w:tcPr>
          <w:p>
            <w:pPr>
              <w:spacing w:after="0"/>
              <w:rPr>
                <w:sz w:val="13"/>
                <w:szCs w:val="13"/>
                <w:color w:val="auto"/>
              </w:rPr>
            </w:pPr>
          </w:p>
        </w:tc>
        <w:tc>
          <w:tcPr>
            <w:tcW w:w="9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3"/>
                <w:szCs w:val="13"/>
                <w:color w:val="auto"/>
              </w:rPr>
              <w:t>97,762</w:t>
            </w:r>
          </w:p>
        </w:tc>
        <w:tc>
          <w:tcPr>
            <w:tcW w:w="100" w:type="dxa"/>
            <w:vAlign w:val="bottom"/>
            <w:tcBorders>
              <w:bottom w:val="single" w:sz="8" w:color="CCEEFF"/>
            </w:tcBorders>
          </w:tcPr>
          <w:p>
            <w:pPr>
              <w:spacing w:after="0"/>
              <w:rPr>
                <w:sz w:val="13"/>
                <w:szCs w:val="13"/>
                <w:color w:val="auto"/>
              </w:rPr>
            </w:pPr>
          </w:p>
        </w:tc>
        <w:tc>
          <w:tcPr>
            <w:tcW w:w="300" w:type="dxa"/>
            <w:vAlign w:val="bottom"/>
            <w:tcBorders>
              <w:bottom w:val="single" w:sz="8" w:color="auto"/>
            </w:tcBorders>
          </w:tcPr>
          <w:p>
            <w:pPr>
              <w:spacing w:after="0"/>
              <w:rPr>
                <w:sz w:val="13"/>
                <w:szCs w:val="13"/>
                <w:color w:val="auto"/>
              </w:rPr>
            </w:pPr>
          </w:p>
        </w:tc>
        <w:tc>
          <w:tcPr>
            <w:tcW w:w="9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3"/>
                <w:szCs w:val="13"/>
                <w:color w:val="auto"/>
              </w:rPr>
              <w:t>94,721</w:t>
            </w:r>
          </w:p>
        </w:tc>
        <w:tc>
          <w:tcPr>
            <w:tcW w:w="80" w:type="dxa"/>
            <w:vAlign w:val="bottom"/>
            <w:tcBorders>
              <w:bottom w:val="single" w:sz="8" w:color="CCEEFF"/>
            </w:tcBorders>
          </w:tcPr>
          <w:p>
            <w:pPr>
              <w:spacing w:after="0"/>
              <w:rPr>
                <w:sz w:val="13"/>
                <w:szCs w:val="13"/>
                <w:color w:val="auto"/>
              </w:rPr>
            </w:pPr>
          </w:p>
        </w:tc>
        <w:tc>
          <w:tcPr>
            <w:tcW w:w="300" w:type="dxa"/>
            <w:vAlign w:val="bottom"/>
            <w:tcBorders>
              <w:bottom w:val="single" w:sz="8" w:color="auto"/>
            </w:tcBorders>
          </w:tcPr>
          <w:p>
            <w:pPr>
              <w:spacing w:after="0"/>
              <w:rPr>
                <w:sz w:val="13"/>
                <w:szCs w:val="13"/>
                <w:color w:val="auto"/>
              </w:rPr>
            </w:pPr>
          </w:p>
        </w:tc>
        <w:tc>
          <w:tcPr>
            <w:tcW w:w="9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3"/>
                <w:szCs w:val="13"/>
                <w:color w:val="auto"/>
              </w:rPr>
              <w:t>89,781</w:t>
            </w:r>
          </w:p>
        </w:tc>
        <w:tc>
          <w:tcPr>
            <w:tcW w:w="0" w:type="dxa"/>
            <w:vAlign w:val="bottom"/>
          </w:tcPr>
          <w:p>
            <w:pPr>
              <w:spacing w:after="0"/>
              <w:rPr>
                <w:sz w:val="1"/>
                <w:szCs w:val="1"/>
                <w:color w:val="auto"/>
              </w:rPr>
            </w:pPr>
          </w:p>
        </w:tc>
      </w:tr>
      <w:tr>
        <w:trPr>
          <w:trHeight w:val="163"/>
        </w:trPr>
        <w:tc>
          <w:tcPr>
            <w:tcW w:w="732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3"/>
                <w:szCs w:val="13"/>
                <w:b w:val="1"/>
                <w:bCs w:val="1"/>
                <w:color w:val="auto"/>
              </w:rPr>
              <w:t>Expenses:</w:t>
            </w:r>
          </w:p>
        </w:tc>
        <w:tc>
          <w:tcPr>
            <w:tcW w:w="300" w:type="dxa"/>
            <w:vAlign w:val="bottom"/>
            <w:shd w:val="clear" w:color="auto" w:fill="CCEEFF"/>
          </w:tcPr>
          <w:p>
            <w:pPr>
              <w:spacing w:after="0"/>
              <w:rPr>
                <w:sz w:val="14"/>
                <w:szCs w:val="14"/>
                <w:color w:val="auto"/>
              </w:rPr>
            </w:pPr>
          </w:p>
        </w:tc>
        <w:tc>
          <w:tcPr>
            <w:tcW w:w="94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300" w:type="dxa"/>
            <w:vAlign w:val="bottom"/>
            <w:shd w:val="clear" w:color="auto" w:fill="CCEEFF"/>
          </w:tcPr>
          <w:p>
            <w:pPr>
              <w:spacing w:after="0"/>
              <w:rPr>
                <w:sz w:val="14"/>
                <w:szCs w:val="14"/>
                <w:color w:val="auto"/>
              </w:rPr>
            </w:pPr>
          </w:p>
        </w:tc>
        <w:tc>
          <w:tcPr>
            <w:tcW w:w="960" w:type="dxa"/>
            <w:vAlign w:val="bottom"/>
            <w:shd w:val="clear" w:color="auto" w:fill="CCEEFF"/>
          </w:tcPr>
          <w:p>
            <w:pPr>
              <w:spacing w:after="0"/>
              <w:rPr>
                <w:sz w:val="14"/>
                <w:szCs w:val="14"/>
                <w:color w:val="auto"/>
              </w:rPr>
            </w:pPr>
          </w:p>
        </w:tc>
        <w:tc>
          <w:tcPr>
            <w:tcW w:w="80" w:type="dxa"/>
            <w:vAlign w:val="bottom"/>
            <w:shd w:val="clear" w:color="auto" w:fill="CCEEFF"/>
          </w:tcPr>
          <w:p>
            <w:pPr>
              <w:spacing w:after="0"/>
              <w:rPr>
                <w:sz w:val="14"/>
                <w:szCs w:val="14"/>
                <w:color w:val="auto"/>
              </w:rPr>
            </w:pPr>
          </w:p>
        </w:tc>
        <w:tc>
          <w:tcPr>
            <w:tcW w:w="300" w:type="dxa"/>
            <w:vAlign w:val="bottom"/>
            <w:shd w:val="clear" w:color="auto" w:fill="CCEEFF"/>
          </w:tcPr>
          <w:p>
            <w:pPr>
              <w:spacing w:after="0"/>
              <w:rPr>
                <w:sz w:val="14"/>
                <w:szCs w:val="14"/>
                <w:color w:val="auto"/>
              </w:rPr>
            </w:pPr>
          </w:p>
        </w:tc>
        <w:tc>
          <w:tcPr>
            <w:tcW w:w="960" w:type="dxa"/>
            <w:vAlign w:val="bottom"/>
            <w:shd w:val="clear" w:color="auto" w:fill="CCEEFF"/>
          </w:tcPr>
          <w:p>
            <w:pPr>
              <w:spacing w:after="0"/>
              <w:rPr>
                <w:sz w:val="14"/>
                <w:szCs w:val="14"/>
                <w:color w:val="auto"/>
              </w:rPr>
            </w:pPr>
          </w:p>
        </w:tc>
        <w:tc>
          <w:tcPr>
            <w:tcW w:w="0" w:type="dxa"/>
            <w:vAlign w:val="bottom"/>
          </w:tcPr>
          <w:p>
            <w:pPr>
              <w:spacing w:after="0"/>
              <w:rPr>
                <w:sz w:val="1"/>
                <w:szCs w:val="1"/>
                <w:color w:val="auto"/>
              </w:rPr>
            </w:pPr>
          </w:p>
        </w:tc>
      </w:tr>
      <w:tr>
        <w:trPr>
          <w:trHeight w:val="168"/>
        </w:trPr>
        <w:tc>
          <w:tcPr>
            <w:tcW w:w="7320" w:type="dxa"/>
            <w:vAlign w:val="bottom"/>
          </w:tcPr>
          <w:p>
            <w:pPr>
              <w:ind w:left="360"/>
              <w:spacing w:after="0"/>
              <w:rPr>
                <w:sz w:val="20"/>
                <w:szCs w:val="20"/>
                <w:color w:val="auto"/>
              </w:rPr>
            </w:pPr>
            <w:r>
              <w:rPr>
                <w:rFonts w:ascii="Times New Roman" w:cs="Times New Roman" w:eastAsia="Times New Roman" w:hAnsi="Times New Roman"/>
                <w:sz w:val="13"/>
                <w:szCs w:val="13"/>
                <w:color w:val="auto"/>
              </w:rPr>
              <w:t>Employee compensation and benefits</w:t>
            </w:r>
          </w:p>
        </w:tc>
        <w:tc>
          <w:tcPr>
            <w:tcW w:w="300" w:type="dxa"/>
            <w:vAlign w:val="bottom"/>
          </w:tcPr>
          <w:p>
            <w:pPr>
              <w:spacing w:after="0"/>
              <w:rPr>
                <w:sz w:val="14"/>
                <w:szCs w:val="14"/>
                <w:color w:val="auto"/>
              </w:rPr>
            </w:pPr>
          </w:p>
        </w:tc>
        <w:tc>
          <w:tcPr>
            <w:tcW w:w="94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56,686</w:t>
            </w:r>
          </w:p>
        </w:tc>
        <w:tc>
          <w:tcPr>
            <w:tcW w:w="100" w:type="dxa"/>
            <w:vAlign w:val="bottom"/>
          </w:tcPr>
          <w:p>
            <w:pPr>
              <w:spacing w:after="0"/>
              <w:rPr>
                <w:sz w:val="14"/>
                <w:szCs w:val="14"/>
                <w:color w:val="auto"/>
              </w:rPr>
            </w:pPr>
          </w:p>
        </w:tc>
        <w:tc>
          <w:tcPr>
            <w:tcW w:w="300" w:type="dxa"/>
            <w:vAlign w:val="bottom"/>
          </w:tcPr>
          <w:p>
            <w:pPr>
              <w:spacing w:after="0"/>
              <w:rPr>
                <w:sz w:val="14"/>
                <w:szCs w:val="14"/>
                <w:color w:val="auto"/>
              </w:rPr>
            </w:pPr>
          </w:p>
        </w:tc>
        <w:tc>
          <w:tcPr>
            <w:tcW w:w="96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56,011</w:t>
            </w:r>
          </w:p>
        </w:tc>
        <w:tc>
          <w:tcPr>
            <w:tcW w:w="80" w:type="dxa"/>
            <w:vAlign w:val="bottom"/>
          </w:tcPr>
          <w:p>
            <w:pPr>
              <w:spacing w:after="0"/>
              <w:rPr>
                <w:sz w:val="14"/>
                <w:szCs w:val="14"/>
                <w:color w:val="auto"/>
              </w:rPr>
            </w:pPr>
          </w:p>
        </w:tc>
        <w:tc>
          <w:tcPr>
            <w:tcW w:w="300" w:type="dxa"/>
            <w:vAlign w:val="bottom"/>
          </w:tcPr>
          <w:p>
            <w:pPr>
              <w:spacing w:after="0"/>
              <w:rPr>
                <w:sz w:val="14"/>
                <w:szCs w:val="14"/>
                <w:color w:val="auto"/>
              </w:rPr>
            </w:pPr>
          </w:p>
        </w:tc>
        <w:tc>
          <w:tcPr>
            <w:tcW w:w="96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52,918</w:t>
            </w:r>
          </w:p>
        </w:tc>
        <w:tc>
          <w:tcPr>
            <w:tcW w:w="0" w:type="dxa"/>
            <w:vAlign w:val="bottom"/>
          </w:tcPr>
          <w:p>
            <w:pPr>
              <w:spacing w:after="0"/>
              <w:rPr>
                <w:sz w:val="1"/>
                <w:szCs w:val="1"/>
                <w:color w:val="auto"/>
              </w:rPr>
            </w:pPr>
          </w:p>
        </w:tc>
      </w:tr>
      <w:tr>
        <w:trPr>
          <w:trHeight w:val="172"/>
        </w:trPr>
        <w:tc>
          <w:tcPr>
            <w:tcW w:w="7320" w:type="dxa"/>
            <w:vAlign w:val="bottom"/>
            <w:shd w:val="clear" w:color="auto" w:fill="CCEEFF"/>
          </w:tcPr>
          <w:p>
            <w:pPr>
              <w:ind w:left="360"/>
              <w:spacing w:after="0"/>
              <w:rPr>
                <w:sz w:val="20"/>
                <w:szCs w:val="20"/>
                <w:color w:val="auto"/>
              </w:rPr>
            </w:pPr>
            <w:r>
              <w:rPr>
                <w:rFonts w:ascii="Times New Roman" w:cs="Times New Roman" w:eastAsia="Times New Roman" w:hAnsi="Times New Roman"/>
                <w:sz w:val="13"/>
                <w:szCs w:val="13"/>
                <w:color w:val="auto"/>
              </w:rPr>
              <w:t>Sales and marketing</w:t>
            </w:r>
          </w:p>
        </w:tc>
        <w:tc>
          <w:tcPr>
            <w:tcW w:w="300" w:type="dxa"/>
            <w:vAlign w:val="bottom"/>
            <w:shd w:val="clear" w:color="auto" w:fill="CCEEFF"/>
          </w:tcPr>
          <w:p>
            <w:pPr>
              <w:spacing w:after="0"/>
              <w:rPr>
                <w:sz w:val="14"/>
                <w:szCs w:val="14"/>
                <w:color w:val="auto"/>
              </w:rPr>
            </w:pPr>
          </w:p>
        </w:tc>
        <w:tc>
          <w:tcPr>
            <w:tcW w:w="9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2,744</w:t>
            </w:r>
          </w:p>
        </w:tc>
        <w:tc>
          <w:tcPr>
            <w:tcW w:w="100" w:type="dxa"/>
            <w:vAlign w:val="bottom"/>
            <w:shd w:val="clear" w:color="auto" w:fill="CCEEFF"/>
          </w:tcPr>
          <w:p>
            <w:pPr>
              <w:spacing w:after="0"/>
              <w:rPr>
                <w:sz w:val="14"/>
                <w:szCs w:val="14"/>
                <w:color w:val="auto"/>
              </w:rPr>
            </w:pPr>
          </w:p>
        </w:tc>
        <w:tc>
          <w:tcPr>
            <w:tcW w:w="300" w:type="dxa"/>
            <w:vAlign w:val="bottom"/>
            <w:shd w:val="clear" w:color="auto" w:fill="CCEEFF"/>
          </w:tcPr>
          <w:p>
            <w:pPr>
              <w:spacing w:after="0"/>
              <w:rPr>
                <w:sz w:val="14"/>
                <w:szCs w:val="14"/>
                <w:color w:val="auto"/>
              </w:rPr>
            </w:pPr>
          </w:p>
        </w:tc>
        <w:tc>
          <w:tcPr>
            <w:tcW w:w="9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2,668</w:t>
            </w:r>
          </w:p>
        </w:tc>
        <w:tc>
          <w:tcPr>
            <w:tcW w:w="80" w:type="dxa"/>
            <w:vAlign w:val="bottom"/>
            <w:shd w:val="clear" w:color="auto" w:fill="CCEEFF"/>
          </w:tcPr>
          <w:p>
            <w:pPr>
              <w:spacing w:after="0"/>
              <w:rPr>
                <w:sz w:val="14"/>
                <w:szCs w:val="14"/>
                <w:color w:val="auto"/>
              </w:rPr>
            </w:pPr>
          </w:p>
        </w:tc>
        <w:tc>
          <w:tcPr>
            <w:tcW w:w="300" w:type="dxa"/>
            <w:vAlign w:val="bottom"/>
            <w:shd w:val="clear" w:color="auto" w:fill="CCEEFF"/>
          </w:tcPr>
          <w:p>
            <w:pPr>
              <w:spacing w:after="0"/>
              <w:rPr>
                <w:sz w:val="14"/>
                <w:szCs w:val="14"/>
                <w:color w:val="auto"/>
              </w:rPr>
            </w:pPr>
          </w:p>
        </w:tc>
        <w:tc>
          <w:tcPr>
            <w:tcW w:w="9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2,990</w:t>
            </w:r>
          </w:p>
        </w:tc>
        <w:tc>
          <w:tcPr>
            <w:tcW w:w="0" w:type="dxa"/>
            <w:vAlign w:val="bottom"/>
          </w:tcPr>
          <w:p>
            <w:pPr>
              <w:spacing w:after="0"/>
              <w:rPr>
                <w:sz w:val="1"/>
                <w:szCs w:val="1"/>
                <w:color w:val="auto"/>
              </w:rPr>
            </w:pPr>
          </w:p>
        </w:tc>
      </w:tr>
      <w:tr>
        <w:trPr>
          <w:trHeight w:val="168"/>
        </w:trPr>
        <w:tc>
          <w:tcPr>
            <w:tcW w:w="7320" w:type="dxa"/>
            <w:vAlign w:val="bottom"/>
          </w:tcPr>
          <w:p>
            <w:pPr>
              <w:ind w:left="360"/>
              <w:spacing w:after="0"/>
              <w:rPr>
                <w:sz w:val="20"/>
                <w:szCs w:val="20"/>
                <w:color w:val="auto"/>
              </w:rPr>
            </w:pPr>
            <w:r>
              <w:rPr>
                <w:rFonts w:ascii="Times New Roman" w:cs="Times New Roman" w:eastAsia="Times New Roman" w:hAnsi="Times New Roman"/>
                <w:sz w:val="13"/>
                <w:szCs w:val="13"/>
                <w:color w:val="auto"/>
              </w:rPr>
              <w:t>Westwood funds</w:t>
            </w:r>
          </w:p>
        </w:tc>
        <w:tc>
          <w:tcPr>
            <w:tcW w:w="300" w:type="dxa"/>
            <w:vAlign w:val="bottom"/>
          </w:tcPr>
          <w:p>
            <w:pPr>
              <w:spacing w:after="0"/>
              <w:rPr>
                <w:sz w:val="14"/>
                <w:szCs w:val="14"/>
                <w:color w:val="auto"/>
              </w:rPr>
            </w:pPr>
          </w:p>
        </w:tc>
        <w:tc>
          <w:tcPr>
            <w:tcW w:w="94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4,258</w:t>
            </w:r>
          </w:p>
        </w:tc>
        <w:tc>
          <w:tcPr>
            <w:tcW w:w="100" w:type="dxa"/>
            <w:vAlign w:val="bottom"/>
          </w:tcPr>
          <w:p>
            <w:pPr>
              <w:spacing w:after="0"/>
              <w:rPr>
                <w:sz w:val="14"/>
                <w:szCs w:val="14"/>
                <w:color w:val="auto"/>
              </w:rPr>
            </w:pPr>
          </w:p>
        </w:tc>
        <w:tc>
          <w:tcPr>
            <w:tcW w:w="300" w:type="dxa"/>
            <w:vAlign w:val="bottom"/>
          </w:tcPr>
          <w:p>
            <w:pPr>
              <w:spacing w:after="0"/>
              <w:rPr>
                <w:sz w:val="14"/>
                <w:szCs w:val="14"/>
                <w:color w:val="auto"/>
              </w:rPr>
            </w:pPr>
          </w:p>
        </w:tc>
        <w:tc>
          <w:tcPr>
            <w:tcW w:w="96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3,254</w:t>
            </w:r>
          </w:p>
        </w:tc>
        <w:tc>
          <w:tcPr>
            <w:tcW w:w="80" w:type="dxa"/>
            <w:vAlign w:val="bottom"/>
          </w:tcPr>
          <w:p>
            <w:pPr>
              <w:spacing w:after="0"/>
              <w:rPr>
                <w:sz w:val="14"/>
                <w:szCs w:val="14"/>
                <w:color w:val="auto"/>
              </w:rPr>
            </w:pPr>
          </w:p>
        </w:tc>
        <w:tc>
          <w:tcPr>
            <w:tcW w:w="300" w:type="dxa"/>
            <w:vAlign w:val="bottom"/>
          </w:tcPr>
          <w:p>
            <w:pPr>
              <w:spacing w:after="0"/>
              <w:rPr>
                <w:sz w:val="14"/>
                <w:szCs w:val="14"/>
                <w:color w:val="auto"/>
              </w:rPr>
            </w:pPr>
          </w:p>
        </w:tc>
        <w:tc>
          <w:tcPr>
            <w:tcW w:w="96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3,133</w:t>
            </w:r>
          </w:p>
        </w:tc>
        <w:tc>
          <w:tcPr>
            <w:tcW w:w="0" w:type="dxa"/>
            <w:vAlign w:val="bottom"/>
          </w:tcPr>
          <w:p>
            <w:pPr>
              <w:spacing w:after="0"/>
              <w:rPr>
                <w:sz w:val="1"/>
                <w:szCs w:val="1"/>
                <w:color w:val="auto"/>
              </w:rPr>
            </w:pPr>
          </w:p>
        </w:tc>
      </w:tr>
      <w:tr>
        <w:trPr>
          <w:trHeight w:val="172"/>
        </w:trPr>
        <w:tc>
          <w:tcPr>
            <w:tcW w:w="7320" w:type="dxa"/>
            <w:vAlign w:val="bottom"/>
            <w:shd w:val="clear" w:color="auto" w:fill="CCEEFF"/>
          </w:tcPr>
          <w:p>
            <w:pPr>
              <w:ind w:left="360"/>
              <w:spacing w:after="0"/>
              <w:rPr>
                <w:sz w:val="20"/>
                <w:szCs w:val="20"/>
                <w:color w:val="auto"/>
              </w:rPr>
            </w:pPr>
            <w:r>
              <w:rPr>
                <w:rFonts w:ascii="Times New Roman" w:cs="Times New Roman" w:eastAsia="Times New Roman" w:hAnsi="Times New Roman"/>
                <w:sz w:val="13"/>
                <w:szCs w:val="13"/>
                <w:color w:val="auto"/>
              </w:rPr>
              <w:t>Information technology</w:t>
            </w:r>
          </w:p>
        </w:tc>
        <w:tc>
          <w:tcPr>
            <w:tcW w:w="300" w:type="dxa"/>
            <w:vAlign w:val="bottom"/>
            <w:shd w:val="clear" w:color="auto" w:fill="CCEEFF"/>
          </w:tcPr>
          <w:p>
            <w:pPr>
              <w:spacing w:after="0"/>
              <w:rPr>
                <w:sz w:val="14"/>
                <w:szCs w:val="14"/>
                <w:color w:val="auto"/>
              </w:rPr>
            </w:pPr>
          </w:p>
        </w:tc>
        <w:tc>
          <w:tcPr>
            <w:tcW w:w="9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10,894</w:t>
            </w:r>
          </w:p>
        </w:tc>
        <w:tc>
          <w:tcPr>
            <w:tcW w:w="100" w:type="dxa"/>
            <w:vAlign w:val="bottom"/>
            <w:shd w:val="clear" w:color="auto" w:fill="CCEEFF"/>
          </w:tcPr>
          <w:p>
            <w:pPr>
              <w:spacing w:after="0"/>
              <w:rPr>
                <w:sz w:val="14"/>
                <w:szCs w:val="14"/>
                <w:color w:val="auto"/>
              </w:rPr>
            </w:pPr>
          </w:p>
        </w:tc>
        <w:tc>
          <w:tcPr>
            <w:tcW w:w="300" w:type="dxa"/>
            <w:vAlign w:val="bottom"/>
            <w:shd w:val="clear" w:color="auto" w:fill="CCEEFF"/>
          </w:tcPr>
          <w:p>
            <w:pPr>
              <w:spacing w:after="0"/>
              <w:rPr>
                <w:sz w:val="14"/>
                <w:szCs w:val="14"/>
                <w:color w:val="auto"/>
              </w:rPr>
            </w:pPr>
          </w:p>
        </w:tc>
        <w:tc>
          <w:tcPr>
            <w:tcW w:w="9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9,662</w:t>
            </w:r>
          </w:p>
        </w:tc>
        <w:tc>
          <w:tcPr>
            <w:tcW w:w="80" w:type="dxa"/>
            <w:vAlign w:val="bottom"/>
            <w:shd w:val="clear" w:color="auto" w:fill="CCEEFF"/>
          </w:tcPr>
          <w:p>
            <w:pPr>
              <w:spacing w:after="0"/>
              <w:rPr>
                <w:sz w:val="14"/>
                <w:szCs w:val="14"/>
                <w:color w:val="auto"/>
              </w:rPr>
            </w:pPr>
          </w:p>
        </w:tc>
        <w:tc>
          <w:tcPr>
            <w:tcW w:w="300" w:type="dxa"/>
            <w:vAlign w:val="bottom"/>
            <w:shd w:val="clear" w:color="auto" w:fill="CCEEFF"/>
          </w:tcPr>
          <w:p>
            <w:pPr>
              <w:spacing w:after="0"/>
              <w:rPr>
                <w:sz w:val="14"/>
                <w:szCs w:val="14"/>
                <w:color w:val="auto"/>
              </w:rPr>
            </w:pPr>
          </w:p>
        </w:tc>
        <w:tc>
          <w:tcPr>
            <w:tcW w:w="9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9,650</w:t>
            </w:r>
          </w:p>
        </w:tc>
        <w:tc>
          <w:tcPr>
            <w:tcW w:w="0" w:type="dxa"/>
            <w:vAlign w:val="bottom"/>
          </w:tcPr>
          <w:p>
            <w:pPr>
              <w:spacing w:after="0"/>
              <w:rPr>
                <w:sz w:val="1"/>
                <w:szCs w:val="1"/>
                <w:color w:val="auto"/>
              </w:rPr>
            </w:pPr>
          </w:p>
        </w:tc>
      </w:tr>
      <w:tr>
        <w:trPr>
          <w:trHeight w:val="168"/>
        </w:trPr>
        <w:tc>
          <w:tcPr>
            <w:tcW w:w="7320" w:type="dxa"/>
            <w:vAlign w:val="bottom"/>
          </w:tcPr>
          <w:p>
            <w:pPr>
              <w:ind w:left="360"/>
              <w:spacing w:after="0"/>
              <w:rPr>
                <w:sz w:val="20"/>
                <w:szCs w:val="20"/>
                <w:color w:val="auto"/>
              </w:rPr>
            </w:pPr>
            <w:r>
              <w:rPr>
                <w:rFonts w:ascii="Times New Roman" w:cs="Times New Roman" w:eastAsia="Times New Roman" w:hAnsi="Times New Roman"/>
                <w:sz w:val="13"/>
                <w:szCs w:val="13"/>
                <w:color w:val="auto"/>
              </w:rPr>
              <w:t>Professional services</w:t>
            </w:r>
          </w:p>
        </w:tc>
        <w:tc>
          <w:tcPr>
            <w:tcW w:w="300" w:type="dxa"/>
            <w:vAlign w:val="bottom"/>
          </w:tcPr>
          <w:p>
            <w:pPr>
              <w:spacing w:after="0"/>
              <w:rPr>
                <w:sz w:val="14"/>
                <w:szCs w:val="14"/>
                <w:color w:val="auto"/>
              </w:rPr>
            </w:pPr>
          </w:p>
        </w:tc>
        <w:tc>
          <w:tcPr>
            <w:tcW w:w="94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6,917</w:t>
            </w:r>
          </w:p>
        </w:tc>
        <w:tc>
          <w:tcPr>
            <w:tcW w:w="100" w:type="dxa"/>
            <w:vAlign w:val="bottom"/>
          </w:tcPr>
          <w:p>
            <w:pPr>
              <w:spacing w:after="0"/>
              <w:rPr>
                <w:sz w:val="14"/>
                <w:szCs w:val="14"/>
                <w:color w:val="auto"/>
              </w:rPr>
            </w:pPr>
          </w:p>
        </w:tc>
        <w:tc>
          <w:tcPr>
            <w:tcW w:w="300" w:type="dxa"/>
            <w:vAlign w:val="bottom"/>
          </w:tcPr>
          <w:p>
            <w:pPr>
              <w:spacing w:after="0"/>
              <w:rPr>
                <w:sz w:val="14"/>
                <w:szCs w:val="14"/>
                <w:color w:val="auto"/>
              </w:rPr>
            </w:pPr>
          </w:p>
        </w:tc>
        <w:tc>
          <w:tcPr>
            <w:tcW w:w="96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5,468</w:t>
            </w:r>
          </w:p>
        </w:tc>
        <w:tc>
          <w:tcPr>
            <w:tcW w:w="80" w:type="dxa"/>
            <w:vAlign w:val="bottom"/>
          </w:tcPr>
          <w:p>
            <w:pPr>
              <w:spacing w:after="0"/>
              <w:rPr>
                <w:sz w:val="14"/>
                <w:szCs w:val="14"/>
                <w:color w:val="auto"/>
              </w:rPr>
            </w:pPr>
          </w:p>
        </w:tc>
        <w:tc>
          <w:tcPr>
            <w:tcW w:w="300" w:type="dxa"/>
            <w:vAlign w:val="bottom"/>
          </w:tcPr>
          <w:p>
            <w:pPr>
              <w:spacing w:after="0"/>
              <w:rPr>
                <w:sz w:val="14"/>
                <w:szCs w:val="14"/>
                <w:color w:val="auto"/>
              </w:rPr>
            </w:pPr>
          </w:p>
        </w:tc>
        <w:tc>
          <w:tcPr>
            <w:tcW w:w="96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5,132</w:t>
            </w:r>
          </w:p>
        </w:tc>
        <w:tc>
          <w:tcPr>
            <w:tcW w:w="0" w:type="dxa"/>
            <w:vAlign w:val="bottom"/>
          </w:tcPr>
          <w:p>
            <w:pPr>
              <w:spacing w:after="0"/>
              <w:rPr>
                <w:sz w:val="1"/>
                <w:szCs w:val="1"/>
                <w:color w:val="auto"/>
              </w:rPr>
            </w:pPr>
          </w:p>
        </w:tc>
      </w:tr>
      <w:tr>
        <w:trPr>
          <w:trHeight w:val="172"/>
        </w:trPr>
        <w:tc>
          <w:tcPr>
            <w:tcW w:w="7320" w:type="dxa"/>
            <w:vAlign w:val="bottom"/>
            <w:shd w:val="clear" w:color="auto" w:fill="CCEEFF"/>
          </w:tcPr>
          <w:p>
            <w:pPr>
              <w:ind w:left="360"/>
              <w:spacing w:after="0"/>
              <w:rPr>
                <w:sz w:val="20"/>
                <w:szCs w:val="20"/>
                <w:color w:val="auto"/>
              </w:rPr>
            </w:pPr>
            <w:r>
              <w:rPr>
                <w:rFonts w:ascii="Times New Roman" w:cs="Times New Roman" w:eastAsia="Times New Roman" w:hAnsi="Times New Roman"/>
                <w:sz w:val="13"/>
                <w:szCs w:val="13"/>
                <w:color w:val="auto"/>
              </w:rPr>
              <w:t>General and administrative</w:t>
            </w:r>
          </w:p>
        </w:tc>
        <w:tc>
          <w:tcPr>
            <w:tcW w:w="300" w:type="dxa"/>
            <w:vAlign w:val="bottom"/>
            <w:shd w:val="clear" w:color="auto" w:fill="CCEEFF"/>
          </w:tcPr>
          <w:p>
            <w:pPr>
              <w:spacing w:after="0"/>
              <w:rPr>
                <w:sz w:val="14"/>
                <w:szCs w:val="14"/>
                <w:color w:val="auto"/>
              </w:rPr>
            </w:pPr>
          </w:p>
        </w:tc>
        <w:tc>
          <w:tcPr>
            <w:tcW w:w="9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11,290</w:t>
            </w:r>
          </w:p>
        </w:tc>
        <w:tc>
          <w:tcPr>
            <w:tcW w:w="100" w:type="dxa"/>
            <w:vAlign w:val="bottom"/>
            <w:shd w:val="clear" w:color="auto" w:fill="CCEEFF"/>
          </w:tcPr>
          <w:p>
            <w:pPr>
              <w:spacing w:after="0"/>
              <w:rPr>
                <w:sz w:val="14"/>
                <w:szCs w:val="14"/>
                <w:color w:val="auto"/>
              </w:rPr>
            </w:pPr>
          </w:p>
        </w:tc>
        <w:tc>
          <w:tcPr>
            <w:tcW w:w="300" w:type="dxa"/>
            <w:vAlign w:val="bottom"/>
            <w:shd w:val="clear" w:color="auto" w:fill="CCEEFF"/>
          </w:tcPr>
          <w:p>
            <w:pPr>
              <w:spacing w:after="0"/>
              <w:rPr>
                <w:sz w:val="14"/>
                <w:szCs w:val="14"/>
                <w:color w:val="auto"/>
              </w:rPr>
            </w:pPr>
          </w:p>
        </w:tc>
        <w:tc>
          <w:tcPr>
            <w:tcW w:w="9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11,947</w:t>
            </w:r>
          </w:p>
        </w:tc>
        <w:tc>
          <w:tcPr>
            <w:tcW w:w="80" w:type="dxa"/>
            <w:vAlign w:val="bottom"/>
            <w:shd w:val="clear" w:color="auto" w:fill="CCEEFF"/>
          </w:tcPr>
          <w:p>
            <w:pPr>
              <w:spacing w:after="0"/>
              <w:rPr>
                <w:sz w:val="14"/>
                <w:szCs w:val="14"/>
                <w:color w:val="auto"/>
              </w:rPr>
            </w:pPr>
          </w:p>
        </w:tc>
        <w:tc>
          <w:tcPr>
            <w:tcW w:w="300" w:type="dxa"/>
            <w:vAlign w:val="bottom"/>
            <w:shd w:val="clear" w:color="auto" w:fill="CCEEFF"/>
          </w:tcPr>
          <w:p>
            <w:pPr>
              <w:spacing w:after="0"/>
              <w:rPr>
                <w:sz w:val="14"/>
                <w:szCs w:val="14"/>
                <w:color w:val="auto"/>
              </w:rPr>
            </w:pPr>
          </w:p>
        </w:tc>
        <w:tc>
          <w:tcPr>
            <w:tcW w:w="9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12,512</w:t>
            </w:r>
          </w:p>
        </w:tc>
        <w:tc>
          <w:tcPr>
            <w:tcW w:w="0" w:type="dxa"/>
            <w:vAlign w:val="bottom"/>
          </w:tcPr>
          <w:p>
            <w:pPr>
              <w:spacing w:after="0"/>
              <w:rPr>
                <w:sz w:val="1"/>
                <w:szCs w:val="1"/>
                <w:color w:val="auto"/>
              </w:rPr>
            </w:pPr>
          </w:p>
        </w:tc>
      </w:tr>
      <w:tr>
        <w:trPr>
          <w:trHeight w:val="168"/>
        </w:trPr>
        <w:tc>
          <w:tcPr>
            <w:tcW w:w="7320" w:type="dxa"/>
            <w:vAlign w:val="bottom"/>
          </w:tcPr>
          <w:p>
            <w:pPr>
              <w:ind w:left="360"/>
              <w:spacing w:after="0"/>
              <w:rPr>
                <w:sz w:val="20"/>
                <w:szCs w:val="20"/>
                <w:color w:val="auto"/>
              </w:rPr>
            </w:pPr>
            <w:r>
              <w:rPr>
                <w:rFonts w:ascii="Times New Roman" w:cs="Times New Roman" w:eastAsia="Times New Roman" w:hAnsi="Times New Roman"/>
                <w:sz w:val="13"/>
                <w:szCs w:val="13"/>
                <w:color w:val="auto"/>
              </w:rPr>
              <w:t>(Gain) loss from change in fair value of contingent consideration</w:t>
            </w:r>
          </w:p>
        </w:tc>
        <w:tc>
          <w:tcPr>
            <w:tcW w:w="300" w:type="dxa"/>
            <w:vAlign w:val="bottom"/>
          </w:tcPr>
          <w:p>
            <w:pPr>
              <w:spacing w:after="0"/>
              <w:rPr>
                <w:sz w:val="14"/>
                <w:szCs w:val="14"/>
                <w:color w:val="auto"/>
              </w:rPr>
            </w:pPr>
          </w:p>
        </w:tc>
        <w:tc>
          <w:tcPr>
            <w:tcW w:w="94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w:t>
            </w:r>
          </w:p>
        </w:tc>
        <w:tc>
          <w:tcPr>
            <w:tcW w:w="100" w:type="dxa"/>
            <w:vAlign w:val="bottom"/>
          </w:tcPr>
          <w:p>
            <w:pPr>
              <w:spacing w:after="0"/>
              <w:rPr>
                <w:sz w:val="14"/>
                <w:szCs w:val="14"/>
                <w:color w:val="auto"/>
              </w:rPr>
            </w:pPr>
          </w:p>
        </w:tc>
        <w:tc>
          <w:tcPr>
            <w:tcW w:w="300" w:type="dxa"/>
            <w:vAlign w:val="bottom"/>
          </w:tcPr>
          <w:p>
            <w:pPr>
              <w:spacing w:after="0"/>
              <w:rPr>
                <w:sz w:val="14"/>
                <w:szCs w:val="14"/>
                <w:color w:val="auto"/>
              </w:rPr>
            </w:pPr>
          </w:p>
        </w:tc>
        <w:tc>
          <w:tcPr>
            <w:tcW w:w="96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4,881</w:t>
            </w:r>
          </w:p>
        </w:tc>
        <w:tc>
          <w:tcPr>
            <w:tcW w:w="80" w:type="dxa"/>
            <w:vAlign w:val="bottom"/>
          </w:tcPr>
          <w:p>
            <w:pPr>
              <w:spacing w:after="0"/>
              <w:rPr>
                <w:sz w:val="14"/>
                <w:szCs w:val="14"/>
                <w:color w:val="auto"/>
              </w:rPr>
            </w:pPr>
          </w:p>
        </w:tc>
        <w:tc>
          <w:tcPr>
            <w:tcW w:w="300" w:type="dxa"/>
            <w:vAlign w:val="bottom"/>
          </w:tcPr>
          <w:p>
            <w:pPr>
              <w:spacing w:after="0"/>
              <w:rPr>
                <w:sz w:val="14"/>
                <w:szCs w:val="14"/>
                <w:color w:val="auto"/>
              </w:rPr>
            </w:pPr>
          </w:p>
        </w:tc>
        <w:tc>
          <w:tcPr>
            <w:tcW w:w="96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(2,768)</w:t>
            </w:r>
          </w:p>
        </w:tc>
        <w:tc>
          <w:tcPr>
            <w:tcW w:w="0" w:type="dxa"/>
            <w:vAlign w:val="bottom"/>
          </w:tcPr>
          <w:p>
            <w:pPr>
              <w:spacing w:after="0"/>
              <w:rPr>
                <w:sz w:val="1"/>
                <w:szCs w:val="1"/>
                <w:color w:val="auto"/>
              </w:rPr>
            </w:pPr>
          </w:p>
        </w:tc>
      </w:tr>
      <w:tr>
        <w:trPr>
          <w:trHeight w:val="172"/>
        </w:trPr>
        <w:tc>
          <w:tcPr>
            <w:tcW w:w="7320" w:type="dxa"/>
            <w:vAlign w:val="bottom"/>
            <w:shd w:val="clear" w:color="auto" w:fill="CCEEFF"/>
          </w:tcPr>
          <w:p>
            <w:pPr>
              <w:ind w:left="360"/>
              <w:spacing w:after="0"/>
              <w:rPr>
                <w:sz w:val="20"/>
                <w:szCs w:val="20"/>
                <w:color w:val="auto"/>
              </w:rPr>
            </w:pPr>
            <w:r>
              <w:rPr>
                <w:rFonts w:ascii="Times New Roman" w:cs="Times New Roman" w:eastAsia="Times New Roman" w:hAnsi="Times New Roman"/>
                <w:sz w:val="13"/>
                <w:szCs w:val="13"/>
                <w:color w:val="auto"/>
              </w:rPr>
              <w:t>Acquisition expense</w:t>
            </w:r>
          </w:p>
        </w:tc>
        <w:tc>
          <w:tcPr>
            <w:tcW w:w="300" w:type="dxa"/>
            <w:vAlign w:val="bottom"/>
            <w:shd w:val="clear" w:color="auto" w:fill="CCEEFF"/>
          </w:tcPr>
          <w:p>
            <w:pPr>
              <w:spacing w:after="0"/>
              <w:rPr>
                <w:sz w:val="14"/>
                <w:szCs w:val="14"/>
                <w:color w:val="auto"/>
              </w:rPr>
            </w:pPr>
          </w:p>
        </w:tc>
        <w:tc>
          <w:tcPr>
            <w:tcW w:w="9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w:t>
            </w:r>
          </w:p>
        </w:tc>
        <w:tc>
          <w:tcPr>
            <w:tcW w:w="100" w:type="dxa"/>
            <w:vAlign w:val="bottom"/>
            <w:shd w:val="clear" w:color="auto" w:fill="CCEEFF"/>
          </w:tcPr>
          <w:p>
            <w:pPr>
              <w:spacing w:after="0"/>
              <w:rPr>
                <w:sz w:val="14"/>
                <w:szCs w:val="14"/>
                <w:color w:val="auto"/>
              </w:rPr>
            </w:pPr>
          </w:p>
        </w:tc>
        <w:tc>
          <w:tcPr>
            <w:tcW w:w="300" w:type="dxa"/>
            <w:vAlign w:val="bottom"/>
            <w:shd w:val="clear" w:color="auto" w:fill="CCEEFF"/>
          </w:tcPr>
          <w:p>
            <w:pPr>
              <w:spacing w:after="0"/>
              <w:rPr>
                <w:sz w:val="14"/>
                <w:szCs w:val="14"/>
                <w:color w:val="auto"/>
              </w:rPr>
            </w:pPr>
          </w:p>
        </w:tc>
        <w:tc>
          <w:tcPr>
            <w:tcW w:w="1040" w:type="dxa"/>
            <w:vAlign w:val="bottom"/>
            <w:gridSpan w:val="2"/>
            <w:shd w:val="clear" w:color="auto" w:fill="CCEEFF"/>
          </w:tcPr>
          <w:p>
            <w:pPr>
              <w:jc w:val="right"/>
              <w:ind w:right="140"/>
              <w:spacing w:after="0"/>
              <w:rPr>
                <w:sz w:val="20"/>
                <w:szCs w:val="20"/>
                <w:color w:val="auto"/>
              </w:rPr>
            </w:pPr>
            <w:r>
              <w:rPr>
                <w:rFonts w:ascii="Times New Roman" w:cs="Times New Roman" w:eastAsia="Times New Roman" w:hAnsi="Times New Roman"/>
                <w:sz w:val="13"/>
                <w:szCs w:val="13"/>
                <w:color w:val="auto"/>
              </w:rPr>
              <w:t>—</w:t>
            </w:r>
          </w:p>
        </w:tc>
        <w:tc>
          <w:tcPr>
            <w:tcW w:w="300" w:type="dxa"/>
            <w:vAlign w:val="bottom"/>
            <w:shd w:val="clear" w:color="auto" w:fill="CCEEFF"/>
          </w:tcPr>
          <w:p>
            <w:pPr>
              <w:spacing w:after="0"/>
              <w:rPr>
                <w:sz w:val="14"/>
                <w:szCs w:val="14"/>
                <w:color w:val="auto"/>
              </w:rPr>
            </w:pPr>
          </w:p>
        </w:tc>
        <w:tc>
          <w:tcPr>
            <w:tcW w:w="9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209</w:t>
            </w:r>
          </w:p>
        </w:tc>
        <w:tc>
          <w:tcPr>
            <w:tcW w:w="0" w:type="dxa"/>
            <w:vAlign w:val="bottom"/>
          </w:tcPr>
          <w:p>
            <w:pPr>
              <w:spacing w:after="0"/>
              <w:rPr>
                <w:sz w:val="1"/>
                <w:szCs w:val="1"/>
                <w:color w:val="auto"/>
              </w:rPr>
            </w:pPr>
          </w:p>
        </w:tc>
      </w:tr>
      <w:tr>
        <w:trPr>
          <w:trHeight w:val="158"/>
        </w:trPr>
        <w:tc>
          <w:tcPr>
            <w:tcW w:w="7320" w:type="dxa"/>
            <w:vAlign w:val="bottom"/>
            <w:tcBorders>
              <w:bottom w:val="single" w:sz="8" w:color="CCEEFF"/>
            </w:tcBorders>
          </w:tcPr>
          <w:p>
            <w:pPr>
              <w:ind w:left="620"/>
              <w:spacing w:after="0" w:line="146" w:lineRule="exact"/>
              <w:rPr>
                <w:sz w:val="20"/>
                <w:szCs w:val="20"/>
                <w:color w:val="auto"/>
              </w:rPr>
            </w:pPr>
            <w:r>
              <w:rPr>
                <w:rFonts w:ascii="Times New Roman" w:cs="Times New Roman" w:eastAsia="Times New Roman" w:hAnsi="Times New Roman"/>
                <w:sz w:val="13"/>
                <w:szCs w:val="13"/>
                <w:color w:val="auto"/>
              </w:rPr>
              <w:t>Total expenses</w:t>
            </w:r>
          </w:p>
        </w:tc>
        <w:tc>
          <w:tcPr>
            <w:tcW w:w="300" w:type="dxa"/>
            <w:vAlign w:val="bottom"/>
            <w:tcBorders>
              <w:top w:val="single" w:sz="8" w:color="auto"/>
              <w:bottom w:val="single" w:sz="8" w:color="auto"/>
            </w:tcBorders>
          </w:tcPr>
          <w:p>
            <w:pPr>
              <w:spacing w:after="0"/>
              <w:rPr>
                <w:sz w:val="13"/>
                <w:szCs w:val="13"/>
                <w:color w:val="auto"/>
              </w:rPr>
            </w:pPr>
          </w:p>
        </w:tc>
        <w:tc>
          <w:tcPr>
            <w:tcW w:w="94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3"/>
                <w:szCs w:val="13"/>
                <w:color w:val="auto"/>
              </w:rPr>
              <w:t>92,789</w:t>
            </w:r>
          </w:p>
        </w:tc>
        <w:tc>
          <w:tcPr>
            <w:tcW w:w="100" w:type="dxa"/>
            <w:vAlign w:val="bottom"/>
            <w:tcBorders>
              <w:bottom w:val="single" w:sz="8" w:color="CCEEFF"/>
            </w:tcBorders>
          </w:tcPr>
          <w:p>
            <w:pPr>
              <w:spacing w:after="0"/>
              <w:rPr>
                <w:sz w:val="13"/>
                <w:szCs w:val="13"/>
                <w:color w:val="auto"/>
              </w:rPr>
            </w:pPr>
          </w:p>
        </w:tc>
        <w:tc>
          <w:tcPr>
            <w:tcW w:w="300" w:type="dxa"/>
            <w:vAlign w:val="bottom"/>
            <w:tcBorders>
              <w:top w:val="single" w:sz="8" w:color="auto"/>
              <w:bottom w:val="single" w:sz="8" w:color="auto"/>
            </w:tcBorders>
          </w:tcPr>
          <w:p>
            <w:pPr>
              <w:spacing w:after="0"/>
              <w:rPr>
                <w:sz w:val="13"/>
                <w:szCs w:val="13"/>
                <w:color w:val="auto"/>
              </w:rPr>
            </w:pPr>
          </w:p>
        </w:tc>
        <w:tc>
          <w:tcPr>
            <w:tcW w:w="96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3"/>
                <w:szCs w:val="13"/>
                <w:color w:val="auto"/>
              </w:rPr>
              <w:t>93,891</w:t>
            </w:r>
          </w:p>
        </w:tc>
        <w:tc>
          <w:tcPr>
            <w:tcW w:w="80" w:type="dxa"/>
            <w:vAlign w:val="bottom"/>
            <w:tcBorders>
              <w:bottom w:val="single" w:sz="8" w:color="CCEEFF"/>
            </w:tcBorders>
          </w:tcPr>
          <w:p>
            <w:pPr>
              <w:spacing w:after="0"/>
              <w:rPr>
                <w:sz w:val="13"/>
                <w:szCs w:val="13"/>
                <w:color w:val="auto"/>
              </w:rPr>
            </w:pPr>
          </w:p>
        </w:tc>
        <w:tc>
          <w:tcPr>
            <w:tcW w:w="300" w:type="dxa"/>
            <w:vAlign w:val="bottom"/>
            <w:tcBorders>
              <w:top w:val="single" w:sz="8" w:color="auto"/>
              <w:bottom w:val="single" w:sz="8" w:color="auto"/>
            </w:tcBorders>
          </w:tcPr>
          <w:p>
            <w:pPr>
              <w:spacing w:after="0"/>
              <w:rPr>
                <w:sz w:val="13"/>
                <w:szCs w:val="13"/>
                <w:color w:val="auto"/>
              </w:rPr>
            </w:pPr>
          </w:p>
        </w:tc>
        <w:tc>
          <w:tcPr>
            <w:tcW w:w="96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3"/>
                <w:szCs w:val="13"/>
                <w:color w:val="auto"/>
              </w:rPr>
              <w:t>83,776</w:t>
            </w:r>
          </w:p>
        </w:tc>
        <w:tc>
          <w:tcPr>
            <w:tcW w:w="0" w:type="dxa"/>
            <w:vAlign w:val="bottom"/>
          </w:tcPr>
          <w:p>
            <w:pPr>
              <w:spacing w:after="0"/>
              <w:rPr>
                <w:sz w:val="1"/>
                <w:szCs w:val="1"/>
                <w:color w:val="auto"/>
              </w:rPr>
            </w:pPr>
          </w:p>
        </w:tc>
      </w:tr>
      <w:tr>
        <w:trPr>
          <w:trHeight w:val="163"/>
        </w:trPr>
        <w:tc>
          <w:tcPr>
            <w:tcW w:w="732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3"/>
                <w:szCs w:val="13"/>
                <w:b w:val="1"/>
                <w:bCs w:val="1"/>
                <w:color w:val="auto"/>
              </w:rPr>
              <w:t>Net operating income</w:t>
            </w:r>
          </w:p>
        </w:tc>
        <w:tc>
          <w:tcPr>
            <w:tcW w:w="300" w:type="dxa"/>
            <w:vAlign w:val="bottom"/>
            <w:tcBorders>
              <w:bottom w:val="single" w:sz="8" w:color="auto"/>
            </w:tcBorders>
            <w:shd w:val="clear" w:color="auto" w:fill="CCEEFF"/>
          </w:tcPr>
          <w:p>
            <w:pPr>
              <w:spacing w:after="0"/>
              <w:rPr>
                <w:sz w:val="14"/>
                <w:szCs w:val="14"/>
                <w:color w:val="auto"/>
              </w:rPr>
            </w:pPr>
          </w:p>
        </w:tc>
        <w:tc>
          <w:tcPr>
            <w:tcW w:w="9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4,973</w:t>
            </w:r>
          </w:p>
        </w:tc>
        <w:tc>
          <w:tcPr>
            <w:tcW w:w="100" w:type="dxa"/>
            <w:vAlign w:val="bottom"/>
            <w:shd w:val="clear" w:color="auto" w:fill="CCEEFF"/>
          </w:tcPr>
          <w:p>
            <w:pPr>
              <w:spacing w:after="0"/>
              <w:rPr>
                <w:sz w:val="14"/>
                <w:szCs w:val="14"/>
                <w:color w:val="auto"/>
              </w:rPr>
            </w:pPr>
          </w:p>
        </w:tc>
        <w:tc>
          <w:tcPr>
            <w:tcW w:w="300" w:type="dxa"/>
            <w:vAlign w:val="bottom"/>
            <w:tcBorders>
              <w:bottom w:val="single" w:sz="8" w:color="auto"/>
            </w:tcBorders>
            <w:shd w:val="clear" w:color="auto" w:fill="CCEEFF"/>
          </w:tcPr>
          <w:p>
            <w:pPr>
              <w:spacing w:after="0"/>
              <w:rPr>
                <w:sz w:val="14"/>
                <w:szCs w:val="14"/>
                <w:color w:val="auto"/>
              </w:rPr>
            </w:pPr>
          </w:p>
        </w:tc>
        <w:tc>
          <w:tcPr>
            <w:tcW w:w="9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830</w:t>
            </w:r>
          </w:p>
        </w:tc>
        <w:tc>
          <w:tcPr>
            <w:tcW w:w="80" w:type="dxa"/>
            <w:vAlign w:val="bottom"/>
            <w:shd w:val="clear" w:color="auto" w:fill="CCEEFF"/>
          </w:tcPr>
          <w:p>
            <w:pPr>
              <w:spacing w:after="0"/>
              <w:rPr>
                <w:sz w:val="14"/>
                <w:szCs w:val="14"/>
                <w:color w:val="auto"/>
              </w:rPr>
            </w:pPr>
          </w:p>
        </w:tc>
        <w:tc>
          <w:tcPr>
            <w:tcW w:w="300" w:type="dxa"/>
            <w:vAlign w:val="bottom"/>
            <w:tcBorders>
              <w:bottom w:val="single" w:sz="8" w:color="auto"/>
            </w:tcBorders>
            <w:shd w:val="clear" w:color="auto" w:fill="CCEEFF"/>
          </w:tcPr>
          <w:p>
            <w:pPr>
              <w:spacing w:after="0"/>
              <w:rPr>
                <w:sz w:val="14"/>
                <w:szCs w:val="14"/>
                <w:color w:val="auto"/>
              </w:rPr>
            </w:pPr>
          </w:p>
        </w:tc>
        <w:tc>
          <w:tcPr>
            <w:tcW w:w="9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6,005</w:t>
            </w:r>
          </w:p>
        </w:tc>
        <w:tc>
          <w:tcPr>
            <w:tcW w:w="0" w:type="dxa"/>
            <w:vAlign w:val="bottom"/>
          </w:tcPr>
          <w:p>
            <w:pPr>
              <w:spacing w:after="0"/>
              <w:rPr>
                <w:sz w:val="1"/>
                <w:szCs w:val="1"/>
                <w:color w:val="auto"/>
              </w:rPr>
            </w:pPr>
          </w:p>
        </w:tc>
      </w:tr>
      <w:tr>
        <w:trPr>
          <w:trHeight w:val="158"/>
        </w:trPr>
        <w:tc>
          <w:tcPr>
            <w:tcW w:w="7320" w:type="dxa"/>
            <w:vAlign w:val="bottom"/>
          </w:tcPr>
          <w:p>
            <w:pPr>
              <w:ind w:left="360"/>
              <w:spacing w:after="0" w:line="146" w:lineRule="exact"/>
              <w:rPr>
                <w:sz w:val="20"/>
                <w:szCs w:val="20"/>
                <w:color w:val="auto"/>
              </w:rPr>
            </w:pPr>
            <w:r>
              <w:rPr>
                <w:rFonts w:ascii="Times New Roman" w:cs="Times New Roman" w:eastAsia="Times New Roman" w:hAnsi="Times New Roman"/>
                <w:sz w:val="13"/>
                <w:szCs w:val="13"/>
                <w:color w:val="auto"/>
              </w:rPr>
              <w:t>Net change in unrealized appreciation on private investments</w:t>
            </w:r>
          </w:p>
        </w:tc>
        <w:tc>
          <w:tcPr>
            <w:tcW w:w="300" w:type="dxa"/>
            <w:vAlign w:val="bottom"/>
          </w:tcPr>
          <w:p>
            <w:pPr>
              <w:spacing w:after="0"/>
              <w:rPr>
                <w:sz w:val="13"/>
                <w:szCs w:val="13"/>
                <w:color w:val="auto"/>
              </w:rPr>
            </w:pPr>
          </w:p>
        </w:tc>
        <w:tc>
          <w:tcPr>
            <w:tcW w:w="94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1,932</w:t>
            </w:r>
          </w:p>
        </w:tc>
        <w:tc>
          <w:tcPr>
            <w:tcW w:w="100" w:type="dxa"/>
            <w:vAlign w:val="bottom"/>
          </w:tcPr>
          <w:p>
            <w:pPr>
              <w:spacing w:after="0"/>
              <w:rPr>
                <w:sz w:val="13"/>
                <w:szCs w:val="13"/>
                <w:color w:val="auto"/>
              </w:rPr>
            </w:pPr>
          </w:p>
        </w:tc>
        <w:tc>
          <w:tcPr>
            <w:tcW w:w="300" w:type="dxa"/>
            <w:vAlign w:val="bottom"/>
          </w:tcPr>
          <w:p>
            <w:pPr>
              <w:spacing w:after="0"/>
              <w:rPr>
                <w:sz w:val="13"/>
                <w:szCs w:val="13"/>
                <w:color w:val="auto"/>
              </w:rPr>
            </w:pPr>
          </w:p>
        </w:tc>
        <w:tc>
          <w:tcPr>
            <w:tcW w:w="96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w:t>
            </w:r>
          </w:p>
        </w:tc>
        <w:tc>
          <w:tcPr>
            <w:tcW w:w="80" w:type="dxa"/>
            <w:vAlign w:val="bottom"/>
          </w:tcPr>
          <w:p>
            <w:pPr>
              <w:spacing w:after="0"/>
              <w:rPr>
                <w:sz w:val="13"/>
                <w:szCs w:val="13"/>
                <w:color w:val="auto"/>
              </w:rPr>
            </w:pPr>
          </w:p>
        </w:tc>
        <w:tc>
          <w:tcPr>
            <w:tcW w:w="300" w:type="dxa"/>
            <w:vAlign w:val="bottom"/>
          </w:tcPr>
          <w:p>
            <w:pPr>
              <w:spacing w:after="0"/>
              <w:rPr>
                <w:sz w:val="13"/>
                <w:szCs w:val="13"/>
                <w:color w:val="auto"/>
              </w:rPr>
            </w:pPr>
          </w:p>
        </w:tc>
        <w:tc>
          <w:tcPr>
            <w:tcW w:w="96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6</w:t>
            </w:r>
          </w:p>
        </w:tc>
        <w:tc>
          <w:tcPr>
            <w:tcW w:w="0" w:type="dxa"/>
            <w:vAlign w:val="bottom"/>
          </w:tcPr>
          <w:p>
            <w:pPr>
              <w:spacing w:after="0"/>
              <w:rPr>
                <w:sz w:val="1"/>
                <w:szCs w:val="1"/>
                <w:color w:val="auto"/>
              </w:rPr>
            </w:pPr>
          </w:p>
        </w:tc>
      </w:tr>
      <w:tr>
        <w:trPr>
          <w:trHeight w:val="172"/>
        </w:trPr>
        <w:tc>
          <w:tcPr>
            <w:tcW w:w="7320" w:type="dxa"/>
            <w:vAlign w:val="bottom"/>
            <w:shd w:val="clear" w:color="auto" w:fill="CCEEFF"/>
          </w:tcPr>
          <w:p>
            <w:pPr>
              <w:ind w:left="360"/>
              <w:spacing w:after="0"/>
              <w:rPr>
                <w:sz w:val="20"/>
                <w:szCs w:val="20"/>
                <w:color w:val="auto"/>
              </w:rPr>
            </w:pPr>
            <w:r>
              <w:rPr>
                <w:rFonts w:ascii="Times New Roman" w:cs="Times New Roman" w:eastAsia="Times New Roman" w:hAnsi="Times New Roman"/>
                <w:sz w:val="13"/>
                <w:szCs w:val="13"/>
                <w:color w:val="auto"/>
              </w:rPr>
              <w:t>Net investment income</w:t>
            </w:r>
          </w:p>
        </w:tc>
        <w:tc>
          <w:tcPr>
            <w:tcW w:w="300" w:type="dxa"/>
            <w:vAlign w:val="bottom"/>
            <w:shd w:val="clear" w:color="auto" w:fill="CCEEFF"/>
          </w:tcPr>
          <w:p>
            <w:pPr>
              <w:spacing w:after="0"/>
              <w:rPr>
                <w:sz w:val="14"/>
                <w:szCs w:val="14"/>
                <w:color w:val="auto"/>
              </w:rPr>
            </w:pPr>
          </w:p>
        </w:tc>
        <w:tc>
          <w:tcPr>
            <w:tcW w:w="9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1,655</w:t>
            </w:r>
          </w:p>
        </w:tc>
        <w:tc>
          <w:tcPr>
            <w:tcW w:w="100" w:type="dxa"/>
            <w:vAlign w:val="bottom"/>
            <w:shd w:val="clear" w:color="auto" w:fill="CCEEFF"/>
          </w:tcPr>
          <w:p>
            <w:pPr>
              <w:spacing w:after="0"/>
              <w:rPr>
                <w:sz w:val="14"/>
                <w:szCs w:val="14"/>
                <w:color w:val="auto"/>
              </w:rPr>
            </w:pPr>
          </w:p>
        </w:tc>
        <w:tc>
          <w:tcPr>
            <w:tcW w:w="300" w:type="dxa"/>
            <w:vAlign w:val="bottom"/>
            <w:shd w:val="clear" w:color="auto" w:fill="CCEEFF"/>
          </w:tcPr>
          <w:p>
            <w:pPr>
              <w:spacing w:after="0"/>
              <w:rPr>
                <w:sz w:val="14"/>
                <w:szCs w:val="14"/>
                <w:color w:val="auto"/>
              </w:rPr>
            </w:pPr>
          </w:p>
        </w:tc>
        <w:tc>
          <w:tcPr>
            <w:tcW w:w="9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2,183</w:t>
            </w:r>
          </w:p>
        </w:tc>
        <w:tc>
          <w:tcPr>
            <w:tcW w:w="80" w:type="dxa"/>
            <w:vAlign w:val="bottom"/>
            <w:shd w:val="clear" w:color="auto" w:fill="CCEEFF"/>
          </w:tcPr>
          <w:p>
            <w:pPr>
              <w:spacing w:after="0"/>
              <w:rPr>
                <w:sz w:val="14"/>
                <w:szCs w:val="14"/>
                <w:color w:val="auto"/>
              </w:rPr>
            </w:pPr>
          </w:p>
        </w:tc>
        <w:tc>
          <w:tcPr>
            <w:tcW w:w="300" w:type="dxa"/>
            <w:vAlign w:val="bottom"/>
            <w:shd w:val="clear" w:color="auto" w:fill="CCEEFF"/>
          </w:tcPr>
          <w:p>
            <w:pPr>
              <w:spacing w:after="0"/>
              <w:rPr>
                <w:sz w:val="14"/>
                <w:szCs w:val="14"/>
                <w:color w:val="auto"/>
              </w:rPr>
            </w:pPr>
          </w:p>
        </w:tc>
        <w:tc>
          <w:tcPr>
            <w:tcW w:w="9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1,191</w:t>
            </w:r>
          </w:p>
        </w:tc>
        <w:tc>
          <w:tcPr>
            <w:tcW w:w="0" w:type="dxa"/>
            <w:vAlign w:val="bottom"/>
          </w:tcPr>
          <w:p>
            <w:pPr>
              <w:spacing w:after="0"/>
              <w:rPr>
                <w:sz w:val="1"/>
                <w:szCs w:val="1"/>
                <w:color w:val="auto"/>
              </w:rPr>
            </w:pPr>
          </w:p>
        </w:tc>
      </w:tr>
      <w:tr>
        <w:trPr>
          <w:trHeight w:val="168"/>
        </w:trPr>
        <w:tc>
          <w:tcPr>
            <w:tcW w:w="7320" w:type="dxa"/>
            <w:vAlign w:val="bottom"/>
            <w:tcBorders>
              <w:bottom w:val="single" w:sz="8" w:color="CCEEFF"/>
            </w:tcBorders>
          </w:tcPr>
          <w:p>
            <w:pPr>
              <w:ind w:left="360"/>
              <w:spacing w:after="0"/>
              <w:rPr>
                <w:sz w:val="20"/>
                <w:szCs w:val="20"/>
                <w:color w:val="auto"/>
              </w:rPr>
            </w:pPr>
            <w:r>
              <w:rPr>
                <w:rFonts w:ascii="Times New Roman" w:cs="Times New Roman" w:eastAsia="Times New Roman" w:hAnsi="Times New Roman"/>
                <w:sz w:val="13"/>
                <w:szCs w:val="13"/>
                <w:color w:val="auto"/>
              </w:rPr>
              <w:t>Other income</w:t>
            </w:r>
          </w:p>
        </w:tc>
        <w:tc>
          <w:tcPr>
            <w:tcW w:w="300" w:type="dxa"/>
            <w:vAlign w:val="bottom"/>
            <w:tcBorders>
              <w:bottom w:val="single" w:sz="8" w:color="auto"/>
            </w:tcBorders>
          </w:tcPr>
          <w:p>
            <w:pPr>
              <w:spacing w:after="0"/>
              <w:rPr>
                <w:sz w:val="14"/>
                <w:szCs w:val="14"/>
                <w:color w:val="auto"/>
              </w:rPr>
            </w:pPr>
          </w:p>
        </w:tc>
        <w:tc>
          <w:tcPr>
            <w:tcW w:w="9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3"/>
                <w:szCs w:val="13"/>
                <w:color w:val="auto"/>
              </w:rPr>
              <w:t>1,117</w:t>
            </w:r>
          </w:p>
        </w:tc>
        <w:tc>
          <w:tcPr>
            <w:tcW w:w="100" w:type="dxa"/>
            <w:vAlign w:val="bottom"/>
            <w:tcBorders>
              <w:bottom w:val="single" w:sz="8" w:color="CCEEFF"/>
            </w:tcBorders>
          </w:tcPr>
          <w:p>
            <w:pPr>
              <w:spacing w:after="0"/>
              <w:rPr>
                <w:sz w:val="14"/>
                <w:szCs w:val="14"/>
                <w:color w:val="auto"/>
              </w:rPr>
            </w:pPr>
          </w:p>
        </w:tc>
        <w:tc>
          <w:tcPr>
            <w:tcW w:w="300" w:type="dxa"/>
            <w:vAlign w:val="bottom"/>
            <w:tcBorders>
              <w:bottom w:val="single" w:sz="8" w:color="auto"/>
            </w:tcBorders>
          </w:tcPr>
          <w:p>
            <w:pPr>
              <w:spacing w:after="0"/>
              <w:rPr>
                <w:sz w:val="14"/>
                <w:szCs w:val="14"/>
                <w:color w:val="auto"/>
              </w:rPr>
            </w:pPr>
          </w:p>
        </w:tc>
        <w:tc>
          <w:tcPr>
            <w:tcW w:w="9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3"/>
                <w:szCs w:val="13"/>
                <w:color w:val="auto"/>
              </w:rPr>
              <w:t>1,002</w:t>
            </w:r>
          </w:p>
        </w:tc>
        <w:tc>
          <w:tcPr>
            <w:tcW w:w="80" w:type="dxa"/>
            <w:vAlign w:val="bottom"/>
            <w:tcBorders>
              <w:bottom w:val="single" w:sz="8" w:color="CCEEFF"/>
            </w:tcBorders>
          </w:tcPr>
          <w:p>
            <w:pPr>
              <w:spacing w:after="0"/>
              <w:rPr>
                <w:sz w:val="14"/>
                <w:szCs w:val="14"/>
                <w:color w:val="auto"/>
              </w:rPr>
            </w:pPr>
          </w:p>
        </w:tc>
        <w:tc>
          <w:tcPr>
            <w:tcW w:w="300" w:type="dxa"/>
            <w:vAlign w:val="bottom"/>
            <w:tcBorders>
              <w:bottom w:val="single" w:sz="8" w:color="auto"/>
            </w:tcBorders>
          </w:tcPr>
          <w:p>
            <w:pPr>
              <w:spacing w:after="0"/>
              <w:rPr>
                <w:sz w:val="14"/>
                <w:szCs w:val="14"/>
                <w:color w:val="auto"/>
              </w:rPr>
            </w:pPr>
          </w:p>
        </w:tc>
        <w:tc>
          <w:tcPr>
            <w:tcW w:w="9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3"/>
                <w:szCs w:val="13"/>
                <w:color w:val="auto"/>
              </w:rPr>
              <w:t>6,241</w:t>
            </w:r>
          </w:p>
        </w:tc>
        <w:tc>
          <w:tcPr>
            <w:tcW w:w="0" w:type="dxa"/>
            <w:vAlign w:val="bottom"/>
          </w:tcPr>
          <w:p>
            <w:pPr>
              <w:spacing w:after="0"/>
              <w:rPr>
                <w:sz w:val="1"/>
                <w:szCs w:val="1"/>
                <w:color w:val="auto"/>
              </w:rPr>
            </w:pPr>
          </w:p>
        </w:tc>
      </w:tr>
      <w:tr>
        <w:trPr>
          <w:trHeight w:val="163"/>
        </w:trPr>
        <w:tc>
          <w:tcPr>
            <w:tcW w:w="732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3"/>
                <w:szCs w:val="13"/>
                <w:b w:val="1"/>
                <w:bCs w:val="1"/>
                <w:color w:val="auto"/>
              </w:rPr>
              <w:t>Income before income taxes</w:t>
            </w:r>
          </w:p>
        </w:tc>
        <w:tc>
          <w:tcPr>
            <w:tcW w:w="300" w:type="dxa"/>
            <w:vAlign w:val="bottom"/>
            <w:shd w:val="clear" w:color="auto" w:fill="CCEEFF"/>
          </w:tcPr>
          <w:p>
            <w:pPr>
              <w:spacing w:after="0"/>
              <w:rPr>
                <w:sz w:val="14"/>
                <w:szCs w:val="14"/>
                <w:color w:val="auto"/>
              </w:rPr>
            </w:pPr>
          </w:p>
        </w:tc>
        <w:tc>
          <w:tcPr>
            <w:tcW w:w="9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9,677</w:t>
            </w:r>
          </w:p>
        </w:tc>
        <w:tc>
          <w:tcPr>
            <w:tcW w:w="100" w:type="dxa"/>
            <w:vAlign w:val="bottom"/>
            <w:shd w:val="clear" w:color="auto" w:fill="CCEEFF"/>
          </w:tcPr>
          <w:p>
            <w:pPr>
              <w:spacing w:after="0"/>
              <w:rPr>
                <w:sz w:val="14"/>
                <w:szCs w:val="14"/>
                <w:color w:val="auto"/>
              </w:rPr>
            </w:pPr>
          </w:p>
        </w:tc>
        <w:tc>
          <w:tcPr>
            <w:tcW w:w="300" w:type="dxa"/>
            <w:vAlign w:val="bottom"/>
            <w:shd w:val="clear" w:color="auto" w:fill="CCEEFF"/>
          </w:tcPr>
          <w:p>
            <w:pPr>
              <w:spacing w:after="0"/>
              <w:rPr>
                <w:sz w:val="14"/>
                <w:szCs w:val="14"/>
                <w:color w:val="auto"/>
              </w:rPr>
            </w:pPr>
          </w:p>
        </w:tc>
        <w:tc>
          <w:tcPr>
            <w:tcW w:w="9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4,015</w:t>
            </w:r>
          </w:p>
        </w:tc>
        <w:tc>
          <w:tcPr>
            <w:tcW w:w="80" w:type="dxa"/>
            <w:vAlign w:val="bottom"/>
            <w:shd w:val="clear" w:color="auto" w:fill="CCEEFF"/>
          </w:tcPr>
          <w:p>
            <w:pPr>
              <w:spacing w:after="0"/>
              <w:rPr>
                <w:sz w:val="14"/>
                <w:szCs w:val="14"/>
                <w:color w:val="auto"/>
              </w:rPr>
            </w:pPr>
          </w:p>
        </w:tc>
        <w:tc>
          <w:tcPr>
            <w:tcW w:w="300" w:type="dxa"/>
            <w:vAlign w:val="bottom"/>
            <w:shd w:val="clear" w:color="auto" w:fill="CCEEFF"/>
          </w:tcPr>
          <w:p>
            <w:pPr>
              <w:spacing w:after="0"/>
              <w:rPr>
                <w:sz w:val="14"/>
                <w:szCs w:val="14"/>
                <w:color w:val="auto"/>
              </w:rPr>
            </w:pPr>
          </w:p>
        </w:tc>
        <w:tc>
          <w:tcPr>
            <w:tcW w:w="9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13,443</w:t>
            </w:r>
          </w:p>
        </w:tc>
        <w:tc>
          <w:tcPr>
            <w:tcW w:w="0" w:type="dxa"/>
            <w:vAlign w:val="bottom"/>
          </w:tcPr>
          <w:p>
            <w:pPr>
              <w:spacing w:after="0"/>
              <w:rPr>
                <w:sz w:val="1"/>
                <w:szCs w:val="1"/>
                <w:color w:val="auto"/>
              </w:rPr>
            </w:pPr>
          </w:p>
        </w:tc>
      </w:tr>
      <w:tr>
        <w:trPr>
          <w:trHeight w:val="168"/>
        </w:trPr>
        <w:tc>
          <w:tcPr>
            <w:tcW w:w="7320" w:type="dxa"/>
            <w:vAlign w:val="bottom"/>
            <w:tcBorders>
              <w:bottom w:val="single" w:sz="8" w:color="CCEEFF"/>
            </w:tcBorders>
          </w:tcPr>
          <w:p>
            <w:pPr>
              <w:ind w:left="360"/>
              <w:spacing w:after="0"/>
              <w:rPr>
                <w:sz w:val="20"/>
                <w:szCs w:val="20"/>
                <w:color w:val="auto"/>
              </w:rPr>
            </w:pPr>
            <w:r>
              <w:rPr>
                <w:rFonts w:ascii="Times New Roman" w:cs="Times New Roman" w:eastAsia="Times New Roman" w:hAnsi="Times New Roman"/>
                <w:sz w:val="13"/>
                <w:szCs w:val="13"/>
                <w:color w:val="auto"/>
              </w:rPr>
              <w:t>Provision for income taxes</w:t>
            </w:r>
          </w:p>
        </w:tc>
        <w:tc>
          <w:tcPr>
            <w:tcW w:w="300" w:type="dxa"/>
            <w:vAlign w:val="bottom"/>
            <w:tcBorders>
              <w:bottom w:val="single" w:sz="8" w:color="auto"/>
            </w:tcBorders>
          </w:tcPr>
          <w:p>
            <w:pPr>
              <w:spacing w:after="0"/>
              <w:rPr>
                <w:sz w:val="14"/>
                <w:szCs w:val="14"/>
                <w:color w:val="auto"/>
              </w:rPr>
            </w:pPr>
          </w:p>
        </w:tc>
        <w:tc>
          <w:tcPr>
            <w:tcW w:w="9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3"/>
                <w:szCs w:val="13"/>
                <w:color w:val="auto"/>
              </w:rPr>
              <w:t>2,600</w:t>
            </w:r>
          </w:p>
        </w:tc>
        <w:tc>
          <w:tcPr>
            <w:tcW w:w="100" w:type="dxa"/>
            <w:vAlign w:val="bottom"/>
            <w:tcBorders>
              <w:bottom w:val="single" w:sz="8" w:color="CCEEFF"/>
            </w:tcBorders>
          </w:tcPr>
          <w:p>
            <w:pPr>
              <w:spacing w:after="0"/>
              <w:rPr>
                <w:sz w:val="14"/>
                <w:szCs w:val="14"/>
                <w:color w:val="auto"/>
              </w:rPr>
            </w:pPr>
          </w:p>
        </w:tc>
        <w:tc>
          <w:tcPr>
            <w:tcW w:w="300" w:type="dxa"/>
            <w:vAlign w:val="bottom"/>
            <w:tcBorders>
              <w:bottom w:val="single" w:sz="8" w:color="auto"/>
            </w:tcBorders>
          </w:tcPr>
          <w:p>
            <w:pPr>
              <w:spacing w:after="0"/>
              <w:rPr>
                <w:sz w:val="14"/>
                <w:szCs w:val="14"/>
                <w:color w:val="auto"/>
              </w:rPr>
            </w:pPr>
          </w:p>
        </w:tc>
        <w:tc>
          <w:tcPr>
            <w:tcW w:w="9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3"/>
                <w:szCs w:val="13"/>
                <w:color w:val="auto"/>
              </w:rPr>
              <w:t>1,804</w:t>
            </w:r>
          </w:p>
        </w:tc>
        <w:tc>
          <w:tcPr>
            <w:tcW w:w="80" w:type="dxa"/>
            <w:vAlign w:val="bottom"/>
            <w:tcBorders>
              <w:bottom w:val="single" w:sz="8" w:color="CCEEFF"/>
            </w:tcBorders>
          </w:tcPr>
          <w:p>
            <w:pPr>
              <w:spacing w:after="0"/>
              <w:rPr>
                <w:sz w:val="14"/>
                <w:szCs w:val="14"/>
                <w:color w:val="auto"/>
              </w:rPr>
            </w:pPr>
          </w:p>
        </w:tc>
        <w:tc>
          <w:tcPr>
            <w:tcW w:w="300" w:type="dxa"/>
            <w:vAlign w:val="bottom"/>
            <w:tcBorders>
              <w:bottom w:val="single" w:sz="8" w:color="auto"/>
            </w:tcBorders>
          </w:tcPr>
          <w:p>
            <w:pPr>
              <w:spacing w:after="0"/>
              <w:rPr>
                <w:sz w:val="14"/>
                <w:szCs w:val="14"/>
                <w:color w:val="auto"/>
              </w:rPr>
            </w:pPr>
          </w:p>
        </w:tc>
        <w:tc>
          <w:tcPr>
            <w:tcW w:w="9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3"/>
                <w:szCs w:val="13"/>
                <w:color w:val="auto"/>
              </w:rPr>
              <w:t>2,872</w:t>
            </w:r>
          </w:p>
        </w:tc>
        <w:tc>
          <w:tcPr>
            <w:tcW w:w="0" w:type="dxa"/>
            <w:vAlign w:val="bottom"/>
          </w:tcPr>
          <w:p>
            <w:pPr>
              <w:spacing w:after="0"/>
              <w:rPr>
                <w:sz w:val="1"/>
                <w:szCs w:val="1"/>
                <w:color w:val="auto"/>
              </w:rPr>
            </w:pPr>
          </w:p>
        </w:tc>
      </w:tr>
      <w:tr>
        <w:trPr>
          <w:trHeight w:val="166"/>
        </w:trPr>
        <w:tc>
          <w:tcPr>
            <w:tcW w:w="7320" w:type="dxa"/>
            <w:vAlign w:val="bottom"/>
            <w:tcBorders>
              <w:bottom w:val="single" w:sz="8" w:color="CCEEFF"/>
            </w:tcBorders>
            <w:shd w:val="clear" w:color="auto" w:fill="CCEEFF"/>
          </w:tcPr>
          <w:p>
            <w:pPr>
              <w:ind w:left="20"/>
              <w:spacing w:after="0" w:line="141" w:lineRule="exact"/>
              <w:rPr>
                <w:sz w:val="20"/>
                <w:szCs w:val="20"/>
                <w:color w:val="auto"/>
              </w:rPr>
            </w:pPr>
            <w:r>
              <w:rPr>
                <w:rFonts w:ascii="Times New Roman" w:cs="Times New Roman" w:eastAsia="Times New Roman" w:hAnsi="Times New Roman"/>
                <w:sz w:val="13"/>
                <w:szCs w:val="13"/>
                <w:b w:val="1"/>
                <w:bCs w:val="1"/>
                <w:color w:val="auto"/>
              </w:rPr>
              <w:t>Net income</w:t>
            </w:r>
          </w:p>
        </w:tc>
        <w:tc>
          <w:tcPr>
            <w:tcW w:w="300" w:type="dxa"/>
            <w:vAlign w:val="bottom"/>
            <w:tcBorders>
              <w:bottom w:val="single" w:sz="8" w:color="auto"/>
            </w:tcBorders>
            <w:shd w:val="clear" w:color="auto" w:fill="CCEEFF"/>
          </w:tcPr>
          <w:p>
            <w:pPr>
              <w:jc w:val="right"/>
              <w:ind w:right="156"/>
              <w:spacing w:after="0" w:line="141" w:lineRule="exact"/>
              <w:rPr>
                <w:sz w:val="20"/>
                <w:szCs w:val="20"/>
                <w:color w:val="auto"/>
              </w:rPr>
            </w:pPr>
            <w:r>
              <w:rPr>
                <w:rFonts w:ascii="Times New Roman" w:cs="Times New Roman" w:eastAsia="Times New Roman" w:hAnsi="Times New Roman"/>
                <w:sz w:val="13"/>
                <w:szCs w:val="13"/>
                <w:color w:val="auto"/>
                <w:w w:val="91"/>
              </w:rPr>
              <w:t>$</w:t>
            </w:r>
          </w:p>
        </w:tc>
        <w:tc>
          <w:tcPr>
            <w:tcW w:w="940" w:type="dxa"/>
            <w:vAlign w:val="bottom"/>
            <w:tcBorders>
              <w:bottom w:val="single" w:sz="8" w:color="auto"/>
            </w:tcBorders>
            <w:shd w:val="clear" w:color="auto" w:fill="CCEEFF"/>
          </w:tcPr>
          <w:p>
            <w:pPr>
              <w:jc w:val="right"/>
              <w:spacing w:after="0" w:line="141" w:lineRule="exact"/>
              <w:rPr>
                <w:sz w:val="20"/>
                <w:szCs w:val="20"/>
                <w:color w:val="auto"/>
              </w:rPr>
            </w:pPr>
            <w:r>
              <w:rPr>
                <w:rFonts w:ascii="Times New Roman" w:cs="Times New Roman" w:eastAsia="Times New Roman" w:hAnsi="Times New Roman"/>
                <w:sz w:val="13"/>
                <w:szCs w:val="13"/>
                <w:color w:val="auto"/>
              </w:rPr>
              <w:t>7,077</w:t>
            </w:r>
          </w:p>
        </w:tc>
        <w:tc>
          <w:tcPr>
            <w:tcW w:w="100" w:type="dxa"/>
            <w:vAlign w:val="bottom"/>
            <w:tcBorders>
              <w:bottom w:val="single" w:sz="8" w:color="CCEEFF"/>
            </w:tcBorders>
            <w:shd w:val="clear" w:color="auto" w:fill="CCEEFF"/>
          </w:tcPr>
          <w:p>
            <w:pPr>
              <w:spacing w:after="0"/>
              <w:rPr>
                <w:sz w:val="14"/>
                <w:szCs w:val="14"/>
                <w:color w:val="auto"/>
              </w:rPr>
            </w:pPr>
          </w:p>
        </w:tc>
        <w:tc>
          <w:tcPr>
            <w:tcW w:w="300" w:type="dxa"/>
            <w:vAlign w:val="bottom"/>
            <w:tcBorders>
              <w:bottom w:val="single" w:sz="8" w:color="auto"/>
            </w:tcBorders>
            <w:shd w:val="clear" w:color="auto" w:fill="CCEEFF"/>
          </w:tcPr>
          <w:p>
            <w:pPr>
              <w:jc w:val="right"/>
              <w:ind w:right="156"/>
              <w:spacing w:after="0" w:line="141" w:lineRule="exact"/>
              <w:rPr>
                <w:sz w:val="20"/>
                <w:szCs w:val="20"/>
                <w:color w:val="auto"/>
              </w:rPr>
            </w:pPr>
            <w:r>
              <w:rPr>
                <w:rFonts w:ascii="Times New Roman" w:cs="Times New Roman" w:eastAsia="Times New Roman" w:hAnsi="Times New Roman"/>
                <w:sz w:val="13"/>
                <w:szCs w:val="13"/>
                <w:color w:val="auto"/>
                <w:w w:val="91"/>
              </w:rPr>
              <w:t>$</w:t>
            </w:r>
          </w:p>
        </w:tc>
        <w:tc>
          <w:tcPr>
            <w:tcW w:w="960" w:type="dxa"/>
            <w:vAlign w:val="bottom"/>
            <w:tcBorders>
              <w:bottom w:val="single" w:sz="8" w:color="auto"/>
            </w:tcBorders>
            <w:shd w:val="clear" w:color="auto" w:fill="CCEEFF"/>
          </w:tcPr>
          <w:p>
            <w:pPr>
              <w:jc w:val="right"/>
              <w:spacing w:after="0" w:line="141" w:lineRule="exact"/>
              <w:rPr>
                <w:sz w:val="20"/>
                <w:szCs w:val="20"/>
                <w:color w:val="auto"/>
              </w:rPr>
            </w:pPr>
            <w:r>
              <w:rPr>
                <w:rFonts w:ascii="Times New Roman" w:cs="Times New Roman" w:eastAsia="Times New Roman" w:hAnsi="Times New Roman"/>
                <w:sz w:val="13"/>
                <w:szCs w:val="13"/>
                <w:color w:val="auto"/>
              </w:rPr>
              <w:t>2,211</w:t>
            </w:r>
          </w:p>
        </w:tc>
        <w:tc>
          <w:tcPr>
            <w:tcW w:w="80" w:type="dxa"/>
            <w:vAlign w:val="bottom"/>
            <w:tcBorders>
              <w:bottom w:val="single" w:sz="8" w:color="CCEEFF"/>
            </w:tcBorders>
            <w:shd w:val="clear" w:color="auto" w:fill="CCEEFF"/>
          </w:tcPr>
          <w:p>
            <w:pPr>
              <w:spacing w:after="0"/>
              <w:rPr>
                <w:sz w:val="14"/>
                <w:szCs w:val="14"/>
                <w:color w:val="auto"/>
              </w:rPr>
            </w:pPr>
          </w:p>
        </w:tc>
        <w:tc>
          <w:tcPr>
            <w:tcW w:w="300" w:type="dxa"/>
            <w:vAlign w:val="bottom"/>
            <w:tcBorders>
              <w:bottom w:val="single" w:sz="8" w:color="auto"/>
            </w:tcBorders>
            <w:shd w:val="clear" w:color="auto" w:fill="CCEEFF"/>
          </w:tcPr>
          <w:p>
            <w:pPr>
              <w:jc w:val="right"/>
              <w:ind w:right="156"/>
              <w:spacing w:after="0" w:line="141" w:lineRule="exact"/>
              <w:rPr>
                <w:sz w:val="20"/>
                <w:szCs w:val="20"/>
                <w:color w:val="auto"/>
              </w:rPr>
            </w:pPr>
            <w:r>
              <w:rPr>
                <w:rFonts w:ascii="Times New Roman" w:cs="Times New Roman" w:eastAsia="Times New Roman" w:hAnsi="Times New Roman"/>
                <w:sz w:val="13"/>
                <w:szCs w:val="13"/>
                <w:color w:val="auto"/>
                <w:w w:val="91"/>
              </w:rPr>
              <w:t>$</w:t>
            </w:r>
          </w:p>
        </w:tc>
        <w:tc>
          <w:tcPr>
            <w:tcW w:w="960" w:type="dxa"/>
            <w:vAlign w:val="bottom"/>
            <w:tcBorders>
              <w:bottom w:val="single" w:sz="8" w:color="auto"/>
            </w:tcBorders>
            <w:shd w:val="clear" w:color="auto" w:fill="CCEEFF"/>
          </w:tcPr>
          <w:p>
            <w:pPr>
              <w:jc w:val="right"/>
              <w:spacing w:after="0" w:line="141" w:lineRule="exact"/>
              <w:rPr>
                <w:sz w:val="20"/>
                <w:szCs w:val="20"/>
                <w:color w:val="auto"/>
              </w:rPr>
            </w:pPr>
            <w:r>
              <w:rPr>
                <w:rFonts w:ascii="Times New Roman" w:cs="Times New Roman" w:eastAsia="Times New Roman" w:hAnsi="Times New Roman"/>
                <w:sz w:val="13"/>
                <w:szCs w:val="13"/>
                <w:color w:val="auto"/>
              </w:rPr>
              <w:t>10,571</w:t>
            </w:r>
          </w:p>
        </w:tc>
        <w:tc>
          <w:tcPr>
            <w:tcW w:w="0" w:type="dxa"/>
            <w:vAlign w:val="bottom"/>
          </w:tcPr>
          <w:p>
            <w:pPr>
              <w:spacing w:after="0"/>
              <w:rPr>
                <w:sz w:val="1"/>
                <w:szCs w:val="1"/>
                <w:color w:val="auto"/>
              </w:rPr>
            </w:pPr>
          </w:p>
        </w:tc>
      </w:tr>
      <w:tr>
        <w:trPr>
          <w:trHeight w:val="20"/>
        </w:trPr>
        <w:tc>
          <w:tcPr>
            <w:tcW w:w="7320" w:type="dxa"/>
            <w:vAlign w:val="bottom"/>
            <w:tcBorders>
              <w:top w:val="single" w:sz="8" w:color="CCEEFF"/>
              <w:bottom w:val="single" w:sz="8" w:color="CCEEFF"/>
            </w:tcBorders>
            <w:vMerge w:val="restart"/>
          </w:tcPr>
          <w:p>
            <w:pPr>
              <w:ind w:left="20"/>
              <w:spacing w:after="0"/>
              <w:rPr>
                <w:sz w:val="20"/>
                <w:szCs w:val="20"/>
                <w:color w:val="auto"/>
              </w:rPr>
            </w:pPr>
            <w:r>
              <w:rPr>
                <w:rFonts w:ascii="Times New Roman" w:cs="Times New Roman" w:eastAsia="Times New Roman" w:hAnsi="Times New Roman"/>
                <w:sz w:val="13"/>
                <w:szCs w:val="13"/>
                <w:color w:val="auto"/>
              </w:rPr>
              <w:t>Less: income (loss) attributable to noncontrolling interest</w:t>
            </w:r>
          </w:p>
        </w:tc>
        <w:tc>
          <w:tcPr>
            <w:tcW w:w="300" w:type="dxa"/>
            <w:vAlign w:val="bottom"/>
            <w:tcBorders>
              <w:top w:val="single" w:sz="8" w:color="CCEEFF"/>
              <w:bottom w:val="single" w:sz="8" w:color="auto"/>
            </w:tcBorders>
          </w:tcPr>
          <w:p>
            <w:pPr>
              <w:spacing w:after="0" w:line="20" w:lineRule="exact"/>
              <w:rPr>
                <w:sz w:val="1"/>
                <w:szCs w:val="1"/>
                <w:color w:val="auto"/>
              </w:rPr>
            </w:pPr>
          </w:p>
        </w:tc>
        <w:tc>
          <w:tcPr>
            <w:tcW w:w="94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300" w:type="dxa"/>
            <w:vAlign w:val="bottom"/>
            <w:tcBorders>
              <w:top w:val="single" w:sz="8" w:color="CCEEFF"/>
              <w:bottom w:val="single" w:sz="8" w:color="auto"/>
            </w:tcBorders>
          </w:tcPr>
          <w:p>
            <w:pPr>
              <w:spacing w:after="0" w:line="20" w:lineRule="exact"/>
              <w:rPr>
                <w:sz w:val="1"/>
                <w:szCs w:val="1"/>
                <w:color w:val="auto"/>
              </w:rPr>
            </w:pPr>
          </w:p>
        </w:tc>
        <w:tc>
          <w:tcPr>
            <w:tcW w:w="960" w:type="dxa"/>
            <w:vAlign w:val="bottom"/>
            <w:tcBorders>
              <w:top w:val="single" w:sz="8" w:color="CCEEFF"/>
              <w:bottom w:val="single" w:sz="8" w:color="auto"/>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300" w:type="dxa"/>
            <w:vAlign w:val="bottom"/>
            <w:tcBorders>
              <w:top w:val="single" w:sz="8" w:color="CCEEFF"/>
              <w:bottom w:val="single" w:sz="8" w:color="auto"/>
            </w:tcBorders>
          </w:tcPr>
          <w:p>
            <w:pPr>
              <w:spacing w:after="0" w:line="20" w:lineRule="exact"/>
              <w:rPr>
                <w:sz w:val="1"/>
                <w:szCs w:val="1"/>
                <w:color w:val="auto"/>
              </w:rPr>
            </w:pPr>
          </w:p>
        </w:tc>
        <w:tc>
          <w:tcPr>
            <w:tcW w:w="960" w:type="dxa"/>
            <w:vAlign w:val="bottom"/>
            <w:tcBorders>
              <w:top w:val="single" w:sz="8" w:color="CCEEFF"/>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30"/>
        </w:trPr>
        <w:tc>
          <w:tcPr>
            <w:tcW w:w="7320" w:type="dxa"/>
            <w:vAlign w:val="bottom"/>
            <w:tcBorders>
              <w:bottom w:val="single" w:sz="8" w:color="CCEEFF"/>
            </w:tcBorders>
            <w:vMerge w:val="continue"/>
          </w:tcPr>
          <w:p>
            <w:pPr>
              <w:spacing w:after="0"/>
              <w:rPr>
                <w:sz w:val="11"/>
                <w:szCs w:val="11"/>
                <w:color w:val="auto"/>
              </w:rPr>
            </w:pPr>
          </w:p>
        </w:tc>
        <w:tc>
          <w:tcPr>
            <w:tcW w:w="300" w:type="dxa"/>
            <w:vAlign w:val="bottom"/>
            <w:tcBorders>
              <w:bottom w:val="single" w:sz="8" w:color="auto"/>
            </w:tcBorders>
          </w:tcPr>
          <w:p>
            <w:pPr>
              <w:spacing w:after="0"/>
              <w:rPr>
                <w:sz w:val="11"/>
                <w:szCs w:val="11"/>
                <w:color w:val="auto"/>
              </w:rPr>
            </w:pPr>
          </w:p>
        </w:tc>
        <w:tc>
          <w:tcPr>
            <w:tcW w:w="940" w:type="dxa"/>
            <w:vAlign w:val="bottom"/>
            <w:tcBorders>
              <w:bottom w:val="single" w:sz="8" w:color="auto"/>
            </w:tcBorders>
          </w:tcPr>
          <w:p>
            <w:pPr>
              <w:jc w:val="right"/>
              <w:spacing w:after="0" w:line="130" w:lineRule="exact"/>
              <w:rPr>
                <w:sz w:val="20"/>
                <w:szCs w:val="20"/>
                <w:color w:val="auto"/>
              </w:rPr>
            </w:pPr>
            <w:r>
              <w:rPr>
                <w:rFonts w:ascii="Times New Roman" w:cs="Times New Roman" w:eastAsia="Times New Roman" w:hAnsi="Times New Roman"/>
                <w:sz w:val="13"/>
                <w:szCs w:val="13"/>
                <w:color w:val="auto"/>
              </w:rPr>
              <w:t>19</w:t>
            </w:r>
          </w:p>
        </w:tc>
        <w:tc>
          <w:tcPr>
            <w:tcW w:w="100" w:type="dxa"/>
            <w:vAlign w:val="bottom"/>
            <w:tcBorders>
              <w:bottom w:val="single" w:sz="8" w:color="CCEEFF"/>
            </w:tcBorders>
          </w:tcPr>
          <w:p>
            <w:pPr>
              <w:spacing w:after="0"/>
              <w:rPr>
                <w:sz w:val="11"/>
                <w:szCs w:val="11"/>
                <w:color w:val="auto"/>
              </w:rPr>
            </w:pPr>
          </w:p>
        </w:tc>
        <w:tc>
          <w:tcPr>
            <w:tcW w:w="300" w:type="dxa"/>
            <w:vAlign w:val="bottom"/>
            <w:tcBorders>
              <w:bottom w:val="single" w:sz="8" w:color="auto"/>
            </w:tcBorders>
          </w:tcPr>
          <w:p>
            <w:pPr>
              <w:spacing w:after="0"/>
              <w:rPr>
                <w:sz w:val="11"/>
                <w:szCs w:val="11"/>
                <w:color w:val="auto"/>
              </w:rPr>
            </w:pPr>
          </w:p>
        </w:tc>
        <w:tc>
          <w:tcPr>
            <w:tcW w:w="960" w:type="dxa"/>
            <w:vAlign w:val="bottom"/>
            <w:tcBorders>
              <w:bottom w:val="single" w:sz="8" w:color="auto"/>
            </w:tcBorders>
          </w:tcPr>
          <w:p>
            <w:pPr>
              <w:jc w:val="right"/>
              <w:spacing w:after="0" w:line="130" w:lineRule="exact"/>
              <w:rPr>
                <w:sz w:val="20"/>
                <w:szCs w:val="20"/>
                <w:color w:val="auto"/>
              </w:rPr>
            </w:pPr>
            <w:r>
              <w:rPr>
                <w:rFonts w:ascii="Times New Roman" w:cs="Times New Roman" w:eastAsia="Times New Roman" w:hAnsi="Times New Roman"/>
                <w:sz w:val="13"/>
                <w:szCs w:val="13"/>
                <w:color w:val="auto"/>
              </w:rPr>
              <w:t>(4)</w:t>
            </w:r>
          </w:p>
        </w:tc>
        <w:tc>
          <w:tcPr>
            <w:tcW w:w="80" w:type="dxa"/>
            <w:vAlign w:val="bottom"/>
            <w:tcBorders>
              <w:bottom w:val="single" w:sz="8" w:color="CCEEFF"/>
            </w:tcBorders>
          </w:tcPr>
          <w:p>
            <w:pPr>
              <w:spacing w:after="0"/>
              <w:rPr>
                <w:sz w:val="11"/>
                <w:szCs w:val="11"/>
                <w:color w:val="auto"/>
              </w:rPr>
            </w:pPr>
          </w:p>
        </w:tc>
        <w:tc>
          <w:tcPr>
            <w:tcW w:w="300" w:type="dxa"/>
            <w:vAlign w:val="bottom"/>
            <w:tcBorders>
              <w:bottom w:val="single" w:sz="8" w:color="auto"/>
            </w:tcBorders>
          </w:tcPr>
          <w:p>
            <w:pPr>
              <w:spacing w:after="0"/>
              <w:rPr>
                <w:sz w:val="11"/>
                <w:szCs w:val="11"/>
                <w:color w:val="auto"/>
              </w:rPr>
            </w:pPr>
          </w:p>
        </w:tc>
        <w:tc>
          <w:tcPr>
            <w:tcW w:w="960" w:type="dxa"/>
            <w:vAlign w:val="bottom"/>
            <w:tcBorders>
              <w:bottom w:val="single" w:sz="8" w:color="auto"/>
            </w:tcBorders>
          </w:tcPr>
          <w:p>
            <w:pPr>
              <w:jc w:val="right"/>
              <w:spacing w:after="0" w:line="130" w:lineRule="exact"/>
              <w:rPr>
                <w:sz w:val="20"/>
                <w:szCs w:val="20"/>
                <w:color w:val="auto"/>
              </w:rPr>
            </w:pPr>
            <w:r>
              <w:rPr>
                <w:rFonts w:ascii="Times New Roman" w:cs="Times New Roman" w:eastAsia="Times New Roman" w:hAnsi="Times New Roman"/>
                <w:sz w:val="13"/>
                <w:szCs w:val="13"/>
                <w:color w:val="auto"/>
              </w:rPr>
              <w:t>1,051</w:t>
            </w:r>
          </w:p>
        </w:tc>
        <w:tc>
          <w:tcPr>
            <w:tcW w:w="0" w:type="dxa"/>
            <w:vAlign w:val="bottom"/>
          </w:tcPr>
          <w:p>
            <w:pPr>
              <w:spacing w:after="0"/>
              <w:rPr>
                <w:sz w:val="1"/>
                <w:szCs w:val="1"/>
                <w:color w:val="auto"/>
              </w:rPr>
            </w:pPr>
          </w:p>
        </w:tc>
      </w:tr>
      <w:tr>
        <w:trPr>
          <w:trHeight w:val="185"/>
        </w:trPr>
        <w:tc>
          <w:tcPr>
            <w:tcW w:w="732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3"/>
                <w:szCs w:val="13"/>
                <w:b w:val="1"/>
                <w:bCs w:val="1"/>
                <w:color w:val="auto"/>
              </w:rPr>
              <w:t>Income attributable to Westwood Holdings Group, Inc.</w:t>
            </w:r>
          </w:p>
        </w:tc>
        <w:tc>
          <w:tcPr>
            <w:tcW w:w="300" w:type="dxa"/>
            <w:vAlign w:val="bottom"/>
            <w:tcBorders>
              <w:bottom w:val="single" w:sz="8" w:color="auto"/>
            </w:tcBorders>
            <w:shd w:val="clear" w:color="auto" w:fill="CCEEFF"/>
          </w:tcPr>
          <w:p>
            <w:pPr>
              <w:jc w:val="right"/>
              <w:ind w:right="156"/>
              <w:spacing w:after="0"/>
              <w:rPr>
                <w:sz w:val="20"/>
                <w:szCs w:val="20"/>
                <w:color w:val="auto"/>
              </w:rPr>
            </w:pPr>
            <w:r>
              <w:rPr>
                <w:rFonts w:ascii="Times New Roman" w:cs="Times New Roman" w:eastAsia="Times New Roman" w:hAnsi="Times New Roman"/>
                <w:sz w:val="13"/>
                <w:szCs w:val="13"/>
                <w:color w:val="auto"/>
                <w:w w:val="91"/>
              </w:rPr>
              <w:t>$</w:t>
            </w:r>
          </w:p>
        </w:tc>
        <w:tc>
          <w:tcPr>
            <w:tcW w:w="9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7,058</w:t>
            </w:r>
          </w:p>
        </w:tc>
        <w:tc>
          <w:tcPr>
            <w:tcW w:w="100" w:type="dxa"/>
            <w:vAlign w:val="bottom"/>
            <w:tcBorders>
              <w:bottom w:val="single" w:sz="8" w:color="CCEEFF"/>
            </w:tcBorders>
            <w:shd w:val="clear" w:color="auto" w:fill="CCEEFF"/>
          </w:tcPr>
          <w:p>
            <w:pPr>
              <w:spacing w:after="0"/>
              <w:rPr>
                <w:sz w:val="15"/>
                <w:szCs w:val="15"/>
                <w:color w:val="auto"/>
              </w:rPr>
            </w:pPr>
          </w:p>
        </w:tc>
        <w:tc>
          <w:tcPr>
            <w:tcW w:w="300" w:type="dxa"/>
            <w:vAlign w:val="bottom"/>
            <w:tcBorders>
              <w:bottom w:val="single" w:sz="8" w:color="auto"/>
            </w:tcBorders>
            <w:shd w:val="clear" w:color="auto" w:fill="CCEEFF"/>
          </w:tcPr>
          <w:p>
            <w:pPr>
              <w:jc w:val="right"/>
              <w:ind w:right="156"/>
              <w:spacing w:after="0"/>
              <w:rPr>
                <w:sz w:val="20"/>
                <w:szCs w:val="20"/>
                <w:color w:val="auto"/>
              </w:rPr>
            </w:pPr>
            <w:r>
              <w:rPr>
                <w:rFonts w:ascii="Times New Roman" w:cs="Times New Roman" w:eastAsia="Times New Roman" w:hAnsi="Times New Roman"/>
                <w:sz w:val="13"/>
                <w:szCs w:val="13"/>
                <w:color w:val="auto"/>
                <w:w w:val="91"/>
              </w:rPr>
              <w:t>$</w:t>
            </w:r>
          </w:p>
        </w:tc>
        <w:tc>
          <w:tcPr>
            <w:tcW w:w="9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2,215</w:t>
            </w:r>
          </w:p>
        </w:tc>
        <w:tc>
          <w:tcPr>
            <w:tcW w:w="80" w:type="dxa"/>
            <w:vAlign w:val="bottom"/>
            <w:tcBorders>
              <w:bottom w:val="single" w:sz="8" w:color="CCEEFF"/>
            </w:tcBorders>
            <w:shd w:val="clear" w:color="auto" w:fill="CCEEFF"/>
          </w:tcPr>
          <w:p>
            <w:pPr>
              <w:spacing w:after="0"/>
              <w:rPr>
                <w:sz w:val="15"/>
                <w:szCs w:val="15"/>
                <w:color w:val="auto"/>
              </w:rPr>
            </w:pPr>
          </w:p>
        </w:tc>
        <w:tc>
          <w:tcPr>
            <w:tcW w:w="300" w:type="dxa"/>
            <w:vAlign w:val="bottom"/>
            <w:tcBorders>
              <w:bottom w:val="single" w:sz="8" w:color="auto"/>
            </w:tcBorders>
            <w:shd w:val="clear" w:color="auto" w:fill="CCEEFF"/>
          </w:tcPr>
          <w:p>
            <w:pPr>
              <w:jc w:val="right"/>
              <w:ind w:right="156"/>
              <w:spacing w:after="0"/>
              <w:rPr>
                <w:sz w:val="20"/>
                <w:szCs w:val="20"/>
                <w:color w:val="auto"/>
              </w:rPr>
            </w:pPr>
            <w:r>
              <w:rPr>
                <w:rFonts w:ascii="Times New Roman" w:cs="Times New Roman" w:eastAsia="Times New Roman" w:hAnsi="Times New Roman"/>
                <w:sz w:val="13"/>
                <w:szCs w:val="13"/>
                <w:color w:val="auto"/>
                <w:w w:val="91"/>
              </w:rPr>
              <w:t>$</w:t>
            </w:r>
          </w:p>
        </w:tc>
        <w:tc>
          <w:tcPr>
            <w:tcW w:w="9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9,520</w:t>
            </w:r>
          </w:p>
        </w:tc>
        <w:tc>
          <w:tcPr>
            <w:tcW w:w="0" w:type="dxa"/>
            <w:vAlign w:val="bottom"/>
          </w:tcPr>
          <w:p>
            <w:pPr>
              <w:spacing w:after="0"/>
              <w:rPr>
                <w:sz w:val="1"/>
                <w:szCs w:val="1"/>
                <w:color w:val="auto"/>
              </w:rPr>
            </w:pPr>
          </w:p>
        </w:tc>
      </w:tr>
      <w:tr>
        <w:trPr>
          <w:trHeight w:val="20"/>
        </w:trPr>
        <w:tc>
          <w:tcPr>
            <w:tcW w:w="7320" w:type="dxa"/>
            <w:vAlign w:val="bottom"/>
            <w:tcBorders>
              <w:top w:val="single" w:sz="8" w:color="CCEEFF"/>
            </w:tcBorders>
          </w:tcPr>
          <w:p>
            <w:pPr>
              <w:spacing w:after="0" w:line="20" w:lineRule="exact"/>
              <w:rPr>
                <w:sz w:val="1"/>
                <w:szCs w:val="1"/>
                <w:color w:val="auto"/>
              </w:rPr>
            </w:pPr>
          </w:p>
        </w:tc>
        <w:tc>
          <w:tcPr>
            <w:tcW w:w="300" w:type="dxa"/>
            <w:vAlign w:val="bottom"/>
            <w:tcBorders>
              <w:top w:val="single" w:sz="8" w:color="CCEEFF"/>
              <w:bottom w:val="single" w:sz="8" w:color="auto"/>
            </w:tcBorders>
          </w:tcPr>
          <w:p>
            <w:pPr>
              <w:spacing w:after="0" w:line="20" w:lineRule="exact"/>
              <w:rPr>
                <w:sz w:val="1"/>
                <w:szCs w:val="1"/>
                <w:color w:val="auto"/>
              </w:rPr>
            </w:pPr>
          </w:p>
        </w:tc>
        <w:tc>
          <w:tcPr>
            <w:tcW w:w="94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300" w:type="dxa"/>
            <w:vAlign w:val="bottom"/>
            <w:tcBorders>
              <w:top w:val="single" w:sz="8" w:color="CCEEFF"/>
              <w:bottom w:val="single" w:sz="8" w:color="auto"/>
            </w:tcBorders>
          </w:tcPr>
          <w:p>
            <w:pPr>
              <w:spacing w:after="0" w:line="20" w:lineRule="exact"/>
              <w:rPr>
                <w:sz w:val="1"/>
                <w:szCs w:val="1"/>
                <w:color w:val="auto"/>
              </w:rPr>
            </w:pPr>
          </w:p>
        </w:tc>
        <w:tc>
          <w:tcPr>
            <w:tcW w:w="960" w:type="dxa"/>
            <w:vAlign w:val="bottom"/>
            <w:tcBorders>
              <w:top w:val="single" w:sz="8" w:color="CCEEFF"/>
              <w:bottom w:val="single" w:sz="8" w:color="auto"/>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300" w:type="dxa"/>
            <w:vAlign w:val="bottom"/>
            <w:tcBorders>
              <w:top w:val="single" w:sz="8" w:color="CCEEFF"/>
              <w:bottom w:val="single" w:sz="8" w:color="auto"/>
            </w:tcBorders>
          </w:tcPr>
          <w:p>
            <w:pPr>
              <w:spacing w:after="0" w:line="20" w:lineRule="exact"/>
              <w:rPr>
                <w:sz w:val="1"/>
                <w:szCs w:val="1"/>
                <w:color w:val="auto"/>
              </w:rPr>
            </w:pPr>
          </w:p>
        </w:tc>
        <w:tc>
          <w:tcPr>
            <w:tcW w:w="960" w:type="dxa"/>
            <w:vAlign w:val="bottom"/>
            <w:tcBorders>
              <w:top w:val="single" w:sz="8" w:color="CCEEFF"/>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45"/>
        </w:trPr>
        <w:tc>
          <w:tcPr>
            <w:tcW w:w="7320" w:type="dxa"/>
            <w:vAlign w:val="bottom"/>
          </w:tcPr>
          <w:p>
            <w:pPr>
              <w:spacing w:after="0"/>
              <w:rPr>
                <w:sz w:val="12"/>
                <w:szCs w:val="12"/>
                <w:color w:val="auto"/>
              </w:rPr>
            </w:pPr>
          </w:p>
        </w:tc>
        <w:tc>
          <w:tcPr>
            <w:tcW w:w="300" w:type="dxa"/>
            <w:vAlign w:val="bottom"/>
          </w:tcPr>
          <w:p>
            <w:pPr>
              <w:spacing w:after="0"/>
              <w:rPr>
                <w:sz w:val="12"/>
                <w:szCs w:val="12"/>
                <w:color w:val="auto"/>
              </w:rPr>
            </w:pPr>
          </w:p>
        </w:tc>
        <w:tc>
          <w:tcPr>
            <w:tcW w:w="94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300" w:type="dxa"/>
            <w:vAlign w:val="bottom"/>
          </w:tcPr>
          <w:p>
            <w:pPr>
              <w:spacing w:after="0"/>
              <w:rPr>
                <w:sz w:val="12"/>
                <w:szCs w:val="12"/>
                <w:color w:val="auto"/>
              </w:rPr>
            </w:pPr>
          </w:p>
        </w:tc>
        <w:tc>
          <w:tcPr>
            <w:tcW w:w="96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300" w:type="dxa"/>
            <w:vAlign w:val="bottom"/>
          </w:tcPr>
          <w:p>
            <w:pPr>
              <w:spacing w:after="0"/>
              <w:rPr>
                <w:sz w:val="12"/>
                <w:szCs w:val="12"/>
                <w:color w:val="auto"/>
              </w:rPr>
            </w:pPr>
          </w:p>
        </w:tc>
        <w:tc>
          <w:tcPr>
            <w:tcW w:w="96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70"/>
        </w:trPr>
        <w:tc>
          <w:tcPr>
            <w:tcW w:w="732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3"/>
                <w:szCs w:val="13"/>
                <w:b w:val="1"/>
                <w:bCs w:val="1"/>
                <w:color w:val="auto"/>
              </w:rPr>
              <w:t>Earnings per share:</w:t>
            </w:r>
          </w:p>
        </w:tc>
        <w:tc>
          <w:tcPr>
            <w:tcW w:w="300" w:type="dxa"/>
            <w:vAlign w:val="bottom"/>
            <w:shd w:val="clear" w:color="auto" w:fill="CCEEFF"/>
          </w:tcPr>
          <w:p>
            <w:pPr>
              <w:spacing w:after="0"/>
              <w:rPr>
                <w:sz w:val="14"/>
                <w:szCs w:val="14"/>
                <w:color w:val="auto"/>
              </w:rPr>
            </w:pPr>
          </w:p>
        </w:tc>
        <w:tc>
          <w:tcPr>
            <w:tcW w:w="94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300" w:type="dxa"/>
            <w:vAlign w:val="bottom"/>
            <w:shd w:val="clear" w:color="auto" w:fill="CCEEFF"/>
          </w:tcPr>
          <w:p>
            <w:pPr>
              <w:spacing w:after="0"/>
              <w:rPr>
                <w:sz w:val="14"/>
                <w:szCs w:val="14"/>
                <w:color w:val="auto"/>
              </w:rPr>
            </w:pPr>
          </w:p>
        </w:tc>
        <w:tc>
          <w:tcPr>
            <w:tcW w:w="960" w:type="dxa"/>
            <w:vAlign w:val="bottom"/>
            <w:shd w:val="clear" w:color="auto" w:fill="CCEEFF"/>
          </w:tcPr>
          <w:p>
            <w:pPr>
              <w:spacing w:after="0"/>
              <w:rPr>
                <w:sz w:val="14"/>
                <w:szCs w:val="14"/>
                <w:color w:val="auto"/>
              </w:rPr>
            </w:pPr>
          </w:p>
        </w:tc>
        <w:tc>
          <w:tcPr>
            <w:tcW w:w="80" w:type="dxa"/>
            <w:vAlign w:val="bottom"/>
            <w:shd w:val="clear" w:color="auto" w:fill="CCEEFF"/>
          </w:tcPr>
          <w:p>
            <w:pPr>
              <w:spacing w:after="0"/>
              <w:rPr>
                <w:sz w:val="14"/>
                <w:szCs w:val="14"/>
                <w:color w:val="auto"/>
              </w:rPr>
            </w:pPr>
          </w:p>
        </w:tc>
        <w:tc>
          <w:tcPr>
            <w:tcW w:w="300" w:type="dxa"/>
            <w:vAlign w:val="bottom"/>
            <w:shd w:val="clear" w:color="auto" w:fill="CCEEFF"/>
          </w:tcPr>
          <w:p>
            <w:pPr>
              <w:spacing w:after="0"/>
              <w:rPr>
                <w:sz w:val="14"/>
                <w:szCs w:val="14"/>
                <w:color w:val="auto"/>
              </w:rPr>
            </w:pPr>
          </w:p>
        </w:tc>
        <w:tc>
          <w:tcPr>
            <w:tcW w:w="960" w:type="dxa"/>
            <w:vAlign w:val="bottom"/>
            <w:shd w:val="clear" w:color="auto" w:fill="CCEEFF"/>
          </w:tcPr>
          <w:p>
            <w:pPr>
              <w:spacing w:after="0"/>
              <w:rPr>
                <w:sz w:val="14"/>
                <w:szCs w:val="14"/>
                <w:color w:val="auto"/>
              </w:rPr>
            </w:pPr>
          </w:p>
        </w:tc>
        <w:tc>
          <w:tcPr>
            <w:tcW w:w="0" w:type="dxa"/>
            <w:vAlign w:val="bottom"/>
          </w:tcPr>
          <w:p>
            <w:pPr>
              <w:spacing w:after="0"/>
              <w:rPr>
                <w:sz w:val="1"/>
                <w:szCs w:val="1"/>
                <w:color w:val="auto"/>
              </w:rPr>
            </w:pPr>
          </w:p>
        </w:tc>
      </w:tr>
      <w:tr>
        <w:trPr>
          <w:trHeight w:val="168"/>
        </w:trPr>
        <w:tc>
          <w:tcPr>
            <w:tcW w:w="7320" w:type="dxa"/>
            <w:vAlign w:val="bottom"/>
          </w:tcPr>
          <w:p>
            <w:pPr>
              <w:ind w:left="440"/>
              <w:spacing w:after="0"/>
              <w:rPr>
                <w:sz w:val="20"/>
                <w:szCs w:val="20"/>
                <w:color w:val="auto"/>
              </w:rPr>
            </w:pPr>
            <w:r>
              <w:rPr>
                <w:rFonts w:ascii="Times New Roman" w:cs="Times New Roman" w:eastAsia="Times New Roman" w:hAnsi="Times New Roman"/>
                <w:sz w:val="13"/>
                <w:szCs w:val="13"/>
                <w:color w:val="auto"/>
              </w:rPr>
              <w:t>Basic</w:t>
            </w:r>
          </w:p>
        </w:tc>
        <w:tc>
          <w:tcPr>
            <w:tcW w:w="300" w:type="dxa"/>
            <w:vAlign w:val="bottom"/>
          </w:tcPr>
          <w:p>
            <w:pPr>
              <w:jc w:val="right"/>
              <w:ind w:right="156"/>
              <w:spacing w:after="0"/>
              <w:rPr>
                <w:sz w:val="20"/>
                <w:szCs w:val="20"/>
                <w:color w:val="auto"/>
              </w:rPr>
            </w:pPr>
            <w:r>
              <w:rPr>
                <w:rFonts w:ascii="Times New Roman" w:cs="Times New Roman" w:eastAsia="Times New Roman" w:hAnsi="Times New Roman"/>
                <w:sz w:val="13"/>
                <w:szCs w:val="13"/>
                <w:color w:val="auto"/>
                <w:w w:val="91"/>
              </w:rPr>
              <w:t>$</w:t>
            </w:r>
          </w:p>
        </w:tc>
        <w:tc>
          <w:tcPr>
            <w:tcW w:w="94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0.84</w:t>
            </w:r>
          </w:p>
        </w:tc>
        <w:tc>
          <w:tcPr>
            <w:tcW w:w="400" w:type="dxa"/>
            <w:vAlign w:val="bottom"/>
            <w:gridSpan w:val="2"/>
          </w:tcPr>
          <w:p>
            <w:pPr>
              <w:jc w:val="right"/>
              <w:ind w:right="156"/>
              <w:spacing w:after="0"/>
              <w:rPr>
                <w:sz w:val="20"/>
                <w:szCs w:val="20"/>
                <w:color w:val="auto"/>
              </w:rPr>
            </w:pPr>
            <w:r>
              <w:rPr>
                <w:rFonts w:ascii="Times New Roman" w:cs="Times New Roman" w:eastAsia="Times New Roman" w:hAnsi="Times New Roman"/>
                <w:sz w:val="13"/>
                <w:szCs w:val="13"/>
                <w:color w:val="auto"/>
              </w:rPr>
              <w:t>$</w:t>
            </w:r>
          </w:p>
        </w:tc>
        <w:tc>
          <w:tcPr>
            <w:tcW w:w="96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0.27</w:t>
            </w:r>
          </w:p>
        </w:tc>
        <w:tc>
          <w:tcPr>
            <w:tcW w:w="80" w:type="dxa"/>
            <w:vAlign w:val="bottom"/>
          </w:tcPr>
          <w:p>
            <w:pPr>
              <w:spacing w:after="0"/>
              <w:rPr>
                <w:sz w:val="14"/>
                <w:szCs w:val="14"/>
                <w:color w:val="auto"/>
              </w:rPr>
            </w:pPr>
          </w:p>
        </w:tc>
        <w:tc>
          <w:tcPr>
            <w:tcW w:w="300" w:type="dxa"/>
            <w:vAlign w:val="bottom"/>
          </w:tcPr>
          <w:p>
            <w:pPr>
              <w:jc w:val="right"/>
              <w:ind w:right="156"/>
              <w:spacing w:after="0"/>
              <w:rPr>
                <w:sz w:val="20"/>
                <w:szCs w:val="20"/>
                <w:color w:val="auto"/>
              </w:rPr>
            </w:pPr>
            <w:r>
              <w:rPr>
                <w:rFonts w:ascii="Times New Roman" w:cs="Times New Roman" w:eastAsia="Times New Roman" w:hAnsi="Times New Roman"/>
                <w:sz w:val="13"/>
                <w:szCs w:val="13"/>
                <w:color w:val="auto"/>
                <w:w w:val="91"/>
              </w:rPr>
              <w:t>$</w:t>
            </w:r>
          </w:p>
        </w:tc>
        <w:tc>
          <w:tcPr>
            <w:tcW w:w="96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1.20</w:t>
            </w:r>
          </w:p>
        </w:tc>
        <w:tc>
          <w:tcPr>
            <w:tcW w:w="0" w:type="dxa"/>
            <w:vAlign w:val="bottom"/>
          </w:tcPr>
          <w:p>
            <w:pPr>
              <w:spacing w:after="0"/>
              <w:rPr>
                <w:sz w:val="1"/>
                <w:szCs w:val="1"/>
                <w:color w:val="auto"/>
              </w:rPr>
            </w:pPr>
          </w:p>
        </w:tc>
      </w:tr>
      <w:tr>
        <w:trPr>
          <w:trHeight w:val="172"/>
        </w:trPr>
        <w:tc>
          <w:tcPr>
            <w:tcW w:w="7320" w:type="dxa"/>
            <w:vAlign w:val="bottom"/>
            <w:shd w:val="clear" w:color="auto" w:fill="CCEEFF"/>
          </w:tcPr>
          <w:p>
            <w:pPr>
              <w:ind w:left="440"/>
              <w:spacing w:after="0"/>
              <w:rPr>
                <w:sz w:val="20"/>
                <w:szCs w:val="20"/>
                <w:color w:val="auto"/>
              </w:rPr>
            </w:pPr>
            <w:r>
              <w:rPr>
                <w:rFonts w:ascii="Times New Roman" w:cs="Times New Roman" w:eastAsia="Times New Roman" w:hAnsi="Times New Roman"/>
                <w:sz w:val="13"/>
                <w:szCs w:val="13"/>
                <w:color w:val="auto"/>
              </w:rPr>
              <w:t>Diluted</w:t>
            </w:r>
          </w:p>
        </w:tc>
        <w:tc>
          <w:tcPr>
            <w:tcW w:w="300" w:type="dxa"/>
            <w:vAlign w:val="bottom"/>
            <w:shd w:val="clear" w:color="auto" w:fill="CCEEFF"/>
          </w:tcPr>
          <w:p>
            <w:pPr>
              <w:jc w:val="right"/>
              <w:ind w:right="156"/>
              <w:spacing w:after="0"/>
              <w:rPr>
                <w:sz w:val="20"/>
                <w:szCs w:val="20"/>
                <w:color w:val="auto"/>
              </w:rPr>
            </w:pPr>
            <w:r>
              <w:rPr>
                <w:rFonts w:ascii="Times New Roman" w:cs="Times New Roman" w:eastAsia="Times New Roman" w:hAnsi="Times New Roman"/>
                <w:sz w:val="13"/>
                <w:szCs w:val="13"/>
                <w:color w:val="auto"/>
                <w:w w:val="91"/>
              </w:rPr>
              <w:t>$</w:t>
            </w:r>
          </w:p>
        </w:tc>
        <w:tc>
          <w:tcPr>
            <w:tcW w:w="9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0.79</w:t>
            </w:r>
          </w:p>
        </w:tc>
        <w:tc>
          <w:tcPr>
            <w:tcW w:w="400" w:type="dxa"/>
            <w:vAlign w:val="bottom"/>
            <w:gridSpan w:val="2"/>
            <w:shd w:val="clear" w:color="auto" w:fill="CCEEFF"/>
          </w:tcPr>
          <w:p>
            <w:pPr>
              <w:jc w:val="right"/>
              <w:ind w:right="156"/>
              <w:spacing w:after="0"/>
              <w:rPr>
                <w:sz w:val="20"/>
                <w:szCs w:val="20"/>
                <w:color w:val="auto"/>
              </w:rPr>
            </w:pPr>
            <w:r>
              <w:rPr>
                <w:rFonts w:ascii="Times New Roman" w:cs="Times New Roman" w:eastAsia="Times New Roman" w:hAnsi="Times New Roman"/>
                <w:sz w:val="13"/>
                <w:szCs w:val="13"/>
                <w:color w:val="auto"/>
              </w:rPr>
              <w:t>$</w:t>
            </w:r>
          </w:p>
        </w:tc>
        <w:tc>
          <w:tcPr>
            <w:tcW w:w="9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0.26</w:t>
            </w:r>
          </w:p>
        </w:tc>
        <w:tc>
          <w:tcPr>
            <w:tcW w:w="80" w:type="dxa"/>
            <w:vAlign w:val="bottom"/>
            <w:shd w:val="clear" w:color="auto" w:fill="CCEEFF"/>
          </w:tcPr>
          <w:p>
            <w:pPr>
              <w:spacing w:after="0"/>
              <w:rPr>
                <w:sz w:val="14"/>
                <w:szCs w:val="14"/>
                <w:color w:val="auto"/>
              </w:rPr>
            </w:pPr>
          </w:p>
        </w:tc>
        <w:tc>
          <w:tcPr>
            <w:tcW w:w="300" w:type="dxa"/>
            <w:vAlign w:val="bottom"/>
            <w:shd w:val="clear" w:color="auto" w:fill="CCEEFF"/>
          </w:tcPr>
          <w:p>
            <w:pPr>
              <w:jc w:val="right"/>
              <w:ind w:right="156"/>
              <w:spacing w:after="0"/>
              <w:rPr>
                <w:sz w:val="20"/>
                <w:szCs w:val="20"/>
                <w:color w:val="auto"/>
              </w:rPr>
            </w:pPr>
            <w:r>
              <w:rPr>
                <w:rFonts w:ascii="Times New Roman" w:cs="Times New Roman" w:eastAsia="Times New Roman" w:hAnsi="Times New Roman"/>
                <w:sz w:val="13"/>
                <w:szCs w:val="13"/>
                <w:color w:val="auto"/>
                <w:w w:val="91"/>
              </w:rPr>
              <w:t>$</w:t>
            </w:r>
          </w:p>
        </w:tc>
        <w:tc>
          <w:tcPr>
            <w:tcW w:w="9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1.17</w:t>
            </w:r>
          </w:p>
        </w:tc>
        <w:tc>
          <w:tcPr>
            <w:tcW w:w="0" w:type="dxa"/>
            <w:vAlign w:val="bottom"/>
          </w:tcPr>
          <w:p>
            <w:pPr>
              <w:spacing w:after="0"/>
              <w:rPr>
                <w:sz w:val="1"/>
                <w:szCs w:val="1"/>
                <w:color w:val="auto"/>
              </w:rPr>
            </w:pPr>
          </w:p>
        </w:tc>
      </w:tr>
      <w:tr>
        <w:trPr>
          <w:trHeight w:val="169"/>
        </w:trPr>
        <w:tc>
          <w:tcPr>
            <w:tcW w:w="7320" w:type="dxa"/>
            <w:vAlign w:val="bottom"/>
          </w:tcPr>
          <w:p>
            <w:pPr>
              <w:ind w:left="20"/>
              <w:spacing w:after="0"/>
              <w:rPr>
                <w:sz w:val="20"/>
                <w:szCs w:val="20"/>
                <w:color w:val="auto"/>
              </w:rPr>
            </w:pPr>
            <w:r>
              <w:rPr>
                <w:rFonts w:ascii="Times New Roman" w:cs="Times New Roman" w:eastAsia="Times New Roman" w:hAnsi="Times New Roman"/>
                <w:sz w:val="13"/>
                <w:szCs w:val="13"/>
                <w:b w:val="1"/>
                <w:bCs w:val="1"/>
                <w:color w:val="auto"/>
              </w:rPr>
              <w:t>Weighted average shares outstanding:</w:t>
            </w:r>
          </w:p>
        </w:tc>
        <w:tc>
          <w:tcPr>
            <w:tcW w:w="300" w:type="dxa"/>
            <w:vAlign w:val="bottom"/>
          </w:tcPr>
          <w:p>
            <w:pPr>
              <w:spacing w:after="0"/>
              <w:rPr>
                <w:sz w:val="14"/>
                <w:szCs w:val="14"/>
                <w:color w:val="auto"/>
              </w:rPr>
            </w:pPr>
          </w:p>
        </w:tc>
        <w:tc>
          <w:tcPr>
            <w:tcW w:w="94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300" w:type="dxa"/>
            <w:vAlign w:val="bottom"/>
          </w:tcPr>
          <w:p>
            <w:pPr>
              <w:spacing w:after="0"/>
              <w:rPr>
                <w:sz w:val="14"/>
                <w:szCs w:val="14"/>
                <w:color w:val="auto"/>
              </w:rPr>
            </w:pPr>
          </w:p>
        </w:tc>
        <w:tc>
          <w:tcPr>
            <w:tcW w:w="96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300" w:type="dxa"/>
            <w:vAlign w:val="bottom"/>
          </w:tcPr>
          <w:p>
            <w:pPr>
              <w:spacing w:after="0"/>
              <w:rPr>
                <w:sz w:val="14"/>
                <w:szCs w:val="14"/>
                <w:color w:val="auto"/>
              </w:rPr>
            </w:pPr>
          </w:p>
        </w:tc>
        <w:tc>
          <w:tcPr>
            <w:tcW w:w="96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71"/>
        </w:trPr>
        <w:tc>
          <w:tcPr>
            <w:tcW w:w="7320" w:type="dxa"/>
            <w:vAlign w:val="bottom"/>
            <w:shd w:val="clear" w:color="auto" w:fill="CCEEFF"/>
          </w:tcPr>
          <w:p>
            <w:pPr>
              <w:ind w:left="440"/>
              <w:spacing w:after="0"/>
              <w:rPr>
                <w:sz w:val="20"/>
                <w:szCs w:val="20"/>
                <w:color w:val="auto"/>
              </w:rPr>
            </w:pPr>
            <w:r>
              <w:rPr>
                <w:rFonts w:ascii="Times New Roman" w:cs="Times New Roman" w:eastAsia="Times New Roman" w:hAnsi="Times New Roman"/>
                <w:sz w:val="13"/>
                <w:szCs w:val="13"/>
                <w:color w:val="auto"/>
              </w:rPr>
              <w:t>Basic</w:t>
            </w:r>
          </w:p>
        </w:tc>
        <w:tc>
          <w:tcPr>
            <w:tcW w:w="300" w:type="dxa"/>
            <w:vAlign w:val="bottom"/>
            <w:shd w:val="clear" w:color="auto" w:fill="CCEEFF"/>
          </w:tcPr>
          <w:p>
            <w:pPr>
              <w:spacing w:after="0"/>
              <w:rPr>
                <w:sz w:val="14"/>
                <w:szCs w:val="14"/>
                <w:color w:val="auto"/>
              </w:rPr>
            </w:pPr>
          </w:p>
        </w:tc>
        <w:tc>
          <w:tcPr>
            <w:tcW w:w="9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8,374,352</w:t>
            </w:r>
          </w:p>
        </w:tc>
        <w:tc>
          <w:tcPr>
            <w:tcW w:w="100" w:type="dxa"/>
            <w:vAlign w:val="bottom"/>
            <w:shd w:val="clear" w:color="auto" w:fill="CCEEFF"/>
          </w:tcPr>
          <w:p>
            <w:pPr>
              <w:spacing w:after="0"/>
              <w:rPr>
                <w:sz w:val="14"/>
                <w:szCs w:val="14"/>
                <w:color w:val="auto"/>
              </w:rPr>
            </w:pPr>
          </w:p>
        </w:tc>
        <w:tc>
          <w:tcPr>
            <w:tcW w:w="300" w:type="dxa"/>
            <w:vAlign w:val="bottom"/>
            <w:shd w:val="clear" w:color="auto" w:fill="CCEEFF"/>
          </w:tcPr>
          <w:p>
            <w:pPr>
              <w:spacing w:after="0"/>
              <w:rPr>
                <w:sz w:val="14"/>
                <w:szCs w:val="14"/>
                <w:color w:val="auto"/>
              </w:rPr>
            </w:pPr>
          </w:p>
        </w:tc>
        <w:tc>
          <w:tcPr>
            <w:tcW w:w="9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8,163,465</w:t>
            </w:r>
          </w:p>
        </w:tc>
        <w:tc>
          <w:tcPr>
            <w:tcW w:w="80" w:type="dxa"/>
            <w:vAlign w:val="bottom"/>
            <w:shd w:val="clear" w:color="auto" w:fill="CCEEFF"/>
          </w:tcPr>
          <w:p>
            <w:pPr>
              <w:spacing w:after="0"/>
              <w:rPr>
                <w:sz w:val="14"/>
                <w:szCs w:val="14"/>
                <w:color w:val="auto"/>
              </w:rPr>
            </w:pPr>
          </w:p>
        </w:tc>
        <w:tc>
          <w:tcPr>
            <w:tcW w:w="300" w:type="dxa"/>
            <w:vAlign w:val="bottom"/>
            <w:shd w:val="clear" w:color="auto" w:fill="CCEEFF"/>
          </w:tcPr>
          <w:p>
            <w:pPr>
              <w:spacing w:after="0"/>
              <w:rPr>
                <w:sz w:val="14"/>
                <w:szCs w:val="14"/>
                <w:color w:val="auto"/>
              </w:rPr>
            </w:pPr>
          </w:p>
        </w:tc>
        <w:tc>
          <w:tcPr>
            <w:tcW w:w="9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7,964,423</w:t>
            </w:r>
          </w:p>
        </w:tc>
        <w:tc>
          <w:tcPr>
            <w:tcW w:w="0" w:type="dxa"/>
            <w:vAlign w:val="bottom"/>
          </w:tcPr>
          <w:p>
            <w:pPr>
              <w:spacing w:after="0"/>
              <w:rPr>
                <w:sz w:val="1"/>
                <w:szCs w:val="1"/>
                <w:color w:val="auto"/>
              </w:rPr>
            </w:pPr>
          </w:p>
        </w:tc>
      </w:tr>
      <w:tr>
        <w:trPr>
          <w:trHeight w:val="165"/>
        </w:trPr>
        <w:tc>
          <w:tcPr>
            <w:tcW w:w="7320" w:type="dxa"/>
            <w:vAlign w:val="bottom"/>
          </w:tcPr>
          <w:p>
            <w:pPr>
              <w:ind w:left="440"/>
              <w:spacing w:after="0"/>
              <w:rPr>
                <w:sz w:val="20"/>
                <w:szCs w:val="20"/>
                <w:color w:val="auto"/>
              </w:rPr>
            </w:pPr>
            <w:r>
              <w:rPr>
                <w:rFonts w:ascii="Times New Roman" w:cs="Times New Roman" w:eastAsia="Times New Roman" w:hAnsi="Times New Roman"/>
                <w:sz w:val="13"/>
                <w:szCs w:val="13"/>
                <w:color w:val="auto"/>
              </w:rPr>
              <w:t>Diluted</w:t>
            </w:r>
          </w:p>
        </w:tc>
        <w:tc>
          <w:tcPr>
            <w:tcW w:w="300" w:type="dxa"/>
            <w:vAlign w:val="bottom"/>
          </w:tcPr>
          <w:p>
            <w:pPr>
              <w:spacing w:after="0"/>
              <w:rPr>
                <w:sz w:val="14"/>
                <w:szCs w:val="14"/>
                <w:color w:val="auto"/>
              </w:rPr>
            </w:pPr>
          </w:p>
        </w:tc>
        <w:tc>
          <w:tcPr>
            <w:tcW w:w="94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8,885,580</w:t>
            </w:r>
          </w:p>
        </w:tc>
        <w:tc>
          <w:tcPr>
            <w:tcW w:w="100" w:type="dxa"/>
            <w:vAlign w:val="bottom"/>
          </w:tcPr>
          <w:p>
            <w:pPr>
              <w:spacing w:after="0"/>
              <w:rPr>
                <w:sz w:val="14"/>
                <w:szCs w:val="14"/>
                <w:color w:val="auto"/>
              </w:rPr>
            </w:pPr>
          </w:p>
        </w:tc>
        <w:tc>
          <w:tcPr>
            <w:tcW w:w="300" w:type="dxa"/>
            <w:vAlign w:val="bottom"/>
          </w:tcPr>
          <w:p>
            <w:pPr>
              <w:spacing w:after="0"/>
              <w:rPr>
                <w:sz w:val="14"/>
                <w:szCs w:val="14"/>
                <w:color w:val="auto"/>
              </w:rPr>
            </w:pPr>
          </w:p>
        </w:tc>
        <w:tc>
          <w:tcPr>
            <w:tcW w:w="96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8,515,779</w:t>
            </w:r>
          </w:p>
        </w:tc>
        <w:tc>
          <w:tcPr>
            <w:tcW w:w="80" w:type="dxa"/>
            <w:vAlign w:val="bottom"/>
          </w:tcPr>
          <w:p>
            <w:pPr>
              <w:spacing w:after="0"/>
              <w:rPr>
                <w:sz w:val="14"/>
                <w:szCs w:val="14"/>
                <w:color w:val="auto"/>
              </w:rPr>
            </w:pPr>
          </w:p>
        </w:tc>
        <w:tc>
          <w:tcPr>
            <w:tcW w:w="300" w:type="dxa"/>
            <w:vAlign w:val="bottom"/>
          </w:tcPr>
          <w:p>
            <w:pPr>
              <w:spacing w:after="0"/>
              <w:rPr>
                <w:sz w:val="14"/>
                <w:szCs w:val="14"/>
                <w:color w:val="auto"/>
              </w:rPr>
            </w:pPr>
          </w:p>
        </w:tc>
        <w:tc>
          <w:tcPr>
            <w:tcW w:w="96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8,112,139</w:t>
            </w:r>
          </w:p>
        </w:tc>
        <w:tc>
          <w:tcPr>
            <w:tcW w:w="0" w:type="dxa"/>
            <w:vAlign w:val="bottom"/>
          </w:tcPr>
          <w:p>
            <w:pPr>
              <w:spacing w:after="0"/>
              <w:rPr>
                <w:sz w:val="1"/>
                <w:szCs w:val="1"/>
                <w:color w:val="auto"/>
              </w:rPr>
            </w:pPr>
          </w:p>
        </w:tc>
      </w:tr>
    </w:tbl>
    <w:p>
      <w:pPr>
        <w:spacing w:after="0" w:line="253"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4"/>
          <w:szCs w:val="14"/>
          <w:b w:val="1"/>
          <w:bCs w:val="1"/>
          <w:color w:val="auto"/>
        </w:rPr>
        <w:t>See Notes to Consolidated Financial Statements.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23"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4"/>
          <w:szCs w:val="14"/>
          <w:color w:val="auto"/>
        </w:rPr>
        <w:t>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-8890</wp:posOffset>
            </wp:positionH>
            <wp:positionV relativeFrom="paragraph">
              <wp:posOffset>55880</wp:posOffset>
            </wp:positionV>
            <wp:extent cx="7186930" cy="38735"/>
            <wp:wrapNone/>
            <wp:docPr id="79" name="Picture 7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9"/>
                    <pic:cNvPicPr>
                      <a:picLocks noChangeAspect="1" noChangeArrowheads="1"/>
                    </pic:cNvPicPr>
                  </pic:nvPicPr>
                  <pic:blipFill>
                    <a:blip r:embed="rId86">
                      <a:extLst>
                        <a:ext uri="{28A0092B-C50C-407E-A947-70E740481C1C}"/>
                      </a:extLst>
                    </a:blip>
                    <a:srcRect/>
                    <a:stretch>
                      <a:fillRect/>
                    </a:stretch>
                  </pic:blipFill>
                  <pic:spPr bwMode="auto">
                    <a:xfrm>
                      <a:off x="0" y="0"/>
                      <a:ext cx="7186930" cy="38735"/>
                    </a:xfrm>
                    <a:prstGeom prst="rect">
                      <a:avLst/>
                    </a:prstGeom>
                    <a:noFill/>
                  </pic:spPr>
                </pic:pic>
              </a:graphicData>
            </a:graphic>
          </wp:anchor>
        </w:drawing>
      </w:r>
    </w:p>
    <w:p>
      <w:pPr>
        <w:sectPr>
          <w:pgSz w:w="11900" w:h="16838" w:orient="portrait"/>
          <w:cols w:equalWidth="0" w:num="1">
            <w:col w:w="11260"/>
          </w:cols>
          <w:pgMar w:left="300" w:top="759" w:right="339" w:bottom="1440" w:gutter="0" w:footer="0" w:header="0"/>
        </w:sectPr>
      </w:pPr>
    </w:p>
    <w:bookmarkStart w:id="47" w:name="page48"/>
    <w:bookmarkEnd w:id="47"/>
    <w:p>
      <w:pPr>
        <w:ind w:left="4360"/>
        <w:spacing w:after="0"/>
        <w:rPr>
          <w:sz w:val="20"/>
          <w:szCs w:val="20"/>
          <w:color w:val="auto"/>
        </w:rPr>
      </w:pPr>
      <w:r>
        <w:rPr>
          <w:rFonts w:ascii="Times New Roman" w:cs="Times New Roman" w:eastAsia="Times New Roman" w:hAnsi="Times New Roman"/>
          <w:sz w:val="14"/>
          <w:szCs w:val="14"/>
          <w:b w:val="1"/>
          <w:bCs w:val="1"/>
          <w:color w:val="auto"/>
        </w:rPr>
        <w:t>WESTWOOD HOLDINGS GROUP, INC.</w:t>
      </w:r>
    </w:p>
    <w:p>
      <w:pPr>
        <w:spacing w:after="0" w:line="94" w:lineRule="exact"/>
        <w:rPr>
          <w:sz w:val="20"/>
          <w:szCs w:val="20"/>
          <w:color w:val="auto"/>
        </w:rPr>
      </w:pPr>
    </w:p>
    <w:p>
      <w:pPr>
        <w:ind w:left="3540"/>
        <w:spacing w:after="0"/>
        <w:rPr>
          <w:sz w:val="20"/>
          <w:szCs w:val="20"/>
          <w:color w:val="auto"/>
        </w:rPr>
      </w:pPr>
      <w:r>
        <w:rPr>
          <w:rFonts w:ascii="Times New Roman" w:cs="Times New Roman" w:eastAsia="Times New Roman" w:hAnsi="Times New Roman"/>
          <w:sz w:val="14"/>
          <w:szCs w:val="14"/>
          <w:b w:val="1"/>
          <w:bCs w:val="1"/>
          <w:color w:val="auto"/>
        </w:rPr>
        <w:t>CONSOLIDATED STATEMENTS OF STOCKHOLDERS’ EQUITY</w:t>
      </w:r>
    </w:p>
    <w:p>
      <w:pPr>
        <w:spacing w:after="0" w:line="2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4"/>
          <w:szCs w:val="14"/>
          <w:b w:val="1"/>
          <w:bCs w:val="1"/>
          <w:color w:val="auto"/>
        </w:rPr>
        <w:t>(in thousands, except share data)</w:t>
      </w:r>
    </w:p>
    <w:p>
      <w:pPr>
        <w:spacing w:after="0" w:line="262" w:lineRule="exact"/>
        <w:rPr>
          <w:sz w:val="20"/>
          <w:szCs w:val="20"/>
          <w:color w:val="auto"/>
        </w:rPr>
      </w:pPr>
    </w:p>
    <w:p>
      <w:pPr>
        <w:jc w:val="center"/>
        <w:ind w:right="2000"/>
        <w:spacing w:after="0"/>
        <w:rPr>
          <w:sz w:val="20"/>
          <w:szCs w:val="20"/>
          <w:color w:val="auto"/>
        </w:rPr>
      </w:pPr>
      <w:r>
        <w:rPr>
          <w:rFonts w:ascii="Times New Roman" w:cs="Times New Roman" w:eastAsia="Times New Roman" w:hAnsi="Times New Roman"/>
          <w:sz w:val="10"/>
          <w:szCs w:val="10"/>
          <w:b w:val="1"/>
          <w:bCs w:val="1"/>
          <w:color w:val="auto"/>
        </w:rPr>
        <w:t>Westwood Holdings</w:t>
      </w:r>
    </w:p>
    <w:p>
      <w:pPr>
        <w:jc w:val="center"/>
        <w:ind w:right="2000"/>
        <w:spacing w:after="0" w:line="221" w:lineRule="auto"/>
        <w:rPr>
          <w:sz w:val="20"/>
          <w:szCs w:val="20"/>
          <w:color w:val="auto"/>
        </w:rPr>
      </w:pPr>
      <w:r>
        <w:rPr>
          <w:rFonts w:ascii="Times New Roman" w:cs="Times New Roman" w:eastAsia="Times New Roman" w:hAnsi="Times New Roman"/>
          <w:sz w:val="10"/>
          <w:szCs w:val="10"/>
          <w:b w:val="1"/>
          <w:bCs w:val="1"/>
          <w:color w:val="auto"/>
        </w:rPr>
        <w:t>Group, Inc.</w:t>
      </w:r>
    </w:p>
    <w:tbl>
      <w:tblPr>
        <w:tblLayout w:type="fixed"/>
        <w:tblInd w:w="0" w:type="dxa"/>
        <w:tblCellMar>
          <w:top w:w="0" w:type="dxa"/>
          <w:left w:w="0" w:type="dxa"/>
          <w:bottom w:w="0" w:type="dxa"/>
          <w:right w:w="0" w:type="dxa"/>
        </w:tblCellMar>
      </w:tblPr>
      <w:tr>
        <w:trPr>
          <w:trHeight w:val="99"/>
        </w:trPr>
        <w:tc>
          <w:tcPr>
            <w:tcW w:w="3620" w:type="dxa"/>
            <w:vAlign w:val="bottom"/>
          </w:tcPr>
          <w:p>
            <w:pPr>
              <w:spacing w:after="0"/>
              <w:rPr>
                <w:sz w:val="8"/>
                <w:szCs w:val="8"/>
                <w:color w:val="auto"/>
              </w:rPr>
            </w:pPr>
          </w:p>
        </w:tc>
        <w:tc>
          <w:tcPr>
            <w:tcW w:w="1760" w:type="dxa"/>
            <w:vAlign w:val="bottom"/>
            <w:gridSpan w:val="3"/>
          </w:tcPr>
          <w:p>
            <w:pPr>
              <w:jc w:val="right"/>
              <w:ind w:right="265"/>
              <w:spacing w:after="0" w:line="99" w:lineRule="exact"/>
              <w:rPr>
                <w:sz w:val="20"/>
                <w:szCs w:val="20"/>
                <w:color w:val="auto"/>
              </w:rPr>
            </w:pPr>
            <w:r>
              <w:rPr>
                <w:rFonts w:ascii="Times New Roman" w:cs="Times New Roman" w:eastAsia="Times New Roman" w:hAnsi="Times New Roman"/>
                <w:sz w:val="10"/>
                <w:szCs w:val="10"/>
                <w:b w:val="1"/>
                <w:bCs w:val="1"/>
                <w:color w:val="auto"/>
              </w:rPr>
              <w:t>Common Stock, Par</w:t>
            </w:r>
          </w:p>
        </w:tc>
        <w:tc>
          <w:tcPr>
            <w:tcW w:w="260" w:type="dxa"/>
            <w:vAlign w:val="bottom"/>
          </w:tcPr>
          <w:p>
            <w:pPr>
              <w:spacing w:after="0"/>
              <w:rPr>
                <w:sz w:val="8"/>
                <w:szCs w:val="8"/>
                <w:color w:val="auto"/>
              </w:rPr>
            </w:pPr>
          </w:p>
        </w:tc>
        <w:tc>
          <w:tcPr>
            <w:tcW w:w="100" w:type="dxa"/>
            <w:vAlign w:val="bottom"/>
          </w:tcPr>
          <w:p>
            <w:pPr>
              <w:spacing w:after="0"/>
              <w:rPr>
                <w:sz w:val="8"/>
                <w:szCs w:val="8"/>
                <w:color w:val="auto"/>
              </w:rPr>
            </w:pPr>
          </w:p>
        </w:tc>
        <w:tc>
          <w:tcPr>
            <w:tcW w:w="160" w:type="dxa"/>
            <w:vAlign w:val="bottom"/>
          </w:tcPr>
          <w:p>
            <w:pPr>
              <w:spacing w:after="0"/>
              <w:rPr>
                <w:sz w:val="8"/>
                <w:szCs w:val="8"/>
                <w:color w:val="auto"/>
              </w:rPr>
            </w:pPr>
          </w:p>
        </w:tc>
        <w:tc>
          <w:tcPr>
            <w:tcW w:w="900" w:type="dxa"/>
            <w:vAlign w:val="bottom"/>
            <w:gridSpan w:val="2"/>
          </w:tcPr>
          <w:p>
            <w:pPr>
              <w:jc w:val="center"/>
              <w:ind w:right="240"/>
              <w:spacing w:after="0" w:line="99" w:lineRule="exact"/>
              <w:rPr>
                <w:sz w:val="20"/>
                <w:szCs w:val="20"/>
                <w:color w:val="auto"/>
              </w:rPr>
            </w:pPr>
            <w:r>
              <w:rPr>
                <w:rFonts w:ascii="Times New Roman" w:cs="Times New Roman" w:eastAsia="Times New Roman" w:hAnsi="Times New Roman"/>
                <w:sz w:val="10"/>
                <w:szCs w:val="10"/>
                <w:b w:val="1"/>
                <w:bCs w:val="1"/>
                <w:color w:val="auto"/>
              </w:rPr>
              <w:t>Additional</w:t>
            </w:r>
          </w:p>
        </w:tc>
        <w:tc>
          <w:tcPr>
            <w:tcW w:w="160" w:type="dxa"/>
            <w:vAlign w:val="bottom"/>
          </w:tcPr>
          <w:p>
            <w:pPr>
              <w:spacing w:after="0"/>
              <w:rPr>
                <w:sz w:val="8"/>
                <w:szCs w:val="8"/>
                <w:color w:val="auto"/>
              </w:rPr>
            </w:pPr>
          </w:p>
        </w:tc>
        <w:tc>
          <w:tcPr>
            <w:tcW w:w="700" w:type="dxa"/>
            <w:vAlign w:val="bottom"/>
          </w:tcPr>
          <w:p>
            <w:pPr>
              <w:spacing w:after="0"/>
              <w:rPr>
                <w:sz w:val="8"/>
                <w:szCs w:val="8"/>
                <w:color w:val="auto"/>
              </w:rPr>
            </w:pPr>
          </w:p>
        </w:tc>
        <w:tc>
          <w:tcPr>
            <w:tcW w:w="100" w:type="dxa"/>
            <w:vAlign w:val="bottom"/>
          </w:tcPr>
          <w:p>
            <w:pPr>
              <w:spacing w:after="0"/>
              <w:rPr>
                <w:sz w:val="8"/>
                <w:szCs w:val="8"/>
                <w:color w:val="auto"/>
              </w:rPr>
            </w:pPr>
          </w:p>
        </w:tc>
        <w:tc>
          <w:tcPr>
            <w:tcW w:w="200" w:type="dxa"/>
            <w:vAlign w:val="bottom"/>
          </w:tcPr>
          <w:p>
            <w:pPr>
              <w:spacing w:after="0"/>
              <w:rPr>
                <w:sz w:val="8"/>
                <w:szCs w:val="8"/>
                <w:color w:val="auto"/>
              </w:rPr>
            </w:pPr>
          </w:p>
        </w:tc>
        <w:tc>
          <w:tcPr>
            <w:tcW w:w="940" w:type="dxa"/>
            <w:vAlign w:val="bottom"/>
            <w:gridSpan w:val="2"/>
          </w:tcPr>
          <w:p>
            <w:pPr>
              <w:jc w:val="center"/>
              <w:ind w:right="280"/>
              <w:spacing w:after="0" w:line="99" w:lineRule="exact"/>
              <w:rPr>
                <w:sz w:val="20"/>
                <w:szCs w:val="20"/>
                <w:color w:val="auto"/>
              </w:rPr>
            </w:pPr>
            <w:r>
              <w:rPr>
                <w:rFonts w:ascii="Times New Roman" w:cs="Times New Roman" w:eastAsia="Times New Roman" w:hAnsi="Times New Roman"/>
                <w:sz w:val="10"/>
                <w:szCs w:val="10"/>
                <w:b w:val="1"/>
                <w:bCs w:val="1"/>
                <w:color w:val="auto"/>
                <w:w w:val="99"/>
              </w:rPr>
              <w:t>Retained</w:t>
            </w:r>
          </w:p>
        </w:tc>
        <w:tc>
          <w:tcPr>
            <w:tcW w:w="140" w:type="dxa"/>
            <w:vAlign w:val="bottom"/>
          </w:tcPr>
          <w:p>
            <w:pPr>
              <w:spacing w:after="0"/>
              <w:rPr>
                <w:sz w:val="8"/>
                <w:szCs w:val="8"/>
                <w:color w:val="auto"/>
              </w:rPr>
            </w:pPr>
          </w:p>
        </w:tc>
        <w:tc>
          <w:tcPr>
            <w:tcW w:w="1240" w:type="dxa"/>
            <w:vAlign w:val="bottom"/>
          </w:tcPr>
          <w:p>
            <w:pPr>
              <w:spacing w:after="0"/>
              <w:rPr>
                <w:sz w:val="8"/>
                <w:szCs w:val="8"/>
                <w:color w:val="auto"/>
              </w:rPr>
            </w:pPr>
          </w:p>
        </w:tc>
        <w:tc>
          <w:tcPr>
            <w:tcW w:w="100" w:type="dxa"/>
            <w:vAlign w:val="bottom"/>
          </w:tcPr>
          <w:p>
            <w:pPr>
              <w:spacing w:after="0"/>
              <w:rPr>
                <w:sz w:val="8"/>
                <w:szCs w:val="8"/>
                <w:color w:val="auto"/>
              </w:rPr>
            </w:pPr>
          </w:p>
        </w:tc>
        <w:tc>
          <w:tcPr>
            <w:tcW w:w="200" w:type="dxa"/>
            <w:vAlign w:val="bottom"/>
          </w:tcPr>
          <w:p>
            <w:pPr>
              <w:spacing w:after="0"/>
              <w:rPr>
                <w:sz w:val="8"/>
                <w:szCs w:val="8"/>
                <w:color w:val="auto"/>
              </w:rPr>
            </w:pPr>
          </w:p>
        </w:tc>
        <w:tc>
          <w:tcPr>
            <w:tcW w:w="70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32"/>
        </w:trPr>
        <w:tc>
          <w:tcPr>
            <w:tcW w:w="3620" w:type="dxa"/>
            <w:vAlign w:val="bottom"/>
          </w:tcPr>
          <w:p>
            <w:pPr>
              <w:spacing w:after="0"/>
              <w:rPr>
                <w:sz w:val="2"/>
                <w:szCs w:val="2"/>
                <w:color w:val="auto"/>
              </w:rPr>
            </w:pPr>
          </w:p>
        </w:tc>
        <w:tc>
          <w:tcPr>
            <w:tcW w:w="96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700" w:type="dxa"/>
            <w:vAlign w:val="bottom"/>
            <w:tcBorders>
              <w:bottom w:val="single" w:sz="8" w:color="auto"/>
            </w:tcBorders>
          </w:tcPr>
          <w:p>
            <w:pPr>
              <w:spacing w:after="0"/>
              <w:rPr>
                <w:sz w:val="2"/>
                <w:szCs w:val="2"/>
                <w:color w:val="auto"/>
              </w:rPr>
            </w:pPr>
          </w:p>
        </w:tc>
        <w:tc>
          <w:tcPr>
            <w:tcW w:w="26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160" w:type="dxa"/>
            <w:vAlign w:val="bottom"/>
          </w:tcPr>
          <w:p>
            <w:pPr>
              <w:spacing w:after="0"/>
              <w:rPr>
                <w:sz w:val="2"/>
                <w:szCs w:val="2"/>
                <w:color w:val="auto"/>
              </w:rPr>
            </w:pPr>
          </w:p>
        </w:tc>
        <w:tc>
          <w:tcPr>
            <w:tcW w:w="900" w:type="dxa"/>
            <w:vAlign w:val="bottom"/>
            <w:gridSpan w:val="2"/>
            <w:vMerge w:val="restart"/>
          </w:tcPr>
          <w:p>
            <w:pPr>
              <w:jc w:val="center"/>
              <w:ind w:right="260"/>
              <w:spacing w:after="0" w:line="96" w:lineRule="exact"/>
              <w:rPr>
                <w:sz w:val="20"/>
                <w:szCs w:val="20"/>
                <w:color w:val="auto"/>
              </w:rPr>
            </w:pPr>
            <w:r>
              <w:rPr>
                <w:rFonts w:ascii="Times New Roman" w:cs="Times New Roman" w:eastAsia="Times New Roman" w:hAnsi="Times New Roman"/>
                <w:sz w:val="10"/>
                <w:szCs w:val="10"/>
                <w:b w:val="1"/>
                <w:bCs w:val="1"/>
                <w:color w:val="auto"/>
                <w:w w:val="99"/>
              </w:rPr>
              <w:t>Paid-In</w:t>
            </w:r>
          </w:p>
        </w:tc>
        <w:tc>
          <w:tcPr>
            <w:tcW w:w="160" w:type="dxa"/>
            <w:vAlign w:val="bottom"/>
          </w:tcPr>
          <w:p>
            <w:pPr>
              <w:spacing w:after="0"/>
              <w:rPr>
                <w:sz w:val="2"/>
                <w:szCs w:val="2"/>
                <w:color w:val="auto"/>
              </w:rPr>
            </w:pPr>
          </w:p>
        </w:tc>
        <w:tc>
          <w:tcPr>
            <w:tcW w:w="800" w:type="dxa"/>
            <w:vAlign w:val="bottom"/>
            <w:gridSpan w:val="2"/>
            <w:vMerge w:val="restart"/>
          </w:tcPr>
          <w:p>
            <w:pPr>
              <w:ind w:left="80"/>
              <w:spacing w:after="0" w:line="96" w:lineRule="exact"/>
              <w:rPr>
                <w:sz w:val="20"/>
                <w:szCs w:val="20"/>
                <w:color w:val="auto"/>
              </w:rPr>
            </w:pPr>
            <w:r>
              <w:rPr>
                <w:rFonts w:ascii="Times New Roman" w:cs="Times New Roman" w:eastAsia="Times New Roman" w:hAnsi="Times New Roman"/>
                <w:sz w:val="10"/>
                <w:szCs w:val="10"/>
                <w:b w:val="1"/>
                <w:bCs w:val="1"/>
                <w:color w:val="auto"/>
              </w:rPr>
              <w:t>Treasury</w:t>
            </w:r>
          </w:p>
        </w:tc>
        <w:tc>
          <w:tcPr>
            <w:tcW w:w="1140" w:type="dxa"/>
            <w:vAlign w:val="bottom"/>
            <w:gridSpan w:val="3"/>
            <w:vMerge w:val="restart"/>
          </w:tcPr>
          <w:p>
            <w:pPr>
              <w:ind w:left="20"/>
              <w:spacing w:after="0" w:line="96" w:lineRule="exact"/>
              <w:rPr>
                <w:sz w:val="20"/>
                <w:szCs w:val="20"/>
                <w:color w:val="auto"/>
              </w:rPr>
            </w:pPr>
            <w:r>
              <w:rPr>
                <w:rFonts w:ascii="Times New Roman" w:cs="Times New Roman" w:eastAsia="Times New Roman" w:hAnsi="Times New Roman"/>
                <w:sz w:val="10"/>
                <w:szCs w:val="10"/>
                <w:b w:val="1"/>
                <w:bCs w:val="1"/>
                <w:color w:val="auto"/>
              </w:rPr>
              <w:t>Earnings (Accumulated</w:t>
            </w:r>
          </w:p>
        </w:tc>
        <w:tc>
          <w:tcPr>
            <w:tcW w:w="140" w:type="dxa"/>
            <w:vAlign w:val="bottom"/>
          </w:tcPr>
          <w:p>
            <w:pPr>
              <w:spacing w:after="0"/>
              <w:rPr>
                <w:sz w:val="2"/>
                <w:szCs w:val="2"/>
                <w:color w:val="auto"/>
              </w:rPr>
            </w:pPr>
          </w:p>
        </w:tc>
        <w:tc>
          <w:tcPr>
            <w:tcW w:w="1240" w:type="dxa"/>
            <w:vAlign w:val="bottom"/>
          </w:tcPr>
          <w:p>
            <w:pPr>
              <w:spacing w:after="0"/>
              <w:rPr>
                <w:sz w:val="2"/>
                <w:szCs w:val="2"/>
                <w:color w:val="auto"/>
              </w:rPr>
            </w:pPr>
          </w:p>
        </w:tc>
        <w:tc>
          <w:tcPr>
            <w:tcW w:w="100" w:type="dxa"/>
            <w:vAlign w:val="bottom"/>
          </w:tcPr>
          <w:p>
            <w:pPr>
              <w:spacing w:after="0"/>
              <w:rPr>
                <w:sz w:val="2"/>
                <w:szCs w:val="2"/>
                <w:color w:val="auto"/>
              </w:rPr>
            </w:pPr>
          </w:p>
        </w:tc>
        <w:tc>
          <w:tcPr>
            <w:tcW w:w="200" w:type="dxa"/>
            <w:vAlign w:val="bottom"/>
          </w:tcPr>
          <w:p>
            <w:pPr>
              <w:spacing w:after="0"/>
              <w:rPr>
                <w:sz w:val="2"/>
                <w:szCs w:val="2"/>
                <w:color w:val="auto"/>
              </w:rPr>
            </w:pPr>
          </w:p>
        </w:tc>
        <w:tc>
          <w:tcPr>
            <w:tcW w:w="700" w:type="dxa"/>
            <w:vAlign w:val="bottom"/>
          </w:tcPr>
          <w:p>
            <w:pPr>
              <w:spacing w:after="0"/>
              <w:rPr>
                <w:sz w:val="2"/>
                <w:szCs w:val="2"/>
                <w:color w:val="auto"/>
              </w:rPr>
            </w:pPr>
          </w:p>
        </w:tc>
        <w:tc>
          <w:tcPr>
            <w:tcW w:w="0" w:type="dxa"/>
            <w:vAlign w:val="bottom"/>
          </w:tcPr>
          <w:p>
            <w:pPr>
              <w:spacing w:after="0"/>
              <w:rPr>
                <w:sz w:val="1"/>
                <w:szCs w:val="1"/>
                <w:color w:val="auto"/>
              </w:rPr>
            </w:pPr>
          </w:p>
        </w:tc>
      </w:tr>
      <w:tr>
        <w:trPr>
          <w:trHeight w:val="44"/>
        </w:trPr>
        <w:tc>
          <w:tcPr>
            <w:tcW w:w="3620" w:type="dxa"/>
            <w:vAlign w:val="bottom"/>
          </w:tcPr>
          <w:p>
            <w:pPr>
              <w:spacing w:after="0"/>
              <w:rPr>
                <w:sz w:val="3"/>
                <w:szCs w:val="3"/>
                <w:color w:val="auto"/>
              </w:rPr>
            </w:pPr>
          </w:p>
        </w:tc>
        <w:tc>
          <w:tcPr>
            <w:tcW w:w="960" w:type="dxa"/>
            <w:vAlign w:val="bottom"/>
          </w:tcPr>
          <w:p>
            <w:pPr>
              <w:spacing w:after="0"/>
              <w:rPr>
                <w:sz w:val="3"/>
                <w:szCs w:val="3"/>
                <w:color w:val="auto"/>
              </w:rPr>
            </w:pPr>
          </w:p>
        </w:tc>
        <w:tc>
          <w:tcPr>
            <w:tcW w:w="100" w:type="dxa"/>
            <w:vAlign w:val="bottom"/>
          </w:tcPr>
          <w:p>
            <w:pPr>
              <w:spacing w:after="0"/>
              <w:rPr>
                <w:sz w:val="3"/>
                <w:szCs w:val="3"/>
                <w:color w:val="auto"/>
              </w:rPr>
            </w:pPr>
          </w:p>
        </w:tc>
        <w:tc>
          <w:tcPr>
            <w:tcW w:w="700" w:type="dxa"/>
            <w:vAlign w:val="bottom"/>
          </w:tcPr>
          <w:p>
            <w:pPr>
              <w:spacing w:after="0"/>
              <w:rPr>
                <w:sz w:val="3"/>
                <w:szCs w:val="3"/>
                <w:color w:val="auto"/>
              </w:rPr>
            </w:pPr>
          </w:p>
        </w:tc>
        <w:tc>
          <w:tcPr>
            <w:tcW w:w="260" w:type="dxa"/>
            <w:vAlign w:val="bottom"/>
          </w:tcPr>
          <w:p>
            <w:pPr>
              <w:spacing w:after="0"/>
              <w:rPr>
                <w:sz w:val="3"/>
                <w:szCs w:val="3"/>
                <w:color w:val="auto"/>
              </w:rPr>
            </w:pPr>
          </w:p>
        </w:tc>
        <w:tc>
          <w:tcPr>
            <w:tcW w:w="100" w:type="dxa"/>
            <w:vAlign w:val="bottom"/>
          </w:tcPr>
          <w:p>
            <w:pPr>
              <w:spacing w:after="0"/>
              <w:rPr>
                <w:sz w:val="3"/>
                <w:szCs w:val="3"/>
                <w:color w:val="auto"/>
              </w:rPr>
            </w:pPr>
          </w:p>
        </w:tc>
        <w:tc>
          <w:tcPr>
            <w:tcW w:w="160" w:type="dxa"/>
            <w:vAlign w:val="bottom"/>
          </w:tcPr>
          <w:p>
            <w:pPr>
              <w:spacing w:after="0"/>
              <w:rPr>
                <w:sz w:val="3"/>
                <w:szCs w:val="3"/>
                <w:color w:val="auto"/>
              </w:rPr>
            </w:pPr>
          </w:p>
        </w:tc>
        <w:tc>
          <w:tcPr>
            <w:tcW w:w="900" w:type="dxa"/>
            <w:vAlign w:val="bottom"/>
            <w:gridSpan w:val="2"/>
            <w:vMerge w:val="continue"/>
          </w:tcPr>
          <w:p>
            <w:pPr>
              <w:spacing w:after="0"/>
              <w:rPr>
                <w:sz w:val="3"/>
                <w:szCs w:val="3"/>
                <w:color w:val="auto"/>
              </w:rPr>
            </w:pPr>
          </w:p>
        </w:tc>
        <w:tc>
          <w:tcPr>
            <w:tcW w:w="160" w:type="dxa"/>
            <w:vAlign w:val="bottom"/>
          </w:tcPr>
          <w:p>
            <w:pPr>
              <w:spacing w:after="0"/>
              <w:rPr>
                <w:sz w:val="3"/>
                <w:szCs w:val="3"/>
                <w:color w:val="auto"/>
              </w:rPr>
            </w:pPr>
          </w:p>
        </w:tc>
        <w:tc>
          <w:tcPr>
            <w:tcW w:w="800" w:type="dxa"/>
            <w:vAlign w:val="bottom"/>
            <w:gridSpan w:val="2"/>
            <w:vMerge w:val="continue"/>
          </w:tcPr>
          <w:p>
            <w:pPr>
              <w:spacing w:after="0"/>
              <w:rPr>
                <w:sz w:val="3"/>
                <w:szCs w:val="3"/>
                <w:color w:val="auto"/>
              </w:rPr>
            </w:pPr>
          </w:p>
        </w:tc>
        <w:tc>
          <w:tcPr>
            <w:tcW w:w="1140" w:type="dxa"/>
            <w:vAlign w:val="bottom"/>
            <w:gridSpan w:val="3"/>
            <w:vMerge w:val="continue"/>
          </w:tcPr>
          <w:p>
            <w:pPr>
              <w:spacing w:after="0"/>
              <w:rPr>
                <w:sz w:val="3"/>
                <w:szCs w:val="3"/>
                <w:color w:val="auto"/>
              </w:rPr>
            </w:pPr>
          </w:p>
        </w:tc>
        <w:tc>
          <w:tcPr>
            <w:tcW w:w="140" w:type="dxa"/>
            <w:vAlign w:val="bottom"/>
          </w:tcPr>
          <w:p>
            <w:pPr>
              <w:spacing w:after="0"/>
              <w:rPr>
                <w:sz w:val="3"/>
                <w:szCs w:val="3"/>
                <w:color w:val="auto"/>
              </w:rPr>
            </w:pPr>
          </w:p>
        </w:tc>
        <w:tc>
          <w:tcPr>
            <w:tcW w:w="1240" w:type="dxa"/>
            <w:vAlign w:val="bottom"/>
          </w:tcPr>
          <w:p>
            <w:pPr>
              <w:spacing w:after="0"/>
              <w:rPr>
                <w:sz w:val="3"/>
                <w:szCs w:val="3"/>
                <w:color w:val="auto"/>
              </w:rPr>
            </w:pPr>
          </w:p>
        </w:tc>
        <w:tc>
          <w:tcPr>
            <w:tcW w:w="100" w:type="dxa"/>
            <w:vAlign w:val="bottom"/>
          </w:tcPr>
          <w:p>
            <w:pPr>
              <w:spacing w:after="0"/>
              <w:rPr>
                <w:sz w:val="3"/>
                <w:szCs w:val="3"/>
                <w:color w:val="auto"/>
              </w:rPr>
            </w:pPr>
          </w:p>
        </w:tc>
        <w:tc>
          <w:tcPr>
            <w:tcW w:w="200" w:type="dxa"/>
            <w:vAlign w:val="bottom"/>
          </w:tcPr>
          <w:p>
            <w:pPr>
              <w:spacing w:after="0"/>
              <w:rPr>
                <w:sz w:val="3"/>
                <w:szCs w:val="3"/>
                <w:color w:val="auto"/>
              </w:rPr>
            </w:pPr>
          </w:p>
        </w:tc>
        <w:tc>
          <w:tcPr>
            <w:tcW w:w="700" w:type="dxa"/>
            <w:vAlign w:val="bottom"/>
          </w:tcPr>
          <w:p>
            <w:pPr>
              <w:spacing w:after="0"/>
              <w:rPr>
                <w:sz w:val="3"/>
                <w:szCs w:val="3"/>
                <w:color w:val="auto"/>
              </w:rPr>
            </w:pPr>
          </w:p>
        </w:tc>
        <w:tc>
          <w:tcPr>
            <w:tcW w:w="0" w:type="dxa"/>
            <w:vAlign w:val="bottom"/>
          </w:tcPr>
          <w:p>
            <w:pPr>
              <w:spacing w:after="0"/>
              <w:rPr>
                <w:sz w:val="1"/>
                <w:szCs w:val="1"/>
                <w:color w:val="auto"/>
              </w:rPr>
            </w:pPr>
          </w:p>
        </w:tc>
      </w:tr>
      <w:tr>
        <w:trPr>
          <w:trHeight w:val="142"/>
        </w:trPr>
        <w:tc>
          <w:tcPr>
            <w:tcW w:w="3620" w:type="dxa"/>
            <w:vAlign w:val="bottom"/>
          </w:tcPr>
          <w:p>
            <w:pPr>
              <w:spacing w:after="0"/>
              <w:rPr>
                <w:sz w:val="12"/>
                <w:szCs w:val="12"/>
                <w:color w:val="auto"/>
              </w:rPr>
            </w:pPr>
          </w:p>
        </w:tc>
        <w:tc>
          <w:tcPr>
            <w:tcW w:w="1060" w:type="dxa"/>
            <w:vAlign w:val="bottom"/>
            <w:gridSpan w:val="2"/>
          </w:tcPr>
          <w:p>
            <w:pPr>
              <w:ind w:left="340"/>
              <w:spacing w:after="0"/>
              <w:rPr>
                <w:sz w:val="20"/>
                <w:szCs w:val="20"/>
                <w:color w:val="auto"/>
              </w:rPr>
            </w:pPr>
            <w:r>
              <w:rPr>
                <w:rFonts w:ascii="Times New Roman" w:cs="Times New Roman" w:eastAsia="Times New Roman" w:hAnsi="Times New Roman"/>
                <w:sz w:val="10"/>
                <w:szCs w:val="10"/>
                <w:b w:val="1"/>
                <w:bCs w:val="1"/>
                <w:color w:val="auto"/>
              </w:rPr>
              <w:t>Shares</w:t>
            </w:r>
          </w:p>
        </w:tc>
        <w:tc>
          <w:tcPr>
            <w:tcW w:w="700" w:type="dxa"/>
            <w:vAlign w:val="bottom"/>
          </w:tcPr>
          <w:p>
            <w:pPr>
              <w:jc w:val="right"/>
              <w:spacing w:after="0"/>
              <w:rPr>
                <w:sz w:val="20"/>
                <w:szCs w:val="20"/>
                <w:color w:val="auto"/>
              </w:rPr>
            </w:pPr>
            <w:r>
              <w:rPr>
                <w:rFonts w:ascii="Times New Roman" w:cs="Times New Roman" w:eastAsia="Times New Roman" w:hAnsi="Times New Roman"/>
                <w:sz w:val="10"/>
                <w:szCs w:val="10"/>
                <w:b w:val="1"/>
                <w:bCs w:val="1"/>
                <w:color w:val="auto"/>
              </w:rPr>
              <w:t>Amount</w:t>
            </w:r>
          </w:p>
        </w:tc>
        <w:tc>
          <w:tcPr>
            <w:tcW w:w="26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900" w:type="dxa"/>
            <w:vAlign w:val="bottom"/>
            <w:gridSpan w:val="2"/>
          </w:tcPr>
          <w:p>
            <w:pPr>
              <w:jc w:val="center"/>
              <w:ind w:right="240"/>
              <w:spacing w:after="0"/>
              <w:rPr>
                <w:sz w:val="20"/>
                <w:szCs w:val="20"/>
                <w:color w:val="auto"/>
              </w:rPr>
            </w:pPr>
            <w:r>
              <w:rPr>
                <w:rFonts w:ascii="Times New Roman" w:cs="Times New Roman" w:eastAsia="Times New Roman" w:hAnsi="Times New Roman"/>
                <w:sz w:val="10"/>
                <w:szCs w:val="10"/>
                <w:b w:val="1"/>
                <w:bCs w:val="1"/>
                <w:color w:val="auto"/>
                <w:w w:val="94"/>
              </w:rPr>
              <w:t>Capital</w:t>
            </w:r>
          </w:p>
        </w:tc>
        <w:tc>
          <w:tcPr>
            <w:tcW w:w="160" w:type="dxa"/>
            <w:vAlign w:val="bottom"/>
          </w:tcPr>
          <w:p>
            <w:pPr>
              <w:spacing w:after="0"/>
              <w:rPr>
                <w:sz w:val="12"/>
                <w:szCs w:val="12"/>
                <w:color w:val="auto"/>
              </w:rPr>
            </w:pPr>
          </w:p>
        </w:tc>
        <w:tc>
          <w:tcPr>
            <w:tcW w:w="800" w:type="dxa"/>
            <w:vAlign w:val="bottom"/>
            <w:gridSpan w:val="2"/>
          </w:tcPr>
          <w:p>
            <w:pPr>
              <w:ind w:left="160"/>
              <w:spacing w:after="0"/>
              <w:rPr>
                <w:sz w:val="20"/>
                <w:szCs w:val="20"/>
                <w:color w:val="auto"/>
              </w:rPr>
            </w:pPr>
            <w:r>
              <w:rPr>
                <w:rFonts w:ascii="Times New Roman" w:cs="Times New Roman" w:eastAsia="Times New Roman" w:hAnsi="Times New Roman"/>
                <w:sz w:val="10"/>
                <w:szCs w:val="10"/>
                <w:b w:val="1"/>
                <w:bCs w:val="1"/>
                <w:color w:val="auto"/>
              </w:rPr>
              <w:t>Stock</w:t>
            </w:r>
          </w:p>
        </w:tc>
        <w:tc>
          <w:tcPr>
            <w:tcW w:w="200" w:type="dxa"/>
            <w:vAlign w:val="bottom"/>
          </w:tcPr>
          <w:p>
            <w:pPr>
              <w:spacing w:after="0"/>
              <w:rPr>
                <w:sz w:val="12"/>
                <w:szCs w:val="12"/>
                <w:color w:val="auto"/>
              </w:rPr>
            </w:pPr>
          </w:p>
        </w:tc>
        <w:tc>
          <w:tcPr>
            <w:tcW w:w="940" w:type="dxa"/>
            <w:vAlign w:val="bottom"/>
            <w:gridSpan w:val="2"/>
          </w:tcPr>
          <w:p>
            <w:pPr>
              <w:jc w:val="center"/>
              <w:ind w:right="300"/>
              <w:spacing w:after="0"/>
              <w:rPr>
                <w:sz w:val="20"/>
                <w:szCs w:val="20"/>
                <w:color w:val="auto"/>
              </w:rPr>
            </w:pPr>
            <w:r>
              <w:rPr>
                <w:rFonts w:ascii="Times New Roman" w:cs="Times New Roman" w:eastAsia="Times New Roman" w:hAnsi="Times New Roman"/>
                <w:sz w:val="10"/>
                <w:szCs w:val="10"/>
                <w:b w:val="1"/>
                <w:bCs w:val="1"/>
                <w:color w:val="auto"/>
              </w:rPr>
              <w:t>Deficit)</w:t>
            </w:r>
          </w:p>
        </w:tc>
        <w:tc>
          <w:tcPr>
            <w:tcW w:w="140" w:type="dxa"/>
            <w:vAlign w:val="bottom"/>
          </w:tcPr>
          <w:p>
            <w:pPr>
              <w:spacing w:after="0"/>
              <w:rPr>
                <w:sz w:val="12"/>
                <w:szCs w:val="12"/>
                <w:color w:val="auto"/>
              </w:rPr>
            </w:pPr>
          </w:p>
        </w:tc>
        <w:tc>
          <w:tcPr>
            <w:tcW w:w="1340" w:type="dxa"/>
            <w:vAlign w:val="bottom"/>
            <w:gridSpan w:val="2"/>
          </w:tcPr>
          <w:p>
            <w:pPr>
              <w:ind w:left="60"/>
              <w:spacing w:after="0"/>
              <w:rPr>
                <w:sz w:val="20"/>
                <w:szCs w:val="20"/>
                <w:color w:val="auto"/>
              </w:rPr>
            </w:pPr>
            <w:r>
              <w:rPr>
                <w:rFonts w:ascii="Times New Roman" w:cs="Times New Roman" w:eastAsia="Times New Roman" w:hAnsi="Times New Roman"/>
                <w:sz w:val="10"/>
                <w:szCs w:val="10"/>
                <w:b w:val="1"/>
                <w:bCs w:val="1"/>
                <w:color w:val="auto"/>
              </w:rPr>
              <w:t>Noncontrolling Interest</w:t>
            </w:r>
          </w:p>
        </w:tc>
        <w:tc>
          <w:tcPr>
            <w:tcW w:w="200" w:type="dxa"/>
            <w:vAlign w:val="bottom"/>
          </w:tcPr>
          <w:p>
            <w:pPr>
              <w:spacing w:after="0"/>
              <w:rPr>
                <w:sz w:val="12"/>
                <w:szCs w:val="12"/>
                <w:color w:val="auto"/>
              </w:rPr>
            </w:pPr>
          </w:p>
        </w:tc>
        <w:tc>
          <w:tcPr>
            <w:tcW w:w="700" w:type="dxa"/>
            <w:vAlign w:val="bottom"/>
          </w:tcPr>
          <w:p>
            <w:pPr>
              <w:jc w:val="right"/>
              <w:ind w:right="284"/>
              <w:spacing w:after="0"/>
              <w:rPr>
                <w:sz w:val="20"/>
                <w:szCs w:val="20"/>
                <w:color w:val="auto"/>
              </w:rPr>
            </w:pPr>
            <w:r>
              <w:rPr>
                <w:rFonts w:ascii="Times New Roman" w:cs="Times New Roman" w:eastAsia="Times New Roman" w:hAnsi="Times New Roman"/>
                <w:sz w:val="10"/>
                <w:szCs w:val="10"/>
                <w:b w:val="1"/>
                <w:bCs w:val="1"/>
                <w:color w:val="auto"/>
              </w:rPr>
              <w:t>Total</w:t>
            </w:r>
          </w:p>
        </w:tc>
        <w:tc>
          <w:tcPr>
            <w:tcW w:w="0" w:type="dxa"/>
            <w:vAlign w:val="bottom"/>
          </w:tcPr>
          <w:p>
            <w:pPr>
              <w:spacing w:after="0"/>
              <w:rPr>
                <w:sz w:val="1"/>
                <w:szCs w:val="1"/>
                <w:color w:val="auto"/>
              </w:rPr>
            </w:pPr>
          </w:p>
        </w:tc>
      </w:tr>
      <w:tr>
        <w:trPr>
          <w:trHeight w:val="156"/>
        </w:trPr>
        <w:tc>
          <w:tcPr>
            <w:tcW w:w="3620" w:type="dxa"/>
            <w:vAlign w:val="bottom"/>
            <w:tcBorders>
              <w:top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1"/>
                <w:szCs w:val="11"/>
                <w:b w:val="1"/>
                <w:bCs w:val="1"/>
                <w:color w:val="auto"/>
              </w:rPr>
              <w:t>BALANCE, December 31, 2022</w:t>
            </w:r>
          </w:p>
        </w:tc>
        <w:tc>
          <w:tcPr>
            <w:tcW w:w="96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1"/>
                <w:szCs w:val="11"/>
                <w:color w:val="auto"/>
              </w:rPr>
              <w:t>8,881,831</w:t>
            </w:r>
          </w:p>
        </w:tc>
        <w:tc>
          <w:tcPr>
            <w:tcW w:w="100" w:type="dxa"/>
            <w:vAlign w:val="bottom"/>
            <w:tcBorders>
              <w:top w:val="single" w:sz="8" w:color="CCEEFF"/>
            </w:tcBorders>
            <w:shd w:val="clear" w:color="auto" w:fill="CCEEFF"/>
          </w:tcPr>
          <w:p>
            <w:pPr>
              <w:spacing w:after="0"/>
              <w:rPr>
                <w:sz w:val="13"/>
                <w:szCs w:val="13"/>
                <w:color w:val="auto"/>
              </w:rPr>
            </w:pPr>
          </w:p>
        </w:tc>
        <w:tc>
          <w:tcPr>
            <w:tcW w:w="700" w:type="dxa"/>
            <w:vAlign w:val="bottom"/>
            <w:tcBorders>
              <w:top w:val="single" w:sz="8" w:color="auto"/>
            </w:tcBorders>
            <w:shd w:val="clear" w:color="auto" w:fill="CCEEFF"/>
          </w:tcPr>
          <w:p>
            <w:pPr>
              <w:jc w:val="right"/>
              <w:ind w:right="565"/>
              <w:spacing w:after="0"/>
              <w:rPr>
                <w:sz w:val="20"/>
                <w:szCs w:val="20"/>
                <w:color w:val="auto"/>
              </w:rPr>
            </w:pPr>
            <w:r>
              <w:rPr>
                <w:rFonts w:ascii="Times New Roman" w:cs="Times New Roman" w:eastAsia="Times New Roman" w:hAnsi="Times New Roman"/>
                <w:sz w:val="11"/>
                <w:szCs w:val="11"/>
                <w:color w:val="auto"/>
              </w:rPr>
              <w:t>$</w:t>
            </w:r>
          </w:p>
        </w:tc>
        <w:tc>
          <w:tcPr>
            <w:tcW w:w="26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1"/>
                <w:szCs w:val="11"/>
                <w:color w:val="auto"/>
              </w:rPr>
              <w:t>115</w:t>
            </w:r>
          </w:p>
        </w:tc>
        <w:tc>
          <w:tcPr>
            <w:tcW w:w="100" w:type="dxa"/>
            <w:vAlign w:val="bottom"/>
            <w:tcBorders>
              <w:top w:val="single" w:sz="8" w:color="CCEEFF"/>
            </w:tcBorders>
            <w:shd w:val="clear" w:color="auto" w:fill="CCEEFF"/>
          </w:tcPr>
          <w:p>
            <w:pPr>
              <w:spacing w:after="0"/>
              <w:rPr>
                <w:sz w:val="13"/>
                <w:szCs w:val="13"/>
                <w:color w:val="auto"/>
              </w:rPr>
            </w:pPr>
          </w:p>
        </w:tc>
        <w:tc>
          <w:tcPr>
            <w:tcW w:w="160" w:type="dxa"/>
            <w:vAlign w:val="bottom"/>
            <w:tcBorders>
              <w:top w:val="single" w:sz="8" w:color="auto"/>
            </w:tcBorders>
            <w:shd w:val="clear" w:color="auto" w:fill="CCEEFF"/>
          </w:tcPr>
          <w:p>
            <w:pPr>
              <w:jc w:val="right"/>
              <w:ind w:right="23"/>
              <w:spacing w:after="0"/>
              <w:rPr>
                <w:sz w:val="20"/>
                <w:szCs w:val="20"/>
                <w:color w:val="auto"/>
              </w:rPr>
            </w:pPr>
            <w:r>
              <w:rPr>
                <w:rFonts w:ascii="Times New Roman" w:cs="Times New Roman" w:eastAsia="Times New Roman" w:hAnsi="Times New Roman"/>
                <w:sz w:val="11"/>
                <w:szCs w:val="11"/>
                <w:color w:val="auto"/>
              </w:rPr>
              <w:t>$</w:t>
            </w:r>
          </w:p>
        </w:tc>
        <w:tc>
          <w:tcPr>
            <w:tcW w:w="820" w:type="dxa"/>
            <w:vAlign w:val="bottom"/>
            <w:tcBorders>
              <w:top w:val="single" w:sz="8" w:color="auto"/>
            </w:tcBorders>
            <w:shd w:val="clear" w:color="auto" w:fill="CCEEFF"/>
          </w:tcPr>
          <w:p>
            <w:pPr>
              <w:jc w:val="right"/>
              <w:ind w:right="4"/>
              <w:spacing w:after="0"/>
              <w:rPr>
                <w:sz w:val="20"/>
                <w:szCs w:val="20"/>
                <w:color w:val="auto"/>
              </w:rPr>
            </w:pPr>
            <w:r>
              <w:rPr>
                <w:rFonts w:ascii="Times New Roman" w:cs="Times New Roman" w:eastAsia="Times New Roman" w:hAnsi="Times New Roman"/>
                <w:sz w:val="11"/>
                <w:szCs w:val="11"/>
                <w:color w:val="auto"/>
              </w:rPr>
              <w:t>199,914</w:t>
            </w:r>
          </w:p>
        </w:tc>
        <w:tc>
          <w:tcPr>
            <w:tcW w:w="80" w:type="dxa"/>
            <w:vAlign w:val="bottom"/>
            <w:tcBorders>
              <w:top w:val="single" w:sz="8" w:color="CCEEFF"/>
            </w:tcBorders>
            <w:shd w:val="clear" w:color="auto" w:fill="CCEEFF"/>
          </w:tcPr>
          <w:p>
            <w:pPr>
              <w:spacing w:after="0"/>
              <w:rPr>
                <w:sz w:val="13"/>
                <w:szCs w:val="13"/>
                <w:color w:val="auto"/>
              </w:rPr>
            </w:pPr>
          </w:p>
        </w:tc>
        <w:tc>
          <w:tcPr>
            <w:tcW w:w="160" w:type="dxa"/>
            <w:vAlign w:val="bottom"/>
            <w:tcBorders>
              <w:top w:val="single" w:sz="8" w:color="auto"/>
            </w:tcBorders>
            <w:shd w:val="clear" w:color="auto" w:fill="CCEEFF"/>
          </w:tcPr>
          <w:p>
            <w:pPr>
              <w:jc w:val="right"/>
              <w:ind w:right="23"/>
              <w:spacing w:after="0"/>
              <w:rPr>
                <w:sz w:val="20"/>
                <w:szCs w:val="20"/>
                <w:color w:val="auto"/>
              </w:rPr>
            </w:pPr>
            <w:r>
              <w:rPr>
                <w:rFonts w:ascii="Times New Roman" w:cs="Times New Roman" w:eastAsia="Times New Roman" w:hAnsi="Times New Roman"/>
                <w:sz w:val="11"/>
                <w:szCs w:val="11"/>
                <w:color w:val="auto"/>
              </w:rPr>
              <w:t>$</w:t>
            </w:r>
          </w:p>
        </w:tc>
        <w:tc>
          <w:tcPr>
            <w:tcW w:w="70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1"/>
                <w:szCs w:val="11"/>
                <w:color w:val="auto"/>
              </w:rPr>
              <w:t>(85,128)</w:t>
            </w:r>
          </w:p>
        </w:tc>
        <w:tc>
          <w:tcPr>
            <w:tcW w:w="100" w:type="dxa"/>
            <w:vAlign w:val="bottom"/>
            <w:tcBorders>
              <w:top w:val="single" w:sz="8" w:color="CCEEFF"/>
            </w:tcBorders>
            <w:shd w:val="clear" w:color="auto" w:fill="CCEEFF"/>
          </w:tcPr>
          <w:p>
            <w:pPr>
              <w:spacing w:after="0"/>
              <w:rPr>
                <w:sz w:val="13"/>
                <w:szCs w:val="13"/>
                <w:color w:val="auto"/>
              </w:rPr>
            </w:pPr>
          </w:p>
        </w:tc>
        <w:tc>
          <w:tcPr>
            <w:tcW w:w="200" w:type="dxa"/>
            <w:vAlign w:val="bottom"/>
            <w:tcBorders>
              <w:top w:val="single" w:sz="8" w:color="auto"/>
            </w:tcBorders>
            <w:shd w:val="clear" w:color="auto" w:fill="CCEEFF"/>
          </w:tcPr>
          <w:p>
            <w:pPr>
              <w:ind w:left="20"/>
              <w:spacing w:after="0"/>
              <w:rPr>
                <w:sz w:val="20"/>
                <w:szCs w:val="20"/>
                <w:color w:val="auto"/>
              </w:rPr>
            </w:pPr>
            <w:r>
              <w:rPr>
                <w:rFonts w:ascii="Times New Roman" w:cs="Times New Roman" w:eastAsia="Times New Roman" w:hAnsi="Times New Roman"/>
                <w:sz w:val="11"/>
                <w:szCs w:val="11"/>
                <w:color w:val="auto"/>
              </w:rPr>
              <w:t>$</w:t>
            </w:r>
          </w:p>
        </w:tc>
        <w:tc>
          <w:tcPr>
            <w:tcW w:w="86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1"/>
                <w:szCs w:val="11"/>
                <w:color w:val="auto"/>
              </w:rPr>
              <w:t>(4,253)</w:t>
            </w:r>
          </w:p>
        </w:tc>
        <w:tc>
          <w:tcPr>
            <w:tcW w:w="80" w:type="dxa"/>
            <w:vAlign w:val="bottom"/>
            <w:tcBorders>
              <w:top w:val="single" w:sz="8" w:color="CCEEFF"/>
            </w:tcBorders>
            <w:shd w:val="clear" w:color="auto" w:fill="CCEEFF"/>
          </w:tcPr>
          <w:p>
            <w:pPr>
              <w:spacing w:after="0"/>
              <w:rPr>
                <w:sz w:val="13"/>
                <w:szCs w:val="13"/>
                <w:color w:val="auto"/>
              </w:rPr>
            </w:pPr>
          </w:p>
        </w:tc>
        <w:tc>
          <w:tcPr>
            <w:tcW w:w="140" w:type="dxa"/>
            <w:vAlign w:val="bottom"/>
            <w:tcBorders>
              <w:top w:val="single" w:sz="8" w:color="auto"/>
            </w:tcBorders>
            <w:shd w:val="clear" w:color="auto" w:fill="CCEEFF"/>
          </w:tcPr>
          <w:p>
            <w:pPr>
              <w:jc w:val="right"/>
              <w:ind w:right="3"/>
              <w:spacing w:after="0"/>
              <w:rPr>
                <w:sz w:val="20"/>
                <w:szCs w:val="20"/>
                <w:color w:val="auto"/>
              </w:rPr>
            </w:pPr>
            <w:r>
              <w:rPr>
                <w:rFonts w:ascii="Times New Roman" w:cs="Times New Roman" w:eastAsia="Times New Roman" w:hAnsi="Times New Roman"/>
                <w:sz w:val="11"/>
                <w:szCs w:val="11"/>
                <w:color w:val="auto"/>
              </w:rPr>
              <w:t>$</w:t>
            </w:r>
          </w:p>
        </w:tc>
        <w:tc>
          <w:tcPr>
            <w:tcW w:w="124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1"/>
                <w:szCs w:val="11"/>
                <w:color w:val="auto"/>
              </w:rPr>
              <w:t>—</w:t>
            </w:r>
          </w:p>
        </w:tc>
        <w:tc>
          <w:tcPr>
            <w:tcW w:w="100" w:type="dxa"/>
            <w:vAlign w:val="bottom"/>
            <w:tcBorders>
              <w:top w:val="single" w:sz="8" w:color="CCEEFF"/>
            </w:tcBorders>
            <w:shd w:val="clear" w:color="auto" w:fill="CCEEFF"/>
          </w:tcPr>
          <w:p>
            <w:pPr>
              <w:spacing w:after="0"/>
              <w:rPr>
                <w:sz w:val="13"/>
                <w:szCs w:val="13"/>
                <w:color w:val="auto"/>
              </w:rPr>
            </w:pPr>
          </w:p>
        </w:tc>
        <w:tc>
          <w:tcPr>
            <w:tcW w:w="200" w:type="dxa"/>
            <w:vAlign w:val="bottom"/>
            <w:tcBorders>
              <w:top w:val="single" w:sz="8" w:color="auto"/>
            </w:tcBorders>
            <w:shd w:val="clear" w:color="auto" w:fill="CCEEFF"/>
          </w:tcPr>
          <w:p>
            <w:pPr>
              <w:jc w:val="right"/>
              <w:ind w:right="63"/>
              <w:spacing w:after="0"/>
              <w:rPr>
                <w:sz w:val="20"/>
                <w:szCs w:val="20"/>
                <w:color w:val="auto"/>
              </w:rPr>
            </w:pPr>
            <w:r>
              <w:rPr>
                <w:rFonts w:ascii="Times New Roman" w:cs="Times New Roman" w:eastAsia="Times New Roman" w:hAnsi="Times New Roman"/>
                <w:sz w:val="11"/>
                <w:szCs w:val="11"/>
                <w:color w:val="auto"/>
              </w:rPr>
              <w:t>$</w:t>
            </w:r>
          </w:p>
        </w:tc>
        <w:tc>
          <w:tcPr>
            <w:tcW w:w="70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1"/>
                <w:szCs w:val="11"/>
                <w:color w:val="auto"/>
              </w:rPr>
              <w:t>110,648</w:t>
            </w:r>
          </w:p>
        </w:tc>
        <w:tc>
          <w:tcPr>
            <w:tcW w:w="0" w:type="dxa"/>
            <w:vAlign w:val="bottom"/>
          </w:tcPr>
          <w:p>
            <w:pPr>
              <w:spacing w:after="0"/>
              <w:rPr>
                <w:sz w:val="1"/>
                <w:szCs w:val="1"/>
                <w:color w:val="auto"/>
              </w:rPr>
            </w:pPr>
          </w:p>
        </w:tc>
      </w:tr>
      <w:tr>
        <w:trPr>
          <w:trHeight w:val="153"/>
        </w:trPr>
        <w:tc>
          <w:tcPr>
            <w:tcW w:w="3620" w:type="dxa"/>
            <w:vAlign w:val="bottom"/>
          </w:tcPr>
          <w:p>
            <w:pPr>
              <w:ind w:left="20"/>
              <w:spacing w:after="0"/>
              <w:rPr>
                <w:sz w:val="20"/>
                <w:szCs w:val="20"/>
                <w:color w:val="auto"/>
              </w:rPr>
            </w:pPr>
            <w:r>
              <w:rPr>
                <w:rFonts w:ascii="Times New Roman" w:cs="Times New Roman" w:eastAsia="Times New Roman" w:hAnsi="Times New Roman"/>
                <w:sz w:val="11"/>
                <w:szCs w:val="11"/>
                <w:color w:val="auto"/>
              </w:rPr>
              <w:t>Net income</w:t>
            </w:r>
          </w:p>
        </w:tc>
        <w:tc>
          <w:tcPr>
            <w:tcW w:w="1060" w:type="dxa"/>
            <w:vAlign w:val="bottom"/>
            <w:gridSpan w:val="2"/>
          </w:tcPr>
          <w:p>
            <w:pPr>
              <w:jc w:val="right"/>
              <w:ind w:right="140"/>
              <w:spacing w:after="0"/>
              <w:rPr>
                <w:sz w:val="20"/>
                <w:szCs w:val="20"/>
                <w:color w:val="auto"/>
              </w:rPr>
            </w:pPr>
            <w:r>
              <w:rPr>
                <w:rFonts w:ascii="Times New Roman" w:cs="Times New Roman" w:eastAsia="Times New Roman" w:hAnsi="Times New Roman"/>
                <w:sz w:val="11"/>
                <w:szCs w:val="11"/>
                <w:color w:val="auto"/>
              </w:rPr>
              <w:t>—</w:t>
            </w:r>
          </w:p>
        </w:tc>
        <w:tc>
          <w:tcPr>
            <w:tcW w:w="700" w:type="dxa"/>
            <w:vAlign w:val="bottom"/>
          </w:tcPr>
          <w:p>
            <w:pPr>
              <w:spacing w:after="0"/>
              <w:rPr>
                <w:sz w:val="13"/>
                <w:szCs w:val="13"/>
                <w:color w:val="auto"/>
              </w:rPr>
            </w:pPr>
          </w:p>
        </w:tc>
        <w:tc>
          <w:tcPr>
            <w:tcW w:w="360" w:type="dxa"/>
            <w:vAlign w:val="bottom"/>
            <w:gridSpan w:val="2"/>
          </w:tcPr>
          <w:p>
            <w:pPr>
              <w:jc w:val="right"/>
              <w:ind w:right="140"/>
              <w:spacing w:after="0"/>
              <w:rPr>
                <w:sz w:val="20"/>
                <w:szCs w:val="20"/>
                <w:color w:val="auto"/>
              </w:rPr>
            </w:pPr>
            <w:r>
              <w:rPr>
                <w:rFonts w:ascii="Times New Roman" w:cs="Times New Roman" w:eastAsia="Times New Roman" w:hAnsi="Times New Roman"/>
                <w:sz w:val="11"/>
                <w:szCs w:val="11"/>
                <w:color w:val="auto"/>
              </w:rPr>
              <w:t>—</w:t>
            </w:r>
          </w:p>
        </w:tc>
        <w:tc>
          <w:tcPr>
            <w:tcW w:w="160" w:type="dxa"/>
            <w:vAlign w:val="bottom"/>
          </w:tcPr>
          <w:p>
            <w:pPr>
              <w:spacing w:after="0"/>
              <w:rPr>
                <w:sz w:val="13"/>
                <w:szCs w:val="13"/>
                <w:color w:val="auto"/>
              </w:rPr>
            </w:pPr>
          </w:p>
        </w:tc>
        <w:tc>
          <w:tcPr>
            <w:tcW w:w="900" w:type="dxa"/>
            <w:vAlign w:val="bottom"/>
            <w:gridSpan w:val="2"/>
          </w:tcPr>
          <w:p>
            <w:pPr>
              <w:jc w:val="right"/>
              <w:ind w:right="140"/>
              <w:spacing w:after="0"/>
              <w:rPr>
                <w:sz w:val="20"/>
                <w:szCs w:val="20"/>
                <w:color w:val="auto"/>
              </w:rPr>
            </w:pPr>
            <w:r>
              <w:rPr>
                <w:rFonts w:ascii="Times New Roman" w:cs="Times New Roman" w:eastAsia="Times New Roman" w:hAnsi="Times New Roman"/>
                <w:sz w:val="11"/>
                <w:szCs w:val="11"/>
                <w:color w:val="auto"/>
              </w:rPr>
              <w:t>—</w:t>
            </w:r>
          </w:p>
        </w:tc>
        <w:tc>
          <w:tcPr>
            <w:tcW w:w="160" w:type="dxa"/>
            <w:vAlign w:val="bottom"/>
          </w:tcPr>
          <w:p>
            <w:pPr>
              <w:spacing w:after="0"/>
              <w:rPr>
                <w:sz w:val="13"/>
                <w:szCs w:val="13"/>
                <w:color w:val="auto"/>
              </w:rPr>
            </w:pPr>
          </w:p>
        </w:tc>
        <w:tc>
          <w:tcPr>
            <w:tcW w:w="800" w:type="dxa"/>
            <w:vAlign w:val="bottom"/>
            <w:gridSpan w:val="2"/>
          </w:tcPr>
          <w:p>
            <w:pPr>
              <w:ind w:left="540"/>
              <w:spacing w:after="0"/>
              <w:rPr>
                <w:sz w:val="20"/>
                <w:szCs w:val="20"/>
                <w:color w:val="auto"/>
              </w:rPr>
            </w:pPr>
            <w:r>
              <w:rPr>
                <w:rFonts w:ascii="Times New Roman" w:cs="Times New Roman" w:eastAsia="Times New Roman" w:hAnsi="Times New Roman"/>
                <w:sz w:val="11"/>
                <w:szCs w:val="11"/>
                <w:color w:val="auto"/>
              </w:rPr>
              <w:t>—</w:t>
            </w:r>
          </w:p>
        </w:tc>
        <w:tc>
          <w:tcPr>
            <w:tcW w:w="200" w:type="dxa"/>
            <w:vAlign w:val="bottom"/>
          </w:tcPr>
          <w:p>
            <w:pPr>
              <w:spacing w:after="0"/>
              <w:rPr>
                <w:sz w:val="13"/>
                <w:szCs w:val="13"/>
                <w:color w:val="auto"/>
              </w:rPr>
            </w:pPr>
          </w:p>
        </w:tc>
        <w:tc>
          <w:tcPr>
            <w:tcW w:w="860" w:type="dxa"/>
            <w:vAlign w:val="bottom"/>
          </w:tcPr>
          <w:p>
            <w:pPr>
              <w:jc w:val="right"/>
              <w:ind w:right="4"/>
              <w:spacing w:after="0"/>
              <w:rPr>
                <w:sz w:val="20"/>
                <w:szCs w:val="20"/>
                <w:color w:val="auto"/>
              </w:rPr>
            </w:pPr>
            <w:r>
              <w:rPr>
                <w:rFonts w:ascii="Times New Roman" w:cs="Times New Roman" w:eastAsia="Times New Roman" w:hAnsi="Times New Roman"/>
                <w:sz w:val="11"/>
                <w:szCs w:val="11"/>
                <w:color w:val="auto"/>
              </w:rPr>
              <w:t>9,520</w:t>
            </w:r>
          </w:p>
        </w:tc>
        <w:tc>
          <w:tcPr>
            <w:tcW w:w="8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1240" w:type="dxa"/>
            <w:vAlign w:val="bottom"/>
          </w:tcPr>
          <w:p>
            <w:pPr>
              <w:jc w:val="right"/>
              <w:spacing w:after="0"/>
              <w:rPr>
                <w:sz w:val="20"/>
                <w:szCs w:val="20"/>
                <w:color w:val="auto"/>
              </w:rPr>
            </w:pPr>
            <w:r>
              <w:rPr>
                <w:rFonts w:ascii="Times New Roman" w:cs="Times New Roman" w:eastAsia="Times New Roman" w:hAnsi="Times New Roman"/>
                <w:sz w:val="11"/>
                <w:szCs w:val="11"/>
                <w:color w:val="auto"/>
              </w:rPr>
              <w:t>1,051</w:t>
            </w:r>
          </w:p>
        </w:tc>
        <w:tc>
          <w:tcPr>
            <w:tcW w:w="100" w:type="dxa"/>
            <w:vAlign w:val="bottom"/>
          </w:tcPr>
          <w:p>
            <w:pPr>
              <w:spacing w:after="0"/>
              <w:rPr>
                <w:sz w:val="13"/>
                <w:szCs w:val="13"/>
                <w:color w:val="auto"/>
              </w:rPr>
            </w:pPr>
          </w:p>
        </w:tc>
        <w:tc>
          <w:tcPr>
            <w:tcW w:w="200" w:type="dxa"/>
            <w:vAlign w:val="bottom"/>
          </w:tcPr>
          <w:p>
            <w:pPr>
              <w:spacing w:after="0"/>
              <w:rPr>
                <w:sz w:val="13"/>
                <w:szCs w:val="13"/>
                <w:color w:val="auto"/>
              </w:rPr>
            </w:pPr>
          </w:p>
        </w:tc>
        <w:tc>
          <w:tcPr>
            <w:tcW w:w="700" w:type="dxa"/>
            <w:vAlign w:val="bottom"/>
          </w:tcPr>
          <w:p>
            <w:pPr>
              <w:jc w:val="right"/>
              <w:spacing w:after="0"/>
              <w:rPr>
                <w:sz w:val="20"/>
                <w:szCs w:val="20"/>
                <w:color w:val="auto"/>
              </w:rPr>
            </w:pPr>
            <w:r>
              <w:rPr>
                <w:rFonts w:ascii="Times New Roman" w:cs="Times New Roman" w:eastAsia="Times New Roman" w:hAnsi="Times New Roman"/>
                <w:sz w:val="11"/>
                <w:szCs w:val="11"/>
                <w:color w:val="auto"/>
              </w:rPr>
              <w:t>10,571</w:t>
            </w:r>
          </w:p>
        </w:tc>
        <w:tc>
          <w:tcPr>
            <w:tcW w:w="0" w:type="dxa"/>
            <w:vAlign w:val="bottom"/>
          </w:tcPr>
          <w:p>
            <w:pPr>
              <w:spacing w:after="0"/>
              <w:rPr>
                <w:sz w:val="1"/>
                <w:szCs w:val="1"/>
                <w:color w:val="auto"/>
              </w:rPr>
            </w:pPr>
          </w:p>
        </w:tc>
      </w:tr>
      <w:tr>
        <w:trPr>
          <w:trHeight w:val="165"/>
        </w:trPr>
        <w:tc>
          <w:tcPr>
            <w:tcW w:w="362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1"/>
                <w:szCs w:val="11"/>
                <w:color w:val="auto"/>
              </w:rPr>
              <w:t>Acquisition</w:t>
            </w:r>
          </w:p>
        </w:tc>
        <w:tc>
          <w:tcPr>
            <w:tcW w:w="1060" w:type="dxa"/>
            <w:vAlign w:val="bottom"/>
            <w:gridSpan w:val="2"/>
            <w:shd w:val="clear" w:color="auto" w:fill="CCEEFF"/>
          </w:tcPr>
          <w:p>
            <w:pPr>
              <w:jc w:val="right"/>
              <w:ind w:right="140"/>
              <w:spacing w:after="0"/>
              <w:rPr>
                <w:sz w:val="20"/>
                <w:szCs w:val="20"/>
                <w:color w:val="auto"/>
              </w:rPr>
            </w:pPr>
            <w:r>
              <w:rPr>
                <w:rFonts w:ascii="Times New Roman" w:cs="Times New Roman" w:eastAsia="Times New Roman" w:hAnsi="Times New Roman"/>
                <w:sz w:val="11"/>
                <w:szCs w:val="11"/>
                <w:color w:val="auto"/>
              </w:rPr>
              <w:t>—</w:t>
            </w:r>
          </w:p>
        </w:tc>
        <w:tc>
          <w:tcPr>
            <w:tcW w:w="700" w:type="dxa"/>
            <w:vAlign w:val="bottom"/>
            <w:shd w:val="clear" w:color="auto" w:fill="CCEEFF"/>
          </w:tcPr>
          <w:p>
            <w:pPr>
              <w:spacing w:after="0"/>
              <w:rPr>
                <w:sz w:val="14"/>
                <w:szCs w:val="14"/>
                <w:color w:val="auto"/>
              </w:rPr>
            </w:pPr>
          </w:p>
        </w:tc>
        <w:tc>
          <w:tcPr>
            <w:tcW w:w="360" w:type="dxa"/>
            <w:vAlign w:val="bottom"/>
            <w:gridSpan w:val="2"/>
            <w:shd w:val="clear" w:color="auto" w:fill="CCEEFF"/>
          </w:tcPr>
          <w:p>
            <w:pPr>
              <w:jc w:val="right"/>
              <w:ind w:right="140"/>
              <w:spacing w:after="0"/>
              <w:rPr>
                <w:sz w:val="20"/>
                <w:szCs w:val="20"/>
                <w:color w:val="auto"/>
              </w:rPr>
            </w:pPr>
            <w:r>
              <w:rPr>
                <w:rFonts w:ascii="Times New Roman" w:cs="Times New Roman" w:eastAsia="Times New Roman" w:hAnsi="Times New Roman"/>
                <w:sz w:val="11"/>
                <w:szCs w:val="11"/>
                <w:color w:val="auto"/>
              </w:rPr>
              <w:t>—</w:t>
            </w:r>
          </w:p>
        </w:tc>
        <w:tc>
          <w:tcPr>
            <w:tcW w:w="160" w:type="dxa"/>
            <w:vAlign w:val="bottom"/>
            <w:shd w:val="clear" w:color="auto" w:fill="CCEEFF"/>
          </w:tcPr>
          <w:p>
            <w:pPr>
              <w:spacing w:after="0"/>
              <w:rPr>
                <w:sz w:val="14"/>
                <w:szCs w:val="14"/>
                <w:color w:val="auto"/>
              </w:rPr>
            </w:pPr>
          </w:p>
        </w:tc>
        <w:tc>
          <w:tcPr>
            <w:tcW w:w="900" w:type="dxa"/>
            <w:vAlign w:val="bottom"/>
            <w:gridSpan w:val="2"/>
            <w:shd w:val="clear" w:color="auto" w:fill="CCEEFF"/>
          </w:tcPr>
          <w:p>
            <w:pPr>
              <w:jc w:val="right"/>
              <w:ind w:right="140"/>
              <w:spacing w:after="0"/>
              <w:rPr>
                <w:sz w:val="20"/>
                <w:szCs w:val="20"/>
                <w:color w:val="auto"/>
              </w:rPr>
            </w:pPr>
            <w:r>
              <w:rPr>
                <w:rFonts w:ascii="Times New Roman" w:cs="Times New Roman" w:eastAsia="Times New Roman" w:hAnsi="Times New Roman"/>
                <w:sz w:val="11"/>
                <w:szCs w:val="11"/>
                <w:color w:val="auto"/>
              </w:rPr>
              <w:t>—</w:t>
            </w:r>
          </w:p>
        </w:tc>
        <w:tc>
          <w:tcPr>
            <w:tcW w:w="160" w:type="dxa"/>
            <w:vAlign w:val="bottom"/>
            <w:shd w:val="clear" w:color="auto" w:fill="CCEEFF"/>
          </w:tcPr>
          <w:p>
            <w:pPr>
              <w:spacing w:after="0"/>
              <w:rPr>
                <w:sz w:val="14"/>
                <w:szCs w:val="14"/>
                <w:color w:val="auto"/>
              </w:rPr>
            </w:pPr>
          </w:p>
        </w:tc>
        <w:tc>
          <w:tcPr>
            <w:tcW w:w="800" w:type="dxa"/>
            <w:vAlign w:val="bottom"/>
            <w:gridSpan w:val="2"/>
            <w:shd w:val="clear" w:color="auto" w:fill="CCEEFF"/>
          </w:tcPr>
          <w:p>
            <w:pPr>
              <w:ind w:left="540"/>
              <w:spacing w:after="0"/>
              <w:rPr>
                <w:sz w:val="20"/>
                <w:szCs w:val="20"/>
                <w:color w:val="auto"/>
              </w:rPr>
            </w:pPr>
            <w:r>
              <w:rPr>
                <w:rFonts w:ascii="Times New Roman" w:cs="Times New Roman" w:eastAsia="Times New Roman" w:hAnsi="Times New Roman"/>
                <w:sz w:val="11"/>
                <w:szCs w:val="11"/>
                <w:color w:val="auto"/>
              </w:rPr>
              <w:t>—</w:t>
            </w:r>
          </w:p>
        </w:tc>
        <w:tc>
          <w:tcPr>
            <w:tcW w:w="200" w:type="dxa"/>
            <w:vAlign w:val="bottom"/>
            <w:shd w:val="clear" w:color="auto" w:fill="CCEEFF"/>
          </w:tcPr>
          <w:p>
            <w:pPr>
              <w:spacing w:after="0"/>
              <w:rPr>
                <w:sz w:val="14"/>
                <w:szCs w:val="14"/>
                <w:color w:val="auto"/>
              </w:rPr>
            </w:pPr>
          </w:p>
        </w:tc>
        <w:tc>
          <w:tcPr>
            <w:tcW w:w="940" w:type="dxa"/>
            <w:vAlign w:val="bottom"/>
            <w:gridSpan w:val="2"/>
            <w:shd w:val="clear" w:color="auto" w:fill="CCEEFF"/>
          </w:tcPr>
          <w:p>
            <w:pPr>
              <w:jc w:val="right"/>
              <w:ind w:right="140"/>
              <w:spacing w:after="0"/>
              <w:rPr>
                <w:sz w:val="20"/>
                <w:szCs w:val="20"/>
                <w:color w:val="auto"/>
              </w:rPr>
            </w:pPr>
            <w:r>
              <w:rPr>
                <w:rFonts w:ascii="Times New Roman" w:cs="Times New Roman" w:eastAsia="Times New Roman" w:hAnsi="Times New Roman"/>
                <w:sz w:val="11"/>
                <w:szCs w:val="11"/>
                <w:color w:val="auto"/>
              </w:rPr>
              <w:t>—</w:t>
            </w:r>
          </w:p>
        </w:tc>
        <w:tc>
          <w:tcPr>
            <w:tcW w:w="140" w:type="dxa"/>
            <w:vAlign w:val="bottom"/>
            <w:shd w:val="clear" w:color="auto" w:fill="CCEEFF"/>
          </w:tcPr>
          <w:p>
            <w:pPr>
              <w:spacing w:after="0"/>
              <w:rPr>
                <w:sz w:val="14"/>
                <w:szCs w:val="14"/>
                <w:color w:val="auto"/>
              </w:rPr>
            </w:pPr>
          </w:p>
        </w:tc>
        <w:tc>
          <w:tcPr>
            <w:tcW w:w="12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1"/>
                <w:szCs w:val="11"/>
                <w:color w:val="auto"/>
              </w:rPr>
              <w:t>994</w:t>
            </w:r>
          </w:p>
        </w:tc>
        <w:tc>
          <w:tcPr>
            <w:tcW w:w="100" w:type="dxa"/>
            <w:vAlign w:val="bottom"/>
            <w:shd w:val="clear" w:color="auto" w:fill="CCEEFF"/>
          </w:tcPr>
          <w:p>
            <w:pPr>
              <w:spacing w:after="0"/>
              <w:rPr>
                <w:sz w:val="14"/>
                <w:szCs w:val="14"/>
                <w:color w:val="auto"/>
              </w:rPr>
            </w:pPr>
          </w:p>
        </w:tc>
        <w:tc>
          <w:tcPr>
            <w:tcW w:w="200" w:type="dxa"/>
            <w:vAlign w:val="bottom"/>
            <w:shd w:val="clear" w:color="auto" w:fill="CCEEFF"/>
          </w:tcPr>
          <w:p>
            <w:pPr>
              <w:spacing w:after="0"/>
              <w:rPr>
                <w:sz w:val="14"/>
                <w:szCs w:val="14"/>
                <w:color w:val="auto"/>
              </w:rPr>
            </w:pPr>
          </w:p>
        </w:tc>
        <w:tc>
          <w:tcPr>
            <w:tcW w:w="7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1"/>
                <w:szCs w:val="11"/>
                <w:color w:val="auto"/>
              </w:rPr>
              <w:t>994</w:t>
            </w:r>
          </w:p>
        </w:tc>
        <w:tc>
          <w:tcPr>
            <w:tcW w:w="0" w:type="dxa"/>
            <w:vAlign w:val="bottom"/>
          </w:tcPr>
          <w:p>
            <w:pPr>
              <w:spacing w:after="0"/>
              <w:rPr>
                <w:sz w:val="1"/>
                <w:szCs w:val="1"/>
                <w:color w:val="auto"/>
              </w:rPr>
            </w:pPr>
          </w:p>
        </w:tc>
      </w:tr>
      <w:tr>
        <w:trPr>
          <w:trHeight w:val="153"/>
        </w:trPr>
        <w:tc>
          <w:tcPr>
            <w:tcW w:w="3620" w:type="dxa"/>
            <w:vAlign w:val="bottom"/>
          </w:tcPr>
          <w:p>
            <w:pPr>
              <w:ind w:left="20"/>
              <w:spacing w:after="0"/>
              <w:rPr>
                <w:sz w:val="20"/>
                <w:szCs w:val="20"/>
                <w:color w:val="auto"/>
              </w:rPr>
            </w:pPr>
            <w:r>
              <w:rPr>
                <w:rFonts w:ascii="Times New Roman" w:cs="Times New Roman" w:eastAsia="Times New Roman" w:hAnsi="Times New Roman"/>
                <w:sz w:val="11"/>
                <w:szCs w:val="11"/>
                <w:color w:val="auto"/>
              </w:rPr>
              <w:t>Issuance of restricted stock, net of forfeitures</w:t>
            </w:r>
          </w:p>
        </w:tc>
        <w:tc>
          <w:tcPr>
            <w:tcW w:w="960" w:type="dxa"/>
            <w:vAlign w:val="bottom"/>
          </w:tcPr>
          <w:p>
            <w:pPr>
              <w:jc w:val="right"/>
              <w:spacing w:after="0"/>
              <w:rPr>
                <w:sz w:val="20"/>
                <w:szCs w:val="20"/>
                <w:color w:val="auto"/>
              </w:rPr>
            </w:pPr>
            <w:r>
              <w:rPr>
                <w:rFonts w:ascii="Times New Roman" w:cs="Times New Roman" w:eastAsia="Times New Roman" w:hAnsi="Times New Roman"/>
                <w:sz w:val="11"/>
                <w:szCs w:val="11"/>
                <w:color w:val="auto"/>
              </w:rPr>
              <w:t>329,194</w:t>
            </w:r>
          </w:p>
        </w:tc>
        <w:tc>
          <w:tcPr>
            <w:tcW w:w="100" w:type="dxa"/>
            <w:vAlign w:val="bottom"/>
          </w:tcPr>
          <w:p>
            <w:pPr>
              <w:spacing w:after="0"/>
              <w:rPr>
                <w:sz w:val="13"/>
                <w:szCs w:val="13"/>
                <w:color w:val="auto"/>
              </w:rPr>
            </w:pPr>
          </w:p>
        </w:tc>
        <w:tc>
          <w:tcPr>
            <w:tcW w:w="700" w:type="dxa"/>
            <w:vAlign w:val="bottom"/>
          </w:tcPr>
          <w:p>
            <w:pPr>
              <w:spacing w:after="0"/>
              <w:rPr>
                <w:sz w:val="13"/>
                <w:szCs w:val="13"/>
                <w:color w:val="auto"/>
              </w:rPr>
            </w:pPr>
          </w:p>
        </w:tc>
        <w:tc>
          <w:tcPr>
            <w:tcW w:w="260" w:type="dxa"/>
            <w:vAlign w:val="bottom"/>
          </w:tcPr>
          <w:p>
            <w:pPr>
              <w:jc w:val="right"/>
              <w:spacing w:after="0"/>
              <w:rPr>
                <w:sz w:val="20"/>
                <w:szCs w:val="20"/>
                <w:color w:val="auto"/>
              </w:rPr>
            </w:pPr>
            <w:r>
              <w:rPr>
                <w:rFonts w:ascii="Times New Roman" w:cs="Times New Roman" w:eastAsia="Times New Roman" w:hAnsi="Times New Roman"/>
                <w:sz w:val="11"/>
                <w:szCs w:val="11"/>
                <w:color w:val="auto"/>
              </w:rPr>
              <w:t>4</w:t>
            </w:r>
          </w:p>
        </w:tc>
        <w:tc>
          <w:tcPr>
            <w:tcW w:w="10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820" w:type="dxa"/>
            <w:vAlign w:val="bottom"/>
          </w:tcPr>
          <w:p>
            <w:pPr>
              <w:jc w:val="right"/>
              <w:spacing w:after="0"/>
              <w:rPr>
                <w:sz w:val="20"/>
                <w:szCs w:val="20"/>
                <w:color w:val="auto"/>
              </w:rPr>
            </w:pPr>
            <w:r>
              <w:rPr>
                <w:rFonts w:ascii="Times New Roman" w:cs="Times New Roman" w:eastAsia="Times New Roman" w:hAnsi="Times New Roman"/>
                <w:sz w:val="11"/>
                <w:szCs w:val="11"/>
                <w:color w:val="auto"/>
              </w:rPr>
              <w:t>(4)</w:t>
            </w:r>
          </w:p>
        </w:tc>
        <w:tc>
          <w:tcPr>
            <w:tcW w:w="8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800" w:type="dxa"/>
            <w:vAlign w:val="bottom"/>
            <w:gridSpan w:val="2"/>
          </w:tcPr>
          <w:p>
            <w:pPr>
              <w:ind w:left="540"/>
              <w:spacing w:after="0"/>
              <w:rPr>
                <w:sz w:val="20"/>
                <w:szCs w:val="20"/>
                <w:color w:val="auto"/>
              </w:rPr>
            </w:pPr>
            <w:r>
              <w:rPr>
                <w:rFonts w:ascii="Times New Roman" w:cs="Times New Roman" w:eastAsia="Times New Roman" w:hAnsi="Times New Roman"/>
                <w:sz w:val="11"/>
                <w:szCs w:val="11"/>
                <w:color w:val="auto"/>
              </w:rPr>
              <w:t>—</w:t>
            </w:r>
          </w:p>
        </w:tc>
        <w:tc>
          <w:tcPr>
            <w:tcW w:w="200" w:type="dxa"/>
            <w:vAlign w:val="bottom"/>
          </w:tcPr>
          <w:p>
            <w:pPr>
              <w:spacing w:after="0"/>
              <w:rPr>
                <w:sz w:val="13"/>
                <w:szCs w:val="13"/>
                <w:color w:val="auto"/>
              </w:rPr>
            </w:pPr>
          </w:p>
        </w:tc>
        <w:tc>
          <w:tcPr>
            <w:tcW w:w="940" w:type="dxa"/>
            <w:vAlign w:val="bottom"/>
            <w:gridSpan w:val="2"/>
          </w:tcPr>
          <w:p>
            <w:pPr>
              <w:jc w:val="right"/>
              <w:ind w:right="140"/>
              <w:spacing w:after="0"/>
              <w:rPr>
                <w:sz w:val="20"/>
                <w:szCs w:val="20"/>
                <w:color w:val="auto"/>
              </w:rPr>
            </w:pPr>
            <w:r>
              <w:rPr>
                <w:rFonts w:ascii="Times New Roman" w:cs="Times New Roman" w:eastAsia="Times New Roman" w:hAnsi="Times New Roman"/>
                <w:sz w:val="11"/>
                <w:szCs w:val="11"/>
                <w:color w:val="auto"/>
              </w:rPr>
              <w:t>—</w:t>
            </w:r>
          </w:p>
        </w:tc>
        <w:tc>
          <w:tcPr>
            <w:tcW w:w="140" w:type="dxa"/>
            <w:vAlign w:val="bottom"/>
          </w:tcPr>
          <w:p>
            <w:pPr>
              <w:spacing w:after="0"/>
              <w:rPr>
                <w:sz w:val="13"/>
                <w:szCs w:val="13"/>
                <w:color w:val="auto"/>
              </w:rPr>
            </w:pPr>
          </w:p>
        </w:tc>
        <w:tc>
          <w:tcPr>
            <w:tcW w:w="1340" w:type="dxa"/>
            <w:vAlign w:val="bottom"/>
            <w:gridSpan w:val="2"/>
          </w:tcPr>
          <w:p>
            <w:pPr>
              <w:jc w:val="right"/>
              <w:ind w:right="140"/>
              <w:spacing w:after="0"/>
              <w:rPr>
                <w:sz w:val="20"/>
                <w:szCs w:val="20"/>
                <w:color w:val="auto"/>
              </w:rPr>
            </w:pPr>
            <w:r>
              <w:rPr>
                <w:rFonts w:ascii="Times New Roman" w:cs="Times New Roman" w:eastAsia="Times New Roman" w:hAnsi="Times New Roman"/>
                <w:sz w:val="11"/>
                <w:szCs w:val="11"/>
                <w:color w:val="auto"/>
              </w:rPr>
              <w:t>—</w:t>
            </w:r>
          </w:p>
        </w:tc>
        <w:tc>
          <w:tcPr>
            <w:tcW w:w="200" w:type="dxa"/>
            <w:vAlign w:val="bottom"/>
          </w:tcPr>
          <w:p>
            <w:pPr>
              <w:spacing w:after="0"/>
              <w:rPr>
                <w:sz w:val="13"/>
                <w:szCs w:val="13"/>
                <w:color w:val="auto"/>
              </w:rPr>
            </w:pPr>
          </w:p>
        </w:tc>
        <w:tc>
          <w:tcPr>
            <w:tcW w:w="700" w:type="dxa"/>
            <w:vAlign w:val="bottom"/>
          </w:tcPr>
          <w:p>
            <w:pPr>
              <w:jc w:val="right"/>
              <w:spacing w:after="0"/>
              <w:rPr>
                <w:sz w:val="20"/>
                <w:szCs w:val="20"/>
                <w:color w:val="auto"/>
              </w:rPr>
            </w:pPr>
            <w:r>
              <w:rPr>
                <w:rFonts w:ascii="Times New Roman" w:cs="Times New Roman" w:eastAsia="Times New Roman" w:hAnsi="Times New Roman"/>
                <w:sz w:val="11"/>
                <w:szCs w:val="11"/>
                <w:color w:val="auto"/>
              </w:rPr>
              <w:t>—</w:t>
            </w:r>
          </w:p>
        </w:tc>
        <w:tc>
          <w:tcPr>
            <w:tcW w:w="0" w:type="dxa"/>
            <w:vAlign w:val="bottom"/>
          </w:tcPr>
          <w:p>
            <w:pPr>
              <w:spacing w:after="0"/>
              <w:rPr>
                <w:sz w:val="1"/>
                <w:szCs w:val="1"/>
                <w:color w:val="auto"/>
              </w:rPr>
            </w:pPr>
          </w:p>
        </w:tc>
      </w:tr>
      <w:tr>
        <w:trPr>
          <w:trHeight w:val="165"/>
        </w:trPr>
        <w:tc>
          <w:tcPr>
            <w:tcW w:w="362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1"/>
                <w:szCs w:val="11"/>
                <w:color w:val="auto"/>
              </w:rPr>
              <w:t>Stock-based compensation expense</w:t>
            </w:r>
          </w:p>
        </w:tc>
        <w:tc>
          <w:tcPr>
            <w:tcW w:w="1060" w:type="dxa"/>
            <w:vAlign w:val="bottom"/>
            <w:gridSpan w:val="2"/>
            <w:shd w:val="clear" w:color="auto" w:fill="CCEEFF"/>
          </w:tcPr>
          <w:p>
            <w:pPr>
              <w:jc w:val="right"/>
              <w:ind w:right="140"/>
              <w:spacing w:after="0"/>
              <w:rPr>
                <w:sz w:val="20"/>
                <w:szCs w:val="20"/>
                <w:color w:val="auto"/>
              </w:rPr>
            </w:pPr>
            <w:r>
              <w:rPr>
                <w:rFonts w:ascii="Times New Roman" w:cs="Times New Roman" w:eastAsia="Times New Roman" w:hAnsi="Times New Roman"/>
                <w:sz w:val="11"/>
                <w:szCs w:val="11"/>
                <w:color w:val="auto"/>
              </w:rPr>
              <w:t>—</w:t>
            </w:r>
          </w:p>
        </w:tc>
        <w:tc>
          <w:tcPr>
            <w:tcW w:w="700" w:type="dxa"/>
            <w:vAlign w:val="bottom"/>
            <w:shd w:val="clear" w:color="auto" w:fill="CCEEFF"/>
          </w:tcPr>
          <w:p>
            <w:pPr>
              <w:spacing w:after="0"/>
              <w:rPr>
                <w:sz w:val="14"/>
                <w:szCs w:val="14"/>
                <w:color w:val="auto"/>
              </w:rPr>
            </w:pPr>
          </w:p>
        </w:tc>
        <w:tc>
          <w:tcPr>
            <w:tcW w:w="360" w:type="dxa"/>
            <w:vAlign w:val="bottom"/>
            <w:gridSpan w:val="2"/>
            <w:shd w:val="clear" w:color="auto" w:fill="CCEEFF"/>
          </w:tcPr>
          <w:p>
            <w:pPr>
              <w:jc w:val="right"/>
              <w:ind w:right="140"/>
              <w:spacing w:after="0"/>
              <w:rPr>
                <w:sz w:val="20"/>
                <w:szCs w:val="20"/>
                <w:color w:val="auto"/>
              </w:rPr>
            </w:pPr>
            <w:r>
              <w:rPr>
                <w:rFonts w:ascii="Times New Roman" w:cs="Times New Roman" w:eastAsia="Times New Roman" w:hAnsi="Times New Roman"/>
                <w:sz w:val="11"/>
                <w:szCs w:val="11"/>
                <w:color w:val="auto"/>
              </w:rPr>
              <w:t>—</w:t>
            </w:r>
          </w:p>
        </w:tc>
        <w:tc>
          <w:tcPr>
            <w:tcW w:w="160" w:type="dxa"/>
            <w:vAlign w:val="bottom"/>
            <w:shd w:val="clear" w:color="auto" w:fill="CCEEFF"/>
          </w:tcPr>
          <w:p>
            <w:pPr>
              <w:spacing w:after="0"/>
              <w:rPr>
                <w:sz w:val="14"/>
                <w:szCs w:val="14"/>
                <w:color w:val="auto"/>
              </w:rPr>
            </w:pPr>
          </w:p>
        </w:tc>
        <w:tc>
          <w:tcPr>
            <w:tcW w:w="820" w:type="dxa"/>
            <w:vAlign w:val="bottom"/>
            <w:shd w:val="clear" w:color="auto" w:fill="CCEEFF"/>
          </w:tcPr>
          <w:p>
            <w:pPr>
              <w:jc w:val="right"/>
              <w:ind w:right="4"/>
              <w:spacing w:after="0"/>
              <w:rPr>
                <w:sz w:val="20"/>
                <w:szCs w:val="20"/>
                <w:color w:val="auto"/>
              </w:rPr>
            </w:pPr>
            <w:r>
              <w:rPr>
                <w:rFonts w:ascii="Times New Roman" w:cs="Times New Roman" w:eastAsia="Times New Roman" w:hAnsi="Times New Roman"/>
                <w:sz w:val="11"/>
                <w:szCs w:val="11"/>
                <w:color w:val="auto"/>
              </w:rPr>
              <w:t>6,518</w:t>
            </w:r>
          </w:p>
        </w:tc>
        <w:tc>
          <w:tcPr>
            <w:tcW w:w="80" w:type="dxa"/>
            <w:vAlign w:val="bottom"/>
            <w:shd w:val="clear" w:color="auto" w:fill="CCEEFF"/>
          </w:tcPr>
          <w:p>
            <w:pPr>
              <w:spacing w:after="0"/>
              <w:rPr>
                <w:sz w:val="14"/>
                <w:szCs w:val="14"/>
                <w:color w:val="auto"/>
              </w:rPr>
            </w:pPr>
          </w:p>
        </w:tc>
        <w:tc>
          <w:tcPr>
            <w:tcW w:w="160" w:type="dxa"/>
            <w:vAlign w:val="bottom"/>
            <w:shd w:val="clear" w:color="auto" w:fill="CCEEFF"/>
          </w:tcPr>
          <w:p>
            <w:pPr>
              <w:spacing w:after="0"/>
              <w:rPr>
                <w:sz w:val="14"/>
                <w:szCs w:val="14"/>
                <w:color w:val="auto"/>
              </w:rPr>
            </w:pPr>
          </w:p>
        </w:tc>
        <w:tc>
          <w:tcPr>
            <w:tcW w:w="800" w:type="dxa"/>
            <w:vAlign w:val="bottom"/>
            <w:gridSpan w:val="2"/>
            <w:shd w:val="clear" w:color="auto" w:fill="CCEEFF"/>
          </w:tcPr>
          <w:p>
            <w:pPr>
              <w:ind w:left="540"/>
              <w:spacing w:after="0"/>
              <w:rPr>
                <w:sz w:val="20"/>
                <w:szCs w:val="20"/>
                <w:color w:val="auto"/>
              </w:rPr>
            </w:pPr>
            <w:r>
              <w:rPr>
                <w:rFonts w:ascii="Times New Roman" w:cs="Times New Roman" w:eastAsia="Times New Roman" w:hAnsi="Times New Roman"/>
                <w:sz w:val="11"/>
                <w:szCs w:val="11"/>
                <w:color w:val="auto"/>
              </w:rPr>
              <w:t>—</w:t>
            </w:r>
          </w:p>
        </w:tc>
        <w:tc>
          <w:tcPr>
            <w:tcW w:w="200" w:type="dxa"/>
            <w:vAlign w:val="bottom"/>
            <w:shd w:val="clear" w:color="auto" w:fill="CCEEFF"/>
          </w:tcPr>
          <w:p>
            <w:pPr>
              <w:spacing w:after="0"/>
              <w:rPr>
                <w:sz w:val="14"/>
                <w:szCs w:val="14"/>
                <w:color w:val="auto"/>
              </w:rPr>
            </w:pPr>
          </w:p>
        </w:tc>
        <w:tc>
          <w:tcPr>
            <w:tcW w:w="940" w:type="dxa"/>
            <w:vAlign w:val="bottom"/>
            <w:gridSpan w:val="2"/>
            <w:shd w:val="clear" w:color="auto" w:fill="CCEEFF"/>
          </w:tcPr>
          <w:p>
            <w:pPr>
              <w:jc w:val="right"/>
              <w:ind w:right="140"/>
              <w:spacing w:after="0"/>
              <w:rPr>
                <w:sz w:val="20"/>
                <w:szCs w:val="20"/>
                <w:color w:val="auto"/>
              </w:rPr>
            </w:pPr>
            <w:r>
              <w:rPr>
                <w:rFonts w:ascii="Times New Roman" w:cs="Times New Roman" w:eastAsia="Times New Roman" w:hAnsi="Times New Roman"/>
                <w:sz w:val="11"/>
                <w:szCs w:val="11"/>
                <w:color w:val="auto"/>
              </w:rPr>
              <w:t>—</w:t>
            </w:r>
          </w:p>
        </w:tc>
        <w:tc>
          <w:tcPr>
            <w:tcW w:w="140" w:type="dxa"/>
            <w:vAlign w:val="bottom"/>
            <w:shd w:val="clear" w:color="auto" w:fill="CCEEFF"/>
          </w:tcPr>
          <w:p>
            <w:pPr>
              <w:spacing w:after="0"/>
              <w:rPr>
                <w:sz w:val="14"/>
                <w:szCs w:val="14"/>
                <w:color w:val="auto"/>
              </w:rPr>
            </w:pPr>
          </w:p>
        </w:tc>
        <w:tc>
          <w:tcPr>
            <w:tcW w:w="1340" w:type="dxa"/>
            <w:vAlign w:val="bottom"/>
            <w:gridSpan w:val="2"/>
            <w:shd w:val="clear" w:color="auto" w:fill="CCEEFF"/>
          </w:tcPr>
          <w:p>
            <w:pPr>
              <w:jc w:val="right"/>
              <w:ind w:right="140"/>
              <w:spacing w:after="0"/>
              <w:rPr>
                <w:sz w:val="20"/>
                <w:szCs w:val="20"/>
                <w:color w:val="auto"/>
              </w:rPr>
            </w:pPr>
            <w:r>
              <w:rPr>
                <w:rFonts w:ascii="Times New Roman" w:cs="Times New Roman" w:eastAsia="Times New Roman" w:hAnsi="Times New Roman"/>
                <w:sz w:val="11"/>
                <w:szCs w:val="11"/>
                <w:color w:val="auto"/>
              </w:rPr>
              <w:t>—</w:t>
            </w:r>
          </w:p>
        </w:tc>
        <w:tc>
          <w:tcPr>
            <w:tcW w:w="200" w:type="dxa"/>
            <w:vAlign w:val="bottom"/>
            <w:shd w:val="clear" w:color="auto" w:fill="CCEEFF"/>
          </w:tcPr>
          <w:p>
            <w:pPr>
              <w:spacing w:after="0"/>
              <w:rPr>
                <w:sz w:val="14"/>
                <w:szCs w:val="14"/>
                <w:color w:val="auto"/>
              </w:rPr>
            </w:pPr>
          </w:p>
        </w:tc>
        <w:tc>
          <w:tcPr>
            <w:tcW w:w="7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1"/>
                <w:szCs w:val="11"/>
                <w:color w:val="auto"/>
              </w:rPr>
              <w:t>6,518</w:t>
            </w:r>
          </w:p>
        </w:tc>
        <w:tc>
          <w:tcPr>
            <w:tcW w:w="0" w:type="dxa"/>
            <w:vAlign w:val="bottom"/>
          </w:tcPr>
          <w:p>
            <w:pPr>
              <w:spacing w:after="0"/>
              <w:rPr>
                <w:sz w:val="1"/>
                <w:szCs w:val="1"/>
                <w:color w:val="auto"/>
              </w:rPr>
            </w:pPr>
          </w:p>
        </w:tc>
      </w:tr>
      <w:tr>
        <w:trPr>
          <w:trHeight w:val="153"/>
        </w:trPr>
        <w:tc>
          <w:tcPr>
            <w:tcW w:w="3620" w:type="dxa"/>
            <w:vAlign w:val="bottom"/>
          </w:tcPr>
          <w:p>
            <w:pPr>
              <w:ind w:left="20"/>
              <w:spacing w:after="0"/>
              <w:rPr>
                <w:sz w:val="20"/>
                <w:szCs w:val="20"/>
                <w:color w:val="auto"/>
              </w:rPr>
            </w:pPr>
            <w:r>
              <w:rPr>
                <w:rFonts w:ascii="Times New Roman" w:cs="Times New Roman" w:eastAsia="Times New Roman" w:hAnsi="Times New Roman"/>
                <w:sz w:val="11"/>
                <w:szCs w:val="11"/>
                <w:color w:val="auto"/>
              </w:rPr>
              <w:t>Return of capital ($0.60 per share)</w:t>
            </w:r>
          </w:p>
        </w:tc>
        <w:tc>
          <w:tcPr>
            <w:tcW w:w="1060" w:type="dxa"/>
            <w:vAlign w:val="bottom"/>
            <w:gridSpan w:val="2"/>
          </w:tcPr>
          <w:p>
            <w:pPr>
              <w:jc w:val="right"/>
              <w:ind w:right="140"/>
              <w:spacing w:after="0"/>
              <w:rPr>
                <w:sz w:val="20"/>
                <w:szCs w:val="20"/>
                <w:color w:val="auto"/>
              </w:rPr>
            </w:pPr>
            <w:r>
              <w:rPr>
                <w:rFonts w:ascii="Times New Roman" w:cs="Times New Roman" w:eastAsia="Times New Roman" w:hAnsi="Times New Roman"/>
                <w:sz w:val="11"/>
                <w:szCs w:val="11"/>
                <w:color w:val="auto"/>
              </w:rPr>
              <w:t>—</w:t>
            </w:r>
          </w:p>
        </w:tc>
        <w:tc>
          <w:tcPr>
            <w:tcW w:w="700" w:type="dxa"/>
            <w:vAlign w:val="bottom"/>
          </w:tcPr>
          <w:p>
            <w:pPr>
              <w:spacing w:after="0"/>
              <w:rPr>
                <w:sz w:val="13"/>
                <w:szCs w:val="13"/>
                <w:color w:val="auto"/>
              </w:rPr>
            </w:pPr>
          </w:p>
        </w:tc>
        <w:tc>
          <w:tcPr>
            <w:tcW w:w="360" w:type="dxa"/>
            <w:vAlign w:val="bottom"/>
            <w:gridSpan w:val="2"/>
          </w:tcPr>
          <w:p>
            <w:pPr>
              <w:jc w:val="right"/>
              <w:ind w:right="140"/>
              <w:spacing w:after="0"/>
              <w:rPr>
                <w:sz w:val="20"/>
                <w:szCs w:val="20"/>
                <w:color w:val="auto"/>
              </w:rPr>
            </w:pPr>
            <w:r>
              <w:rPr>
                <w:rFonts w:ascii="Times New Roman" w:cs="Times New Roman" w:eastAsia="Times New Roman" w:hAnsi="Times New Roman"/>
                <w:sz w:val="11"/>
                <w:szCs w:val="11"/>
                <w:color w:val="auto"/>
              </w:rPr>
              <w:t>—</w:t>
            </w:r>
          </w:p>
        </w:tc>
        <w:tc>
          <w:tcPr>
            <w:tcW w:w="160" w:type="dxa"/>
            <w:vAlign w:val="bottom"/>
          </w:tcPr>
          <w:p>
            <w:pPr>
              <w:spacing w:after="0"/>
              <w:rPr>
                <w:sz w:val="13"/>
                <w:szCs w:val="13"/>
                <w:color w:val="auto"/>
              </w:rPr>
            </w:pPr>
          </w:p>
        </w:tc>
        <w:tc>
          <w:tcPr>
            <w:tcW w:w="820" w:type="dxa"/>
            <w:vAlign w:val="bottom"/>
          </w:tcPr>
          <w:p>
            <w:pPr>
              <w:jc w:val="right"/>
              <w:spacing w:after="0"/>
              <w:rPr>
                <w:sz w:val="20"/>
                <w:szCs w:val="20"/>
                <w:color w:val="auto"/>
              </w:rPr>
            </w:pPr>
            <w:r>
              <w:rPr>
                <w:rFonts w:ascii="Times New Roman" w:cs="Times New Roman" w:eastAsia="Times New Roman" w:hAnsi="Times New Roman"/>
                <w:sz w:val="11"/>
                <w:szCs w:val="11"/>
                <w:color w:val="auto"/>
              </w:rPr>
              <w:t>(4,806)</w:t>
            </w:r>
          </w:p>
        </w:tc>
        <w:tc>
          <w:tcPr>
            <w:tcW w:w="8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800" w:type="dxa"/>
            <w:vAlign w:val="bottom"/>
            <w:gridSpan w:val="2"/>
          </w:tcPr>
          <w:p>
            <w:pPr>
              <w:ind w:left="540"/>
              <w:spacing w:after="0"/>
              <w:rPr>
                <w:sz w:val="20"/>
                <w:szCs w:val="20"/>
                <w:color w:val="auto"/>
              </w:rPr>
            </w:pPr>
            <w:r>
              <w:rPr>
                <w:rFonts w:ascii="Times New Roman" w:cs="Times New Roman" w:eastAsia="Times New Roman" w:hAnsi="Times New Roman"/>
                <w:sz w:val="11"/>
                <w:szCs w:val="11"/>
                <w:color w:val="auto"/>
              </w:rPr>
              <w:t>—</w:t>
            </w:r>
          </w:p>
        </w:tc>
        <w:tc>
          <w:tcPr>
            <w:tcW w:w="200" w:type="dxa"/>
            <w:vAlign w:val="bottom"/>
          </w:tcPr>
          <w:p>
            <w:pPr>
              <w:spacing w:after="0"/>
              <w:rPr>
                <w:sz w:val="13"/>
                <w:szCs w:val="13"/>
                <w:color w:val="auto"/>
              </w:rPr>
            </w:pPr>
          </w:p>
        </w:tc>
        <w:tc>
          <w:tcPr>
            <w:tcW w:w="940" w:type="dxa"/>
            <w:vAlign w:val="bottom"/>
            <w:gridSpan w:val="2"/>
          </w:tcPr>
          <w:p>
            <w:pPr>
              <w:jc w:val="right"/>
              <w:ind w:right="140"/>
              <w:spacing w:after="0"/>
              <w:rPr>
                <w:sz w:val="20"/>
                <w:szCs w:val="20"/>
                <w:color w:val="auto"/>
              </w:rPr>
            </w:pPr>
            <w:r>
              <w:rPr>
                <w:rFonts w:ascii="Times New Roman" w:cs="Times New Roman" w:eastAsia="Times New Roman" w:hAnsi="Times New Roman"/>
                <w:sz w:val="11"/>
                <w:szCs w:val="11"/>
                <w:color w:val="auto"/>
              </w:rPr>
              <w:t>—</w:t>
            </w:r>
          </w:p>
        </w:tc>
        <w:tc>
          <w:tcPr>
            <w:tcW w:w="140" w:type="dxa"/>
            <w:vAlign w:val="bottom"/>
          </w:tcPr>
          <w:p>
            <w:pPr>
              <w:spacing w:after="0"/>
              <w:rPr>
                <w:sz w:val="13"/>
                <w:szCs w:val="13"/>
                <w:color w:val="auto"/>
              </w:rPr>
            </w:pPr>
          </w:p>
        </w:tc>
        <w:tc>
          <w:tcPr>
            <w:tcW w:w="1340" w:type="dxa"/>
            <w:vAlign w:val="bottom"/>
            <w:gridSpan w:val="2"/>
          </w:tcPr>
          <w:p>
            <w:pPr>
              <w:jc w:val="right"/>
              <w:ind w:right="140"/>
              <w:spacing w:after="0"/>
              <w:rPr>
                <w:sz w:val="20"/>
                <w:szCs w:val="20"/>
                <w:color w:val="auto"/>
              </w:rPr>
            </w:pPr>
            <w:r>
              <w:rPr>
                <w:rFonts w:ascii="Times New Roman" w:cs="Times New Roman" w:eastAsia="Times New Roman" w:hAnsi="Times New Roman"/>
                <w:sz w:val="11"/>
                <w:szCs w:val="11"/>
                <w:color w:val="auto"/>
              </w:rPr>
              <w:t>—</w:t>
            </w:r>
          </w:p>
        </w:tc>
        <w:tc>
          <w:tcPr>
            <w:tcW w:w="200" w:type="dxa"/>
            <w:vAlign w:val="bottom"/>
          </w:tcPr>
          <w:p>
            <w:pPr>
              <w:spacing w:after="0"/>
              <w:rPr>
                <w:sz w:val="13"/>
                <w:szCs w:val="13"/>
                <w:color w:val="auto"/>
              </w:rPr>
            </w:pPr>
          </w:p>
        </w:tc>
        <w:tc>
          <w:tcPr>
            <w:tcW w:w="700" w:type="dxa"/>
            <w:vAlign w:val="bottom"/>
          </w:tcPr>
          <w:p>
            <w:pPr>
              <w:jc w:val="right"/>
              <w:spacing w:after="0"/>
              <w:rPr>
                <w:sz w:val="20"/>
                <w:szCs w:val="20"/>
                <w:color w:val="auto"/>
              </w:rPr>
            </w:pPr>
            <w:r>
              <w:rPr>
                <w:rFonts w:ascii="Times New Roman" w:cs="Times New Roman" w:eastAsia="Times New Roman" w:hAnsi="Times New Roman"/>
                <w:sz w:val="11"/>
                <w:szCs w:val="11"/>
                <w:color w:val="auto"/>
              </w:rPr>
              <w:t>(4,806)</w:t>
            </w:r>
          </w:p>
        </w:tc>
        <w:tc>
          <w:tcPr>
            <w:tcW w:w="0" w:type="dxa"/>
            <w:vAlign w:val="bottom"/>
          </w:tcPr>
          <w:p>
            <w:pPr>
              <w:spacing w:after="0"/>
              <w:rPr>
                <w:sz w:val="1"/>
                <w:szCs w:val="1"/>
                <w:color w:val="auto"/>
              </w:rPr>
            </w:pPr>
          </w:p>
        </w:tc>
      </w:tr>
      <w:tr>
        <w:trPr>
          <w:trHeight w:val="165"/>
        </w:trPr>
        <w:tc>
          <w:tcPr>
            <w:tcW w:w="362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1"/>
                <w:szCs w:val="11"/>
                <w:color w:val="auto"/>
              </w:rPr>
              <w:t>Dividends declared</w:t>
            </w:r>
          </w:p>
        </w:tc>
        <w:tc>
          <w:tcPr>
            <w:tcW w:w="1060" w:type="dxa"/>
            <w:vAlign w:val="bottom"/>
            <w:gridSpan w:val="2"/>
            <w:shd w:val="clear" w:color="auto" w:fill="CCEEFF"/>
          </w:tcPr>
          <w:p>
            <w:pPr>
              <w:jc w:val="right"/>
              <w:ind w:right="140"/>
              <w:spacing w:after="0"/>
              <w:rPr>
                <w:sz w:val="20"/>
                <w:szCs w:val="20"/>
                <w:color w:val="auto"/>
              </w:rPr>
            </w:pPr>
            <w:r>
              <w:rPr>
                <w:rFonts w:ascii="Times New Roman" w:cs="Times New Roman" w:eastAsia="Times New Roman" w:hAnsi="Times New Roman"/>
                <w:sz w:val="11"/>
                <w:szCs w:val="11"/>
                <w:color w:val="auto"/>
              </w:rPr>
              <w:t>—</w:t>
            </w:r>
          </w:p>
        </w:tc>
        <w:tc>
          <w:tcPr>
            <w:tcW w:w="700" w:type="dxa"/>
            <w:vAlign w:val="bottom"/>
            <w:shd w:val="clear" w:color="auto" w:fill="CCEEFF"/>
          </w:tcPr>
          <w:p>
            <w:pPr>
              <w:spacing w:after="0"/>
              <w:rPr>
                <w:sz w:val="14"/>
                <w:szCs w:val="14"/>
                <w:color w:val="auto"/>
              </w:rPr>
            </w:pPr>
          </w:p>
        </w:tc>
        <w:tc>
          <w:tcPr>
            <w:tcW w:w="360" w:type="dxa"/>
            <w:vAlign w:val="bottom"/>
            <w:gridSpan w:val="2"/>
            <w:shd w:val="clear" w:color="auto" w:fill="CCEEFF"/>
          </w:tcPr>
          <w:p>
            <w:pPr>
              <w:jc w:val="right"/>
              <w:ind w:right="140"/>
              <w:spacing w:after="0"/>
              <w:rPr>
                <w:sz w:val="20"/>
                <w:szCs w:val="20"/>
                <w:color w:val="auto"/>
              </w:rPr>
            </w:pPr>
            <w:r>
              <w:rPr>
                <w:rFonts w:ascii="Times New Roman" w:cs="Times New Roman" w:eastAsia="Times New Roman" w:hAnsi="Times New Roman"/>
                <w:sz w:val="11"/>
                <w:szCs w:val="11"/>
                <w:color w:val="auto"/>
              </w:rPr>
              <w:t>—</w:t>
            </w:r>
          </w:p>
        </w:tc>
        <w:tc>
          <w:tcPr>
            <w:tcW w:w="160" w:type="dxa"/>
            <w:vAlign w:val="bottom"/>
            <w:shd w:val="clear" w:color="auto" w:fill="CCEEFF"/>
          </w:tcPr>
          <w:p>
            <w:pPr>
              <w:spacing w:after="0"/>
              <w:rPr>
                <w:sz w:val="14"/>
                <w:szCs w:val="14"/>
                <w:color w:val="auto"/>
              </w:rPr>
            </w:pPr>
          </w:p>
        </w:tc>
        <w:tc>
          <w:tcPr>
            <w:tcW w:w="900" w:type="dxa"/>
            <w:vAlign w:val="bottom"/>
            <w:gridSpan w:val="2"/>
            <w:shd w:val="clear" w:color="auto" w:fill="CCEEFF"/>
          </w:tcPr>
          <w:p>
            <w:pPr>
              <w:jc w:val="right"/>
              <w:ind w:right="140"/>
              <w:spacing w:after="0"/>
              <w:rPr>
                <w:sz w:val="20"/>
                <w:szCs w:val="20"/>
                <w:color w:val="auto"/>
              </w:rPr>
            </w:pPr>
            <w:r>
              <w:rPr>
                <w:rFonts w:ascii="Times New Roman" w:cs="Times New Roman" w:eastAsia="Times New Roman" w:hAnsi="Times New Roman"/>
                <w:sz w:val="11"/>
                <w:szCs w:val="11"/>
                <w:color w:val="auto"/>
              </w:rPr>
              <w:t>—</w:t>
            </w:r>
          </w:p>
        </w:tc>
        <w:tc>
          <w:tcPr>
            <w:tcW w:w="160" w:type="dxa"/>
            <w:vAlign w:val="bottom"/>
            <w:shd w:val="clear" w:color="auto" w:fill="CCEEFF"/>
          </w:tcPr>
          <w:p>
            <w:pPr>
              <w:spacing w:after="0"/>
              <w:rPr>
                <w:sz w:val="14"/>
                <w:szCs w:val="14"/>
                <w:color w:val="auto"/>
              </w:rPr>
            </w:pPr>
          </w:p>
        </w:tc>
        <w:tc>
          <w:tcPr>
            <w:tcW w:w="800" w:type="dxa"/>
            <w:vAlign w:val="bottom"/>
            <w:gridSpan w:val="2"/>
            <w:shd w:val="clear" w:color="auto" w:fill="CCEEFF"/>
          </w:tcPr>
          <w:p>
            <w:pPr>
              <w:ind w:left="540"/>
              <w:spacing w:after="0"/>
              <w:rPr>
                <w:sz w:val="20"/>
                <w:szCs w:val="20"/>
                <w:color w:val="auto"/>
              </w:rPr>
            </w:pPr>
            <w:r>
              <w:rPr>
                <w:rFonts w:ascii="Times New Roman" w:cs="Times New Roman" w:eastAsia="Times New Roman" w:hAnsi="Times New Roman"/>
                <w:sz w:val="11"/>
                <w:szCs w:val="11"/>
                <w:color w:val="auto"/>
              </w:rPr>
              <w:t>—</w:t>
            </w:r>
          </w:p>
        </w:tc>
        <w:tc>
          <w:tcPr>
            <w:tcW w:w="200" w:type="dxa"/>
            <w:vAlign w:val="bottom"/>
            <w:shd w:val="clear" w:color="auto" w:fill="CCEEFF"/>
          </w:tcPr>
          <w:p>
            <w:pPr>
              <w:spacing w:after="0"/>
              <w:rPr>
                <w:sz w:val="14"/>
                <w:szCs w:val="14"/>
                <w:color w:val="auto"/>
              </w:rPr>
            </w:pPr>
          </w:p>
        </w:tc>
        <w:tc>
          <w:tcPr>
            <w:tcW w:w="8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1"/>
                <w:szCs w:val="11"/>
                <w:color w:val="auto"/>
              </w:rPr>
              <w:t>(617)</w:t>
            </w:r>
          </w:p>
        </w:tc>
        <w:tc>
          <w:tcPr>
            <w:tcW w:w="80" w:type="dxa"/>
            <w:vAlign w:val="bottom"/>
            <w:shd w:val="clear" w:color="auto" w:fill="CCEEFF"/>
          </w:tcPr>
          <w:p>
            <w:pPr>
              <w:spacing w:after="0"/>
              <w:rPr>
                <w:sz w:val="14"/>
                <w:szCs w:val="14"/>
                <w:color w:val="auto"/>
              </w:rPr>
            </w:pPr>
          </w:p>
        </w:tc>
        <w:tc>
          <w:tcPr>
            <w:tcW w:w="140" w:type="dxa"/>
            <w:vAlign w:val="bottom"/>
            <w:shd w:val="clear" w:color="auto" w:fill="CCEEFF"/>
          </w:tcPr>
          <w:p>
            <w:pPr>
              <w:spacing w:after="0"/>
              <w:rPr>
                <w:sz w:val="14"/>
                <w:szCs w:val="14"/>
                <w:color w:val="auto"/>
              </w:rPr>
            </w:pPr>
          </w:p>
        </w:tc>
        <w:tc>
          <w:tcPr>
            <w:tcW w:w="1340" w:type="dxa"/>
            <w:vAlign w:val="bottom"/>
            <w:gridSpan w:val="2"/>
            <w:shd w:val="clear" w:color="auto" w:fill="CCEEFF"/>
          </w:tcPr>
          <w:p>
            <w:pPr>
              <w:jc w:val="right"/>
              <w:ind w:right="140"/>
              <w:spacing w:after="0"/>
              <w:rPr>
                <w:sz w:val="20"/>
                <w:szCs w:val="20"/>
                <w:color w:val="auto"/>
              </w:rPr>
            </w:pPr>
            <w:r>
              <w:rPr>
                <w:rFonts w:ascii="Times New Roman" w:cs="Times New Roman" w:eastAsia="Times New Roman" w:hAnsi="Times New Roman"/>
                <w:sz w:val="11"/>
                <w:szCs w:val="11"/>
                <w:color w:val="auto"/>
              </w:rPr>
              <w:t>—</w:t>
            </w:r>
          </w:p>
        </w:tc>
        <w:tc>
          <w:tcPr>
            <w:tcW w:w="200" w:type="dxa"/>
            <w:vAlign w:val="bottom"/>
            <w:shd w:val="clear" w:color="auto" w:fill="CCEEFF"/>
          </w:tcPr>
          <w:p>
            <w:pPr>
              <w:spacing w:after="0"/>
              <w:rPr>
                <w:sz w:val="14"/>
                <w:szCs w:val="14"/>
                <w:color w:val="auto"/>
              </w:rPr>
            </w:pPr>
          </w:p>
        </w:tc>
        <w:tc>
          <w:tcPr>
            <w:tcW w:w="7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1"/>
                <w:szCs w:val="11"/>
                <w:color w:val="auto"/>
              </w:rPr>
              <w:t>(617)</w:t>
            </w:r>
          </w:p>
        </w:tc>
        <w:tc>
          <w:tcPr>
            <w:tcW w:w="0" w:type="dxa"/>
            <w:vAlign w:val="bottom"/>
          </w:tcPr>
          <w:p>
            <w:pPr>
              <w:spacing w:after="0"/>
              <w:rPr>
                <w:sz w:val="1"/>
                <w:szCs w:val="1"/>
                <w:color w:val="auto"/>
              </w:rPr>
            </w:pPr>
          </w:p>
        </w:tc>
      </w:tr>
      <w:tr>
        <w:trPr>
          <w:trHeight w:val="153"/>
        </w:trPr>
        <w:tc>
          <w:tcPr>
            <w:tcW w:w="3620" w:type="dxa"/>
            <w:vAlign w:val="bottom"/>
          </w:tcPr>
          <w:p>
            <w:pPr>
              <w:ind w:left="20"/>
              <w:spacing w:after="0"/>
              <w:rPr>
                <w:sz w:val="20"/>
                <w:szCs w:val="20"/>
                <w:color w:val="auto"/>
              </w:rPr>
            </w:pPr>
            <w:r>
              <w:rPr>
                <w:rFonts w:ascii="Times New Roman" w:cs="Times New Roman" w:eastAsia="Times New Roman" w:hAnsi="Times New Roman"/>
                <w:sz w:val="11"/>
                <w:szCs w:val="11"/>
                <w:color w:val="auto"/>
              </w:rPr>
              <w:t>Restricted stock returned for payment of taxes</w:t>
            </w:r>
          </w:p>
        </w:tc>
        <w:tc>
          <w:tcPr>
            <w:tcW w:w="960" w:type="dxa"/>
            <w:vAlign w:val="bottom"/>
          </w:tcPr>
          <w:p>
            <w:pPr>
              <w:jc w:val="right"/>
              <w:spacing w:after="0"/>
              <w:rPr>
                <w:sz w:val="20"/>
                <w:szCs w:val="20"/>
                <w:color w:val="auto"/>
              </w:rPr>
            </w:pPr>
            <w:r>
              <w:rPr>
                <w:rFonts w:ascii="Times New Roman" w:cs="Times New Roman" w:eastAsia="Times New Roman" w:hAnsi="Times New Roman"/>
                <w:sz w:val="11"/>
                <w:szCs w:val="11"/>
                <w:color w:val="auto"/>
              </w:rPr>
              <w:t>(70,265)</w:t>
            </w:r>
          </w:p>
        </w:tc>
        <w:tc>
          <w:tcPr>
            <w:tcW w:w="100" w:type="dxa"/>
            <w:vAlign w:val="bottom"/>
          </w:tcPr>
          <w:p>
            <w:pPr>
              <w:spacing w:after="0"/>
              <w:rPr>
                <w:sz w:val="13"/>
                <w:szCs w:val="13"/>
                <w:color w:val="auto"/>
              </w:rPr>
            </w:pPr>
          </w:p>
        </w:tc>
        <w:tc>
          <w:tcPr>
            <w:tcW w:w="700" w:type="dxa"/>
            <w:vAlign w:val="bottom"/>
          </w:tcPr>
          <w:p>
            <w:pPr>
              <w:spacing w:after="0"/>
              <w:rPr>
                <w:sz w:val="13"/>
                <w:szCs w:val="13"/>
                <w:color w:val="auto"/>
              </w:rPr>
            </w:pPr>
          </w:p>
        </w:tc>
        <w:tc>
          <w:tcPr>
            <w:tcW w:w="360" w:type="dxa"/>
            <w:vAlign w:val="bottom"/>
            <w:gridSpan w:val="2"/>
          </w:tcPr>
          <w:p>
            <w:pPr>
              <w:jc w:val="right"/>
              <w:ind w:right="140"/>
              <w:spacing w:after="0"/>
              <w:rPr>
                <w:sz w:val="20"/>
                <w:szCs w:val="20"/>
                <w:color w:val="auto"/>
              </w:rPr>
            </w:pPr>
            <w:r>
              <w:rPr>
                <w:rFonts w:ascii="Times New Roman" w:cs="Times New Roman" w:eastAsia="Times New Roman" w:hAnsi="Times New Roman"/>
                <w:sz w:val="11"/>
                <w:szCs w:val="11"/>
                <w:color w:val="auto"/>
              </w:rPr>
              <w:t>—</w:t>
            </w:r>
          </w:p>
        </w:tc>
        <w:tc>
          <w:tcPr>
            <w:tcW w:w="160" w:type="dxa"/>
            <w:vAlign w:val="bottom"/>
          </w:tcPr>
          <w:p>
            <w:pPr>
              <w:spacing w:after="0"/>
              <w:rPr>
                <w:sz w:val="13"/>
                <w:szCs w:val="13"/>
                <w:color w:val="auto"/>
              </w:rPr>
            </w:pPr>
          </w:p>
        </w:tc>
        <w:tc>
          <w:tcPr>
            <w:tcW w:w="82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700" w:type="dxa"/>
            <w:vAlign w:val="bottom"/>
          </w:tcPr>
          <w:p>
            <w:pPr>
              <w:jc w:val="right"/>
              <w:spacing w:after="0"/>
              <w:rPr>
                <w:sz w:val="20"/>
                <w:szCs w:val="20"/>
                <w:color w:val="auto"/>
              </w:rPr>
            </w:pPr>
            <w:r>
              <w:rPr>
                <w:rFonts w:ascii="Times New Roman" w:cs="Times New Roman" w:eastAsia="Times New Roman" w:hAnsi="Times New Roman"/>
                <w:sz w:val="11"/>
                <w:szCs w:val="11"/>
                <w:color w:val="auto"/>
              </w:rPr>
              <w:t>(862)</w:t>
            </w:r>
          </w:p>
        </w:tc>
        <w:tc>
          <w:tcPr>
            <w:tcW w:w="100" w:type="dxa"/>
            <w:vAlign w:val="bottom"/>
          </w:tcPr>
          <w:p>
            <w:pPr>
              <w:spacing w:after="0"/>
              <w:rPr>
                <w:sz w:val="13"/>
                <w:szCs w:val="13"/>
                <w:color w:val="auto"/>
              </w:rPr>
            </w:pPr>
          </w:p>
        </w:tc>
        <w:tc>
          <w:tcPr>
            <w:tcW w:w="200" w:type="dxa"/>
            <w:vAlign w:val="bottom"/>
          </w:tcPr>
          <w:p>
            <w:pPr>
              <w:spacing w:after="0"/>
              <w:rPr>
                <w:sz w:val="13"/>
                <w:szCs w:val="13"/>
                <w:color w:val="auto"/>
              </w:rPr>
            </w:pPr>
          </w:p>
        </w:tc>
        <w:tc>
          <w:tcPr>
            <w:tcW w:w="940" w:type="dxa"/>
            <w:vAlign w:val="bottom"/>
            <w:gridSpan w:val="2"/>
          </w:tcPr>
          <w:p>
            <w:pPr>
              <w:jc w:val="right"/>
              <w:ind w:right="140"/>
              <w:spacing w:after="0"/>
              <w:rPr>
                <w:sz w:val="20"/>
                <w:szCs w:val="20"/>
                <w:color w:val="auto"/>
              </w:rPr>
            </w:pPr>
            <w:r>
              <w:rPr>
                <w:rFonts w:ascii="Times New Roman" w:cs="Times New Roman" w:eastAsia="Times New Roman" w:hAnsi="Times New Roman"/>
                <w:sz w:val="11"/>
                <w:szCs w:val="11"/>
                <w:color w:val="auto"/>
              </w:rPr>
              <w:t>—</w:t>
            </w:r>
          </w:p>
        </w:tc>
        <w:tc>
          <w:tcPr>
            <w:tcW w:w="140" w:type="dxa"/>
            <w:vAlign w:val="bottom"/>
          </w:tcPr>
          <w:p>
            <w:pPr>
              <w:spacing w:after="0"/>
              <w:rPr>
                <w:sz w:val="13"/>
                <w:szCs w:val="13"/>
                <w:color w:val="auto"/>
              </w:rPr>
            </w:pPr>
          </w:p>
        </w:tc>
        <w:tc>
          <w:tcPr>
            <w:tcW w:w="1340" w:type="dxa"/>
            <w:vAlign w:val="bottom"/>
            <w:gridSpan w:val="2"/>
          </w:tcPr>
          <w:p>
            <w:pPr>
              <w:jc w:val="right"/>
              <w:ind w:right="140"/>
              <w:spacing w:after="0"/>
              <w:rPr>
                <w:sz w:val="20"/>
                <w:szCs w:val="20"/>
                <w:color w:val="auto"/>
              </w:rPr>
            </w:pPr>
            <w:r>
              <w:rPr>
                <w:rFonts w:ascii="Times New Roman" w:cs="Times New Roman" w:eastAsia="Times New Roman" w:hAnsi="Times New Roman"/>
                <w:sz w:val="11"/>
                <w:szCs w:val="11"/>
                <w:color w:val="auto"/>
              </w:rPr>
              <w:t>—</w:t>
            </w:r>
          </w:p>
        </w:tc>
        <w:tc>
          <w:tcPr>
            <w:tcW w:w="200" w:type="dxa"/>
            <w:vAlign w:val="bottom"/>
          </w:tcPr>
          <w:p>
            <w:pPr>
              <w:spacing w:after="0"/>
              <w:rPr>
                <w:sz w:val="13"/>
                <w:szCs w:val="13"/>
                <w:color w:val="auto"/>
              </w:rPr>
            </w:pPr>
          </w:p>
        </w:tc>
        <w:tc>
          <w:tcPr>
            <w:tcW w:w="700" w:type="dxa"/>
            <w:vAlign w:val="bottom"/>
          </w:tcPr>
          <w:p>
            <w:pPr>
              <w:jc w:val="right"/>
              <w:spacing w:after="0"/>
              <w:rPr>
                <w:sz w:val="20"/>
                <w:szCs w:val="20"/>
                <w:color w:val="auto"/>
              </w:rPr>
            </w:pPr>
            <w:r>
              <w:rPr>
                <w:rFonts w:ascii="Times New Roman" w:cs="Times New Roman" w:eastAsia="Times New Roman" w:hAnsi="Times New Roman"/>
                <w:sz w:val="11"/>
                <w:szCs w:val="11"/>
                <w:color w:val="auto"/>
              </w:rPr>
              <w:t>(862)</w:t>
            </w:r>
          </w:p>
        </w:tc>
        <w:tc>
          <w:tcPr>
            <w:tcW w:w="0" w:type="dxa"/>
            <w:vAlign w:val="bottom"/>
          </w:tcPr>
          <w:p>
            <w:pPr>
              <w:spacing w:after="0"/>
              <w:rPr>
                <w:sz w:val="1"/>
                <w:szCs w:val="1"/>
                <w:color w:val="auto"/>
              </w:rPr>
            </w:pPr>
          </w:p>
        </w:tc>
      </w:tr>
      <w:tr>
        <w:trPr>
          <w:trHeight w:val="156"/>
        </w:trPr>
        <w:tc>
          <w:tcPr>
            <w:tcW w:w="3620" w:type="dxa"/>
            <w:vAlign w:val="bottom"/>
            <w:tcBorders>
              <w:top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1"/>
                <w:szCs w:val="11"/>
                <w:b w:val="1"/>
                <w:bCs w:val="1"/>
                <w:color w:val="auto"/>
              </w:rPr>
              <w:t>BALANCE, December 31, 2023</w:t>
            </w:r>
          </w:p>
        </w:tc>
        <w:tc>
          <w:tcPr>
            <w:tcW w:w="96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1"/>
                <w:szCs w:val="11"/>
                <w:color w:val="auto"/>
              </w:rPr>
              <w:t>9,140,760</w:t>
            </w:r>
          </w:p>
        </w:tc>
        <w:tc>
          <w:tcPr>
            <w:tcW w:w="100" w:type="dxa"/>
            <w:vAlign w:val="bottom"/>
            <w:tcBorders>
              <w:top w:val="single" w:sz="8" w:color="CCEEFF"/>
            </w:tcBorders>
            <w:shd w:val="clear" w:color="auto" w:fill="CCEEFF"/>
          </w:tcPr>
          <w:p>
            <w:pPr>
              <w:spacing w:after="0"/>
              <w:rPr>
                <w:sz w:val="13"/>
                <w:szCs w:val="13"/>
                <w:color w:val="auto"/>
              </w:rPr>
            </w:pPr>
          </w:p>
        </w:tc>
        <w:tc>
          <w:tcPr>
            <w:tcW w:w="700" w:type="dxa"/>
            <w:vAlign w:val="bottom"/>
            <w:tcBorders>
              <w:top w:val="single" w:sz="8" w:color="auto"/>
            </w:tcBorders>
            <w:shd w:val="clear" w:color="auto" w:fill="CCEEFF"/>
          </w:tcPr>
          <w:p>
            <w:pPr>
              <w:jc w:val="right"/>
              <w:ind w:right="565"/>
              <w:spacing w:after="0"/>
              <w:rPr>
                <w:sz w:val="20"/>
                <w:szCs w:val="20"/>
                <w:color w:val="auto"/>
              </w:rPr>
            </w:pPr>
            <w:r>
              <w:rPr>
                <w:rFonts w:ascii="Times New Roman" w:cs="Times New Roman" w:eastAsia="Times New Roman" w:hAnsi="Times New Roman"/>
                <w:sz w:val="11"/>
                <w:szCs w:val="11"/>
                <w:color w:val="auto"/>
              </w:rPr>
              <w:t>$</w:t>
            </w:r>
          </w:p>
        </w:tc>
        <w:tc>
          <w:tcPr>
            <w:tcW w:w="26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1"/>
                <w:szCs w:val="11"/>
                <w:color w:val="auto"/>
              </w:rPr>
              <w:t>119</w:t>
            </w:r>
          </w:p>
        </w:tc>
        <w:tc>
          <w:tcPr>
            <w:tcW w:w="100" w:type="dxa"/>
            <w:vAlign w:val="bottom"/>
            <w:tcBorders>
              <w:top w:val="single" w:sz="8" w:color="CCEEFF"/>
            </w:tcBorders>
            <w:shd w:val="clear" w:color="auto" w:fill="CCEEFF"/>
          </w:tcPr>
          <w:p>
            <w:pPr>
              <w:spacing w:after="0"/>
              <w:rPr>
                <w:sz w:val="13"/>
                <w:szCs w:val="13"/>
                <w:color w:val="auto"/>
              </w:rPr>
            </w:pPr>
          </w:p>
        </w:tc>
        <w:tc>
          <w:tcPr>
            <w:tcW w:w="160" w:type="dxa"/>
            <w:vAlign w:val="bottom"/>
            <w:tcBorders>
              <w:top w:val="single" w:sz="8" w:color="auto"/>
            </w:tcBorders>
            <w:shd w:val="clear" w:color="auto" w:fill="CCEEFF"/>
          </w:tcPr>
          <w:p>
            <w:pPr>
              <w:jc w:val="right"/>
              <w:ind w:right="23"/>
              <w:spacing w:after="0"/>
              <w:rPr>
                <w:sz w:val="20"/>
                <w:szCs w:val="20"/>
                <w:color w:val="auto"/>
              </w:rPr>
            </w:pPr>
            <w:r>
              <w:rPr>
                <w:rFonts w:ascii="Times New Roman" w:cs="Times New Roman" w:eastAsia="Times New Roman" w:hAnsi="Times New Roman"/>
                <w:sz w:val="11"/>
                <w:szCs w:val="11"/>
                <w:color w:val="auto"/>
              </w:rPr>
              <w:t>$</w:t>
            </w:r>
          </w:p>
        </w:tc>
        <w:tc>
          <w:tcPr>
            <w:tcW w:w="820" w:type="dxa"/>
            <w:vAlign w:val="bottom"/>
            <w:tcBorders>
              <w:top w:val="single" w:sz="8" w:color="auto"/>
            </w:tcBorders>
            <w:shd w:val="clear" w:color="auto" w:fill="CCEEFF"/>
          </w:tcPr>
          <w:p>
            <w:pPr>
              <w:jc w:val="right"/>
              <w:ind w:right="4"/>
              <w:spacing w:after="0"/>
              <w:rPr>
                <w:sz w:val="20"/>
                <w:szCs w:val="20"/>
                <w:color w:val="auto"/>
              </w:rPr>
            </w:pPr>
            <w:r>
              <w:rPr>
                <w:rFonts w:ascii="Times New Roman" w:cs="Times New Roman" w:eastAsia="Times New Roman" w:hAnsi="Times New Roman"/>
                <w:sz w:val="11"/>
                <w:szCs w:val="11"/>
                <w:color w:val="auto"/>
              </w:rPr>
              <w:t>201,622</w:t>
            </w:r>
          </w:p>
        </w:tc>
        <w:tc>
          <w:tcPr>
            <w:tcW w:w="80" w:type="dxa"/>
            <w:vAlign w:val="bottom"/>
            <w:tcBorders>
              <w:top w:val="single" w:sz="8" w:color="CCEEFF"/>
            </w:tcBorders>
            <w:shd w:val="clear" w:color="auto" w:fill="CCEEFF"/>
          </w:tcPr>
          <w:p>
            <w:pPr>
              <w:spacing w:after="0"/>
              <w:rPr>
                <w:sz w:val="13"/>
                <w:szCs w:val="13"/>
                <w:color w:val="auto"/>
              </w:rPr>
            </w:pPr>
          </w:p>
        </w:tc>
        <w:tc>
          <w:tcPr>
            <w:tcW w:w="160" w:type="dxa"/>
            <w:vAlign w:val="bottom"/>
            <w:tcBorders>
              <w:top w:val="single" w:sz="8" w:color="auto"/>
            </w:tcBorders>
            <w:shd w:val="clear" w:color="auto" w:fill="CCEEFF"/>
          </w:tcPr>
          <w:p>
            <w:pPr>
              <w:jc w:val="right"/>
              <w:ind w:right="23"/>
              <w:spacing w:after="0"/>
              <w:rPr>
                <w:sz w:val="20"/>
                <w:szCs w:val="20"/>
                <w:color w:val="auto"/>
              </w:rPr>
            </w:pPr>
            <w:r>
              <w:rPr>
                <w:rFonts w:ascii="Times New Roman" w:cs="Times New Roman" w:eastAsia="Times New Roman" w:hAnsi="Times New Roman"/>
                <w:sz w:val="11"/>
                <w:szCs w:val="11"/>
                <w:color w:val="auto"/>
              </w:rPr>
              <w:t>$</w:t>
            </w:r>
          </w:p>
        </w:tc>
        <w:tc>
          <w:tcPr>
            <w:tcW w:w="70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1"/>
                <w:szCs w:val="11"/>
                <w:color w:val="auto"/>
              </w:rPr>
              <w:t>(85,990)</w:t>
            </w:r>
          </w:p>
        </w:tc>
        <w:tc>
          <w:tcPr>
            <w:tcW w:w="100" w:type="dxa"/>
            <w:vAlign w:val="bottom"/>
            <w:tcBorders>
              <w:top w:val="single" w:sz="8" w:color="CCEEFF"/>
            </w:tcBorders>
            <w:shd w:val="clear" w:color="auto" w:fill="CCEEFF"/>
          </w:tcPr>
          <w:p>
            <w:pPr>
              <w:spacing w:after="0"/>
              <w:rPr>
                <w:sz w:val="13"/>
                <w:szCs w:val="13"/>
                <w:color w:val="auto"/>
              </w:rPr>
            </w:pPr>
          </w:p>
        </w:tc>
        <w:tc>
          <w:tcPr>
            <w:tcW w:w="200" w:type="dxa"/>
            <w:vAlign w:val="bottom"/>
            <w:tcBorders>
              <w:top w:val="single" w:sz="8" w:color="auto"/>
            </w:tcBorders>
            <w:shd w:val="clear" w:color="auto" w:fill="CCEEFF"/>
          </w:tcPr>
          <w:p>
            <w:pPr>
              <w:ind w:left="20"/>
              <w:spacing w:after="0"/>
              <w:rPr>
                <w:sz w:val="20"/>
                <w:szCs w:val="20"/>
                <w:color w:val="auto"/>
              </w:rPr>
            </w:pPr>
            <w:r>
              <w:rPr>
                <w:rFonts w:ascii="Times New Roman" w:cs="Times New Roman" w:eastAsia="Times New Roman" w:hAnsi="Times New Roman"/>
                <w:sz w:val="11"/>
                <w:szCs w:val="11"/>
                <w:color w:val="auto"/>
              </w:rPr>
              <w:t>$</w:t>
            </w:r>
          </w:p>
        </w:tc>
        <w:tc>
          <w:tcPr>
            <w:tcW w:w="860" w:type="dxa"/>
            <w:vAlign w:val="bottom"/>
            <w:tcBorders>
              <w:top w:val="single" w:sz="8" w:color="auto"/>
            </w:tcBorders>
            <w:shd w:val="clear" w:color="auto" w:fill="CCEEFF"/>
          </w:tcPr>
          <w:p>
            <w:pPr>
              <w:jc w:val="right"/>
              <w:ind w:right="4"/>
              <w:spacing w:after="0"/>
              <w:rPr>
                <w:sz w:val="20"/>
                <w:szCs w:val="20"/>
                <w:color w:val="auto"/>
              </w:rPr>
            </w:pPr>
            <w:r>
              <w:rPr>
                <w:rFonts w:ascii="Times New Roman" w:cs="Times New Roman" w:eastAsia="Times New Roman" w:hAnsi="Times New Roman"/>
                <w:sz w:val="11"/>
                <w:szCs w:val="11"/>
                <w:color w:val="auto"/>
              </w:rPr>
              <w:t>4,650</w:t>
            </w:r>
          </w:p>
        </w:tc>
        <w:tc>
          <w:tcPr>
            <w:tcW w:w="80" w:type="dxa"/>
            <w:vAlign w:val="bottom"/>
            <w:tcBorders>
              <w:top w:val="single" w:sz="8" w:color="CCEEFF"/>
            </w:tcBorders>
            <w:shd w:val="clear" w:color="auto" w:fill="CCEEFF"/>
          </w:tcPr>
          <w:p>
            <w:pPr>
              <w:spacing w:after="0"/>
              <w:rPr>
                <w:sz w:val="13"/>
                <w:szCs w:val="13"/>
                <w:color w:val="auto"/>
              </w:rPr>
            </w:pPr>
          </w:p>
        </w:tc>
        <w:tc>
          <w:tcPr>
            <w:tcW w:w="140" w:type="dxa"/>
            <w:vAlign w:val="bottom"/>
            <w:tcBorders>
              <w:top w:val="single" w:sz="8" w:color="auto"/>
            </w:tcBorders>
            <w:shd w:val="clear" w:color="auto" w:fill="CCEEFF"/>
          </w:tcPr>
          <w:p>
            <w:pPr>
              <w:jc w:val="right"/>
              <w:ind w:right="3"/>
              <w:spacing w:after="0"/>
              <w:rPr>
                <w:sz w:val="20"/>
                <w:szCs w:val="20"/>
                <w:color w:val="auto"/>
              </w:rPr>
            </w:pPr>
            <w:r>
              <w:rPr>
                <w:rFonts w:ascii="Times New Roman" w:cs="Times New Roman" w:eastAsia="Times New Roman" w:hAnsi="Times New Roman"/>
                <w:sz w:val="11"/>
                <w:szCs w:val="11"/>
                <w:color w:val="auto"/>
              </w:rPr>
              <w:t>$</w:t>
            </w:r>
          </w:p>
        </w:tc>
        <w:tc>
          <w:tcPr>
            <w:tcW w:w="124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1"/>
                <w:szCs w:val="11"/>
                <w:color w:val="auto"/>
              </w:rPr>
              <w:t>2,045</w:t>
            </w:r>
          </w:p>
        </w:tc>
        <w:tc>
          <w:tcPr>
            <w:tcW w:w="100" w:type="dxa"/>
            <w:vAlign w:val="bottom"/>
            <w:tcBorders>
              <w:top w:val="single" w:sz="8" w:color="CCEEFF"/>
            </w:tcBorders>
            <w:shd w:val="clear" w:color="auto" w:fill="CCEEFF"/>
          </w:tcPr>
          <w:p>
            <w:pPr>
              <w:spacing w:after="0"/>
              <w:rPr>
                <w:sz w:val="13"/>
                <w:szCs w:val="13"/>
                <w:color w:val="auto"/>
              </w:rPr>
            </w:pPr>
          </w:p>
        </w:tc>
        <w:tc>
          <w:tcPr>
            <w:tcW w:w="200" w:type="dxa"/>
            <w:vAlign w:val="bottom"/>
            <w:tcBorders>
              <w:top w:val="single" w:sz="8" w:color="auto"/>
            </w:tcBorders>
            <w:shd w:val="clear" w:color="auto" w:fill="CCEEFF"/>
          </w:tcPr>
          <w:p>
            <w:pPr>
              <w:jc w:val="right"/>
              <w:ind w:right="63"/>
              <w:spacing w:after="0"/>
              <w:rPr>
                <w:sz w:val="20"/>
                <w:szCs w:val="20"/>
                <w:color w:val="auto"/>
              </w:rPr>
            </w:pPr>
            <w:r>
              <w:rPr>
                <w:rFonts w:ascii="Times New Roman" w:cs="Times New Roman" w:eastAsia="Times New Roman" w:hAnsi="Times New Roman"/>
                <w:sz w:val="11"/>
                <w:szCs w:val="11"/>
                <w:color w:val="auto"/>
              </w:rPr>
              <w:t>$</w:t>
            </w:r>
          </w:p>
        </w:tc>
        <w:tc>
          <w:tcPr>
            <w:tcW w:w="70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1"/>
                <w:szCs w:val="11"/>
                <w:color w:val="auto"/>
              </w:rPr>
              <w:t>122,446</w:t>
            </w:r>
          </w:p>
        </w:tc>
        <w:tc>
          <w:tcPr>
            <w:tcW w:w="0" w:type="dxa"/>
            <w:vAlign w:val="bottom"/>
          </w:tcPr>
          <w:p>
            <w:pPr>
              <w:spacing w:after="0"/>
              <w:rPr>
                <w:sz w:val="1"/>
                <w:szCs w:val="1"/>
                <w:color w:val="auto"/>
              </w:rPr>
            </w:pPr>
          </w:p>
        </w:tc>
      </w:tr>
      <w:tr>
        <w:trPr>
          <w:trHeight w:val="153"/>
        </w:trPr>
        <w:tc>
          <w:tcPr>
            <w:tcW w:w="3620" w:type="dxa"/>
            <w:vAlign w:val="bottom"/>
          </w:tcPr>
          <w:p>
            <w:pPr>
              <w:ind w:left="20"/>
              <w:spacing w:after="0"/>
              <w:rPr>
                <w:sz w:val="20"/>
                <w:szCs w:val="20"/>
                <w:color w:val="auto"/>
              </w:rPr>
            </w:pPr>
            <w:r>
              <w:rPr>
                <w:rFonts w:ascii="Times New Roman" w:cs="Times New Roman" w:eastAsia="Times New Roman" w:hAnsi="Times New Roman"/>
                <w:sz w:val="11"/>
                <w:szCs w:val="11"/>
                <w:color w:val="auto"/>
              </w:rPr>
              <w:t>Net income (loss)</w:t>
            </w:r>
          </w:p>
        </w:tc>
        <w:tc>
          <w:tcPr>
            <w:tcW w:w="1060" w:type="dxa"/>
            <w:vAlign w:val="bottom"/>
            <w:gridSpan w:val="2"/>
          </w:tcPr>
          <w:p>
            <w:pPr>
              <w:jc w:val="right"/>
              <w:ind w:right="140"/>
              <w:spacing w:after="0"/>
              <w:rPr>
                <w:sz w:val="20"/>
                <w:szCs w:val="20"/>
                <w:color w:val="auto"/>
              </w:rPr>
            </w:pPr>
            <w:r>
              <w:rPr>
                <w:rFonts w:ascii="Times New Roman" w:cs="Times New Roman" w:eastAsia="Times New Roman" w:hAnsi="Times New Roman"/>
                <w:sz w:val="11"/>
                <w:szCs w:val="11"/>
                <w:color w:val="auto"/>
              </w:rPr>
              <w:t>—</w:t>
            </w:r>
          </w:p>
        </w:tc>
        <w:tc>
          <w:tcPr>
            <w:tcW w:w="700" w:type="dxa"/>
            <w:vAlign w:val="bottom"/>
          </w:tcPr>
          <w:p>
            <w:pPr>
              <w:spacing w:after="0"/>
              <w:rPr>
                <w:sz w:val="13"/>
                <w:szCs w:val="13"/>
                <w:color w:val="auto"/>
              </w:rPr>
            </w:pPr>
          </w:p>
        </w:tc>
        <w:tc>
          <w:tcPr>
            <w:tcW w:w="360" w:type="dxa"/>
            <w:vAlign w:val="bottom"/>
            <w:gridSpan w:val="2"/>
          </w:tcPr>
          <w:p>
            <w:pPr>
              <w:jc w:val="right"/>
              <w:ind w:right="140"/>
              <w:spacing w:after="0"/>
              <w:rPr>
                <w:sz w:val="20"/>
                <w:szCs w:val="20"/>
                <w:color w:val="auto"/>
              </w:rPr>
            </w:pPr>
            <w:r>
              <w:rPr>
                <w:rFonts w:ascii="Times New Roman" w:cs="Times New Roman" w:eastAsia="Times New Roman" w:hAnsi="Times New Roman"/>
                <w:sz w:val="11"/>
                <w:szCs w:val="11"/>
                <w:color w:val="auto"/>
              </w:rPr>
              <w:t>—</w:t>
            </w:r>
          </w:p>
        </w:tc>
        <w:tc>
          <w:tcPr>
            <w:tcW w:w="160" w:type="dxa"/>
            <w:vAlign w:val="bottom"/>
          </w:tcPr>
          <w:p>
            <w:pPr>
              <w:spacing w:after="0"/>
              <w:rPr>
                <w:sz w:val="13"/>
                <w:szCs w:val="13"/>
                <w:color w:val="auto"/>
              </w:rPr>
            </w:pPr>
          </w:p>
        </w:tc>
        <w:tc>
          <w:tcPr>
            <w:tcW w:w="900" w:type="dxa"/>
            <w:vAlign w:val="bottom"/>
            <w:gridSpan w:val="2"/>
          </w:tcPr>
          <w:p>
            <w:pPr>
              <w:jc w:val="right"/>
              <w:ind w:right="140"/>
              <w:spacing w:after="0"/>
              <w:rPr>
                <w:sz w:val="20"/>
                <w:szCs w:val="20"/>
                <w:color w:val="auto"/>
              </w:rPr>
            </w:pPr>
            <w:r>
              <w:rPr>
                <w:rFonts w:ascii="Times New Roman" w:cs="Times New Roman" w:eastAsia="Times New Roman" w:hAnsi="Times New Roman"/>
                <w:sz w:val="11"/>
                <w:szCs w:val="11"/>
                <w:color w:val="auto"/>
              </w:rPr>
              <w:t>—</w:t>
            </w:r>
          </w:p>
        </w:tc>
        <w:tc>
          <w:tcPr>
            <w:tcW w:w="160" w:type="dxa"/>
            <w:vAlign w:val="bottom"/>
          </w:tcPr>
          <w:p>
            <w:pPr>
              <w:spacing w:after="0"/>
              <w:rPr>
                <w:sz w:val="13"/>
                <w:szCs w:val="13"/>
                <w:color w:val="auto"/>
              </w:rPr>
            </w:pPr>
          </w:p>
        </w:tc>
        <w:tc>
          <w:tcPr>
            <w:tcW w:w="800" w:type="dxa"/>
            <w:vAlign w:val="bottom"/>
            <w:gridSpan w:val="2"/>
          </w:tcPr>
          <w:p>
            <w:pPr>
              <w:ind w:left="540"/>
              <w:spacing w:after="0"/>
              <w:rPr>
                <w:sz w:val="20"/>
                <w:szCs w:val="20"/>
                <w:color w:val="auto"/>
              </w:rPr>
            </w:pPr>
            <w:r>
              <w:rPr>
                <w:rFonts w:ascii="Times New Roman" w:cs="Times New Roman" w:eastAsia="Times New Roman" w:hAnsi="Times New Roman"/>
                <w:sz w:val="11"/>
                <w:szCs w:val="11"/>
                <w:color w:val="auto"/>
              </w:rPr>
              <w:t>—</w:t>
            </w:r>
          </w:p>
        </w:tc>
        <w:tc>
          <w:tcPr>
            <w:tcW w:w="200" w:type="dxa"/>
            <w:vAlign w:val="bottom"/>
          </w:tcPr>
          <w:p>
            <w:pPr>
              <w:spacing w:after="0"/>
              <w:rPr>
                <w:sz w:val="13"/>
                <w:szCs w:val="13"/>
                <w:color w:val="auto"/>
              </w:rPr>
            </w:pPr>
          </w:p>
        </w:tc>
        <w:tc>
          <w:tcPr>
            <w:tcW w:w="860" w:type="dxa"/>
            <w:vAlign w:val="bottom"/>
          </w:tcPr>
          <w:p>
            <w:pPr>
              <w:jc w:val="right"/>
              <w:ind w:right="4"/>
              <w:spacing w:after="0"/>
              <w:rPr>
                <w:sz w:val="20"/>
                <w:szCs w:val="20"/>
                <w:color w:val="auto"/>
              </w:rPr>
            </w:pPr>
            <w:r>
              <w:rPr>
                <w:rFonts w:ascii="Times New Roman" w:cs="Times New Roman" w:eastAsia="Times New Roman" w:hAnsi="Times New Roman"/>
                <w:sz w:val="11"/>
                <w:szCs w:val="11"/>
                <w:color w:val="auto"/>
              </w:rPr>
              <w:t>2,215</w:t>
            </w:r>
          </w:p>
        </w:tc>
        <w:tc>
          <w:tcPr>
            <w:tcW w:w="8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1240" w:type="dxa"/>
            <w:vAlign w:val="bottom"/>
          </w:tcPr>
          <w:p>
            <w:pPr>
              <w:jc w:val="right"/>
              <w:spacing w:after="0"/>
              <w:rPr>
                <w:sz w:val="20"/>
                <w:szCs w:val="20"/>
                <w:color w:val="auto"/>
              </w:rPr>
            </w:pPr>
            <w:r>
              <w:rPr>
                <w:rFonts w:ascii="Times New Roman" w:cs="Times New Roman" w:eastAsia="Times New Roman" w:hAnsi="Times New Roman"/>
                <w:sz w:val="11"/>
                <w:szCs w:val="11"/>
                <w:color w:val="auto"/>
              </w:rPr>
              <w:t>(4)</w:t>
            </w:r>
          </w:p>
        </w:tc>
        <w:tc>
          <w:tcPr>
            <w:tcW w:w="100" w:type="dxa"/>
            <w:vAlign w:val="bottom"/>
          </w:tcPr>
          <w:p>
            <w:pPr>
              <w:spacing w:after="0"/>
              <w:rPr>
                <w:sz w:val="13"/>
                <w:szCs w:val="13"/>
                <w:color w:val="auto"/>
              </w:rPr>
            </w:pPr>
          </w:p>
        </w:tc>
        <w:tc>
          <w:tcPr>
            <w:tcW w:w="200" w:type="dxa"/>
            <w:vAlign w:val="bottom"/>
          </w:tcPr>
          <w:p>
            <w:pPr>
              <w:spacing w:after="0"/>
              <w:rPr>
                <w:sz w:val="13"/>
                <w:szCs w:val="13"/>
                <w:color w:val="auto"/>
              </w:rPr>
            </w:pPr>
          </w:p>
        </w:tc>
        <w:tc>
          <w:tcPr>
            <w:tcW w:w="700" w:type="dxa"/>
            <w:vAlign w:val="bottom"/>
          </w:tcPr>
          <w:p>
            <w:pPr>
              <w:jc w:val="right"/>
              <w:spacing w:after="0"/>
              <w:rPr>
                <w:sz w:val="20"/>
                <w:szCs w:val="20"/>
                <w:color w:val="auto"/>
              </w:rPr>
            </w:pPr>
            <w:r>
              <w:rPr>
                <w:rFonts w:ascii="Times New Roman" w:cs="Times New Roman" w:eastAsia="Times New Roman" w:hAnsi="Times New Roman"/>
                <w:sz w:val="11"/>
                <w:szCs w:val="11"/>
                <w:color w:val="auto"/>
              </w:rPr>
              <w:t>2,211</w:t>
            </w:r>
          </w:p>
        </w:tc>
        <w:tc>
          <w:tcPr>
            <w:tcW w:w="0" w:type="dxa"/>
            <w:vAlign w:val="bottom"/>
          </w:tcPr>
          <w:p>
            <w:pPr>
              <w:spacing w:after="0"/>
              <w:rPr>
                <w:sz w:val="1"/>
                <w:szCs w:val="1"/>
                <w:color w:val="auto"/>
              </w:rPr>
            </w:pPr>
          </w:p>
        </w:tc>
      </w:tr>
      <w:tr>
        <w:trPr>
          <w:trHeight w:val="165"/>
        </w:trPr>
        <w:tc>
          <w:tcPr>
            <w:tcW w:w="362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1"/>
                <w:szCs w:val="11"/>
                <w:color w:val="auto"/>
              </w:rPr>
              <w:t>Issuance of restricted stock, net of forfeitures</w:t>
            </w:r>
          </w:p>
        </w:tc>
        <w:tc>
          <w:tcPr>
            <w:tcW w:w="9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1"/>
                <w:szCs w:val="11"/>
                <w:color w:val="auto"/>
              </w:rPr>
              <w:t>280,342</w:t>
            </w:r>
          </w:p>
        </w:tc>
        <w:tc>
          <w:tcPr>
            <w:tcW w:w="100" w:type="dxa"/>
            <w:vAlign w:val="bottom"/>
            <w:shd w:val="clear" w:color="auto" w:fill="CCEEFF"/>
          </w:tcPr>
          <w:p>
            <w:pPr>
              <w:spacing w:after="0"/>
              <w:rPr>
                <w:sz w:val="14"/>
                <w:szCs w:val="14"/>
                <w:color w:val="auto"/>
              </w:rPr>
            </w:pPr>
          </w:p>
        </w:tc>
        <w:tc>
          <w:tcPr>
            <w:tcW w:w="700" w:type="dxa"/>
            <w:vAlign w:val="bottom"/>
            <w:shd w:val="clear" w:color="auto" w:fill="CCEEFF"/>
          </w:tcPr>
          <w:p>
            <w:pPr>
              <w:spacing w:after="0"/>
              <w:rPr>
                <w:sz w:val="14"/>
                <w:szCs w:val="14"/>
                <w:color w:val="auto"/>
              </w:rPr>
            </w:pPr>
          </w:p>
        </w:tc>
        <w:tc>
          <w:tcPr>
            <w:tcW w:w="2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1"/>
                <w:szCs w:val="11"/>
                <w:color w:val="auto"/>
              </w:rPr>
              <w:t>3</w:t>
            </w:r>
          </w:p>
        </w:tc>
        <w:tc>
          <w:tcPr>
            <w:tcW w:w="100" w:type="dxa"/>
            <w:vAlign w:val="bottom"/>
            <w:shd w:val="clear" w:color="auto" w:fill="CCEEFF"/>
          </w:tcPr>
          <w:p>
            <w:pPr>
              <w:spacing w:after="0"/>
              <w:rPr>
                <w:sz w:val="14"/>
                <w:szCs w:val="14"/>
                <w:color w:val="auto"/>
              </w:rPr>
            </w:pPr>
          </w:p>
        </w:tc>
        <w:tc>
          <w:tcPr>
            <w:tcW w:w="160" w:type="dxa"/>
            <w:vAlign w:val="bottom"/>
            <w:shd w:val="clear" w:color="auto" w:fill="CCEEFF"/>
          </w:tcPr>
          <w:p>
            <w:pPr>
              <w:spacing w:after="0"/>
              <w:rPr>
                <w:sz w:val="14"/>
                <w:szCs w:val="14"/>
                <w:color w:val="auto"/>
              </w:rPr>
            </w:pPr>
          </w:p>
        </w:tc>
        <w:tc>
          <w:tcPr>
            <w:tcW w:w="8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1"/>
                <w:szCs w:val="11"/>
                <w:color w:val="auto"/>
              </w:rPr>
              <w:t>(3)</w:t>
            </w:r>
          </w:p>
        </w:tc>
        <w:tc>
          <w:tcPr>
            <w:tcW w:w="80" w:type="dxa"/>
            <w:vAlign w:val="bottom"/>
            <w:shd w:val="clear" w:color="auto" w:fill="CCEEFF"/>
          </w:tcPr>
          <w:p>
            <w:pPr>
              <w:spacing w:after="0"/>
              <w:rPr>
                <w:sz w:val="14"/>
                <w:szCs w:val="14"/>
                <w:color w:val="auto"/>
              </w:rPr>
            </w:pPr>
          </w:p>
        </w:tc>
        <w:tc>
          <w:tcPr>
            <w:tcW w:w="160" w:type="dxa"/>
            <w:vAlign w:val="bottom"/>
            <w:shd w:val="clear" w:color="auto" w:fill="CCEEFF"/>
          </w:tcPr>
          <w:p>
            <w:pPr>
              <w:spacing w:after="0"/>
              <w:rPr>
                <w:sz w:val="14"/>
                <w:szCs w:val="14"/>
                <w:color w:val="auto"/>
              </w:rPr>
            </w:pPr>
          </w:p>
        </w:tc>
        <w:tc>
          <w:tcPr>
            <w:tcW w:w="800" w:type="dxa"/>
            <w:vAlign w:val="bottom"/>
            <w:gridSpan w:val="2"/>
            <w:shd w:val="clear" w:color="auto" w:fill="CCEEFF"/>
          </w:tcPr>
          <w:p>
            <w:pPr>
              <w:ind w:left="540"/>
              <w:spacing w:after="0"/>
              <w:rPr>
                <w:sz w:val="20"/>
                <w:szCs w:val="20"/>
                <w:color w:val="auto"/>
              </w:rPr>
            </w:pPr>
            <w:r>
              <w:rPr>
                <w:rFonts w:ascii="Times New Roman" w:cs="Times New Roman" w:eastAsia="Times New Roman" w:hAnsi="Times New Roman"/>
                <w:sz w:val="11"/>
                <w:szCs w:val="11"/>
                <w:color w:val="auto"/>
              </w:rPr>
              <w:t>—</w:t>
            </w:r>
          </w:p>
        </w:tc>
        <w:tc>
          <w:tcPr>
            <w:tcW w:w="200" w:type="dxa"/>
            <w:vAlign w:val="bottom"/>
            <w:shd w:val="clear" w:color="auto" w:fill="CCEEFF"/>
          </w:tcPr>
          <w:p>
            <w:pPr>
              <w:spacing w:after="0"/>
              <w:rPr>
                <w:sz w:val="14"/>
                <w:szCs w:val="14"/>
                <w:color w:val="auto"/>
              </w:rPr>
            </w:pPr>
          </w:p>
        </w:tc>
        <w:tc>
          <w:tcPr>
            <w:tcW w:w="940" w:type="dxa"/>
            <w:vAlign w:val="bottom"/>
            <w:gridSpan w:val="2"/>
            <w:shd w:val="clear" w:color="auto" w:fill="CCEEFF"/>
          </w:tcPr>
          <w:p>
            <w:pPr>
              <w:jc w:val="right"/>
              <w:ind w:right="140"/>
              <w:spacing w:after="0"/>
              <w:rPr>
                <w:sz w:val="20"/>
                <w:szCs w:val="20"/>
                <w:color w:val="auto"/>
              </w:rPr>
            </w:pPr>
            <w:r>
              <w:rPr>
                <w:rFonts w:ascii="Times New Roman" w:cs="Times New Roman" w:eastAsia="Times New Roman" w:hAnsi="Times New Roman"/>
                <w:sz w:val="11"/>
                <w:szCs w:val="11"/>
                <w:color w:val="auto"/>
              </w:rPr>
              <w:t>—</w:t>
            </w:r>
          </w:p>
        </w:tc>
        <w:tc>
          <w:tcPr>
            <w:tcW w:w="140" w:type="dxa"/>
            <w:vAlign w:val="bottom"/>
            <w:shd w:val="clear" w:color="auto" w:fill="CCEEFF"/>
          </w:tcPr>
          <w:p>
            <w:pPr>
              <w:spacing w:after="0"/>
              <w:rPr>
                <w:sz w:val="14"/>
                <w:szCs w:val="14"/>
                <w:color w:val="auto"/>
              </w:rPr>
            </w:pPr>
          </w:p>
        </w:tc>
        <w:tc>
          <w:tcPr>
            <w:tcW w:w="1340" w:type="dxa"/>
            <w:vAlign w:val="bottom"/>
            <w:gridSpan w:val="2"/>
            <w:shd w:val="clear" w:color="auto" w:fill="CCEEFF"/>
          </w:tcPr>
          <w:p>
            <w:pPr>
              <w:jc w:val="right"/>
              <w:ind w:right="140"/>
              <w:spacing w:after="0"/>
              <w:rPr>
                <w:sz w:val="20"/>
                <w:szCs w:val="20"/>
                <w:color w:val="auto"/>
              </w:rPr>
            </w:pPr>
            <w:r>
              <w:rPr>
                <w:rFonts w:ascii="Times New Roman" w:cs="Times New Roman" w:eastAsia="Times New Roman" w:hAnsi="Times New Roman"/>
                <w:sz w:val="11"/>
                <w:szCs w:val="11"/>
                <w:color w:val="auto"/>
              </w:rPr>
              <w:t>—</w:t>
            </w:r>
          </w:p>
        </w:tc>
        <w:tc>
          <w:tcPr>
            <w:tcW w:w="200" w:type="dxa"/>
            <w:vAlign w:val="bottom"/>
            <w:shd w:val="clear" w:color="auto" w:fill="CCEEFF"/>
          </w:tcPr>
          <w:p>
            <w:pPr>
              <w:spacing w:after="0"/>
              <w:rPr>
                <w:sz w:val="14"/>
                <w:szCs w:val="14"/>
                <w:color w:val="auto"/>
              </w:rPr>
            </w:pPr>
          </w:p>
        </w:tc>
        <w:tc>
          <w:tcPr>
            <w:tcW w:w="7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1"/>
                <w:szCs w:val="11"/>
                <w:color w:val="auto"/>
              </w:rPr>
              <w:t>—</w:t>
            </w:r>
          </w:p>
        </w:tc>
        <w:tc>
          <w:tcPr>
            <w:tcW w:w="0" w:type="dxa"/>
            <w:vAlign w:val="bottom"/>
          </w:tcPr>
          <w:p>
            <w:pPr>
              <w:spacing w:after="0"/>
              <w:rPr>
                <w:sz w:val="1"/>
                <w:szCs w:val="1"/>
                <w:color w:val="auto"/>
              </w:rPr>
            </w:pPr>
          </w:p>
        </w:tc>
      </w:tr>
      <w:tr>
        <w:trPr>
          <w:trHeight w:val="153"/>
        </w:trPr>
        <w:tc>
          <w:tcPr>
            <w:tcW w:w="3620" w:type="dxa"/>
            <w:vAlign w:val="bottom"/>
          </w:tcPr>
          <w:p>
            <w:pPr>
              <w:ind w:left="20"/>
              <w:spacing w:after="0"/>
              <w:rPr>
                <w:sz w:val="20"/>
                <w:szCs w:val="20"/>
                <w:color w:val="auto"/>
              </w:rPr>
            </w:pPr>
            <w:r>
              <w:rPr>
                <w:rFonts w:ascii="Times New Roman" w:cs="Times New Roman" w:eastAsia="Times New Roman" w:hAnsi="Times New Roman"/>
                <w:sz w:val="11"/>
                <w:szCs w:val="11"/>
                <w:color w:val="auto"/>
              </w:rPr>
              <w:t>Stock-based compensation expense</w:t>
            </w:r>
          </w:p>
        </w:tc>
        <w:tc>
          <w:tcPr>
            <w:tcW w:w="1060" w:type="dxa"/>
            <w:vAlign w:val="bottom"/>
            <w:gridSpan w:val="2"/>
          </w:tcPr>
          <w:p>
            <w:pPr>
              <w:jc w:val="right"/>
              <w:ind w:right="140"/>
              <w:spacing w:after="0"/>
              <w:rPr>
                <w:sz w:val="20"/>
                <w:szCs w:val="20"/>
                <w:color w:val="auto"/>
              </w:rPr>
            </w:pPr>
            <w:r>
              <w:rPr>
                <w:rFonts w:ascii="Times New Roman" w:cs="Times New Roman" w:eastAsia="Times New Roman" w:hAnsi="Times New Roman"/>
                <w:sz w:val="11"/>
                <w:szCs w:val="11"/>
                <w:color w:val="auto"/>
              </w:rPr>
              <w:t>—</w:t>
            </w:r>
          </w:p>
        </w:tc>
        <w:tc>
          <w:tcPr>
            <w:tcW w:w="700" w:type="dxa"/>
            <w:vAlign w:val="bottom"/>
          </w:tcPr>
          <w:p>
            <w:pPr>
              <w:spacing w:after="0"/>
              <w:rPr>
                <w:sz w:val="13"/>
                <w:szCs w:val="13"/>
                <w:color w:val="auto"/>
              </w:rPr>
            </w:pPr>
          </w:p>
        </w:tc>
        <w:tc>
          <w:tcPr>
            <w:tcW w:w="360" w:type="dxa"/>
            <w:vAlign w:val="bottom"/>
            <w:gridSpan w:val="2"/>
          </w:tcPr>
          <w:p>
            <w:pPr>
              <w:jc w:val="right"/>
              <w:ind w:right="140"/>
              <w:spacing w:after="0"/>
              <w:rPr>
                <w:sz w:val="20"/>
                <w:szCs w:val="20"/>
                <w:color w:val="auto"/>
              </w:rPr>
            </w:pPr>
            <w:r>
              <w:rPr>
                <w:rFonts w:ascii="Times New Roman" w:cs="Times New Roman" w:eastAsia="Times New Roman" w:hAnsi="Times New Roman"/>
                <w:sz w:val="11"/>
                <w:szCs w:val="11"/>
                <w:color w:val="auto"/>
              </w:rPr>
              <w:t>—</w:t>
            </w:r>
          </w:p>
        </w:tc>
        <w:tc>
          <w:tcPr>
            <w:tcW w:w="160" w:type="dxa"/>
            <w:vAlign w:val="bottom"/>
          </w:tcPr>
          <w:p>
            <w:pPr>
              <w:spacing w:after="0"/>
              <w:rPr>
                <w:sz w:val="13"/>
                <w:szCs w:val="13"/>
                <w:color w:val="auto"/>
              </w:rPr>
            </w:pPr>
          </w:p>
        </w:tc>
        <w:tc>
          <w:tcPr>
            <w:tcW w:w="820" w:type="dxa"/>
            <w:vAlign w:val="bottom"/>
          </w:tcPr>
          <w:p>
            <w:pPr>
              <w:jc w:val="right"/>
              <w:ind w:right="4"/>
              <w:spacing w:after="0"/>
              <w:rPr>
                <w:sz w:val="20"/>
                <w:szCs w:val="20"/>
                <w:color w:val="auto"/>
              </w:rPr>
            </w:pPr>
            <w:r>
              <w:rPr>
                <w:rFonts w:ascii="Times New Roman" w:cs="Times New Roman" w:eastAsia="Times New Roman" w:hAnsi="Times New Roman"/>
                <w:sz w:val="11"/>
                <w:szCs w:val="11"/>
                <w:color w:val="auto"/>
              </w:rPr>
              <w:t>5,537</w:t>
            </w:r>
          </w:p>
        </w:tc>
        <w:tc>
          <w:tcPr>
            <w:tcW w:w="8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800" w:type="dxa"/>
            <w:vAlign w:val="bottom"/>
            <w:gridSpan w:val="2"/>
          </w:tcPr>
          <w:p>
            <w:pPr>
              <w:ind w:left="540"/>
              <w:spacing w:after="0"/>
              <w:rPr>
                <w:sz w:val="20"/>
                <w:szCs w:val="20"/>
                <w:color w:val="auto"/>
              </w:rPr>
            </w:pPr>
            <w:r>
              <w:rPr>
                <w:rFonts w:ascii="Times New Roman" w:cs="Times New Roman" w:eastAsia="Times New Roman" w:hAnsi="Times New Roman"/>
                <w:sz w:val="11"/>
                <w:szCs w:val="11"/>
                <w:color w:val="auto"/>
              </w:rPr>
              <w:t>—</w:t>
            </w:r>
          </w:p>
        </w:tc>
        <w:tc>
          <w:tcPr>
            <w:tcW w:w="200" w:type="dxa"/>
            <w:vAlign w:val="bottom"/>
          </w:tcPr>
          <w:p>
            <w:pPr>
              <w:spacing w:after="0"/>
              <w:rPr>
                <w:sz w:val="13"/>
                <w:szCs w:val="13"/>
                <w:color w:val="auto"/>
              </w:rPr>
            </w:pPr>
          </w:p>
        </w:tc>
        <w:tc>
          <w:tcPr>
            <w:tcW w:w="940" w:type="dxa"/>
            <w:vAlign w:val="bottom"/>
            <w:gridSpan w:val="2"/>
          </w:tcPr>
          <w:p>
            <w:pPr>
              <w:jc w:val="right"/>
              <w:ind w:right="140"/>
              <w:spacing w:after="0"/>
              <w:rPr>
                <w:sz w:val="20"/>
                <w:szCs w:val="20"/>
                <w:color w:val="auto"/>
              </w:rPr>
            </w:pPr>
            <w:r>
              <w:rPr>
                <w:rFonts w:ascii="Times New Roman" w:cs="Times New Roman" w:eastAsia="Times New Roman" w:hAnsi="Times New Roman"/>
                <w:sz w:val="11"/>
                <w:szCs w:val="11"/>
                <w:color w:val="auto"/>
              </w:rPr>
              <w:t>—</w:t>
            </w:r>
          </w:p>
        </w:tc>
        <w:tc>
          <w:tcPr>
            <w:tcW w:w="140" w:type="dxa"/>
            <w:vAlign w:val="bottom"/>
          </w:tcPr>
          <w:p>
            <w:pPr>
              <w:spacing w:after="0"/>
              <w:rPr>
                <w:sz w:val="13"/>
                <w:szCs w:val="13"/>
                <w:color w:val="auto"/>
              </w:rPr>
            </w:pPr>
          </w:p>
        </w:tc>
        <w:tc>
          <w:tcPr>
            <w:tcW w:w="1340" w:type="dxa"/>
            <w:vAlign w:val="bottom"/>
            <w:gridSpan w:val="2"/>
          </w:tcPr>
          <w:p>
            <w:pPr>
              <w:jc w:val="right"/>
              <w:ind w:right="140"/>
              <w:spacing w:after="0"/>
              <w:rPr>
                <w:sz w:val="20"/>
                <w:szCs w:val="20"/>
                <w:color w:val="auto"/>
              </w:rPr>
            </w:pPr>
            <w:r>
              <w:rPr>
                <w:rFonts w:ascii="Times New Roman" w:cs="Times New Roman" w:eastAsia="Times New Roman" w:hAnsi="Times New Roman"/>
                <w:sz w:val="11"/>
                <w:szCs w:val="11"/>
                <w:color w:val="auto"/>
              </w:rPr>
              <w:t>—</w:t>
            </w:r>
          </w:p>
        </w:tc>
        <w:tc>
          <w:tcPr>
            <w:tcW w:w="200" w:type="dxa"/>
            <w:vAlign w:val="bottom"/>
          </w:tcPr>
          <w:p>
            <w:pPr>
              <w:spacing w:after="0"/>
              <w:rPr>
                <w:sz w:val="13"/>
                <w:szCs w:val="13"/>
                <w:color w:val="auto"/>
              </w:rPr>
            </w:pPr>
          </w:p>
        </w:tc>
        <w:tc>
          <w:tcPr>
            <w:tcW w:w="700" w:type="dxa"/>
            <w:vAlign w:val="bottom"/>
          </w:tcPr>
          <w:p>
            <w:pPr>
              <w:jc w:val="right"/>
              <w:spacing w:after="0"/>
              <w:rPr>
                <w:sz w:val="20"/>
                <w:szCs w:val="20"/>
                <w:color w:val="auto"/>
              </w:rPr>
            </w:pPr>
            <w:r>
              <w:rPr>
                <w:rFonts w:ascii="Times New Roman" w:cs="Times New Roman" w:eastAsia="Times New Roman" w:hAnsi="Times New Roman"/>
                <w:sz w:val="11"/>
                <w:szCs w:val="11"/>
                <w:color w:val="auto"/>
              </w:rPr>
              <w:t>5,537</w:t>
            </w:r>
          </w:p>
        </w:tc>
        <w:tc>
          <w:tcPr>
            <w:tcW w:w="0" w:type="dxa"/>
            <w:vAlign w:val="bottom"/>
          </w:tcPr>
          <w:p>
            <w:pPr>
              <w:spacing w:after="0"/>
              <w:rPr>
                <w:sz w:val="1"/>
                <w:szCs w:val="1"/>
                <w:color w:val="auto"/>
              </w:rPr>
            </w:pPr>
          </w:p>
        </w:tc>
      </w:tr>
      <w:tr>
        <w:trPr>
          <w:trHeight w:val="165"/>
        </w:trPr>
        <w:tc>
          <w:tcPr>
            <w:tcW w:w="362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1"/>
                <w:szCs w:val="11"/>
                <w:color w:val="auto"/>
              </w:rPr>
              <w:t>Return of capital ($0.60 per share)</w:t>
            </w:r>
          </w:p>
        </w:tc>
        <w:tc>
          <w:tcPr>
            <w:tcW w:w="1060" w:type="dxa"/>
            <w:vAlign w:val="bottom"/>
            <w:gridSpan w:val="2"/>
            <w:shd w:val="clear" w:color="auto" w:fill="CCEEFF"/>
          </w:tcPr>
          <w:p>
            <w:pPr>
              <w:jc w:val="right"/>
              <w:ind w:right="140"/>
              <w:spacing w:after="0"/>
              <w:rPr>
                <w:sz w:val="20"/>
                <w:szCs w:val="20"/>
                <w:color w:val="auto"/>
              </w:rPr>
            </w:pPr>
            <w:r>
              <w:rPr>
                <w:rFonts w:ascii="Times New Roman" w:cs="Times New Roman" w:eastAsia="Times New Roman" w:hAnsi="Times New Roman"/>
                <w:sz w:val="11"/>
                <w:szCs w:val="11"/>
                <w:color w:val="auto"/>
              </w:rPr>
              <w:t>—</w:t>
            </w:r>
          </w:p>
        </w:tc>
        <w:tc>
          <w:tcPr>
            <w:tcW w:w="700" w:type="dxa"/>
            <w:vAlign w:val="bottom"/>
            <w:shd w:val="clear" w:color="auto" w:fill="CCEEFF"/>
          </w:tcPr>
          <w:p>
            <w:pPr>
              <w:spacing w:after="0"/>
              <w:rPr>
                <w:sz w:val="14"/>
                <w:szCs w:val="14"/>
                <w:color w:val="auto"/>
              </w:rPr>
            </w:pPr>
          </w:p>
        </w:tc>
        <w:tc>
          <w:tcPr>
            <w:tcW w:w="360" w:type="dxa"/>
            <w:vAlign w:val="bottom"/>
            <w:gridSpan w:val="2"/>
            <w:shd w:val="clear" w:color="auto" w:fill="CCEEFF"/>
          </w:tcPr>
          <w:p>
            <w:pPr>
              <w:jc w:val="right"/>
              <w:ind w:right="140"/>
              <w:spacing w:after="0"/>
              <w:rPr>
                <w:sz w:val="20"/>
                <w:szCs w:val="20"/>
                <w:color w:val="auto"/>
              </w:rPr>
            </w:pPr>
            <w:r>
              <w:rPr>
                <w:rFonts w:ascii="Times New Roman" w:cs="Times New Roman" w:eastAsia="Times New Roman" w:hAnsi="Times New Roman"/>
                <w:sz w:val="11"/>
                <w:szCs w:val="11"/>
                <w:color w:val="auto"/>
              </w:rPr>
              <w:t>—</w:t>
            </w:r>
          </w:p>
        </w:tc>
        <w:tc>
          <w:tcPr>
            <w:tcW w:w="160" w:type="dxa"/>
            <w:vAlign w:val="bottom"/>
            <w:shd w:val="clear" w:color="auto" w:fill="CCEEFF"/>
          </w:tcPr>
          <w:p>
            <w:pPr>
              <w:spacing w:after="0"/>
              <w:rPr>
                <w:sz w:val="14"/>
                <w:szCs w:val="14"/>
                <w:color w:val="auto"/>
              </w:rPr>
            </w:pPr>
          </w:p>
        </w:tc>
        <w:tc>
          <w:tcPr>
            <w:tcW w:w="8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1"/>
                <w:szCs w:val="11"/>
                <w:color w:val="auto"/>
              </w:rPr>
              <w:t>(4,917)</w:t>
            </w:r>
          </w:p>
        </w:tc>
        <w:tc>
          <w:tcPr>
            <w:tcW w:w="80" w:type="dxa"/>
            <w:vAlign w:val="bottom"/>
            <w:shd w:val="clear" w:color="auto" w:fill="CCEEFF"/>
          </w:tcPr>
          <w:p>
            <w:pPr>
              <w:spacing w:after="0"/>
              <w:rPr>
                <w:sz w:val="14"/>
                <w:szCs w:val="14"/>
                <w:color w:val="auto"/>
              </w:rPr>
            </w:pPr>
          </w:p>
        </w:tc>
        <w:tc>
          <w:tcPr>
            <w:tcW w:w="160" w:type="dxa"/>
            <w:vAlign w:val="bottom"/>
            <w:shd w:val="clear" w:color="auto" w:fill="CCEEFF"/>
          </w:tcPr>
          <w:p>
            <w:pPr>
              <w:spacing w:after="0"/>
              <w:rPr>
                <w:sz w:val="14"/>
                <w:szCs w:val="14"/>
                <w:color w:val="auto"/>
              </w:rPr>
            </w:pPr>
          </w:p>
        </w:tc>
        <w:tc>
          <w:tcPr>
            <w:tcW w:w="800" w:type="dxa"/>
            <w:vAlign w:val="bottom"/>
            <w:gridSpan w:val="2"/>
            <w:shd w:val="clear" w:color="auto" w:fill="CCEEFF"/>
          </w:tcPr>
          <w:p>
            <w:pPr>
              <w:ind w:left="540"/>
              <w:spacing w:after="0"/>
              <w:rPr>
                <w:sz w:val="20"/>
                <w:szCs w:val="20"/>
                <w:color w:val="auto"/>
              </w:rPr>
            </w:pPr>
            <w:r>
              <w:rPr>
                <w:rFonts w:ascii="Times New Roman" w:cs="Times New Roman" w:eastAsia="Times New Roman" w:hAnsi="Times New Roman"/>
                <w:sz w:val="11"/>
                <w:szCs w:val="11"/>
                <w:color w:val="auto"/>
              </w:rPr>
              <w:t>—</w:t>
            </w:r>
          </w:p>
        </w:tc>
        <w:tc>
          <w:tcPr>
            <w:tcW w:w="200" w:type="dxa"/>
            <w:vAlign w:val="bottom"/>
            <w:shd w:val="clear" w:color="auto" w:fill="CCEEFF"/>
          </w:tcPr>
          <w:p>
            <w:pPr>
              <w:spacing w:after="0"/>
              <w:rPr>
                <w:sz w:val="14"/>
                <w:szCs w:val="14"/>
                <w:color w:val="auto"/>
              </w:rPr>
            </w:pPr>
          </w:p>
        </w:tc>
        <w:tc>
          <w:tcPr>
            <w:tcW w:w="940" w:type="dxa"/>
            <w:vAlign w:val="bottom"/>
            <w:gridSpan w:val="2"/>
            <w:shd w:val="clear" w:color="auto" w:fill="CCEEFF"/>
          </w:tcPr>
          <w:p>
            <w:pPr>
              <w:jc w:val="right"/>
              <w:ind w:right="140"/>
              <w:spacing w:after="0"/>
              <w:rPr>
                <w:sz w:val="20"/>
                <w:szCs w:val="20"/>
                <w:color w:val="auto"/>
              </w:rPr>
            </w:pPr>
            <w:r>
              <w:rPr>
                <w:rFonts w:ascii="Times New Roman" w:cs="Times New Roman" w:eastAsia="Times New Roman" w:hAnsi="Times New Roman"/>
                <w:sz w:val="11"/>
                <w:szCs w:val="11"/>
                <w:color w:val="auto"/>
              </w:rPr>
              <w:t>—</w:t>
            </w:r>
          </w:p>
        </w:tc>
        <w:tc>
          <w:tcPr>
            <w:tcW w:w="140" w:type="dxa"/>
            <w:vAlign w:val="bottom"/>
            <w:shd w:val="clear" w:color="auto" w:fill="CCEEFF"/>
          </w:tcPr>
          <w:p>
            <w:pPr>
              <w:spacing w:after="0"/>
              <w:rPr>
                <w:sz w:val="14"/>
                <w:szCs w:val="14"/>
                <w:color w:val="auto"/>
              </w:rPr>
            </w:pPr>
          </w:p>
        </w:tc>
        <w:tc>
          <w:tcPr>
            <w:tcW w:w="1340" w:type="dxa"/>
            <w:vAlign w:val="bottom"/>
            <w:gridSpan w:val="2"/>
            <w:shd w:val="clear" w:color="auto" w:fill="CCEEFF"/>
          </w:tcPr>
          <w:p>
            <w:pPr>
              <w:jc w:val="right"/>
              <w:ind w:right="140"/>
              <w:spacing w:after="0"/>
              <w:rPr>
                <w:sz w:val="20"/>
                <w:szCs w:val="20"/>
                <w:color w:val="auto"/>
              </w:rPr>
            </w:pPr>
            <w:r>
              <w:rPr>
                <w:rFonts w:ascii="Times New Roman" w:cs="Times New Roman" w:eastAsia="Times New Roman" w:hAnsi="Times New Roman"/>
                <w:sz w:val="11"/>
                <w:szCs w:val="11"/>
                <w:color w:val="auto"/>
              </w:rPr>
              <w:t>—</w:t>
            </w:r>
          </w:p>
        </w:tc>
        <w:tc>
          <w:tcPr>
            <w:tcW w:w="200" w:type="dxa"/>
            <w:vAlign w:val="bottom"/>
            <w:shd w:val="clear" w:color="auto" w:fill="CCEEFF"/>
          </w:tcPr>
          <w:p>
            <w:pPr>
              <w:spacing w:after="0"/>
              <w:rPr>
                <w:sz w:val="14"/>
                <w:szCs w:val="14"/>
                <w:color w:val="auto"/>
              </w:rPr>
            </w:pPr>
          </w:p>
        </w:tc>
        <w:tc>
          <w:tcPr>
            <w:tcW w:w="7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1"/>
                <w:szCs w:val="11"/>
                <w:color w:val="auto"/>
              </w:rPr>
              <w:t>(4,917)</w:t>
            </w:r>
          </w:p>
        </w:tc>
        <w:tc>
          <w:tcPr>
            <w:tcW w:w="0" w:type="dxa"/>
            <w:vAlign w:val="bottom"/>
          </w:tcPr>
          <w:p>
            <w:pPr>
              <w:spacing w:after="0"/>
              <w:rPr>
                <w:sz w:val="1"/>
                <w:szCs w:val="1"/>
                <w:color w:val="auto"/>
              </w:rPr>
            </w:pPr>
          </w:p>
        </w:tc>
      </w:tr>
      <w:tr>
        <w:trPr>
          <w:trHeight w:val="153"/>
        </w:trPr>
        <w:tc>
          <w:tcPr>
            <w:tcW w:w="3620" w:type="dxa"/>
            <w:vAlign w:val="bottom"/>
          </w:tcPr>
          <w:p>
            <w:pPr>
              <w:ind w:left="20"/>
              <w:spacing w:after="0"/>
              <w:rPr>
                <w:sz w:val="20"/>
                <w:szCs w:val="20"/>
                <w:color w:val="auto"/>
              </w:rPr>
            </w:pPr>
            <w:r>
              <w:rPr>
                <w:rFonts w:ascii="Times New Roman" w:cs="Times New Roman" w:eastAsia="Times New Roman" w:hAnsi="Times New Roman"/>
                <w:sz w:val="11"/>
                <w:szCs w:val="11"/>
                <w:color w:val="auto"/>
              </w:rPr>
              <w:t>Dividends declared</w:t>
            </w:r>
          </w:p>
        </w:tc>
        <w:tc>
          <w:tcPr>
            <w:tcW w:w="1060" w:type="dxa"/>
            <w:vAlign w:val="bottom"/>
            <w:gridSpan w:val="2"/>
          </w:tcPr>
          <w:p>
            <w:pPr>
              <w:jc w:val="right"/>
              <w:ind w:right="140"/>
              <w:spacing w:after="0"/>
              <w:rPr>
                <w:sz w:val="20"/>
                <w:szCs w:val="20"/>
                <w:color w:val="auto"/>
              </w:rPr>
            </w:pPr>
            <w:r>
              <w:rPr>
                <w:rFonts w:ascii="Times New Roman" w:cs="Times New Roman" w:eastAsia="Times New Roman" w:hAnsi="Times New Roman"/>
                <w:sz w:val="11"/>
                <w:szCs w:val="11"/>
                <w:color w:val="auto"/>
              </w:rPr>
              <w:t>—</w:t>
            </w:r>
          </w:p>
        </w:tc>
        <w:tc>
          <w:tcPr>
            <w:tcW w:w="700" w:type="dxa"/>
            <w:vAlign w:val="bottom"/>
          </w:tcPr>
          <w:p>
            <w:pPr>
              <w:spacing w:after="0"/>
              <w:rPr>
                <w:sz w:val="13"/>
                <w:szCs w:val="13"/>
                <w:color w:val="auto"/>
              </w:rPr>
            </w:pPr>
          </w:p>
        </w:tc>
        <w:tc>
          <w:tcPr>
            <w:tcW w:w="360" w:type="dxa"/>
            <w:vAlign w:val="bottom"/>
            <w:gridSpan w:val="2"/>
          </w:tcPr>
          <w:p>
            <w:pPr>
              <w:jc w:val="right"/>
              <w:ind w:right="140"/>
              <w:spacing w:after="0"/>
              <w:rPr>
                <w:sz w:val="20"/>
                <w:szCs w:val="20"/>
                <w:color w:val="auto"/>
              </w:rPr>
            </w:pPr>
            <w:r>
              <w:rPr>
                <w:rFonts w:ascii="Times New Roman" w:cs="Times New Roman" w:eastAsia="Times New Roman" w:hAnsi="Times New Roman"/>
                <w:sz w:val="11"/>
                <w:szCs w:val="11"/>
                <w:color w:val="auto"/>
              </w:rPr>
              <w:t>—</w:t>
            </w:r>
          </w:p>
        </w:tc>
        <w:tc>
          <w:tcPr>
            <w:tcW w:w="160" w:type="dxa"/>
            <w:vAlign w:val="bottom"/>
          </w:tcPr>
          <w:p>
            <w:pPr>
              <w:spacing w:after="0"/>
              <w:rPr>
                <w:sz w:val="13"/>
                <w:szCs w:val="13"/>
                <w:color w:val="auto"/>
              </w:rPr>
            </w:pPr>
          </w:p>
        </w:tc>
        <w:tc>
          <w:tcPr>
            <w:tcW w:w="900" w:type="dxa"/>
            <w:vAlign w:val="bottom"/>
            <w:gridSpan w:val="2"/>
          </w:tcPr>
          <w:p>
            <w:pPr>
              <w:jc w:val="right"/>
              <w:ind w:right="140"/>
              <w:spacing w:after="0"/>
              <w:rPr>
                <w:sz w:val="20"/>
                <w:szCs w:val="20"/>
                <w:color w:val="auto"/>
              </w:rPr>
            </w:pPr>
            <w:r>
              <w:rPr>
                <w:rFonts w:ascii="Times New Roman" w:cs="Times New Roman" w:eastAsia="Times New Roman" w:hAnsi="Times New Roman"/>
                <w:sz w:val="11"/>
                <w:szCs w:val="11"/>
                <w:color w:val="auto"/>
              </w:rPr>
              <w:t>—</w:t>
            </w:r>
          </w:p>
        </w:tc>
        <w:tc>
          <w:tcPr>
            <w:tcW w:w="160" w:type="dxa"/>
            <w:vAlign w:val="bottom"/>
          </w:tcPr>
          <w:p>
            <w:pPr>
              <w:spacing w:after="0"/>
              <w:rPr>
                <w:sz w:val="13"/>
                <w:szCs w:val="13"/>
                <w:color w:val="auto"/>
              </w:rPr>
            </w:pPr>
          </w:p>
        </w:tc>
        <w:tc>
          <w:tcPr>
            <w:tcW w:w="800" w:type="dxa"/>
            <w:vAlign w:val="bottom"/>
            <w:gridSpan w:val="2"/>
          </w:tcPr>
          <w:p>
            <w:pPr>
              <w:ind w:left="540"/>
              <w:spacing w:after="0"/>
              <w:rPr>
                <w:sz w:val="20"/>
                <w:szCs w:val="20"/>
                <w:color w:val="auto"/>
              </w:rPr>
            </w:pPr>
            <w:r>
              <w:rPr>
                <w:rFonts w:ascii="Times New Roman" w:cs="Times New Roman" w:eastAsia="Times New Roman" w:hAnsi="Times New Roman"/>
                <w:sz w:val="11"/>
                <w:szCs w:val="11"/>
                <w:color w:val="auto"/>
              </w:rPr>
              <w:t>—</w:t>
            </w:r>
          </w:p>
        </w:tc>
        <w:tc>
          <w:tcPr>
            <w:tcW w:w="200" w:type="dxa"/>
            <w:vAlign w:val="bottom"/>
          </w:tcPr>
          <w:p>
            <w:pPr>
              <w:spacing w:after="0"/>
              <w:rPr>
                <w:sz w:val="13"/>
                <w:szCs w:val="13"/>
                <w:color w:val="auto"/>
              </w:rPr>
            </w:pPr>
          </w:p>
        </w:tc>
        <w:tc>
          <w:tcPr>
            <w:tcW w:w="860" w:type="dxa"/>
            <w:vAlign w:val="bottom"/>
          </w:tcPr>
          <w:p>
            <w:pPr>
              <w:jc w:val="right"/>
              <w:spacing w:after="0"/>
              <w:rPr>
                <w:sz w:val="20"/>
                <w:szCs w:val="20"/>
                <w:color w:val="auto"/>
              </w:rPr>
            </w:pPr>
            <w:r>
              <w:rPr>
                <w:rFonts w:ascii="Times New Roman" w:cs="Times New Roman" w:eastAsia="Times New Roman" w:hAnsi="Times New Roman"/>
                <w:sz w:val="11"/>
                <w:szCs w:val="11"/>
                <w:color w:val="auto"/>
              </w:rPr>
              <w:t>(658)</w:t>
            </w:r>
          </w:p>
        </w:tc>
        <w:tc>
          <w:tcPr>
            <w:tcW w:w="8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1340" w:type="dxa"/>
            <w:vAlign w:val="bottom"/>
            <w:gridSpan w:val="2"/>
          </w:tcPr>
          <w:p>
            <w:pPr>
              <w:jc w:val="right"/>
              <w:ind w:right="140"/>
              <w:spacing w:after="0"/>
              <w:rPr>
                <w:sz w:val="20"/>
                <w:szCs w:val="20"/>
                <w:color w:val="auto"/>
              </w:rPr>
            </w:pPr>
            <w:r>
              <w:rPr>
                <w:rFonts w:ascii="Times New Roman" w:cs="Times New Roman" w:eastAsia="Times New Roman" w:hAnsi="Times New Roman"/>
                <w:sz w:val="11"/>
                <w:szCs w:val="11"/>
                <w:color w:val="auto"/>
              </w:rPr>
              <w:t>—</w:t>
            </w:r>
          </w:p>
        </w:tc>
        <w:tc>
          <w:tcPr>
            <w:tcW w:w="200" w:type="dxa"/>
            <w:vAlign w:val="bottom"/>
          </w:tcPr>
          <w:p>
            <w:pPr>
              <w:spacing w:after="0"/>
              <w:rPr>
                <w:sz w:val="13"/>
                <w:szCs w:val="13"/>
                <w:color w:val="auto"/>
              </w:rPr>
            </w:pPr>
          </w:p>
        </w:tc>
        <w:tc>
          <w:tcPr>
            <w:tcW w:w="700" w:type="dxa"/>
            <w:vAlign w:val="bottom"/>
          </w:tcPr>
          <w:p>
            <w:pPr>
              <w:jc w:val="right"/>
              <w:spacing w:after="0"/>
              <w:rPr>
                <w:sz w:val="20"/>
                <w:szCs w:val="20"/>
                <w:color w:val="auto"/>
              </w:rPr>
            </w:pPr>
            <w:r>
              <w:rPr>
                <w:rFonts w:ascii="Times New Roman" w:cs="Times New Roman" w:eastAsia="Times New Roman" w:hAnsi="Times New Roman"/>
                <w:sz w:val="11"/>
                <w:szCs w:val="11"/>
                <w:color w:val="auto"/>
              </w:rPr>
              <w:t>(658)</w:t>
            </w:r>
          </w:p>
        </w:tc>
        <w:tc>
          <w:tcPr>
            <w:tcW w:w="0" w:type="dxa"/>
            <w:vAlign w:val="bottom"/>
          </w:tcPr>
          <w:p>
            <w:pPr>
              <w:spacing w:after="0"/>
              <w:rPr>
                <w:sz w:val="1"/>
                <w:szCs w:val="1"/>
                <w:color w:val="auto"/>
              </w:rPr>
            </w:pPr>
          </w:p>
        </w:tc>
      </w:tr>
      <w:tr>
        <w:trPr>
          <w:trHeight w:val="165"/>
        </w:trPr>
        <w:tc>
          <w:tcPr>
            <w:tcW w:w="362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1"/>
                <w:szCs w:val="11"/>
                <w:color w:val="auto"/>
              </w:rPr>
              <w:t>Purchases of treasury stock</w:t>
            </w:r>
          </w:p>
        </w:tc>
        <w:tc>
          <w:tcPr>
            <w:tcW w:w="9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1"/>
                <w:szCs w:val="11"/>
                <w:color w:val="auto"/>
              </w:rPr>
              <w:t>(108,225)</w:t>
            </w:r>
          </w:p>
        </w:tc>
        <w:tc>
          <w:tcPr>
            <w:tcW w:w="100" w:type="dxa"/>
            <w:vAlign w:val="bottom"/>
            <w:shd w:val="clear" w:color="auto" w:fill="CCEEFF"/>
          </w:tcPr>
          <w:p>
            <w:pPr>
              <w:spacing w:after="0"/>
              <w:rPr>
                <w:sz w:val="14"/>
                <w:szCs w:val="14"/>
                <w:color w:val="auto"/>
              </w:rPr>
            </w:pPr>
          </w:p>
        </w:tc>
        <w:tc>
          <w:tcPr>
            <w:tcW w:w="700" w:type="dxa"/>
            <w:vAlign w:val="bottom"/>
            <w:shd w:val="clear" w:color="auto" w:fill="CCEEFF"/>
          </w:tcPr>
          <w:p>
            <w:pPr>
              <w:spacing w:after="0"/>
              <w:rPr>
                <w:sz w:val="14"/>
                <w:szCs w:val="14"/>
                <w:color w:val="auto"/>
              </w:rPr>
            </w:pPr>
          </w:p>
        </w:tc>
        <w:tc>
          <w:tcPr>
            <w:tcW w:w="360" w:type="dxa"/>
            <w:vAlign w:val="bottom"/>
            <w:gridSpan w:val="2"/>
            <w:shd w:val="clear" w:color="auto" w:fill="CCEEFF"/>
          </w:tcPr>
          <w:p>
            <w:pPr>
              <w:jc w:val="right"/>
              <w:ind w:right="140"/>
              <w:spacing w:after="0"/>
              <w:rPr>
                <w:sz w:val="20"/>
                <w:szCs w:val="20"/>
                <w:color w:val="auto"/>
              </w:rPr>
            </w:pPr>
            <w:r>
              <w:rPr>
                <w:rFonts w:ascii="Times New Roman" w:cs="Times New Roman" w:eastAsia="Times New Roman" w:hAnsi="Times New Roman"/>
                <w:sz w:val="11"/>
                <w:szCs w:val="11"/>
                <w:color w:val="auto"/>
              </w:rPr>
              <w:t>—</w:t>
            </w:r>
          </w:p>
        </w:tc>
        <w:tc>
          <w:tcPr>
            <w:tcW w:w="160" w:type="dxa"/>
            <w:vAlign w:val="bottom"/>
            <w:shd w:val="clear" w:color="auto" w:fill="CCEEFF"/>
          </w:tcPr>
          <w:p>
            <w:pPr>
              <w:spacing w:after="0"/>
              <w:rPr>
                <w:sz w:val="14"/>
                <w:szCs w:val="14"/>
                <w:color w:val="auto"/>
              </w:rPr>
            </w:pPr>
          </w:p>
        </w:tc>
        <w:tc>
          <w:tcPr>
            <w:tcW w:w="900" w:type="dxa"/>
            <w:vAlign w:val="bottom"/>
            <w:gridSpan w:val="2"/>
            <w:shd w:val="clear" w:color="auto" w:fill="CCEEFF"/>
          </w:tcPr>
          <w:p>
            <w:pPr>
              <w:jc w:val="right"/>
              <w:ind w:right="140"/>
              <w:spacing w:after="0"/>
              <w:rPr>
                <w:sz w:val="20"/>
                <w:szCs w:val="20"/>
                <w:color w:val="auto"/>
              </w:rPr>
            </w:pPr>
            <w:r>
              <w:rPr>
                <w:rFonts w:ascii="Times New Roman" w:cs="Times New Roman" w:eastAsia="Times New Roman" w:hAnsi="Times New Roman"/>
                <w:sz w:val="11"/>
                <w:szCs w:val="11"/>
                <w:color w:val="auto"/>
              </w:rPr>
              <w:t>—</w:t>
            </w:r>
          </w:p>
        </w:tc>
        <w:tc>
          <w:tcPr>
            <w:tcW w:w="160" w:type="dxa"/>
            <w:vAlign w:val="bottom"/>
            <w:shd w:val="clear" w:color="auto" w:fill="CCEEFF"/>
          </w:tcPr>
          <w:p>
            <w:pPr>
              <w:spacing w:after="0"/>
              <w:rPr>
                <w:sz w:val="14"/>
                <w:szCs w:val="14"/>
                <w:color w:val="auto"/>
              </w:rPr>
            </w:pPr>
          </w:p>
        </w:tc>
        <w:tc>
          <w:tcPr>
            <w:tcW w:w="7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1"/>
                <w:szCs w:val="11"/>
                <w:color w:val="auto"/>
              </w:rPr>
              <w:t>(1,348)</w:t>
            </w:r>
          </w:p>
        </w:tc>
        <w:tc>
          <w:tcPr>
            <w:tcW w:w="100" w:type="dxa"/>
            <w:vAlign w:val="bottom"/>
            <w:shd w:val="clear" w:color="auto" w:fill="CCEEFF"/>
          </w:tcPr>
          <w:p>
            <w:pPr>
              <w:spacing w:after="0"/>
              <w:rPr>
                <w:sz w:val="14"/>
                <w:szCs w:val="14"/>
                <w:color w:val="auto"/>
              </w:rPr>
            </w:pPr>
          </w:p>
        </w:tc>
        <w:tc>
          <w:tcPr>
            <w:tcW w:w="200" w:type="dxa"/>
            <w:vAlign w:val="bottom"/>
            <w:shd w:val="clear" w:color="auto" w:fill="CCEEFF"/>
          </w:tcPr>
          <w:p>
            <w:pPr>
              <w:spacing w:after="0"/>
              <w:rPr>
                <w:sz w:val="14"/>
                <w:szCs w:val="14"/>
                <w:color w:val="auto"/>
              </w:rPr>
            </w:pPr>
          </w:p>
        </w:tc>
        <w:tc>
          <w:tcPr>
            <w:tcW w:w="940" w:type="dxa"/>
            <w:vAlign w:val="bottom"/>
            <w:gridSpan w:val="2"/>
            <w:shd w:val="clear" w:color="auto" w:fill="CCEEFF"/>
          </w:tcPr>
          <w:p>
            <w:pPr>
              <w:jc w:val="right"/>
              <w:ind w:right="140"/>
              <w:spacing w:after="0"/>
              <w:rPr>
                <w:sz w:val="20"/>
                <w:szCs w:val="20"/>
                <w:color w:val="auto"/>
              </w:rPr>
            </w:pPr>
            <w:r>
              <w:rPr>
                <w:rFonts w:ascii="Times New Roman" w:cs="Times New Roman" w:eastAsia="Times New Roman" w:hAnsi="Times New Roman"/>
                <w:sz w:val="11"/>
                <w:szCs w:val="11"/>
                <w:color w:val="auto"/>
              </w:rPr>
              <w:t>—</w:t>
            </w:r>
          </w:p>
        </w:tc>
        <w:tc>
          <w:tcPr>
            <w:tcW w:w="140" w:type="dxa"/>
            <w:vAlign w:val="bottom"/>
            <w:shd w:val="clear" w:color="auto" w:fill="CCEEFF"/>
          </w:tcPr>
          <w:p>
            <w:pPr>
              <w:spacing w:after="0"/>
              <w:rPr>
                <w:sz w:val="14"/>
                <w:szCs w:val="14"/>
                <w:color w:val="auto"/>
              </w:rPr>
            </w:pPr>
          </w:p>
        </w:tc>
        <w:tc>
          <w:tcPr>
            <w:tcW w:w="1340" w:type="dxa"/>
            <w:vAlign w:val="bottom"/>
            <w:gridSpan w:val="2"/>
            <w:shd w:val="clear" w:color="auto" w:fill="CCEEFF"/>
          </w:tcPr>
          <w:p>
            <w:pPr>
              <w:jc w:val="right"/>
              <w:ind w:right="140"/>
              <w:spacing w:after="0"/>
              <w:rPr>
                <w:sz w:val="20"/>
                <w:szCs w:val="20"/>
                <w:color w:val="auto"/>
              </w:rPr>
            </w:pPr>
            <w:r>
              <w:rPr>
                <w:rFonts w:ascii="Times New Roman" w:cs="Times New Roman" w:eastAsia="Times New Roman" w:hAnsi="Times New Roman"/>
                <w:sz w:val="11"/>
                <w:szCs w:val="11"/>
                <w:color w:val="auto"/>
              </w:rPr>
              <w:t>—</w:t>
            </w:r>
          </w:p>
        </w:tc>
        <w:tc>
          <w:tcPr>
            <w:tcW w:w="200" w:type="dxa"/>
            <w:vAlign w:val="bottom"/>
            <w:shd w:val="clear" w:color="auto" w:fill="CCEEFF"/>
          </w:tcPr>
          <w:p>
            <w:pPr>
              <w:spacing w:after="0"/>
              <w:rPr>
                <w:sz w:val="14"/>
                <w:szCs w:val="14"/>
                <w:color w:val="auto"/>
              </w:rPr>
            </w:pPr>
          </w:p>
        </w:tc>
        <w:tc>
          <w:tcPr>
            <w:tcW w:w="7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1"/>
                <w:szCs w:val="11"/>
                <w:color w:val="auto"/>
              </w:rPr>
              <w:t>(1,348)</w:t>
            </w:r>
          </w:p>
        </w:tc>
        <w:tc>
          <w:tcPr>
            <w:tcW w:w="0" w:type="dxa"/>
            <w:vAlign w:val="bottom"/>
          </w:tcPr>
          <w:p>
            <w:pPr>
              <w:spacing w:after="0"/>
              <w:rPr>
                <w:sz w:val="1"/>
                <w:szCs w:val="1"/>
                <w:color w:val="auto"/>
              </w:rPr>
            </w:pPr>
          </w:p>
        </w:tc>
      </w:tr>
      <w:tr>
        <w:trPr>
          <w:trHeight w:val="153"/>
        </w:trPr>
        <w:tc>
          <w:tcPr>
            <w:tcW w:w="3620" w:type="dxa"/>
            <w:vAlign w:val="bottom"/>
          </w:tcPr>
          <w:p>
            <w:pPr>
              <w:ind w:left="20"/>
              <w:spacing w:after="0"/>
              <w:rPr>
                <w:sz w:val="20"/>
                <w:szCs w:val="20"/>
                <w:color w:val="auto"/>
              </w:rPr>
            </w:pPr>
            <w:r>
              <w:rPr>
                <w:rFonts w:ascii="Times New Roman" w:cs="Times New Roman" w:eastAsia="Times New Roman" w:hAnsi="Times New Roman"/>
                <w:sz w:val="11"/>
                <w:szCs w:val="11"/>
                <w:color w:val="auto"/>
              </w:rPr>
              <w:t>Restricted stock returned for payment of taxes</w:t>
            </w:r>
          </w:p>
        </w:tc>
        <w:tc>
          <w:tcPr>
            <w:tcW w:w="960" w:type="dxa"/>
            <w:vAlign w:val="bottom"/>
          </w:tcPr>
          <w:p>
            <w:pPr>
              <w:jc w:val="right"/>
              <w:spacing w:after="0"/>
              <w:rPr>
                <w:sz w:val="20"/>
                <w:szCs w:val="20"/>
                <w:color w:val="auto"/>
              </w:rPr>
            </w:pPr>
            <w:r>
              <w:rPr>
                <w:rFonts w:ascii="Times New Roman" w:cs="Times New Roman" w:eastAsia="Times New Roman" w:hAnsi="Times New Roman"/>
                <w:sz w:val="11"/>
                <w:szCs w:val="11"/>
                <w:color w:val="auto"/>
              </w:rPr>
              <w:t>(78,302)</w:t>
            </w:r>
          </w:p>
        </w:tc>
        <w:tc>
          <w:tcPr>
            <w:tcW w:w="100" w:type="dxa"/>
            <w:vAlign w:val="bottom"/>
          </w:tcPr>
          <w:p>
            <w:pPr>
              <w:spacing w:after="0"/>
              <w:rPr>
                <w:sz w:val="13"/>
                <w:szCs w:val="13"/>
                <w:color w:val="auto"/>
              </w:rPr>
            </w:pPr>
          </w:p>
        </w:tc>
        <w:tc>
          <w:tcPr>
            <w:tcW w:w="700" w:type="dxa"/>
            <w:vAlign w:val="bottom"/>
          </w:tcPr>
          <w:p>
            <w:pPr>
              <w:spacing w:after="0"/>
              <w:rPr>
                <w:sz w:val="13"/>
                <w:szCs w:val="13"/>
                <w:color w:val="auto"/>
              </w:rPr>
            </w:pPr>
          </w:p>
        </w:tc>
        <w:tc>
          <w:tcPr>
            <w:tcW w:w="360" w:type="dxa"/>
            <w:vAlign w:val="bottom"/>
            <w:gridSpan w:val="2"/>
          </w:tcPr>
          <w:p>
            <w:pPr>
              <w:jc w:val="right"/>
              <w:ind w:right="140"/>
              <w:spacing w:after="0"/>
              <w:rPr>
                <w:sz w:val="20"/>
                <w:szCs w:val="20"/>
                <w:color w:val="auto"/>
              </w:rPr>
            </w:pPr>
            <w:r>
              <w:rPr>
                <w:rFonts w:ascii="Times New Roman" w:cs="Times New Roman" w:eastAsia="Times New Roman" w:hAnsi="Times New Roman"/>
                <w:sz w:val="11"/>
                <w:szCs w:val="11"/>
                <w:color w:val="auto"/>
              </w:rPr>
              <w:t>—</w:t>
            </w:r>
          </w:p>
        </w:tc>
        <w:tc>
          <w:tcPr>
            <w:tcW w:w="160" w:type="dxa"/>
            <w:vAlign w:val="bottom"/>
          </w:tcPr>
          <w:p>
            <w:pPr>
              <w:spacing w:after="0"/>
              <w:rPr>
                <w:sz w:val="13"/>
                <w:szCs w:val="13"/>
                <w:color w:val="auto"/>
              </w:rPr>
            </w:pPr>
          </w:p>
        </w:tc>
        <w:tc>
          <w:tcPr>
            <w:tcW w:w="900" w:type="dxa"/>
            <w:vAlign w:val="bottom"/>
            <w:gridSpan w:val="2"/>
          </w:tcPr>
          <w:p>
            <w:pPr>
              <w:jc w:val="right"/>
              <w:ind w:right="140"/>
              <w:spacing w:after="0"/>
              <w:rPr>
                <w:sz w:val="20"/>
                <w:szCs w:val="20"/>
                <w:color w:val="auto"/>
              </w:rPr>
            </w:pPr>
            <w:r>
              <w:rPr>
                <w:rFonts w:ascii="Times New Roman" w:cs="Times New Roman" w:eastAsia="Times New Roman" w:hAnsi="Times New Roman"/>
                <w:sz w:val="11"/>
                <w:szCs w:val="11"/>
                <w:color w:val="auto"/>
              </w:rPr>
              <w:t>—</w:t>
            </w:r>
          </w:p>
        </w:tc>
        <w:tc>
          <w:tcPr>
            <w:tcW w:w="160" w:type="dxa"/>
            <w:vAlign w:val="bottom"/>
          </w:tcPr>
          <w:p>
            <w:pPr>
              <w:spacing w:after="0"/>
              <w:rPr>
                <w:sz w:val="13"/>
                <w:szCs w:val="13"/>
                <w:color w:val="auto"/>
              </w:rPr>
            </w:pPr>
          </w:p>
        </w:tc>
        <w:tc>
          <w:tcPr>
            <w:tcW w:w="700" w:type="dxa"/>
            <w:vAlign w:val="bottom"/>
          </w:tcPr>
          <w:p>
            <w:pPr>
              <w:jc w:val="right"/>
              <w:spacing w:after="0"/>
              <w:rPr>
                <w:sz w:val="20"/>
                <w:szCs w:val="20"/>
                <w:color w:val="auto"/>
              </w:rPr>
            </w:pPr>
            <w:r>
              <w:rPr>
                <w:rFonts w:ascii="Times New Roman" w:cs="Times New Roman" w:eastAsia="Times New Roman" w:hAnsi="Times New Roman"/>
                <w:sz w:val="11"/>
                <w:szCs w:val="11"/>
                <w:color w:val="auto"/>
              </w:rPr>
              <w:t>(939)</w:t>
            </w:r>
          </w:p>
        </w:tc>
        <w:tc>
          <w:tcPr>
            <w:tcW w:w="100" w:type="dxa"/>
            <w:vAlign w:val="bottom"/>
          </w:tcPr>
          <w:p>
            <w:pPr>
              <w:spacing w:after="0"/>
              <w:rPr>
                <w:sz w:val="13"/>
                <w:szCs w:val="13"/>
                <w:color w:val="auto"/>
              </w:rPr>
            </w:pPr>
          </w:p>
        </w:tc>
        <w:tc>
          <w:tcPr>
            <w:tcW w:w="200" w:type="dxa"/>
            <w:vAlign w:val="bottom"/>
          </w:tcPr>
          <w:p>
            <w:pPr>
              <w:spacing w:after="0"/>
              <w:rPr>
                <w:sz w:val="13"/>
                <w:szCs w:val="13"/>
                <w:color w:val="auto"/>
              </w:rPr>
            </w:pPr>
          </w:p>
        </w:tc>
        <w:tc>
          <w:tcPr>
            <w:tcW w:w="940" w:type="dxa"/>
            <w:vAlign w:val="bottom"/>
            <w:gridSpan w:val="2"/>
          </w:tcPr>
          <w:p>
            <w:pPr>
              <w:jc w:val="right"/>
              <w:ind w:right="140"/>
              <w:spacing w:after="0"/>
              <w:rPr>
                <w:sz w:val="20"/>
                <w:szCs w:val="20"/>
                <w:color w:val="auto"/>
              </w:rPr>
            </w:pPr>
            <w:r>
              <w:rPr>
                <w:rFonts w:ascii="Times New Roman" w:cs="Times New Roman" w:eastAsia="Times New Roman" w:hAnsi="Times New Roman"/>
                <w:sz w:val="11"/>
                <w:szCs w:val="11"/>
                <w:color w:val="auto"/>
              </w:rPr>
              <w:t>—</w:t>
            </w:r>
          </w:p>
        </w:tc>
        <w:tc>
          <w:tcPr>
            <w:tcW w:w="140" w:type="dxa"/>
            <w:vAlign w:val="bottom"/>
          </w:tcPr>
          <w:p>
            <w:pPr>
              <w:spacing w:after="0"/>
              <w:rPr>
                <w:sz w:val="13"/>
                <w:szCs w:val="13"/>
                <w:color w:val="auto"/>
              </w:rPr>
            </w:pPr>
          </w:p>
        </w:tc>
        <w:tc>
          <w:tcPr>
            <w:tcW w:w="1340" w:type="dxa"/>
            <w:vAlign w:val="bottom"/>
            <w:gridSpan w:val="2"/>
          </w:tcPr>
          <w:p>
            <w:pPr>
              <w:jc w:val="right"/>
              <w:ind w:right="140"/>
              <w:spacing w:after="0"/>
              <w:rPr>
                <w:sz w:val="20"/>
                <w:szCs w:val="20"/>
                <w:color w:val="auto"/>
              </w:rPr>
            </w:pPr>
            <w:r>
              <w:rPr>
                <w:rFonts w:ascii="Times New Roman" w:cs="Times New Roman" w:eastAsia="Times New Roman" w:hAnsi="Times New Roman"/>
                <w:sz w:val="11"/>
                <w:szCs w:val="11"/>
                <w:color w:val="auto"/>
              </w:rPr>
              <w:t>—</w:t>
            </w:r>
          </w:p>
        </w:tc>
        <w:tc>
          <w:tcPr>
            <w:tcW w:w="200" w:type="dxa"/>
            <w:vAlign w:val="bottom"/>
          </w:tcPr>
          <w:p>
            <w:pPr>
              <w:spacing w:after="0"/>
              <w:rPr>
                <w:sz w:val="13"/>
                <w:szCs w:val="13"/>
                <w:color w:val="auto"/>
              </w:rPr>
            </w:pPr>
          </w:p>
        </w:tc>
        <w:tc>
          <w:tcPr>
            <w:tcW w:w="700" w:type="dxa"/>
            <w:vAlign w:val="bottom"/>
          </w:tcPr>
          <w:p>
            <w:pPr>
              <w:jc w:val="right"/>
              <w:spacing w:after="0"/>
              <w:rPr>
                <w:sz w:val="20"/>
                <w:szCs w:val="20"/>
                <w:color w:val="auto"/>
              </w:rPr>
            </w:pPr>
            <w:r>
              <w:rPr>
                <w:rFonts w:ascii="Times New Roman" w:cs="Times New Roman" w:eastAsia="Times New Roman" w:hAnsi="Times New Roman"/>
                <w:sz w:val="11"/>
                <w:szCs w:val="11"/>
                <w:color w:val="auto"/>
              </w:rPr>
              <w:t>(939)</w:t>
            </w:r>
          </w:p>
        </w:tc>
        <w:tc>
          <w:tcPr>
            <w:tcW w:w="0" w:type="dxa"/>
            <w:vAlign w:val="bottom"/>
          </w:tcPr>
          <w:p>
            <w:pPr>
              <w:spacing w:after="0"/>
              <w:rPr>
                <w:sz w:val="1"/>
                <w:szCs w:val="1"/>
                <w:color w:val="auto"/>
              </w:rPr>
            </w:pPr>
          </w:p>
        </w:tc>
      </w:tr>
      <w:tr>
        <w:trPr>
          <w:trHeight w:val="156"/>
        </w:trPr>
        <w:tc>
          <w:tcPr>
            <w:tcW w:w="3620" w:type="dxa"/>
            <w:vAlign w:val="bottom"/>
            <w:tcBorders>
              <w:top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1"/>
                <w:szCs w:val="11"/>
                <w:b w:val="1"/>
                <w:bCs w:val="1"/>
                <w:color w:val="auto"/>
              </w:rPr>
              <w:t>BALANCE, December 31, 2024</w:t>
            </w:r>
          </w:p>
        </w:tc>
        <w:tc>
          <w:tcPr>
            <w:tcW w:w="96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1"/>
                <w:szCs w:val="11"/>
                <w:color w:val="auto"/>
              </w:rPr>
              <w:t>9,234,575</w:t>
            </w:r>
          </w:p>
        </w:tc>
        <w:tc>
          <w:tcPr>
            <w:tcW w:w="100" w:type="dxa"/>
            <w:vAlign w:val="bottom"/>
            <w:tcBorders>
              <w:top w:val="single" w:sz="8" w:color="CCEEFF"/>
            </w:tcBorders>
            <w:shd w:val="clear" w:color="auto" w:fill="CCEEFF"/>
          </w:tcPr>
          <w:p>
            <w:pPr>
              <w:spacing w:after="0"/>
              <w:rPr>
                <w:sz w:val="13"/>
                <w:szCs w:val="13"/>
                <w:color w:val="auto"/>
              </w:rPr>
            </w:pPr>
          </w:p>
        </w:tc>
        <w:tc>
          <w:tcPr>
            <w:tcW w:w="700" w:type="dxa"/>
            <w:vAlign w:val="bottom"/>
            <w:tcBorders>
              <w:top w:val="single" w:sz="8" w:color="auto"/>
            </w:tcBorders>
            <w:shd w:val="clear" w:color="auto" w:fill="CCEEFF"/>
          </w:tcPr>
          <w:p>
            <w:pPr>
              <w:jc w:val="right"/>
              <w:ind w:right="565"/>
              <w:spacing w:after="0"/>
              <w:rPr>
                <w:sz w:val="20"/>
                <w:szCs w:val="20"/>
                <w:color w:val="auto"/>
              </w:rPr>
            </w:pPr>
            <w:r>
              <w:rPr>
                <w:rFonts w:ascii="Times New Roman" w:cs="Times New Roman" w:eastAsia="Times New Roman" w:hAnsi="Times New Roman"/>
                <w:sz w:val="11"/>
                <w:szCs w:val="11"/>
                <w:color w:val="auto"/>
              </w:rPr>
              <w:t>$</w:t>
            </w:r>
          </w:p>
        </w:tc>
        <w:tc>
          <w:tcPr>
            <w:tcW w:w="26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1"/>
                <w:szCs w:val="11"/>
                <w:color w:val="auto"/>
              </w:rPr>
              <w:t>122</w:t>
            </w:r>
          </w:p>
        </w:tc>
        <w:tc>
          <w:tcPr>
            <w:tcW w:w="100" w:type="dxa"/>
            <w:vAlign w:val="bottom"/>
            <w:tcBorders>
              <w:top w:val="single" w:sz="8" w:color="CCEEFF"/>
            </w:tcBorders>
            <w:shd w:val="clear" w:color="auto" w:fill="CCEEFF"/>
          </w:tcPr>
          <w:p>
            <w:pPr>
              <w:spacing w:after="0"/>
              <w:rPr>
                <w:sz w:val="13"/>
                <w:szCs w:val="13"/>
                <w:color w:val="auto"/>
              </w:rPr>
            </w:pPr>
          </w:p>
        </w:tc>
        <w:tc>
          <w:tcPr>
            <w:tcW w:w="160" w:type="dxa"/>
            <w:vAlign w:val="bottom"/>
            <w:tcBorders>
              <w:top w:val="single" w:sz="8" w:color="auto"/>
            </w:tcBorders>
            <w:shd w:val="clear" w:color="auto" w:fill="CCEEFF"/>
          </w:tcPr>
          <w:p>
            <w:pPr>
              <w:jc w:val="right"/>
              <w:ind w:right="23"/>
              <w:spacing w:after="0"/>
              <w:rPr>
                <w:sz w:val="20"/>
                <w:szCs w:val="20"/>
                <w:color w:val="auto"/>
              </w:rPr>
            </w:pPr>
            <w:r>
              <w:rPr>
                <w:rFonts w:ascii="Times New Roman" w:cs="Times New Roman" w:eastAsia="Times New Roman" w:hAnsi="Times New Roman"/>
                <w:sz w:val="11"/>
                <w:szCs w:val="11"/>
                <w:color w:val="auto"/>
              </w:rPr>
              <w:t>$</w:t>
            </w:r>
          </w:p>
        </w:tc>
        <w:tc>
          <w:tcPr>
            <w:tcW w:w="820" w:type="dxa"/>
            <w:vAlign w:val="bottom"/>
            <w:tcBorders>
              <w:top w:val="single" w:sz="8" w:color="auto"/>
            </w:tcBorders>
            <w:shd w:val="clear" w:color="auto" w:fill="CCEEFF"/>
          </w:tcPr>
          <w:p>
            <w:pPr>
              <w:jc w:val="right"/>
              <w:ind w:right="4"/>
              <w:spacing w:after="0"/>
              <w:rPr>
                <w:sz w:val="20"/>
                <w:szCs w:val="20"/>
                <w:color w:val="auto"/>
              </w:rPr>
            </w:pPr>
            <w:r>
              <w:rPr>
                <w:rFonts w:ascii="Times New Roman" w:cs="Times New Roman" w:eastAsia="Times New Roman" w:hAnsi="Times New Roman"/>
                <w:sz w:val="11"/>
                <w:szCs w:val="11"/>
                <w:color w:val="auto"/>
              </w:rPr>
              <w:t>202,239</w:t>
            </w:r>
          </w:p>
        </w:tc>
        <w:tc>
          <w:tcPr>
            <w:tcW w:w="80" w:type="dxa"/>
            <w:vAlign w:val="bottom"/>
            <w:tcBorders>
              <w:top w:val="single" w:sz="8" w:color="CCEEFF"/>
            </w:tcBorders>
            <w:shd w:val="clear" w:color="auto" w:fill="CCEEFF"/>
          </w:tcPr>
          <w:p>
            <w:pPr>
              <w:spacing w:after="0"/>
              <w:rPr>
                <w:sz w:val="13"/>
                <w:szCs w:val="13"/>
                <w:color w:val="auto"/>
              </w:rPr>
            </w:pPr>
          </w:p>
        </w:tc>
        <w:tc>
          <w:tcPr>
            <w:tcW w:w="160" w:type="dxa"/>
            <w:vAlign w:val="bottom"/>
            <w:tcBorders>
              <w:top w:val="single" w:sz="8" w:color="auto"/>
            </w:tcBorders>
            <w:shd w:val="clear" w:color="auto" w:fill="CCEEFF"/>
          </w:tcPr>
          <w:p>
            <w:pPr>
              <w:jc w:val="right"/>
              <w:ind w:right="23"/>
              <w:spacing w:after="0"/>
              <w:rPr>
                <w:sz w:val="20"/>
                <w:szCs w:val="20"/>
                <w:color w:val="auto"/>
              </w:rPr>
            </w:pPr>
            <w:r>
              <w:rPr>
                <w:rFonts w:ascii="Times New Roman" w:cs="Times New Roman" w:eastAsia="Times New Roman" w:hAnsi="Times New Roman"/>
                <w:sz w:val="11"/>
                <w:szCs w:val="11"/>
                <w:color w:val="auto"/>
              </w:rPr>
              <w:t>$</w:t>
            </w:r>
          </w:p>
        </w:tc>
        <w:tc>
          <w:tcPr>
            <w:tcW w:w="70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1"/>
                <w:szCs w:val="11"/>
                <w:color w:val="auto"/>
              </w:rPr>
              <w:t>(88,277)</w:t>
            </w:r>
          </w:p>
        </w:tc>
        <w:tc>
          <w:tcPr>
            <w:tcW w:w="100" w:type="dxa"/>
            <w:vAlign w:val="bottom"/>
            <w:tcBorders>
              <w:top w:val="single" w:sz="8" w:color="CCEEFF"/>
            </w:tcBorders>
            <w:shd w:val="clear" w:color="auto" w:fill="CCEEFF"/>
          </w:tcPr>
          <w:p>
            <w:pPr>
              <w:spacing w:after="0"/>
              <w:rPr>
                <w:sz w:val="13"/>
                <w:szCs w:val="13"/>
                <w:color w:val="auto"/>
              </w:rPr>
            </w:pPr>
          </w:p>
        </w:tc>
        <w:tc>
          <w:tcPr>
            <w:tcW w:w="200" w:type="dxa"/>
            <w:vAlign w:val="bottom"/>
            <w:tcBorders>
              <w:top w:val="single" w:sz="8" w:color="auto"/>
            </w:tcBorders>
            <w:shd w:val="clear" w:color="auto" w:fill="CCEEFF"/>
          </w:tcPr>
          <w:p>
            <w:pPr>
              <w:ind w:left="20"/>
              <w:spacing w:after="0"/>
              <w:rPr>
                <w:sz w:val="20"/>
                <w:szCs w:val="20"/>
                <w:color w:val="auto"/>
              </w:rPr>
            </w:pPr>
            <w:r>
              <w:rPr>
                <w:rFonts w:ascii="Times New Roman" w:cs="Times New Roman" w:eastAsia="Times New Roman" w:hAnsi="Times New Roman"/>
                <w:sz w:val="11"/>
                <w:szCs w:val="11"/>
                <w:color w:val="auto"/>
              </w:rPr>
              <w:t>$</w:t>
            </w:r>
          </w:p>
        </w:tc>
        <w:tc>
          <w:tcPr>
            <w:tcW w:w="860" w:type="dxa"/>
            <w:vAlign w:val="bottom"/>
            <w:tcBorders>
              <w:top w:val="single" w:sz="8" w:color="auto"/>
            </w:tcBorders>
            <w:shd w:val="clear" w:color="auto" w:fill="CCEEFF"/>
          </w:tcPr>
          <w:p>
            <w:pPr>
              <w:jc w:val="right"/>
              <w:ind w:right="4"/>
              <w:spacing w:after="0"/>
              <w:rPr>
                <w:sz w:val="20"/>
                <w:szCs w:val="20"/>
                <w:color w:val="auto"/>
              </w:rPr>
            </w:pPr>
            <w:r>
              <w:rPr>
                <w:rFonts w:ascii="Times New Roman" w:cs="Times New Roman" w:eastAsia="Times New Roman" w:hAnsi="Times New Roman"/>
                <w:sz w:val="11"/>
                <w:szCs w:val="11"/>
                <w:color w:val="auto"/>
              </w:rPr>
              <w:t>6,207</w:t>
            </w:r>
          </w:p>
        </w:tc>
        <w:tc>
          <w:tcPr>
            <w:tcW w:w="80" w:type="dxa"/>
            <w:vAlign w:val="bottom"/>
            <w:tcBorders>
              <w:top w:val="single" w:sz="8" w:color="CCEEFF"/>
            </w:tcBorders>
            <w:shd w:val="clear" w:color="auto" w:fill="CCEEFF"/>
          </w:tcPr>
          <w:p>
            <w:pPr>
              <w:spacing w:after="0"/>
              <w:rPr>
                <w:sz w:val="13"/>
                <w:szCs w:val="13"/>
                <w:color w:val="auto"/>
              </w:rPr>
            </w:pPr>
          </w:p>
        </w:tc>
        <w:tc>
          <w:tcPr>
            <w:tcW w:w="140" w:type="dxa"/>
            <w:vAlign w:val="bottom"/>
            <w:tcBorders>
              <w:top w:val="single" w:sz="8" w:color="auto"/>
            </w:tcBorders>
            <w:shd w:val="clear" w:color="auto" w:fill="CCEEFF"/>
          </w:tcPr>
          <w:p>
            <w:pPr>
              <w:jc w:val="right"/>
              <w:ind w:right="3"/>
              <w:spacing w:after="0"/>
              <w:rPr>
                <w:sz w:val="20"/>
                <w:szCs w:val="20"/>
                <w:color w:val="auto"/>
              </w:rPr>
            </w:pPr>
            <w:r>
              <w:rPr>
                <w:rFonts w:ascii="Times New Roman" w:cs="Times New Roman" w:eastAsia="Times New Roman" w:hAnsi="Times New Roman"/>
                <w:sz w:val="11"/>
                <w:szCs w:val="11"/>
                <w:color w:val="auto"/>
              </w:rPr>
              <w:t>$</w:t>
            </w:r>
          </w:p>
        </w:tc>
        <w:tc>
          <w:tcPr>
            <w:tcW w:w="124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1"/>
                <w:szCs w:val="11"/>
                <w:color w:val="auto"/>
              </w:rPr>
              <w:t>2,041</w:t>
            </w:r>
          </w:p>
        </w:tc>
        <w:tc>
          <w:tcPr>
            <w:tcW w:w="100" w:type="dxa"/>
            <w:vAlign w:val="bottom"/>
            <w:tcBorders>
              <w:top w:val="single" w:sz="8" w:color="CCEEFF"/>
            </w:tcBorders>
            <w:shd w:val="clear" w:color="auto" w:fill="CCEEFF"/>
          </w:tcPr>
          <w:p>
            <w:pPr>
              <w:spacing w:after="0"/>
              <w:rPr>
                <w:sz w:val="13"/>
                <w:szCs w:val="13"/>
                <w:color w:val="auto"/>
              </w:rPr>
            </w:pPr>
          </w:p>
        </w:tc>
        <w:tc>
          <w:tcPr>
            <w:tcW w:w="200" w:type="dxa"/>
            <w:vAlign w:val="bottom"/>
            <w:tcBorders>
              <w:top w:val="single" w:sz="8" w:color="auto"/>
            </w:tcBorders>
            <w:shd w:val="clear" w:color="auto" w:fill="CCEEFF"/>
          </w:tcPr>
          <w:p>
            <w:pPr>
              <w:jc w:val="right"/>
              <w:ind w:right="63"/>
              <w:spacing w:after="0"/>
              <w:rPr>
                <w:sz w:val="20"/>
                <w:szCs w:val="20"/>
                <w:color w:val="auto"/>
              </w:rPr>
            </w:pPr>
            <w:r>
              <w:rPr>
                <w:rFonts w:ascii="Times New Roman" w:cs="Times New Roman" w:eastAsia="Times New Roman" w:hAnsi="Times New Roman"/>
                <w:sz w:val="11"/>
                <w:szCs w:val="11"/>
                <w:color w:val="auto"/>
              </w:rPr>
              <w:t>$</w:t>
            </w:r>
          </w:p>
        </w:tc>
        <w:tc>
          <w:tcPr>
            <w:tcW w:w="70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1"/>
                <w:szCs w:val="11"/>
                <w:color w:val="auto"/>
              </w:rPr>
              <w:t>122,332</w:t>
            </w:r>
          </w:p>
        </w:tc>
        <w:tc>
          <w:tcPr>
            <w:tcW w:w="0" w:type="dxa"/>
            <w:vAlign w:val="bottom"/>
          </w:tcPr>
          <w:p>
            <w:pPr>
              <w:spacing w:after="0"/>
              <w:rPr>
                <w:sz w:val="1"/>
                <w:szCs w:val="1"/>
                <w:color w:val="auto"/>
              </w:rPr>
            </w:pPr>
          </w:p>
        </w:tc>
      </w:tr>
      <w:tr>
        <w:trPr>
          <w:trHeight w:val="153"/>
        </w:trPr>
        <w:tc>
          <w:tcPr>
            <w:tcW w:w="3620" w:type="dxa"/>
            <w:vAlign w:val="bottom"/>
          </w:tcPr>
          <w:p>
            <w:pPr>
              <w:ind w:left="20"/>
              <w:spacing w:after="0"/>
              <w:rPr>
                <w:sz w:val="20"/>
                <w:szCs w:val="20"/>
                <w:color w:val="auto"/>
              </w:rPr>
            </w:pPr>
            <w:r>
              <w:rPr>
                <w:rFonts w:ascii="Times New Roman" w:cs="Times New Roman" w:eastAsia="Times New Roman" w:hAnsi="Times New Roman"/>
                <w:sz w:val="11"/>
                <w:szCs w:val="11"/>
                <w:color w:val="auto"/>
              </w:rPr>
              <w:t>Net income</w:t>
            </w:r>
          </w:p>
        </w:tc>
        <w:tc>
          <w:tcPr>
            <w:tcW w:w="1060" w:type="dxa"/>
            <w:vAlign w:val="bottom"/>
            <w:gridSpan w:val="2"/>
          </w:tcPr>
          <w:p>
            <w:pPr>
              <w:jc w:val="right"/>
              <w:ind w:right="140"/>
              <w:spacing w:after="0"/>
              <w:rPr>
                <w:sz w:val="20"/>
                <w:szCs w:val="20"/>
                <w:color w:val="auto"/>
              </w:rPr>
            </w:pPr>
            <w:r>
              <w:rPr>
                <w:rFonts w:ascii="Times New Roman" w:cs="Times New Roman" w:eastAsia="Times New Roman" w:hAnsi="Times New Roman"/>
                <w:sz w:val="11"/>
                <w:szCs w:val="11"/>
                <w:color w:val="auto"/>
              </w:rPr>
              <w:t>—</w:t>
            </w:r>
          </w:p>
        </w:tc>
        <w:tc>
          <w:tcPr>
            <w:tcW w:w="700" w:type="dxa"/>
            <w:vAlign w:val="bottom"/>
          </w:tcPr>
          <w:p>
            <w:pPr>
              <w:spacing w:after="0"/>
              <w:rPr>
                <w:sz w:val="13"/>
                <w:szCs w:val="13"/>
                <w:color w:val="auto"/>
              </w:rPr>
            </w:pPr>
          </w:p>
        </w:tc>
        <w:tc>
          <w:tcPr>
            <w:tcW w:w="360" w:type="dxa"/>
            <w:vAlign w:val="bottom"/>
            <w:gridSpan w:val="2"/>
          </w:tcPr>
          <w:p>
            <w:pPr>
              <w:jc w:val="right"/>
              <w:ind w:right="140"/>
              <w:spacing w:after="0"/>
              <w:rPr>
                <w:sz w:val="20"/>
                <w:szCs w:val="20"/>
                <w:color w:val="auto"/>
              </w:rPr>
            </w:pPr>
            <w:r>
              <w:rPr>
                <w:rFonts w:ascii="Times New Roman" w:cs="Times New Roman" w:eastAsia="Times New Roman" w:hAnsi="Times New Roman"/>
                <w:sz w:val="11"/>
                <w:szCs w:val="11"/>
                <w:color w:val="auto"/>
              </w:rPr>
              <w:t>—</w:t>
            </w:r>
          </w:p>
        </w:tc>
        <w:tc>
          <w:tcPr>
            <w:tcW w:w="160" w:type="dxa"/>
            <w:vAlign w:val="bottom"/>
          </w:tcPr>
          <w:p>
            <w:pPr>
              <w:spacing w:after="0"/>
              <w:rPr>
                <w:sz w:val="13"/>
                <w:szCs w:val="13"/>
                <w:color w:val="auto"/>
              </w:rPr>
            </w:pPr>
          </w:p>
        </w:tc>
        <w:tc>
          <w:tcPr>
            <w:tcW w:w="900" w:type="dxa"/>
            <w:vAlign w:val="bottom"/>
            <w:gridSpan w:val="2"/>
          </w:tcPr>
          <w:p>
            <w:pPr>
              <w:jc w:val="right"/>
              <w:ind w:right="140"/>
              <w:spacing w:after="0"/>
              <w:rPr>
                <w:sz w:val="20"/>
                <w:szCs w:val="20"/>
                <w:color w:val="auto"/>
              </w:rPr>
            </w:pPr>
            <w:r>
              <w:rPr>
                <w:rFonts w:ascii="Times New Roman" w:cs="Times New Roman" w:eastAsia="Times New Roman" w:hAnsi="Times New Roman"/>
                <w:sz w:val="11"/>
                <w:szCs w:val="11"/>
                <w:color w:val="auto"/>
              </w:rPr>
              <w:t>—</w:t>
            </w:r>
          </w:p>
        </w:tc>
        <w:tc>
          <w:tcPr>
            <w:tcW w:w="160" w:type="dxa"/>
            <w:vAlign w:val="bottom"/>
          </w:tcPr>
          <w:p>
            <w:pPr>
              <w:spacing w:after="0"/>
              <w:rPr>
                <w:sz w:val="13"/>
                <w:szCs w:val="13"/>
                <w:color w:val="auto"/>
              </w:rPr>
            </w:pPr>
          </w:p>
        </w:tc>
        <w:tc>
          <w:tcPr>
            <w:tcW w:w="800" w:type="dxa"/>
            <w:vAlign w:val="bottom"/>
            <w:gridSpan w:val="2"/>
          </w:tcPr>
          <w:p>
            <w:pPr>
              <w:ind w:left="540"/>
              <w:spacing w:after="0"/>
              <w:rPr>
                <w:sz w:val="20"/>
                <w:szCs w:val="20"/>
                <w:color w:val="auto"/>
              </w:rPr>
            </w:pPr>
            <w:r>
              <w:rPr>
                <w:rFonts w:ascii="Times New Roman" w:cs="Times New Roman" w:eastAsia="Times New Roman" w:hAnsi="Times New Roman"/>
                <w:sz w:val="11"/>
                <w:szCs w:val="11"/>
                <w:color w:val="auto"/>
              </w:rPr>
              <w:t>—</w:t>
            </w:r>
          </w:p>
        </w:tc>
        <w:tc>
          <w:tcPr>
            <w:tcW w:w="200" w:type="dxa"/>
            <w:vAlign w:val="bottom"/>
          </w:tcPr>
          <w:p>
            <w:pPr>
              <w:spacing w:after="0"/>
              <w:rPr>
                <w:sz w:val="13"/>
                <w:szCs w:val="13"/>
                <w:color w:val="auto"/>
              </w:rPr>
            </w:pPr>
          </w:p>
        </w:tc>
        <w:tc>
          <w:tcPr>
            <w:tcW w:w="860" w:type="dxa"/>
            <w:vAlign w:val="bottom"/>
          </w:tcPr>
          <w:p>
            <w:pPr>
              <w:jc w:val="right"/>
              <w:ind w:right="4"/>
              <w:spacing w:after="0"/>
              <w:rPr>
                <w:sz w:val="20"/>
                <w:szCs w:val="20"/>
                <w:color w:val="auto"/>
              </w:rPr>
            </w:pPr>
            <w:r>
              <w:rPr>
                <w:rFonts w:ascii="Times New Roman" w:cs="Times New Roman" w:eastAsia="Times New Roman" w:hAnsi="Times New Roman"/>
                <w:sz w:val="11"/>
                <w:szCs w:val="11"/>
                <w:color w:val="auto"/>
              </w:rPr>
              <w:t>7,058</w:t>
            </w:r>
          </w:p>
        </w:tc>
        <w:tc>
          <w:tcPr>
            <w:tcW w:w="8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1240" w:type="dxa"/>
            <w:vAlign w:val="bottom"/>
          </w:tcPr>
          <w:p>
            <w:pPr>
              <w:jc w:val="right"/>
              <w:spacing w:after="0"/>
              <w:rPr>
                <w:sz w:val="20"/>
                <w:szCs w:val="20"/>
                <w:color w:val="auto"/>
              </w:rPr>
            </w:pPr>
            <w:r>
              <w:rPr>
                <w:rFonts w:ascii="Times New Roman" w:cs="Times New Roman" w:eastAsia="Times New Roman" w:hAnsi="Times New Roman"/>
                <w:sz w:val="11"/>
                <w:szCs w:val="11"/>
                <w:color w:val="auto"/>
              </w:rPr>
              <w:t>19</w:t>
            </w:r>
          </w:p>
        </w:tc>
        <w:tc>
          <w:tcPr>
            <w:tcW w:w="100" w:type="dxa"/>
            <w:vAlign w:val="bottom"/>
          </w:tcPr>
          <w:p>
            <w:pPr>
              <w:spacing w:after="0"/>
              <w:rPr>
                <w:sz w:val="13"/>
                <w:szCs w:val="13"/>
                <w:color w:val="auto"/>
              </w:rPr>
            </w:pPr>
          </w:p>
        </w:tc>
        <w:tc>
          <w:tcPr>
            <w:tcW w:w="200" w:type="dxa"/>
            <w:vAlign w:val="bottom"/>
          </w:tcPr>
          <w:p>
            <w:pPr>
              <w:spacing w:after="0"/>
              <w:rPr>
                <w:sz w:val="13"/>
                <w:szCs w:val="13"/>
                <w:color w:val="auto"/>
              </w:rPr>
            </w:pPr>
          </w:p>
        </w:tc>
        <w:tc>
          <w:tcPr>
            <w:tcW w:w="700" w:type="dxa"/>
            <w:vAlign w:val="bottom"/>
          </w:tcPr>
          <w:p>
            <w:pPr>
              <w:jc w:val="right"/>
              <w:spacing w:after="0"/>
              <w:rPr>
                <w:sz w:val="20"/>
                <w:szCs w:val="20"/>
                <w:color w:val="auto"/>
              </w:rPr>
            </w:pPr>
            <w:r>
              <w:rPr>
                <w:rFonts w:ascii="Times New Roman" w:cs="Times New Roman" w:eastAsia="Times New Roman" w:hAnsi="Times New Roman"/>
                <w:sz w:val="11"/>
                <w:szCs w:val="11"/>
                <w:color w:val="auto"/>
              </w:rPr>
              <w:t>7,077</w:t>
            </w:r>
          </w:p>
        </w:tc>
        <w:tc>
          <w:tcPr>
            <w:tcW w:w="0" w:type="dxa"/>
            <w:vAlign w:val="bottom"/>
          </w:tcPr>
          <w:p>
            <w:pPr>
              <w:spacing w:after="0"/>
              <w:rPr>
                <w:sz w:val="1"/>
                <w:szCs w:val="1"/>
                <w:color w:val="auto"/>
              </w:rPr>
            </w:pPr>
          </w:p>
        </w:tc>
      </w:tr>
      <w:tr>
        <w:trPr>
          <w:trHeight w:val="165"/>
        </w:trPr>
        <w:tc>
          <w:tcPr>
            <w:tcW w:w="362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1"/>
                <w:szCs w:val="11"/>
                <w:color w:val="auto"/>
              </w:rPr>
              <w:t>Issuance of restricted stock, net of forfeitures</w:t>
            </w:r>
          </w:p>
        </w:tc>
        <w:tc>
          <w:tcPr>
            <w:tcW w:w="9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1"/>
                <w:szCs w:val="11"/>
                <w:color w:val="auto"/>
              </w:rPr>
              <w:t>240,678</w:t>
            </w:r>
          </w:p>
        </w:tc>
        <w:tc>
          <w:tcPr>
            <w:tcW w:w="100" w:type="dxa"/>
            <w:vAlign w:val="bottom"/>
            <w:shd w:val="clear" w:color="auto" w:fill="CCEEFF"/>
          </w:tcPr>
          <w:p>
            <w:pPr>
              <w:spacing w:after="0"/>
              <w:rPr>
                <w:sz w:val="14"/>
                <w:szCs w:val="14"/>
                <w:color w:val="auto"/>
              </w:rPr>
            </w:pPr>
          </w:p>
        </w:tc>
        <w:tc>
          <w:tcPr>
            <w:tcW w:w="700" w:type="dxa"/>
            <w:vAlign w:val="bottom"/>
            <w:shd w:val="clear" w:color="auto" w:fill="CCEEFF"/>
          </w:tcPr>
          <w:p>
            <w:pPr>
              <w:spacing w:after="0"/>
              <w:rPr>
                <w:sz w:val="14"/>
                <w:szCs w:val="14"/>
                <w:color w:val="auto"/>
              </w:rPr>
            </w:pPr>
          </w:p>
        </w:tc>
        <w:tc>
          <w:tcPr>
            <w:tcW w:w="2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1"/>
                <w:szCs w:val="11"/>
                <w:color w:val="auto"/>
              </w:rPr>
              <w:t>2</w:t>
            </w:r>
          </w:p>
        </w:tc>
        <w:tc>
          <w:tcPr>
            <w:tcW w:w="100" w:type="dxa"/>
            <w:vAlign w:val="bottom"/>
            <w:shd w:val="clear" w:color="auto" w:fill="CCEEFF"/>
          </w:tcPr>
          <w:p>
            <w:pPr>
              <w:spacing w:after="0"/>
              <w:rPr>
                <w:sz w:val="14"/>
                <w:szCs w:val="14"/>
                <w:color w:val="auto"/>
              </w:rPr>
            </w:pPr>
          </w:p>
        </w:tc>
        <w:tc>
          <w:tcPr>
            <w:tcW w:w="160" w:type="dxa"/>
            <w:vAlign w:val="bottom"/>
            <w:shd w:val="clear" w:color="auto" w:fill="CCEEFF"/>
          </w:tcPr>
          <w:p>
            <w:pPr>
              <w:spacing w:after="0"/>
              <w:rPr>
                <w:sz w:val="14"/>
                <w:szCs w:val="14"/>
                <w:color w:val="auto"/>
              </w:rPr>
            </w:pPr>
          </w:p>
        </w:tc>
        <w:tc>
          <w:tcPr>
            <w:tcW w:w="8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1"/>
                <w:szCs w:val="11"/>
                <w:color w:val="auto"/>
              </w:rPr>
              <w:t>(2)</w:t>
            </w:r>
          </w:p>
        </w:tc>
        <w:tc>
          <w:tcPr>
            <w:tcW w:w="80" w:type="dxa"/>
            <w:vAlign w:val="bottom"/>
            <w:shd w:val="clear" w:color="auto" w:fill="CCEEFF"/>
          </w:tcPr>
          <w:p>
            <w:pPr>
              <w:spacing w:after="0"/>
              <w:rPr>
                <w:sz w:val="14"/>
                <w:szCs w:val="14"/>
                <w:color w:val="auto"/>
              </w:rPr>
            </w:pPr>
          </w:p>
        </w:tc>
        <w:tc>
          <w:tcPr>
            <w:tcW w:w="160" w:type="dxa"/>
            <w:vAlign w:val="bottom"/>
            <w:shd w:val="clear" w:color="auto" w:fill="CCEEFF"/>
          </w:tcPr>
          <w:p>
            <w:pPr>
              <w:spacing w:after="0"/>
              <w:rPr>
                <w:sz w:val="14"/>
                <w:szCs w:val="14"/>
                <w:color w:val="auto"/>
              </w:rPr>
            </w:pPr>
          </w:p>
        </w:tc>
        <w:tc>
          <w:tcPr>
            <w:tcW w:w="800" w:type="dxa"/>
            <w:vAlign w:val="bottom"/>
            <w:gridSpan w:val="2"/>
            <w:shd w:val="clear" w:color="auto" w:fill="CCEEFF"/>
          </w:tcPr>
          <w:p>
            <w:pPr>
              <w:ind w:left="540"/>
              <w:spacing w:after="0"/>
              <w:rPr>
                <w:sz w:val="20"/>
                <w:szCs w:val="20"/>
                <w:color w:val="auto"/>
              </w:rPr>
            </w:pPr>
            <w:r>
              <w:rPr>
                <w:rFonts w:ascii="Times New Roman" w:cs="Times New Roman" w:eastAsia="Times New Roman" w:hAnsi="Times New Roman"/>
                <w:sz w:val="11"/>
                <w:szCs w:val="11"/>
                <w:color w:val="auto"/>
              </w:rPr>
              <w:t>—</w:t>
            </w:r>
          </w:p>
        </w:tc>
        <w:tc>
          <w:tcPr>
            <w:tcW w:w="200" w:type="dxa"/>
            <w:vAlign w:val="bottom"/>
            <w:shd w:val="clear" w:color="auto" w:fill="CCEEFF"/>
          </w:tcPr>
          <w:p>
            <w:pPr>
              <w:spacing w:after="0"/>
              <w:rPr>
                <w:sz w:val="14"/>
                <w:szCs w:val="14"/>
                <w:color w:val="auto"/>
              </w:rPr>
            </w:pPr>
          </w:p>
        </w:tc>
        <w:tc>
          <w:tcPr>
            <w:tcW w:w="940" w:type="dxa"/>
            <w:vAlign w:val="bottom"/>
            <w:gridSpan w:val="2"/>
            <w:shd w:val="clear" w:color="auto" w:fill="CCEEFF"/>
          </w:tcPr>
          <w:p>
            <w:pPr>
              <w:jc w:val="right"/>
              <w:ind w:right="140"/>
              <w:spacing w:after="0"/>
              <w:rPr>
                <w:sz w:val="20"/>
                <w:szCs w:val="20"/>
                <w:color w:val="auto"/>
              </w:rPr>
            </w:pPr>
            <w:r>
              <w:rPr>
                <w:rFonts w:ascii="Times New Roman" w:cs="Times New Roman" w:eastAsia="Times New Roman" w:hAnsi="Times New Roman"/>
                <w:sz w:val="11"/>
                <w:szCs w:val="11"/>
                <w:color w:val="auto"/>
              </w:rPr>
              <w:t>—</w:t>
            </w:r>
          </w:p>
        </w:tc>
        <w:tc>
          <w:tcPr>
            <w:tcW w:w="140" w:type="dxa"/>
            <w:vAlign w:val="bottom"/>
            <w:shd w:val="clear" w:color="auto" w:fill="CCEEFF"/>
          </w:tcPr>
          <w:p>
            <w:pPr>
              <w:spacing w:after="0"/>
              <w:rPr>
                <w:sz w:val="14"/>
                <w:szCs w:val="14"/>
                <w:color w:val="auto"/>
              </w:rPr>
            </w:pPr>
          </w:p>
        </w:tc>
        <w:tc>
          <w:tcPr>
            <w:tcW w:w="1340" w:type="dxa"/>
            <w:vAlign w:val="bottom"/>
            <w:gridSpan w:val="2"/>
            <w:shd w:val="clear" w:color="auto" w:fill="CCEEFF"/>
          </w:tcPr>
          <w:p>
            <w:pPr>
              <w:jc w:val="right"/>
              <w:ind w:right="140"/>
              <w:spacing w:after="0"/>
              <w:rPr>
                <w:sz w:val="20"/>
                <w:szCs w:val="20"/>
                <w:color w:val="auto"/>
              </w:rPr>
            </w:pPr>
            <w:r>
              <w:rPr>
                <w:rFonts w:ascii="Times New Roman" w:cs="Times New Roman" w:eastAsia="Times New Roman" w:hAnsi="Times New Roman"/>
                <w:sz w:val="11"/>
                <w:szCs w:val="11"/>
                <w:color w:val="auto"/>
              </w:rPr>
              <w:t>—</w:t>
            </w:r>
          </w:p>
        </w:tc>
        <w:tc>
          <w:tcPr>
            <w:tcW w:w="200" w:type="dxa"/>
            <w:vAlign w:val="bottom"/>
            <w:shd w:val="clear" w:color="auto" w:fill="CCEEFF"/>
          </w:tcPr>
          <w:p>
            <w:pPr>
              <w:spacing w:after="0"/>
              <w:rPr>
                <w:sz w:val="14"/>
                <w:szCs w:val="14"/>
                <w:color w:val="auto"/>
              </w:rPr>
            </w:pPr>
          </w:p>
        </w:tc>
        <w:tc>
          <w:tcPr>
            <w:tcW w:w="7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1"/>
                <w:szCs w:val="11"/>
                <w:color w:val="auto"/>
              </w:rPr>
              <w:t>—</w:t>
            </w:r>
          </w:p>
        </w:tc>
        <w:tc>
          <w:tcPr>
            <w:tcW w:w="0" w:type="dxa"/>
            <w:vAlign w:val="bottom"/>
          </w:tcPr>
          <w:p>
            <w:pPr>
              <w:spacing w:after="0"/>
              <w:rPr>
                <w:sz w:val="1"/>
                <w:szCs w:val="1"/>
                <w:color w:val="auto"/>
              </w:rPr>
            </w:pPr>
          </w:p>
        </w:tc>
      </w:tr>
      <w:tr>
        <w:trPr>
          <w:trHeight w:val="153"/>
        </w:trPr>
        <w:tc>
          <w:tcPr>
            <w:tcW w:w="3620" w:type="dxa"/>
            <w:vAlign w:val="bottom"/>
          </w:tcPr>
          <w:p>
            <w:pPr>
              <w:ind w:left="20"/>
              <w:spacing w:after="0"/>
              <w:rPr>
                <w:sz w:val="20"/>
                <w:szCs w:val="20"/>
                <w:color w:val="auto"/>
              </w:rPr>
            </w:pPr>
            <w:r>
              <w:rPr>
                <w:rFonts w:ascii="Times New Roman" w:cs="Times New Roman" w:eastAsia="Times New Roman" w:hAnsi="Times New Roman"/>
                <w:sz w:val="11"/>
                <w:szCs w:val="11"/>
                <w:color w:val="auto"/>
              </w:rPr>
              <w:t>Stock-based compensation expense</w:t>
            </w:r>
          </w:p>
        </w:tc>
        <w:tc>
          <w:tcPr>
            <w:tcW w:w="1060" w:type="dxa"/>
            <w:vAlign w:val="bottom"/>
            <w:gridSpan w:val="2"/>
          </w:tcPr>
          <w:p>
            <w:pPr>
              <w:jc w:val="right"/>
              <w:ind w:right="140"/>
              <w:spacing w:after="0"/>
              <w:rPr>
                <w:sz w:val="20"/>
                <w:szCs w:val="20"/>
                <w:color w:val="auto"/>
              </w:rPr>
            </w:pPr>
            <w:r>
              <w:rPr>
                <w:rFonts w:ascii="Times New Roman" w:cs="Times New Roman" w:eastAsia="Times New Roman" w:hAnsi="Times New Roman"/>
                <w:sz w:val="11"/>
                <w:szCs w:val="11"/>
                <w:color w:val="auto"/>
              </w:rPr>
              <w:t>—</w:t>
            </w:r>
          </w:p>
        </w:tc>
        <w:tc>
          <w:tcPr>
            <w:tcW w:w="700" w:type="dxa"/>
            <w:vAlign w:val="bottom"/>
          </w:tcPr>
          <w:p>
            <w:pPr>
              <w:spacing w:after="0"/>
              <w:rPr>
                <w:sz w:val="13"/>
                <w:szCs w:val="13"/>
                <w:color w:val="auto"/>
              </w:rPr>
            </w:pPr>
          </w:p>
        </w:tc>
        <w:tc>
          <w:tcPr>
            <w:tcW w:w="360" w:type="dxa"/>
            <w:vAlign w:val="bottom"/>
            <w:gridSpan w:val="2"/>
          </w:tcPr>
          <w:p>
            <w:pPr>
              <w:jc w:val="right"/>
              <w:ind w:right="140"/>
              <w:spacing w:after="0"/>
              <w:rPr>
                <w:sz w:val="20"/>
                <w:szCs w:val="20"/>
                <w:color w:val="auto"/>
              </w:rPr>
            </w:pPr>
            <w:r>
              <w:rPr>
                <w:rFonts w:ascii="Times New Roman" w:cs="Times New Roman" w:eastAsia="Times New Roman" w:hAnsi="Times New Roman"/>
                <w:sz w:val="11"/>
                <w:szCs w:val="11"/>
                <w:color w:val="auto"/>
              </w:rPr>
              <w:t>—</w:t>
            </w:r>
          </w:p>
        </w:tc>
        <w:tc>
          <w:tcPr>
            <w:tcW w:w="160" w:type="dxa"/>
            <w:vAlign w:val="bottom"/>
          </w:tcPr>
          <w:p>
            <w:pPr>
              <w:spacing w:after="0"/>
              <w:rPr>
                <w:sz w:val="13"/>
                <w:szCs w:val="13"/>
                <w:color w:val="auto"/>
              </w:rPr>
            </w:pPr>
          </w:p>
        </w:tc>
        <w:tc>
          <w:tcPr>
            <w:tcW w:w="820" w:type="dxa"/>
            <w:vAlign w:val="bottom"/>
          </w:tcPr>
          <w:p>
            <w:pPr>
              <w:jc w:val="right"/>
              <w:ind w:right="4"/>
              <w:spacing w:after="0"/>
              <w:rPr>
                <w:sz w:val="20"/>
                <w:szCs w:val="20"/>
                <w:color w:val="auto"/>
              </w:rPr>
            </w:pPr>
            <w:r>
              <w:rPr>
                <w:rFonts w:ascii="Times New Roman" w:cs="Times New Roman" w:eastAsia="Times New Roman" w:hAnsi="Times New Roman"/>
                <w:sz w:val="11"/>
                <w:szCs w:val="11"/>
                <w:color w:val="auto"/>
              </w:rPr>
              <w:t>5,148</w:t>
            </w:r>
          </w:p>
        </w:tc>
        <w:tc>
          <w:tcPr>
            <w:tcW w:w="8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800" w:type="dxa"/>
            <w:vAlign w:val="bottom"/>
            <w:gridSpan w:val="2"/>
          </w:tcPr>
          <w:p>
            <w:pPr>
              <w:ind w:left="540"/>
              <w:spacing w:after="0"/>
              <w:rPr>
                <w:sz w:val="20"/>
                <w:szCs w:val="20"/>
                <w:color w:val="auto"/>
              </w:rPr>
            </w:pPr>
            <w:r>
              <w:rPr>
                <w:rFonts w:ascii="Times New Roman" w:cs="Times New Roman" w:eastAsia="Times New Roman" w:hAnsi="Times New Roman"/>
                <w:sz w:val="11"/>
                <w:szCs w:val="11"/>
                <w:color w:val="auto"/>
              </w:rPr>
              <w:t>—</w:t>
            </w:r>
          </w:p>
        </w:tc>
        <w:tc>
          <w:tcPr>
            <w:tcW w:w="200" w:type="dxa"/>
            <w:vAlign w:val="bottom"/>
          </w:tcPr>
          <w:p>
            <w:pPr>
              <w:spacing w:after="0"/>
              <w:rPr>
                <w:sz w:val="13"/>
                <w:szCs w:val="13"/>
                <w:color w:val="auto"/>
              </w:rPr>
            </w:pPr>
          </w:p>
        </w:tc>
        <w:tc>
          <w:tcPr>
            <w:tcW w:w="940" w:type="dxa"/>
            <w:vAlign w:val="bottom"/>
            <w:gridSpan w:val="2"/>
          </w:tcPr>
          <w:p>
            <w:pPr>
              <w:jc w:val="right"/>
              <w:ind w:right="140"/>
              <w:spacing w:after="0"/>
              <w:rPr>
                <w:sz w:val="20"/>
                <w:szCs w:val="20"/>
                <w:color w:val="auto"/>
              </w:rPr>
            </w:pPr>
            <w:r>
              <w:rPr>
                <w:rFonts w:ascii="Times New Roman" w:cs="Times New Roman" w:eastAsia="Times New Roman" w:hAnsi="Times New Roman"/>
                <w:sz w:val="11"/>
                <w:szCs w:val="11"/>
                <w:color w:val="auto"/>
              </w:rPr>
              <w:t>—</w:t>
            </w:r>
          </w:p>
        </w:tc>
        <w:tc>
          <w:tcPr>
            <w:tcW w:w="140" w:type="dxa"/>
            <w:vAlign w:val="bottom"/>
          </w:tcPr>
          <w:p>
            <w:pPr>
              <w:spacing w:after="0"/>
              <w:rPr>
                <w:sz w:val="13"/>
                <w:szCs w:val="13"/>
                <w:color w:val="auto"/>
              </w:rPr>
            </w:pPr>
          </w:p>
        </w:tc>
        <w:tc>
          <w:tcPr>
            <w:tcW w:w="1340" w:type="dxa"/>
            <w:vAlign w:val="bottom"/>
            <w:gridSpan w:val="2"/>
          </w:tcPr>
          <w:p>
            <w:pPr>
              <w:jc w:val="right"/>
              <w:ind w:right="140"/>
              <w:spacing w:after="0"/>
              <w:rPr>
                <w:sz w:val="20"/>
                <w:szCs w:val="20"/>
                <w:color w:val="auto"/>
              </w:rPr>
            </w:pPr>
            <w:r>
              <w:rPr>
                <w:rFonts w:ascii="Times New Roman" w:cs="Times New Roman" w:eastAsia="Times New Roman" w:hAnsi="Times New Roman"/>
                <w:sz w:val="11"/>
                <w:szCs w:val="11"/>
                <w:color w:val="auto"/>
              </w:rPr>
              <w:t>—</w:t>
            </w:r>
          </w:p>
        </w:tc>
        <w:tc>
          <w:tcPr>
            <w:tcW w:w="200" w:type="dxa"/>
            <w:vAlign w:val="bottom"/>
          </w:tcPr>
          <w:p>
            <w:pPr>
              <w:spacing w:after="0"/>
              <w:rPr>
                <w:sz w:val="13"/>
                <w:szCs w:val="13"/>
                <w:color w:val="auto"/>
              </w:rPr>
            </w:pPr>
          </w:p>
        </w:tc>
        <w:tc>
          <w:tcPr>
            <w:tcW w:w="700" w:type="dxa"/>
            <w:vAlign w:val="bottom"/>
          </w:tcPr>
          <w:p>
            <w:pPr>
              <w:jc w:val="right"/>
              <w:spacing w:after="0"/>
              <w:rPr>
                <w:sz w:val="20"/>
                <w:szCs w:val="20"/>
                <w:color w:val="auto"/>
              </w:rPr>
            </w:pPr>
            <w:r>
              <w:rPr>
                <w:rFonts w:ascii="Times New Roman" w:cs="Times New Roman" w:eastAsia="Times New Roman" w:hAnsi="Times New Roman"/>
                <w:sz w:val="11"/>
                <w:szCs w:val="11"/>
                <w:color w:val="auto"/>
              </w:rPr>
              <w:t>5,148</w:t>
            </w:r>
          </w:p>
        </w:tc>
        <w:tc>
          <w:tcPr>
            <w:tcW w:w="0" w:type="dxa"/>
            <w:vAlign w:val="bottom"/>
          </w:tcPr>
          <w:p>
            <w:pPr>
              <w:spacing w:after="0"/>
              <w:rPr>
                <w:sz w:val="1"/>
                <w:szCs w:val="1"/>
                <w:color w:val="auto"/>
              </w:rPr>
            </w:pPr>
          </w:p>
        </w:tc>
      </w:tr>
      <w:tr>
        <w:trPr>
          <w:trHeight w:val="165"/>
        </w:trPr>
        <w:tc>
          <w:tcPr>
            <w:tcW w:w="362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1"/>
                <w:szCs w:val="11"/>
                <w:color w:val="auto"/>
              </w:rPr>
              <w:t>Dividends declared ($0.60 per share)</w:t>
            </w:r>
          </w:p>
        </w:tc>
        <w:tc>
          <w:tcPr>
            <w:tcW w:w="1060" w:type="dxa"/>
            <w:vAlign w:val="bottom"/>
            <w:gridSpan w:val="2"/>
            <w:shd w:val="clear" w:color="auto" w:fill="CCEEFF"/>
          </w:tcPr>
          <w:p>
            <w:pPr>
              <w:jc w:val="right"/>
              <w:ind w:right="140"/>
              <w:spacing w:after="0"/>
              <w:rPr>
                <w:sz w:val="20"/>
                <w:szCs w:val="20"/>
                <w:color w:val="auto"/>
              </w:rPr>
            </w:pPr>
            <w:r>
              <w:rPr>
                <w:rFonts w:ascii="Times New Roman" w:cs="Times New Roman" w:eastAsia="Times New Roman" w:hAnsi="Times New Roman"/>
                <w:sz w:val="11"/>
                <w:szCs w:val="11"/>
                <w:color w:val="auto"/>
              </w:rPr>
              <w:t>—</w:t>
            </w:r>
          </w:p>
        </w:tc>
        <w:tc>
          <w:tcPr>
            <w:tcW w:w="700" w:type="dxa"/>
            <w:vAlign w:val="bottom"/>
            <w:shd w:val="clear" w:color="auto" w:fill="CCEEFF"/>
          </w:tcPr>
          <w:p>
            <w:pPr>
              <w:spacing w:after="0"/>
              <w:rPr>
                <w:sz w:val="14"/>
                <w:szCs w:val="14"/>
                <w:color w:val="auto"/>
              </w:rPr>
            </w:pPr>
          </w:p>
        </w:tc>
        <w:tc>
          <w:tcPr>
            <w:tcW w:w="360" w:type="dxa"/>
            <w:vAlign w:val="bottom"/>
            <w:gridSpan w:val="2"/>
            <w:shd w:val="clear" w:color="auto" w:fill="CCEEFF"/>
          </w:tcPr>
          <w:p>
            <w:pPr>
              <w:jc w:val="right"/>
              <w:ind w:right="140"/>
              <w:spacing w:after="0"/>
              <w:rPr>
                <w:sz w:val="20"/>
                <w:szCs w:val="20"/>
                <w:color w:val="auto"/>
              </w:rPr>
            </w:pPr>
            <w:r>
              <w:rPr>
                <w:rFonts w:ascii="Times New Roman" w:cs="Times New Roman" w:eastAsia="Times New Roman" w:hAnsi="Times New Roman"/>
                <w:sz w:val="11"/>
                <w:szCs w:val="11"/>
                <w:color w:val="auto"/>
              </w:rPr>
              <w:t>—</w:t>
            </w:r>
          </w:p>
        </w:tc>
        <w:tc>
          <w:tcPr>
            <w:tcW w:w="160" w:type="dxa"/>
            <w:vAlign w:val="bottom"/>
            <w:shd w:val="clear" w:color="auto" w:fill="CCEEFF"/>
          </w:tcPr>
          <w:p>
            <w:pPr>
              <w:spacing w:after="0"/>
              <w:rPr>
                <w:sz w:val="14"/>
                <w:szCs w:val="14"/>
                <w:color w:val="auto"/>
              </w:rPr>
            </w:pPr>
          </w:p>
        </w:tc>
        <w:tc>
          <w:tcPr>
            <w:tcW w:w="8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1"/>
                <w:szCs w:val="11"/>
                <w:color w:val="auto"/>
              </w:rPr>
              <w:t>(1,265)</w:t>
            </w:r>
          </w:p>
        </w:tc>
        <w:tc>
          <w:tcPr>
            <w:tcW w:w="80" w:type="dxa"/>
            <w:vAlign w:val="bottom"/>
            <w:shd w:val="clear" w:color="auto" w:fill="CCEEFF"/>
          </w:tcPr>
          <w:p>
            <w:pPr>
              <w:spacing w:after="0"/>
              <w:rPr>
                <w:sz w:val="14"/>
                <w:szCs w:val="14"/>
                <w:color w:val="auto"/>
              </w:rPr>
            </w:pPr>
          </w:p>
        </w:tc>
        <w:tc>
          <w:tcPr>
            <w:tcW w:w="160" w:type="dxa"/>
            <w:vAlign w:val="bottom"/>
            <w:shd w:val="clear" w:color="auto" w:fill="CCEEFF"/>
          </w:tcPr>
          <w:p>
            <w:pPr>
              <w:spacing w:after="0"/>
              <w:rPr>
                <w:sz w:val="14"/>
                <w:szCs w:val="14"/>
                <w:color w:val="auto"/>
              </w:rPr>
            </w:pPr>
          </w:p>
        </w:tc>
        <w:tc>
          <w:tcPr>
            <w:tcW w:w="800" w:type="dxa"/>
            <w:vAlign w:val="bottom"/>
            <w:gridSpan w:val="2"/>
            <w:shd w:val="clear" w:color="auto" w:fill="CCEEFF"/>
          </w:tcPr>
          <w:p>
            <w:pPr>
              <w:ind w:left="540"/>
              <w:spacing w:after="0"/>
              <w:rPr>
                <w:sz w:val="20"/>
                <w:szCs w:val="20"/>
                <w:color w:val="auto"/>
              </w:rPr>
            </w:pPr>
            <w:r>
              <w:rPr>
                <w:rFonts w:ascii="Times New Roman" w:cs="Times New Roman" w:eastAsia="Times New Roman" w:hAnsi="Times New Roman"/>
                <w:sz w:val="11"/>
                <w:szCs w:val="11"/>
                <w:color w:val="auto"/>
              </w:rPr>
              <w:t>—</w:t>
            </w:r>
          </w:p>
        </w:tc>
        <w:tc>
          <w:tcPr>
            <w:tcW w:w="200" w:type="dxa"/>
            <w:vAlign w:val="bottom"/>
            <w:shd w:val="clear" w:color="auto" w:fill="CCEEFF"/>
          </w:tcPr>
          <w:p>
            <w:pPr>
              <w:spacing w:after="0"/>
              <w:rPr>
                <w:sz w:val="14"/>
                <w:szCs w:val="14"/>
                <w:color w:val="auto"/>
              </w:rPr>
            </w:pPr>
          </w:p>
        </w:tc>
        <w:tc>
          <w:tcPr>
            <w:tcW w:w="8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1"/>
                <w:szCs w:val="11"/>
                <w:color w:val="auto"/>
              </w:rPr>
              <w:t>(4,282)</w:t>
            </w:r>
          </w:p>
        </w:tc>
        <w:tc>
          <w:tcPr>
            <w:tcW w:w="80" w:type="dxa"/>
            <w:vAlign w:val="bottom"/>
            <w:shd w:val="clear" w:color="auto" w:fill="CCEEFF"/>
          </w:tcPr>
          <w:p>
            <w:pPr>
              <w:spacing w:after="0"/>
              <w:rPr>
                <w:sz w:val="14"/>
                <w:szCs w:val="14"/>
                <w:color w:val="auto"/>
              </w:rPr>
            </w:pPr>
          </w:p>
        </w:tc>
        <w:tc>
          <w:tcPr>
            <w:tcW w:w="140" w:type="dxa"/>
            <w:vAlign w:val="bottom"/>
            <w:shd w:val="clear" w:color="auto" w:fill="CCEEFF"/>
          </w:tcPr>
          <w:p>
            <w:pPr>
              <w:spacing w:after="0"/>
              <w:rPr>
                <w:sz w:val="14"/>
                <w:szCs w:val="14"/>
                <w:color w:val="auto"/>
              </w:rPr>
            </w:pPr>
          </w:p>
        </w:tc>
        <w:tc>
          <w:tcPr>
            <w:tcW w:w="1340" w:type="dxa"/>
            <w:vAlign w:val="bottom"/>
            <w:gridSpan w:val="2"/>
            <w:shd w:val="clear" w:color="auto" w:fill="CCEEFF"/>
          </w:tcPr>
          <w:p>
            <w:pPr>
              <w:jc w:val="right"/>
              <w:ind w:right="140"/>
              <w:spacing w:after="0"/>
              <w:rPr>
                <w:sz w:val="20"/>
                <w:szCs w:val="20"/>
                <w:color w:val="auto"/>
              </w:rPr>
            </w:pPr>
            <w:r>
              <w:rPr>
                <w:rFonts w:ascii="Times New Roman" w:cs="Times New Roman" w:eastAsia="Times New Roman" w:hAnsi="Times New Roman"/>
                <w:sz w:val="11"/>
                <w:szCs w:val="11"/>
                <w:color w:val="auto"/>
              </w:rPr>
              <w:t>—</w:t>
            </w:r>
          </w:p>
        </w:tc>
        <w:tc>
          <w:tcPr>
            <w:tcW w:w="200" w:type="dxa"/>
            <w:vAlign w:val="bottom"/>
            <w:shd w:val="clear" w:color="auto" w:fill="CCEEFF"/>
          </w:tcPr>
          <w:p>
            <w:pPr>
              <w:spacing w:after="0"/>
              <w:rPr>
                <w:sz w:val="14"/>
                <w:szCs w:val="14"/>
                <w:color w:val="auto"/>
              </w:rPr>
            </w:pPr>
          </w:p>
        </w:tc>
        <w:tc>
          <w:tcPr>
            <w:tcW w:w="7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1"/>
                <w:szCs w:val="11"/>
                <w:color w:val="auto"/>
              </w:rPr>
              <w:t>(5,547)</w:t>
            </w:r>
          </w:p>
        </w:tc>
        <w:tc>
          <w:tcPr>
            <w:tcW w:w="0" w:type="dxa"/>
            <w:vAlign w:val="bottom"/>
          </w:tcPr>
          <w:p>
            <w:pPr>
              <w:spacing w:after="0"/>
              <w:rPr>
                <w:sz w:val="1"/>
                <w:szCs w:val="1"/>
                <w:color w:val="auto"/>
              </w:rPr>
            </w:pPr>
          </w:p>
        </w:tc>
      </w:tr>
      <w:tr>
        <w:trPr>
          <w:trHeight w:val="153"/>
        </w:trPr>
        <w:tc>
          <w:tcPr>
            <w:tcW w:w="3620" w:type="dxa"/>
            <w:vAlign w:val="bottom"/>
          </w:tcPr>
          <w:p>
            <w:pPr>
              <w:ind w:left="20"/>
              <w:spacing w:after="0"/>
              <w:rPr>
                <w:sz w:val="20"/>
                <w:szCs w:val="20"/>
                <w:color w:val="auto"/>
              </w:rPr>
            </w:pPr>
            <w:r>
              <w:rPr>
                <w:rFonts w:ascii="Times New Roman" w:cs="Times New Roman" w:eastAsia="Times New Roman" w:hAnsi="Times New Roman"/>
                <w:sz w:val="11"/>
                <w:szCs w:val="11"/>
                <w:color w:val="auto"/>
              </w:rPr>
              <w:t>Restricted stock returned for payment of taxes</w:t>
            </w:r>
          </w:p>
        </w:tc>
        <w:tc>
          <w:tcPr>
            <w:tcW w:w="960" w:type="dxa"/>
            <w:vAlign w:val="bottom"/>
          </w:tcPr>
          <w:p>
            <w:pPr>
              <w:jc w:val="right"/>
              <w:spacing w:after="0"/>
              <w:rPr>
                <w:sz w:val="20"/>
                <w:szCs w:val="20"/>
                <w:color w:val="auto"/>
              </w:rPr>
            </w:pPr>
            <w:r>
              <w:rPr>
                <w:rFonts w:ascii="Times New Roman" w:cs="Times New Roman" w:eastAsia="Times New Roman" w:hAnsi="Times New Roman"/>
                <w:sz w:val="11"/>
                <w:szCs w:val="11"/>
                <w:color w:val="auto"/>
              </w:rPr>
              <w:t>(81,187)</w:t>
            </w:r>
          </w:p>
        </w:tc>
        <w:tc>
          <w:tcPr>
            <w:tcW w:w="100" w:type="dxa"/>
            <w:vAlign w:val="bottom"/>
          </w:tcPr>
          <w:p>
            <w:pPr>
              <w:spacing w:after="0"/>
              <w:rPr>
                <w:sz w:val="13"/>
                <w:szCs w:val="13"/>
                <w:color w:val="auto"/>
              </w:rPr>
            </w:pPr>
          </w:p>
        </w:tc>
        <w:tc>
          <w:tcPr>
            <w:tcW w:w="700" w:type="dxa"/>
            <w:vAlign w:val="bottom"/>
          </w:tcPr>
          <w:p>
            <w:pPr>
              <w:spacing w:after="0"/>
              <w:rPr>
                <w:sz w:val="13"/>
                <w:szCs w:val="13"/>
                <w:color w:val="auto"/>
              </w:rPr>
            </w:pPr>
          </w:p>
        </w:tc>
        <w:tc>
          <w:tcPr>
            <w:tcW w:w="360" w:type="dxa"/>
            <w:vAlign w:val="bottom"/>
            <w:gridSpan w:val="2"/>
          </w:tcPr>
          <w:p>
            <w:pPr>
              <w:jc w:val="right"/>
              <w:ind w:right="140"/>
              <w:spacing w:after="0"/>
              <w:rPr>
                <w:sz w:val="20"/>
                <w:szCs w:val="20"/>
                <w:color w:val="auto"/>
              </w:rPr>
            </w:pPr>
            <w:r>
              <w:rPr>
                <w:rFonts w:ascii="Times New Roman" w:cs="Times New Roman" w:eastAsia="Times New Roman" w:hAnsi="Times New Roman"/>
                <w:sz w:val="11"/>
                <w:szCs w:val="11"/>
                <w:color w:val="auto"/>
              </w:rPr>
              <w:t>—</w:t>
            </w:r>
          </w:p>
        </w:tc>
        <w:tc>
          <w:tcPr>
            <w:tcW w:w="160" w:type="dxa"/>
            <w:vAlign w:val="bottom"/>
          </w:tcPr>
          <w:p>
            <w:pPr>
              <w:spacing w:after="0"/>
              <w:rPr>
                <w:sz w:val="13"/>
                <w:szCs w:val="13"/>
                <w:color w:val="auto"/>
              </w:rPr>
            </w:pPr>
          </w:p>
        </w:tc>
        <w:tc>
          <w:tcPr>
            <w:tcW w:w="900" w:type="dxa"/>
            <w:vAlign w:val="bottom"/>
            <w:gridSpan w:val="2"/>
          </w:tcPr>
          <w:p>
            <w:pPr>
              <w:jc w:val="right"/>
              <w:ind w:right="140"/>
              <w:spacing w:after="0"/>
              <w:rPr>
                <w:sz w:val="20"/>
                <w:szCs w:val="20"/>
                <w:color w:val="auto"/>
              </w:rPr>
            </w:pPr>
            <w:r>
              <w:rPr>
                <w:rFonts w:ascii="Times New Roman" w:cs="Times New Roman" w:eastAsia="Times New Roman" w:hAnsi="Times New Roman"/>
                <w:sz w:val="11"/>
                <w:szCs w:val="11"/>
                <w:color w:val="auto"/>
              </w:rPr>
              <w:t>—</w:t>
            </w:r>
          </w:p>
        </w:tc>
        <w:tc>
          <w:tcPr>
            <w:tcW w:w="160" w:type="dxa"/>
            <w:vAlign w:val="bottom"/>
          </w:tcPr>
          <w:p>
            <w:pPr>
              <w:spacing w:after="0"/>
              <w:rPr>
                <w:sz w:val="13"/>
                <w:szCs w:val="13"/>
                <w:color w:val="auto"/>
              </w:rPr>
            </w:pPr>
          </w:p>
        </w:tc>
        <w:tc>
          <w:tcPr>
            <w:tcW w:w="700" w:type="dxa"/>
            <w:vAlign w:val="bottom"/>
          </w:tcPr>
          <w:p>
            <w:pPr>
              <w:jc w:val="right"/>
              <w:spacing w:after="0"/>
              <w:rPr>
                <w:sz w:val="20"/>
                <w:szCs w:val="20"/>
                <w:color w:val="auto"/>
              </w:rPr>
            </w:pPr>
            <w:r>
              <w:rPr>
                <w:rFonts w:ascii="Times New Roman" w:cs="Times New Roman" w:eastAsia="Times New Roman" w:hAnsi="Times New Roman"/>
                <w:sz w:val="11"/>
                <w:szCs w:val="11"/>
                <w:color w:val="auto"/>
              </w:rPr>
              <w:t>(1,335)</w:t>
            </w:r>
          </w:p>
        </w:tc>
        <w:tc>
          <w:tcPr>
            <w:tcW w:w="100" w:type="dxa"/>
            <w:vAlign w:val="bottom"/>
          </w:tcPr>
          <w:p>
            <w:pPr>
              <w:spacing w:after="0"/>
              <w:rPr>
                <w:sz w:val="13"/>
                <w:szCs w:val="13"/>
                <w:color w:val="auto"/>
              </w:rPr>
            </w:pPr>
          </w:p>
        </w:tc>
        <w:tc>
          <w:tcPr>
            <w:tcW w:w="200" w:type="dxa"/>
            <w:vAlign w:val="bottom"/>
          </w:tcPr>
          <w:p>
            <w:pPr>
              <w:spacing w:after="0"/>
              <w:rPr>
                <w:sz w:val="13"/>
                <w:szCs w:val="13"/>
                <w:color w:val="auto"/>
              </w:rPr>
            </w:pPr>
          </w:p>
        </w:tc>
        <w:tc>
          <w:tcPr>
            <w:tcW w:w="940" w:type="dxa"/>
            <w:vAlign w:val="bottom"/>
            <w:gridSpan w:val="2"/>
          </w:tcPr>
          <w:p>
            <w:pPr>
              <w:jc w:val="right"/>
              <w:ind w:right="140"/>
              <w:spacing w:after="0"/>
              <w:rPr>
                <w:sz w:val="20"/>
                <w:szCs w:val="20"/>
                <w:color w:val="auto"/>
              </w:rPr>
            </w:pPr>
            <w:r>
              <w:rPr>
                <w:rFonts w:ascii="Times New Roman" w:cs="Times New Roman" w:eastAsia="Times New Roman" w:hAnsi="Times New Roman"/>
                <w:sz w:val="11"/>
                <w:szCs w:val="11"/>
                <w:color w:val="auto"/>
              </w:rPr>
              <w:t>—</w:t>
            </w:r>
          </w:p>
        </w:tc>
        <w:tc>
          <w:tcPr>
            <w:tcW w:w="140" w:type="dxa"/>
            <w:vAlign w:val="bottom"/>
          </w:tcPr>
          <w:p>
            <w:pPr>
              <w:spacing w:after="0"/>
              <w:rPr>
                <w:sz w:val="13"/>
                <w:szCs w:val="13"/>
                <w:color w:val="auto"/>
              </w:rPr>
            </w:pPr>
          </w:p>
        </w:tc>
        <w:tc>
          <w:tcPr>
            <w:tcW w:w="1340" w:type="dxa"/>
            <w:vAlign w:val="bottom"/>
            <w:gridSpan w:val="2"/>
          </w:tcPr>
          <w:p>
            <w:pPr>
              <w:jc w:val="right"/>
              <w:ind w:right="140"/>
              <w:spacing w:after="0"/>
              <w:rPr>
                <w:sz w:val="20"/>
                <w:szCs w:val="20"/>
                <w:color w:val="auto"/>
              </w:rPr>
            </w:pPr>
            <w:r>
              <w:rPr>
                <w:rFonts w:ascii="Times New Roman" w:cs="Times New Roman" w:eastAsia="Times New Roman" w:hAnsi="Times New Roman"/>
                <w:sz w:val="11"/>
                <w:szCs w:val="11"/>
                <w:color w:val="auto"/>
              </w:rPr>
              <w:t>—</w:t>
            </w:r>
          </w:p>
        </w:tc>
        <w:tc>
          <w:tcPr>
            <w:tcW w:w="200" w:type="dxa"/>
            <w:vAlign w:val="bottom"/>
          </w:tcPr>
          <w:p>
            <w:pPr>
              <w:spacing w:after="0"/>
              <w:rPr>
                <w:sz w:val="13"/>
                <w:szCs w:val="13"/>
                <w:color w:val="auto"/>
              </w:rPr>
            </w:pPr>
          </w:p>
        </w:tc>
        <w:tc>
          <w:tcPr>
            <w:tcW w:w="700" w:type="dxa"/>
            <w:vAlign w:val="bottom"/>
          </w:tcPr>
          <w:p>
            <w:pPr>
              <w:jc w:val="right"/>
              <w:spacing w:after="0"/>
              <w:rPr>
                <w:sz w:val="20"/>
                <w:szCs w:val="20"/>
                <w:color w:val="auto"/>
              </w:rPr>
            </w:pPr>
            <w:r>
              <w:rPr>
                <w:rFonts w:ascii="Times New Roman" w:cs="Times New Roman" w:eastAsia="Times New Roman" w:hAnsi="Times New Roman"/>
                <w:sz w:val="11"/>
                <w:szCs w:val="11"/>
                <w:color w:val="auto"/>
              </w:rPr>
              <w:t>(1,335)</w:t>
            </w:r>
          </w:p>
        </w:tc>
        <w:tc>
          <w:tcPr>
            <w:tcW w:w="0" w:type="dxa"/>
            <w:vAlign w:val="bottom"/>
          </w:tcPr>
          <w:p>
            <w:pPr>
              <w:spacing w:after="0"/>
              <w:rPr>
                <w:sz w:val="1"/>
                <w:szCs w:val="1"/>
                <w:color w:val="auto"/>
              </w:rPr>
            </w:pPr>
          </w:p>
        </w:tc>
      </w:tr>
      <w:tr>
        <w:trPr>
          <w:trHeight w:val="116"/>
        </w:trPr>
        <w:tc>
          <w:tcPr>
            <w:tcW w:w="3620" w:type="dxa"/>
            <w:vAlign w:val="bottom"/>
            <w:shd w:val="clear" w:color="auto" w:fill="CCEEFF"/>
          </w:tcPr>
          <w:p>
            <w:pPr>
              <w:ind w:left="20"/>
              <w:spacing w:after="0" w:line="116" w:lineRule="exact"/>
              <w:rPr>
                <w:sz w:val="20"/>
                <w:szCs w:val="20"/>
                <w:color w:val="auto"/>
              </w:rPr>
            </w:pPr>
            <w:r>
              <w:rPr>
                <w:rFonts w:ascii="Times New Roman" w:cs="Times New Roman" w:eastAsia="Times New Roman" w:hAnsi="Times New Roman"/>
                <w:sz w:val="11"/>
                <w:szCs w:val="11"/>
                <w:color w:val="auto"/>
              </w:rPr>
              <w:t>Purchase of additional ownership interest in Broadmark from noncontrolling</w:t>
            </w:r>
          </w:p>
        </w:tc>
        <w:tc>
          <w:tcPr>
            <w:tcW w:w="1060" w:type="dxa"/>
            <w:vAlign w:val="bottom"/>
            <w:gridSpan w:val="2"/>
            <w:vMerge w:val="restart"/>
            <w:shd w:val="clear" w:color="auto" w:fill="CCEEFF"/>
          </w:tcPr>
          <w:p>
            <w:pPr>
              <w:jc w:val="right"/>
              <w:ind w:right="140"/>
              <w:spacing w:after="0"/>
              <w:rPr>
                <w:sz w:val="20"/>
                <w:szCs w:val="20"/>
                <w:color w:val="auto"/>
              </w:rPr>
            </w:pPr>
            <w:r>
              <w:rPr>
                <w:rFonts w:ascii="Times New Roman" w:cs="Times New Roman" w:eastAsia="Times New Roman" w:hAnsi="Times New Roman"/>
                <w:sz w:val="11"/>
                <w:szCs w:val="11"/>
                <w:color w:val="auto"/>
              </w:rPr>
              <w:t>—</w:t>
            </w:r>
          </w:p>
        </w:tc>
        <w:tc>
          <w:tcPr>
            <w:tcW w:w="700" w:type="dxa"/>
            <w:vAlign w:val="bottom"/>
            <w:shd w:val="clear" w:color="auto" w:fill="CCEEFF"/>
          </w:tcPr>
          <w:p>
            <w:pPr>
              <w:spacing w:after="0"/>
              <w:rPr>
                <w:sz w:val="10"/>
                <w:szCs w:val="10"/>
                <w:color w:val="auto"/>
              </w:rPr>
            </w:pPr>
          </w:p>
        </w:tc>
        <w:tc>
          <w:tcPr>
            <w:tcW w:w="360" w:type="dxa"/>
            <w:vAlign w:val="bottom"/>
            <w:gridSpan w:val="2"/>
            <w:vMerge w:val="restart"/>
            <w:shd w:val="clear" w:color="auto" w:fill="CCEEFF"/>
          </w:tcPr>
          <w:p>
            <w:pPr>
              <w:jc w:val="right"/>
              <w:ind w:right="140"/>
              <w:spacing w:after="0"/>
              <w:rPr>
                <w:sz w:val="20"/>
                <w:szCs w:val="20"/>
                <w:color w:val="auto"/>
              </w:rPr>
            </w:pPr>
            <w:r>
              <w:rPr>
                <w:rFonts w:ascii="Times New Roman" w:cs="Times New Roman" w:eastAsia="Times New Roman" w:hAnsi="Times New Roman"/>
                <w:sz w:val="11"/>
                <w:szCs w:val="11"/>
                <w:color w:val="auto"/>
              </w:rPr>
              <w:t>—</w:t>
            </w:r>
          </w:p>
        </w:tc>
        <w:tc>
          <w:tcPr>
            <w:tcW w:w="160" w:type="dxa"/>
            <w:vAlign w:val="bottom"/>
            <w:shd w:val="clear" w:color="auto" w:fill="CCEEFF"/>
          </w:tcPr>
          <w:p>
            <w:pPr>
              <w:spacing w:after="0"/>
              <w:rPr>
                <w:sz w:val="10"/>
                <w:szCs w:val="10"/>
                <w:color w:val="auto"/>
              </w:rPr>
            </w:pPr>
          </w:p>
        </w:tc>
        <w:tc>
          <w:tcPr>
            <w:tcW w:w="900" w:type="dxa"/>
            <w:vAlign w:val="bottom"/>
            <w:gridSpan w:val="2"/>
            <w:vMerge w:val="restart"/>
            <w:shd w:val="clear" w:color="auto" w:fill="CCEEFF"/>
          </w:tcPr>
          <w:p>
            <w:pPr>
              <w:jc w:val="right"/>
              <w:ind w:right="140"/>
              <w:spacing w:after="0"/>
              <w:rPr>
                <w:sz w:val="20"/>
                <w:szCs w:val="20"/>
                <w:color w:val="auto"/>
              </w:rPr>
            </w:pPr>
            <w:r>
              <w:rPr>
                <w:rFonts w:ascii="Times New Roman" w:cs="Times New Roman" w:eastAsia="Times New Roman" w:hAnsi="Times New Roman"/>
                <w:sz w:val="11"/>
                <w:szCs w:val="11"/>
                <w:color w:val="auto"/>
              </w:rPr>
              <w:t>—</w:t>
            </w:r>
          </w:p>
        </w:tc>
        <w:tc>
          <w:tcPr>
            <w:tcW w:w="160" w:type="dxa"/>
            <w:vAlign w:val="bottom"/>
            <w:shd w:val="clear" w:color="auto" w:fill="CCEEFF"/>
          </w:tcPr>
          <w:p>
            <w:pPr>
              <w:spacing w:after="0"/>
              <w:rPr>
                <w:sz w:val="10"/>
                <w:szCs w:val="10"/>
                <w:color w:val="auto"/>
              </w:rPr>
            </w:pPr>
          </w:p>
        </w:tc>
        <w:tc>
          <w:tcPr>
            <w:tcW w:w="800" w:type="dxa"/>
            <w:vAlign w:val="bottom"/>
            <w:gridSpan w:val="2"/>
            <w:vMerge w:val="restart"/>
            <w:shd w:val="clear" w:color="auto" w:fill="CCEEFF"/>
          </w:tcPr>
          <w:p>
            <w:pPr>
              <w:ind w:left="540"/>
              <w:spacing w:after="0"/>
              <w:rPr>
                <w:sz w:val="20"/>
                <w:szCs w:val="20"/>
                <w:color w:val="auto"/>
              </w:rPr>
            </w:pPr>
            <w:r>
              <w:rPr>
                <w:rFonts w:ascii="Times New Roman" w:cs="Times New Roman" w:eastAsia="Times New Roman" w:hAnsi="Times New Roman"/>
                <w:sz w:val="11"/>
                <w:szCs w:val="11"/>
                <w:color w:val="auto"/>
              </w:rPr>
              <w:t>—</w:t>
            </w:r>
          </w:p>
        </w:tc>
        <w:tc>
          <w:tcPr>
            <w:tcW w:w="200" w:type="dxa"/>
            <w:vAlign w:val="bottom"/>
            <w:shd w:val="clear" w:color="auto" w:fill="CCEEFF"/>
          </w:tcPr>
          <w:p>
            <w:pPr>
              <w:spacing w:after="0"/>
              <w:rPr>
                <w:sz w:val="10"/>
                <w:szCs w:val="10"/>
                <w:color w:val="auto"/>
              </w:rPr>
            </w:pPr>
          </w:p>
        </w:tc>
        <w:tc>
          <w:tcPr>
            <w:tcW w:w="940" w:type="dxa"/>
            <w:vAlign w:val="bottom"/>
            <w:gridSpan w:val="2"/>
            <w:vMerge w:val="restart"/>
            <w:shd w:val="clear" w:color="auto" w:fill="CCEEFF"/>
          </w:tcPr>
          <w:p>
            <w:pPr>
              <w:jc w:val="right"/>
              <w:ind w:right="140"/>
              <w:spacing w:after="0"/>
              <w:rPr>
                <w:sz w:val="20"/>
                <w:szCs w:val="20"/>
                <w:color w:val="auto"/>
              </w:rPr>
            </w:pPr>
            <w:r>
              <w:rPr>
                <w:rFonts w:ascii="Times New Roman" w:cs="Times New Roman" w:eastAsia="Times New Roman" w:hAnsi="Times New Roman"/>
                <w:sz w:val="11"/>
                <w:szCs w:val="11"/>
                <w:color w:val="auto"/>
              </w:rPr>
              <w:t>—</w:t>
            </w:r>
          </w:p>
        </w:tc>
        <w:tc>
          <w:tcPr>
            <w:tcW w:w="140" w:type="dxa"/>
            <w:vAlign w:val="bottom"/>
            <w:shd w:val="clear" w:color="auto" w:fill="CCEEFF"/>
          </w:tcPr>
          <w:p>
            <w:pPr>
              <w:spacing w:after="0"/>
              <w:rPr>
                <w:sz w:val="10"/>
                <w:szCs w:val="10"/>
                <w:color w:val="auto"/>
              </w:rPr>
            </w:pPr>
          </w:p>
        </w:tc>
        <w:tc>
          <w:tcPr>
            <w:tcW w:w="1240" w:type="dxa"/>
            <w:vAlign w:val="bottom"/>
            <w:vMerge w:val="restart"/>
            <w:shd w:val="clear" w:color="auto" w:fill="CCEEFF"/>
          </w:tcPr>
          <w:p>
            <w:pPr>
              <w:jc w:val="right"/>
              <w:spacing w:after="0"/>
              <w:rPr>
                <w:sz w:val="20"/>
                <w:szCs w:val="20"/>
                <w:color w:val="auto"/>
              </w:rPr>
            </w:pPr>
            <w:r>
              <w:rPr>
                <w:rFonts w:ascii="Times New Roman" w:cs="Times New Roman" w:eastAsia="Times New Roman" w:hAnsi="Times New Roman"/>
                <w:sz w:val="11"/>
                <w:szCs w:val="11"/>
                <w:color w:val="auto"/>
              </w:rPr>
              <w:t>(514)</w:t>
            </w:r>
          </w:p>
        </w:tc>
        <w:tc>
          <w:tcPr>
            <w:tcW w:w="100" w:type="dxa"/>
            <w:vAlign w:val="bottom"/>
            <w:shd w:val="clear" w:color="auto" w:fill="CCEEFF"/>
          </w:tcPr>
          <w:p>
            <w:pPr>
              <w:spacing w:after="0"/>
              <w:rPr>
                <w:sz w:val="10"/>
                <w:szCs w:val="10"/>
                <w:color w:val="auto"/>
              </w:rPr>
            </w:pPr>
          </w:p>
        </w:tc>
        <w:tc>
          <w:tcPr>
            <w:tcW w:w="200" w:type="dxa"/>
            <w:vAlign w:val="bottom"/>
            <w:shd w:val="clear" w:color="auto" w:fill="CCEEFF"/>
          </w:tcPr>
          <w:p>
            <w:pPr>
              <w:spacing w:after="0"/>
              <w:rPr>
                <w:sz w:val="10"/>
                <w:szCs w:val="10"/>
                <w:color w:val="auto"/>
              </w:rPr>
            </w:pPr>
          </w:p>
        </w:tc>
        <w:tc>
          <w:tcPr>
            <w:tcW w:w="700" w:type="dxa"/>
            <w:vAlign w:val="bottom"/>
            <w:vMerge w:val="restart"/>
            <w:shd w:val="clear" w:color="auto" w:fill="CCEEFF"/>
          </w:tcPr>
          <w:p>
            <w:pPr>
              <w:jc w:val="right"/>
              <w:spacing w:after="0"/>
              <w:rPr>
                <w:sz w:val="20"/>
                <w:szCs w:val="20"/>
                <w:color w:val="auto"/>
              </w:rPr>
            </w:pPr>
            <w:r>
              <w:rPr>
                <w:rFonts w:ascii="Times New Roman" w:cs="Times New Roman" w:eastAsia="Times New Roman" w:hAnsi="Times New Roman"/>
                <w:sz w:val="11"/>
                <w:szCs w:val="11"/>
                <w:color w:val="auto"/>
              </w:rPr>
              <w:t>(514)</w:t>
            </w:r>
          </w:p>
        </w:tc>
        <w:tc>
          <w:tcPr>
            <w:tcW w:w="0" w:type="dxa"/>
            <w:vAlign w:val="bottom"/>
          </w:tcPr>
          <w:p>
            <w:pPr>
              <w:spacing w:after="0"/>
              <w:rPr>
                <w:sz w:val="1"/>
                <w:szCs w:val="1"/>
                <w:color w:val="auto"/>
              </w:rPr>
            </w:pPr>
          </w:p>
        </w:tc>
      </w:tr>
      <w:tr>
        <w:trPr>
          <w:trHeight w:val="155"/>
        </w:trPr>
        <w:tc>
          <w:tcPr>
            <w:tcW w:w="362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1"/>
                <w:szCs w:val="11"/>
                <w:color w:val="auto"/>
              </w:rPr>
              <w:t>interest</w:t>
            </w:r>
          </w:p>
        </w:tc>
        <w:tc>
          <w:tcPr>
            <w:tcW w:w="1060" w:type="dxa"/>
            <w:vAlign w:val="bottom"/>
            <w:gridSpan w:val="2"/>
            <w:vMerge w:val="continue"/>
            <w:shd w:val="clear" w:color="auto" w:fill="CCEEFF"/>
          </w:tcPr>
          <w:p>
            <w:pPr>
              <w:spacing w:after="0"/>
              <w:rPr>
                <w:sz w:val="13"/>
                <w:szCs w:val="13"/>
                <w:color w:val="auto"/>
              </w:rPr>
            </w:pPr>
          </w:p>
        </w:tc>
        <w:tc>
          <w:tcPr>
            <w:tcW w:w="700" w:type="dxa"/>
            <w:vAlign w:val="bottom"/>
            <w:shd w:val="clear" w:color="auto" w:fill="CCEEFF"/>
          </w:tcPr>
          <w:p>
            <w:pPr>
              <w:spacing w:after="0"/>
              <w:rPr>
                <w:sz w:val="13"/>
                <w:szCs w:val="13"/>
                <w:color w:val="auto"/>
              </w:rPr>
            </w:pPr>
          </w:p>
        </w:tc>
        <w:tc>
          <w:tcPr>
            <w:tcW w:w="360" w:type="dxa"/>
            <w:vAlign w:val="bottom"/>
            <w:gridSpan w:val="2"/>
            <w:vMerge w:val="continue"/>
            <w:shd w:val="clear" w:color="auto" w:fill="CCEEFF"/>
          </w:tcPr>
          <w:p>
            <w:pPr>
              <w:spacing w:after="0"/>
              <w:rPr>
                <w:sz w:val="13"/>
                <w:szCs w:val="13"/>
                <w:color w:val="auto"/>
              </w:rPr>
            </w:pPr>
          </w:p>
        </w:tc>
        <w:tc>
          <w:tcPr>
            <w:tcW w:w="160" w:type="dxa"/>
            <w:vAlign w:val="bottom"/>
            <w:shd w:val="clear" w:color="auto" w:fill="CCEEFF"/>
          </w:tcPr>
          <w:p>
            <w:pPr>
              <w:spacing w:after="0"/>
              <w:rPr>
                <w:sz w:val="13"/>
                <w:szCs w:val="13"/>
                <w:color w:val="auto"/>
              </w:rPr>
            </w:pPr>
          </w:p>
        </w:tc>
        <w:tc>
          <w:tcPr>
            <w:tcW w:w="900" w:type="dxa"/>
            <w:vAlign w:val="bottom"/>
            <w:gridSpan w:val="2"/>
            <w:vMerge w:val="continue"/>
            <w:shd w:val="clear" w:color="auto" w:fill="CCEEFF"/>
          </w:tcPr>
          <w:p>
            <w:pPr>
              <w:spacing w:after="0"/>
              <w:rPr>
                <w:sz w:val="13"/>
                <w:szCs w:val="13"/>
                <w:color w:val="auto"/>
              </w:rPr>
            </w:pPr>
          </w:p>
        </w:tc>
        <w:tc>
          <w:tcPr>
            <w:tcW w:w="160" w:type="dxa"/>
            <w:vAlign w:val="bottom"/>
            <w:shd w:val="clear" w:color="auto" w:fill="CCEEFF"/>
          </w:tcPr>
          <w:p>
            <w:pPr>
              <w:spacing w:after="0"/>
              <w:rPr>
                <w:sz w:val="13"/>
                <w:szCs w:val="13"/>
                <w:color w:val="auto"/>
              </w:rPr>
            </w:pPr>
          </w:p>
        </w:tc>
        <w:tc>
          <w:tcPr>
            <w:tcW w:w="800" w:type="dxa"/>
            <w:vAlign w:val="bottom"/>
            <w:gridSpan w:val="2"/>
            <w:vMerge w:val="continue"/>
            <w:shd w:val="clear" w:color="auto" w:fill="CCEEFF"/>
          </w:tcPr>
          <w:p>
            <w:pPr>
              <w:spacing w:after="0"/>
              <w:rPr>
                <w:sz w:val="13"/>
                <w:szCs w:val="13"/>
                <w:color w:val="auto"/>
              </w:rPr>
            </w:pPr>
          </w:p>
        </w:tc>
        <w:tc>
          <w:tcPr>
            <w:tcW w:w="200" w:type="dxa"/>
            <w:vAlign w:val="bottom"/>
            <w:shd w:val="clear" w:color="auto" w:fill="CCEEFF"/>
          </w:tcPr>
          <w:p>
            <w:pPr>
              <w:spacing w:after="0"/>
              <w:rPr>
                <w:sz w:val="13"/>
                <w:szCs w:val="13"/>
                <w:color w:val="auto"/>
              </w:rPr>
            </w:pPr>
          </w:p>
        </w:tc>
        <w:tc>
          <w:tcPr>
            <w:tcW w:w="940" w:type="dxa"/>
            <w:vAlign w:val="bottom"/>
            <w:gridSpan w:val="2"/>
            <w:vMerge w:val="continue"/>
            <w:shd w:val="clear" w:color="auto" w:fill="CCEEFF"/>
          </w:tcPr>
          <w:p>
            <w:pPr>
              <w:spacing w:after="0"/>
              <w:rPr>
                <w:sz w:val="13"/>
                <w:szCs w:val="13"/>
                <w:color w:val="auto"/>
              </w:rPr>
            </w:pPr>
          </w:p>
        </w:tc>
        <w:tc>
          <w:tcPr>
            <w:tcW w:w="140" w:type="dxa"/>
            <w:vAlign w:val="bottom"/>
            <w:shd w:val="clear" w:color="auto" w:fill="CCEEFF"/>
          </w:tcPr>
          <w:p>
            <w:pPr>
              <w:spacing w:after="0"/>
              <w:rPr>
                <w:sz w:val="13"/>
                <w:szCs w:val="13"/>
                <w:color w:val="auto"/>
              </w:rPr>
            </w:pPr>
          </w:p>
        </w:tc>
        <w:tc>
          <w:tcPr>
            <w:tcW w:w="1240" w:type="dxa"/>
            <w:vAlign w:val="bottom"/>
            <w:vMerge w:val="continue"/>
            <w:shd w:val="clear" w:color="auto" w:fill="CCEEFF"/>
          </w:tcPr>
          <w:p>
            <w:pPr>
              <w:spacing w:after="0"/>
              <w:rPr>
                <w:sz w:val="13"/>
                <w:szCs w:val="13"/>
                <w:color w:val="auto"/>
              </w:rPr>
            </w:pPr>
          </w:p>
        </w:tc>
        <w:tc>
          <w:tcPr>
            <w:tcW w:w="100" w:type="dxa"/>
            <w:vAlign w:val="bottom"/>
            <w:shd w:val="clear" w:color="auto" w:fill="CCEEFF"/>
          </w:tcPr>
          <w:p>
            <w:pPr>
              <w:spacing w:after="0"/>
              <w:rPr>
                <w:sz w:val="13"/>
                <w:szCs w:val="13"/>
                <w:color w:val="auto"/>
              </w:rPr>
            </w:pPr>
          </w:p>
        </w:tc>
        <w:tc>
          <w:tcPr>
            <w:tcW w:w="200" w:type="dxa"/>
            <w:vAlign w:val="bottom"/>
            <w:shd w:val="clear" w:color="auto" w:fill="CCEEFF"/>
          </w:tcPr>
          <w:p>
            <w:pPr>
              <w:spacing w:after="0"/>
              <w:rPr>
                <w:sz w:val="13"/>
                <w:szCs w:val="13"/>
                <w:color w:val="auto"/>
              </w:rPr>
            </w:pPr>
          </w:p>
        </w:tc>
        <w:tc>
          <w:tcPr>
            <w:tcW w:w="700" w:type="dxa"/>
            <w:vAlign w:val="bottom"/>
            <w:vMerge w:val="continue"/>
            <w:shd w:val="clear" w:color="auto" w:fill="CCEEFF"/>
          </w:tcPr>
          <w:p>
            <w:pPr>
              <w:spacing w:after="0"/>
              <w:rPr>
                <w:sz w:val="13"/>
                <w:szCs w:val="13"/>
                <w:color w:val="auto"/>
              </w:rPr>
            </w:pPr>
          </w:p>
        </w:tc>
        <w:tc>
          <w:tcPr>
            <w:tcW w:w="0" w:type="dxa"/>
            <w:vAlign w:val="bottom"/>
          </w:tcPr>
          <w:p>
            <w:pPr>
              <w:spacing w:after="0"/>
              <w:rPr>
                <w:sz w:val="1"/>
                <w:szCs w:val="1"/>
                <w:color w:val="auto"/>
              </w:rPr>
            </w:pPr>
          </w:p>
        </w:tc>
      </w:tr>
      <w:tr>
        <w:trPr>
          <w:trHeight w:val="153"/>
        </w:trPr>
        <w:tc>
          <w:tcPr>
            <w:tcW w:w="3620" w:type="dxa"/>
            <w:vAlign w:val="bottom"/>
          </w:tcPr>
          <w:p>
            <w:pPr>
              <w:ind w:left="20"/>
              <w:spacing w:after="0"/>
              <w:rPr>
                <w:sz w:val="20"/>
                <w:szCs w:val="20"/>
                <w:color w:val="auto"/>
              </w:rPr>
            </w:pPr>
            <w:r>
              <w:rPr>
                <w:rFonts w:ascii="Times New Roman" w:cs="Times New Roman" w:eastAsia="Times New Roman" w:hAnsi="Times New Roman"/>
                <w:sz w:val="11"/>
                <w:szCs w:val="11"/>
                <w:color w:val="auto"/>
              </w:rPr>
              <w:t>Distributions to noncontrolling interest</w:t>
            </w:r>
          </w:p>
        </w:tc>
        <w:tc>
          <w:tcPr>
            <w:tcW w:w="1060" w:type="dxa"/>
            <w:vAlign w:val="bottom"/>
            <w:gridSpan w:val="2"/>
          </w:tcPr>
          <w:p>
            <w:pPr>
              <w:jc w:val="right"/>
              <w:ind w:right="140"/>
              <w:spacing w:after="0"/>
              <w:rPr>
                <w:sz w:val="20"/>
                <w:szCs w:val="20"/>
                <w:color w:val="auto"/>
              </w:rPr>
            </w:pPr>
            <w:r>
              <w:rPr>
                <w:rFonts w:ascii="Times New Roman" w:cs="Times New Roman" w:eastAsia="Times New Roman" w:hAnsi="Times New Roman"/>
                <w:sz w:val="11"/>
                <w:szCs w:val="11"/>
                <w:color w:val="auto"/>
              </w:rPr>
              <w:t>—</w:t>
            </w:r>
          </w:p>
        </w:tc>
        <w:tc>
          <w:tcPr>
            <w:tcW w:w="700" w:type="dxa"/>
            <w:vAlign w:val="bottom"/>
          </w:tcPr>
          <w:p>
            <w:pPr>
              <w:spacing w:after="0"/>
              <w:rPr>
                <w:sz w:val="13"/>
                <w:szCs w:val="13"/>
                <w:color w:val="auto"/>
              </w:rPr>
            </w:pPr>
          </w:p>
        </w:tc>
        <w:tc>
          <w:tcPr>
            <w:tcW w:w="360" w:type="dxa"/>
            <w:vAlign w:val="bottom"/>
            <w:gridSpan w:val="2"/>
          </w:tcPr>
          <w:p>
            <w:pPr>
              <w:jc w:val="right"/>
              <w:ind w:right="140"/>
              <w:spacing w:after="0"/>
              <w:rPr>
                <w:sz w:val="20"/>
                <w:szCs w:val="20"/>
                <w:color w:val="auto"/>
              </w:rPr>
            </w:pPr>
            <w:r>
              <w:rPr>
                <w:rFonts w:ascii="Times New Roman" w:cs="Times New Roman" w:eastAsia="Times New Roman" w:hAnsi="Times New Roman"/>
                <w:sz w:val="11"/>
                <w:szCs w:val="11"/>
                <w:color w:val="auto"/>
              </w:rPr>
              <w:t>—</w:t>
            </w:r>
          </w:p>
        </w:tc>
        <w:tc>
          <w:tcPr>
            <w:tcW w:w="160" w:type="dxa"/>
            <w:vAlign w:val="bottom"/>
          </w:tcPr>
          <w:p>
            <w:pPr>
              <w:spacing w:after="0"/>
              <w:rPr>
                <w:sz w:val="13"/>
                <w:szCs w:val="13"/>
                <w:color w:val="auto"/>
              </w:rPr>
            </w:pPr>
          </w:p>
        </w:tc>
        <w:tc>
          <w:tcPr>
            <w:tcW w:w="900" w:type="dxa"/>
            <w:vAlign w:val="bottom"/>
            <w:gridSpan w:val="2"/>
          </w:tcPr>
          <w:p>
            <w:pPr>
              <w:jc w:val="right"/>
              <w:ind w:right="140"/>
              <w:spacing w:after="0"/>
              <w:rPr>
                <w:sz w:val="20"/>
                <w:szCs w:val="20"/>
                <w:color w:val="auto"/>
              </w:rPr>
            </w:pPr>
            <w:r>
              <w:rPr>
                <w:rFonts w:ascii="Times New Roman" w:cs="Times New Roman" w:eastAsia="Times New Roman" w:hAnsi="Times New Roman"/>
                <w:sz w:val="11"/>
                <w:szCs w:val="11"/>
                <w:color w:val="auto"/>
              </w:rPr>
              <w:t>—</w:t>
            </w:r>
          </w:p>
        </w:tc>
        <w:tc>
          <w:tcPr>
            <w:tcW w:w="160" w:type="dxa"/>
            <w:vAlign w:val="bottom"/>
          </w:tcPr>
          <w:p>
            <w:pPr>
              <w:spacing w:after="0"/>
              <w:rPr>
                <w:sz w:val="13"/>
                <w:szCs w:val="13"/>
                <w:color w:val="auto"/>
              </w:rPr>
            </w:pPr>
          </w:p>
        </w:tc>
        <w:tc>
          <w:tcPr>
            <w:tcW w:w="800" w:type="dxa"/>
            <w:vAlign w:val="bottom"/>
            <w:gridSpan w:val="2"/>
          </w:tcPr>
          <w:p>
            <w:pPr>
              <w:ind w:left="540"/>
              <w:spacing w:after="0"/>
              <w:rPr>
                <w:sz w:val="20"/>
                <w:szCs w:val="20"/>
                <w:color w:val="auto"/>
              </w:rPr>
            </w:pPr>
            <w:r>
              <w:rPr>
                <w:rFonts w:ascii="Times New Roman" w:cs="Times New Roman" w:eastAsia="Times New Roman" w:hAnsi="Times New Roman"/>
                <w:sz w:val="11"/>
                <w:szCs w:val="11"/>
                <w:color w:val="auto"/>
              </w:rPr>
              <w:t>—</w:t>
            </w:r>
          </w:p>
        </w:tc>
        <w:tc>
          <w:tcPr>
            <w:tcW w:w="200" w:type="dxa"/>
            <w:vAlign w:val="bottom"/>
          </w:tcPr>
          <w:p>
            <w:pPr>
              <w:spacing w:after="0"/>
              <w:rPr>
                <w:sz w:val="13"/>
                <w:szCs w:val="13"/>
                <w:color w:val="auto"/>
              </w:rPr>
            </w:pPr>
          </w:p>
        </w:tc>
        <w:tc>
          <w:tcPr>
            <w:tcW w:w="940" w:type="dxa"/>
            <w:vAlign w:val="bottom"/>
            <w:gridSpan w:val="2"/>
          </w:tcPr>
          <w:p>
            <w:pPr>
              <w:jc w:val="right"/>
              <w:ind w:right="140"/>
              <w:spacing w:after="0"/>
              <w:rPr>
                <w:sz w:val="20"/>
                <w:szCs w:val="20"/>
                <w:color w:val="auto"/>
              </w:rPr>
            </w:pPr>
            <w:r>
              <w:rPr>
                <w:rFonts w:ascii="Times New Roman" w:cs="Times New Roman" w:eastAsia="Times New Roman" w:hAnsi="Times New Roman"/>
                <w:sz w:val="11"/>
                <w:szCs w:val="11"/>
                <w:color w:val="auto"/>
              </w:rPr>
              <w:t>—</w:t>
            </w:r>
          </w:p>
        </w:tc>
        <w:tc>
          <w:tcPr>
            <w:tcW w:w="140" w:type="dxa"/>
            <w:vAlign w:val="bottom"/>
          </w:tcPr>
          <w:p>
            <w:pPr>
              <w:spacing w:after="0"/>
              <w:rPr>
                <w:sz w:val="13"/>
                <w:szCs w:val="13"/>
                <w:color w:val="auto"/>
              </w:rPr>
            </w:pPr>
          </w:p>
        </w:tc>
        <w:tc>
          <w:tcPr>
            <w:tcW w:w="1240" w:type="dxa"/>
            <w:vAlign w:val="bottom"/>
          </w:tcPr>
          <w:p>
            <w:pPr>
              <w:jc w:val="right"/>
              <w:spacing w:after="0"/>
              <w:rPr>
                <w:sz w:val="20"/>
                <w:szCs w:val="20"/>
                <w:color w:val="auto"/>
              </w:rPr>
            </w:pPr>
            <w:r>
              <w:rPr>
                <w:rFonts w:ascii="Times New Roman" w:cs="Times New Roman" w:eastAsia="Times New Roman" w:hAnsi="Times New Roman"/>
                <w:sz w:val="11"/>
                <w:szCs w:val="11"/>
                <w:color w:val="auto"/>
              </w:rPr>
              <w:t>(438)</w:t>
            </w:r>
          </w:p>
        </w:tc>
        <w:tc>
          <w:tcPr>
            <w:tcW w:w="100" w:type="dxa"/>
            <w:vAlign w:val="bottom"/>
          </w:tcPr>
          <w:p>
            <w:pPr>
              <w:spacing w:after="0"/>
              <w:rPr>
                <w:sz w:val="13"/>
                <w:szCs w:val="13"/>
                <w:color w:val="auto"/>
              </w:rPr>
            </w:pPr>
          </w:p>
        </w:tc>
        <w:tc>
          <w:tcPr>
            <w:tcW w:w="200" w:type="dxa"/>
            <w:vAlign w:val="bottom"/>
          </w:tcPr>
          <w:p>
            <w:pPr>
              <w:spacing w:after="0"/>
              <w:rPr>
                <w:sz w:val="13"/>
                <w:szCs w:val="13"/>
                <w:color w:val="auto"/>
              </w:rPr>
            </w:pPr>
          </w:p>
        </w:tc>
        <w:tc>
          <w:tcPr>
            <w:tcW w:w="700" w:type="dxa"/>
            <w:vAlign w:val="bottom"/>
          </w:tcPr>
          <w:p>
            <w:pPr>
              <w:jc w:val="right"/>
              <w:spacing w:after="0"/>
              <w:rPr>
                <w:sz w:val="20"/>
                <w:szCs w:val="20"/>
                <w:color w:val="auto"/>
              </w:rPr>
            </w:pPr>
            <w:r>
              <w:rPr>
                <w:rFonts w:ascii="Times New Roman" w:cs="Times New Roman" w:eastAsia="Times New Roman" w:hAnsi="Times New Roman"/>
                <w:sz w:val="11"/>
                <w:szCs w:val="11"/>
                <w:color w:val="auto"/>
              </w:rPr>
              <w:t>(438)</w:t>
            </w:r>
          </w:p>
        </w:tc>
        <w:tc>
          <w:tcPr>
            <w:tcW w:w="0" w:type="dxa"/>
            <w:vAlign w:val="bottom"/>
          </w:tcPr>
          <w:p>
            <w:pPr>
              <w:spacing w:after="0"/>
              <w:rPr>
                <w:sz w:val="1"/>
                <w:szCs w:val="1"/>
                <w:color w:val="auto"/>
              </w:rPr>
            </w:pPr>
          </w:p>
        </w:tc>
      </w:tr>
      <w:tr>
        <w:trPr>
          <w:trHeight w:val="181"/>
        </w:trPr>
        <w:tc>
          <w:tcPr>
            <w:tcW w:w="3620" w:type="dxa"/>
            <w:vAlign w:val="bottom"/>
            <w:tcBorders>
              <w:top w:val="single" w:sz="8" w:color="CCEEFF"/>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1"/>
                <w:szCs w:val="11"/>
                <w:b w:val="1"/>
                <w:bCs w:val="1"/>
                <w:color w:val="auto"/>
              </w:rPr>
              <w:t>BALANCE, December 31, 2025</w:t>
            </w:r>
          </w:p>
        </w:tc>
        <w:tc>
          <w:tcPr>
            <w:tcW w:w="96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1"/>
                <w:szCs w:val="11"/>
                <w:color w:val="auto"/>
              </w:rPr>
              <w:t>9,394,066</w:t>
            </w:r>
          </w:p>
        </w:tc>
        <w:tc>
          <w:tcPr>
            <w:tcW w:w="100" w:type="dxa"/>
            <w:vAlign w:val="bottom"/>
            <w:tcBorders>
              <w:top w:val="single" w:sz="8" w:color="CCEEFF"/>
              <w:bottom w:val="single" w:sz="8" w:color="CCEEFF"/>
            </w:tcBorders>
            <w:shd w:val="clear" w:color="auto" w:fill="CCEEFF"/>
          </w:tcPr>
          <w:p>
            <w:pPr>
              <w:spacing w:after="0"/>
              <w:rPr>
                <w:sz w:val="15"/>
                <w:szCs w:val="15"/>
                <w:color w:val="auto"/>
              </w:rPr>
            </w:pPr>
          </w:p>
        </w:tc>
        <w:tc>
          <w:tcPr>
            <w:tcW w:w="700" w:type="dxa"/>
            <w:vAlign w:val="bottom"/>
            <w:tcBorders>
              <w:top w:val="single" w:sz="8" w:color="auto"/>
              <w:bottom w:val="single" w:sz="8" w:color="auto"/>
            </w:tcBorders>
            <w:shd w:val="clear" w:color="auto" w:fill="CCEEFF"/>
          </w:tcPr>
          <w:p>
            <w:pPr>
              <w:jc w:val="right"/>
              <w:ind w:right="565"/>
              <w:spacing w:after="0"/>
              <w:rPr>
                <w:sz w:val="20"/>
                <w:szCs w:val="20"/>
                <w:color w:val="auto"/>
              </w:rPr>
            </w:pPr>
            <w:r>
              <w:rPr>
                <w:rFonts w:ascii="Times New Roman" w:cs="Times New Roman" w:eastAsia="Times New Roman" w:hAnsi="Times New Roman"/>
                <w:sz w:val="11"/>
                <w:szCs w:val="11"/>
                <w:color w:val="auto"/>
              </w:rPr>
              <w:t>$</w:t>
            </w:r>
          </w:p>
        </w:tc>
        <w:tc>
          <w:tcPr>
            <w:tcW w:w="26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1"/>
                <w:szCs w:val="11"/>
                <w:color w:val="auto"/>
              </w:rPr>
              <w:t>124</w:t>
            </w:r>
          </w:p>
        </w:tc>
        <w:tc>
          <w:tcPr>
            <w:tcW w:w="100" w:type="dxa"/>
            <w:vAlign w:val="bottom"/>
            <w:tcBorders>
              <w:top w:val="single" w:sz="8" w:color="CCEEFF"/>
              <w:bottom w:val="single" w:sz="8" w:color="CCEEFF"/>
            </w:tcBorders>
            <w:shd w:val="clear" w:color="auto" w:fill="CCEEFF"/>
          </w:tcPr>
          <w:p>
            <w:pPr>
              <w:spacing w:after="0"/>
              <w:rPr>
                <w:sz w:val="15"/>
                <w:szCs w:val="15"/>
                <w:color w:val="auto"/>
              </w:rPr>
            </w:pPr>
          </w:p>
        </w:tc>
        <w:tc>
          <w:tcPr>
            <w:tcW w:w="160" w:type="dxa"/>
            <w:vAlign w:val="bottom"/>
            <w:tcBorders>
              <w:top w:val="single" w:sz="8" w:color="auto"/>
              <w:bottom w:val="single" w:sz="8" w:color="auto"/>
            </w:tcBorders>
            <w:shd w:val="clear" w:color="auto" w:fill="CCEEFF"/>
          </w:tcPr>
          <w:p>
            <w:pPr>
              <w:jc w:val="right"/>
              <w:ind w:right="23"/>
              <w:spacing w:after="0"/>
              <w:rPr>
                <w:sz w:val="20"/>
                <w:szCs w:val="20"/>
                <w:color w:val="auto"/>
              </w:rPr>
            </w:pPr>
            <w:r>
              <w:rPr>
                <w:rFonts w:ascii="Times New Roman" w:cs="Times New Roman" w:eastAsia="Times New Roman" w:hAnsi="Times New Roman"/>
                <w:sz w:val="11"/>
                <w:szCs w:val="11"/>
                <w:color w:val="auto"/>
              </w:rPr>
              <w:t>$</w:t>
            </w:r>
          </w:p>
        </w:tc>
        <w:tc>
          <w:tcPr>
            <w:tcW w:w="820" w:type="dxa"/>
            <w:vAlign w:val="bottom"/>
            <w:tcBorders>
              <w:top w:val="single" w:sz="8" w:color="auto"/>
              <w:bottom w:val="single" w:sz="8" w:color="auto"/>
            </w:tcBorders>
            <w:shd w:val="clear" w:color="auto" w:fill="CCEEFF"/>
          </w:tcPr>
          <w:p>
            <w:pPr>
              <w:jc w:val="right"/>
              <w:ind w:right="4"/>
              <w:spacing w:after="0"/>
              <w:rPr>
                <w:sz w:val="20"/>
                <w:szCs w:val="20"/>
                <w:color w:val="auto"/>
              </w:rPr>
            </w:pPr>
            <w:r>
              <w:rPr>
                <w:rFonts w:ascii="Times New Roman" w:cs="Times New Roman" w:eastAsia="Times New Roman" w:hAnsi="Times New Roman"/>
                <w:sz w:val="11"/>
                <w:szCs w:val="11"/>
                <w:color w:val="auto"/>
              </w:rPr>
              <w:t>206,120</w:t>
            </w:r>
          </w:p>
        </w:tc>
        <w:tc>
          <w:tcPr>
            <w:tcW w:w="80" w:type="dxa"/>
            <w:vAlign w:val="bottom"/>
            <w:tcBorders>
              <w:top w:val="single" w:sz="8" w:color="CCEEFF"/>
              <w:bottom w:val="single" w:sz="8" w:color="CCEEFF"/>
            </w:tcBorders>
            <w:shd w:val="clear" w:color="auto" w:fill="CCEEFF"/>
          </w:tcPr>
          <w:p>
            <w:pPr>
              <w:spacing w:after="0"/>
              <w:rPr>
                <w:sz w:val="15"/>
                <w:szCs w:val="15"/>
                <w:color w:val="auto"/>
              </w:rPr>
            </w:pPr>
          </w:p>
        </w:tc>
        <w:tc>
          <w:tcPr>
            <w:tcW w:w="160" w:type="dxa"/>
            <w:vAlign w:val="bottom"/>
            <w:tcBorders>
              <w:top w:val="single" w:sz="8" w:color="auto"/>
              <w:bottom w:val="single" w:sz="8" w:color="auto"/>
            </w:tcBorders>
            <w:shd w:val="clear" w:color="auto" w:fill="CCEEFF"/>
          </w:tcPr>
          <w:p>
            <w:pPr>
              <w:jc w:val="right"/>
              <w:ind w:right="23"/>
              <w:spacing w:after="0"/>
              <w:rPr>
                <w:sz w:val="20"/>
                <w:szCs w:val="20"/>
                <w:color w:val="auto"/>
              </w:rPr>
            </w:pPr>
            <w:r>
              <w:rPr>
                <w:rFonts w:ascii="Times New Roman" w:cs="Times New Roman" w:eastAsia="Times New Roman" w:hAnsi="Times New Roman"/>
                <w:sz w:val="11"/>
                <w:szCs w:val="11"/>
                <w:color w:val="auto"/>
              </w:rPr>
              <w:t>$</w:t>
            </w:r>
          </w:p>
        </w:tc>
        <w:tc>
          <w:tcPr>
            <w:tcW w:w="7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1"/>
                <w:szCs w:val="11"/>
                <w:color w:val="auto"/>
              </w:rPr>
              <w:t>(89,612)</w:t>
            </w:r>
          </w:p>
        </w:tc>
        <w:tc>
          <w:tcPr>
            <w:tcW w:w="100" w:type="dxa"/>
            <w:vAlign w:val="bottom"/>
            <w:tcBorders>
              <w:top w:val="single" w:sz="8" w:color="CCEEFF"/>
              <w:bottom w:val="single" w:sz="8" w:color="CCEEFF"/>
            </w:tcBorders>
            <w:shd w:val="clear" w:color="auto" w:fill="CCEEFF"/>
          </w:tcPr>
          <w:p>
            <w:pPr>
              <w:spacing w:after="0"/>
              <w:rPr>
                <w:sz w:val="15"/>
                <w:szCs w:val="15"/>
                <w:color w:val="auto"/>
              </w:rPr>
            </w:pPr>
          </w:p>
        </w:tc>
        <w:tc>
          <w:tcPr>
            <w:tcW w:w="200" w:type="dxa"/>
            <w:vAlign w:val="bottom"/>
            <w:tcBorders>
              <w:top w:val="single" w:sz="8" w:color="auto"/>
              <w:bottom w:val="single" w:sz="8" w:color="auto"/>
            </w:tcBorders>
            <w:shd w:val="clear" w:color="auto" w:fill="CCEEFF"/>
          </w:tcPr>
          <w:p>
            <w:pPr>
              <w:ind w:left="20"/>
              <w:spacing w:after="0"/>
              <w:rPr>
                <w:sz w:val="20"/>
                <w:szCs w:val="20"/>
                <w:color w:val="auto"/>
              </w:rPr>
            </w:pPr>
            <w:r>
              <w:rPr>
                <w:rFonts w:ascii="Times New Roman" w:cs="Times New Roman" w:eastAsia="Times New Roman" w:hAnsi="Times New Roman"/>
                <w:sz w:val="11"/>
                <w:szCs w:val="11"/>
                <w:color w:val="auto"/>
              </w:rPr>
              <w:t>$</w:t>
            </w:r>
          </w:p>
        </w:tc>
        <w:tc>
          <w:tcPr>
            <w:tcW w:w="860" w:type="dxa"/>
            <w:vAlign w:val="bottom"/>
            <w:tcBorders>
              <w:top w:val="single" w:sz="8" w:color="auto"/>
              <w:bottom w:val="single" w:sz="8" w:color="auto"/>
            </w:tcBorders>
            <w:shd w:val="clear" w:color="auto" w:fill="CCEEFF"/>
          </w:tcPr>
          <w:p>
            <w:pPr>
              <w:jc w:val="right"/>
              <w:ind w:right="4"/>
              <w:spacing w:after="0"/>
              <w:rPr>
                <w:sz w:val="20"/>
                <w:szCs w:val="20"/>
                <w:color w:val="auto"/>
              </w:rPr>
            </w:pPr>
            <w:r>
              <w:rPr>
                <w:rFonts w:ascii="Times New Roman" w:cs="Times New Roman" w:eastAsia="Times New Roman" w:hAnsi="Times New Roman"/>
                <w:sz w:val="11"/>
                <w:szCs w:val="11"/>
                <w:color w:val="auto"/>
              </w:rPr>
              <w:t>8,983</w:t>
            </w:r>
          </w:p>
        </w:tc>
        <w:tc>
          <w:tcPr>
            <w:tcW w:w="80" w:type="dxa"/>
            <w:vAlign w:val="bottom"/>
            <w:tcBorders>
              <w:top w:val="single" w:sz="8" w:color="CCEEFF"/>
              <w:bottom w:val="single" w:sz="8" w:color="CCEEFF"/>
            </w:tcBorders>
            <w:shd w:val="clear" w:color="auto" w:fill="CCEEFF"/>
          </w:tcPr>
          <w:p>
            <w:pPr>
              <w:spacing w:after="0"/>
              <w:rPr>
                <w:sz w:val="15"/>
                <w:szCs w:val="15"/>
                <w:color w:val="auto"/>
              </w:rPr>
            </w:pPr>
          </w:p>
        </w:tc>
        <w:tc>
          <w:tcPr>
            <w:tcW w:w="140" w:type="dxa"/>
            <w:vAlign w:val="bottom"/>
            <w:tcBorders>
              <w:top w:val="single" w:sz="8" w:color="auto"/>
              <w:bottom w:val="single" w:sz="8" w:color="auto"/>
            </w:tcBorders>
            <w:shd w:val="clear" w:color="auto" w:fill="CCEEFF"/>
          </w:tcPr>
          <w:p>
            <w:pPr>
              <w:jc w:val="right"/>
              <w:ind w:right="3"/>
              <w:spacing w:after="0"/>
              <w:rPr>
                <w:sz w:val="20"/>
                <w:szCs w:val="20"/>
                <w:color w:val="auto"/>
              </w:rPr>
            </w:pPr>
            <w:r>
              <w:rPr>
                <w:rFonts w:ascii="Times New Roman" w:cs="Times New Roman" w:eastAsia="Times New Roman" w:hAnsi="Times New Roman"/>
                <w:sz w:val="11"/>
                <w:szCs w:val="11"/>
                <w:color w:val="auto"/>
              </w:rPr>
              <w:t>$</w:t>
            </w:r>
          </w:p>
        </w:tc>
        <w:tc>
          <w:tcPr>
            <w:tcW w:w="12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1"/>
                <w:szCs w:val="11"/>
                <w:color w:val="auto"/>
              </w:rPr>
              <w:t>1,108</w:t>
            </w:r>
          </w:p>
        </w:tc>
        <w:tc>
          <w:tcPr>
            <w:tcW w:w="100" w:type="dxa"/>
            <w:vAlign w:val="bottom"/>
            <w:tcBorders>
              <w:top w:val="single" w:sz="8" w:color="CCEEFF"/>
              <w:bottom w:val="single" w:sz="8" w:color="CCEEFF"/>
            </w:tcBorders>
            <w:shd w:val="clear" w:color="auto" w:fill="CCEEFF"/>
          </w:tcPr>
          <w:p>
            <w:pPr>
              <w:spacing w:after="0"/>
              <w:rPr>
                <w:sz w:val="15"/>
                <w:szCs w:val="15"/>
                <w:color w:val="auto"/>
              </w:rPr>
            </w:pPr>
          </w:p>
        </w:tc>
        <w:tc>
          <w:tcPr>
            <w:tcW w:w="200" w:type="dxa"/>
            <w:vAlign w:val="bottom"/>
            <w:tcBorders>
              <w:top w:val="single" w:sz="8" w:color="auto"/>
              <w:bottom w:val="single" w:sz="8" w:color="auto"/>
            </w:tcBorders>
            <w:shd w:val="clear" w:color="auto" w:fill="CCEEFF"/>
          </w:tcPr>
          <w:p>
            <w:pPr>
              <w:jc w:val="right"/>
              <w:ind w:right="63"/>
              <w:spacing w:after="0"/>
              <w:rPr>
                <w:sz w:val="20"/>
                <w:szCs w:val="20"/>
                <w:color w:val="auto"/>
              </w:rPr>
            </w:pPr>
            <w:r>
              <w:rPr>
                <w:rFonts w:ascii="Times New Roman" w:cs="Times New Roman" w:eastAsia="Times New Roman" w:hAnsi="Times New Roman"/>
                <w:sz w:val="11"/>
                <w:szCs w:val="11"/>
                <w:color w:val="auto"/>
              </w:rPr>
              <w:t>$</w:t>
            </w:r>
          </w:p>
        </w:tc>
        <w:tc>
          <w:tcPr>
            <w:tcW w:w="7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1"/>
                <w:szCs w:val="11"/>
                <w:color w:val="auto"/>
              </w:rPr>
              <w:t>126,723</w:t>
            </w:r>
          </w:p>
        </w:tc>
        <w:tc>
          <w:tcPr>
            <w:tcW w:w="0" w:type="dxa"/>
            <w:vAlign w:val="bottom"/>
          </w:tcPr>
          <w:p>
            <w:pPr>
              <w:spacing w:after="0"/>
              <w:rPr>
                <w:sz w:val="1"/>
                <w:szCs w:val="1"/>
                <w:color w:val="auto"/>
              </w:rPr>
            </w:pPr>
          </w:p>
        </w:tc>
      </w:tr>
      <w:tr>
        <w:trPr>
          <w:trHeight w:val="20"/>
        </w:trPr>
        <w:tc>
          <w:tcPr>
            <w:tcW w:w="3620" w:type="dxa"/>
            <w:vAlign w:val="bottom"/>
            <w:tcBorders>
              <w:top w:val="single" w:sz="8" w:color="CCEEFF"/>
            </w:tcBorders>
          </w:tcPr>
          <w:p>
            <w:pPr>
              <w:spacing w:after="0" w:line="20" w:lineRule="exact"/>
              <w:rPr>
                <w:sz w:val="1"/>
                <w:szCs w:val="1"/>
                <w:color w:val="auto"/>
              </w:rPr>
            </w:pPr>
          </w:p>
        </w:tc>
        <w:tc>
          <w:tcPr>
            <w:tcW w:w="96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700" w:type="dxa"/>
            <w:vAlign w:val="bottom"/>
            <w:tcBorders>
              <w:top w:val="single" w:sz="8" w:color="CCEEFF"/>
              <w:bottom w:val="single" w:sz="8" w:color="auto"/>
            </w:tcBorders>
          </w:tcPr>
          <w:p>
            <w:pPr>
              <w:spacing w:after="0" w:line="20" w:lineRule="exact"/>
              <w:rPr>
                <w:sz w:val="1"/>
                <w:szCs w:val="1"/>
                <w:color w:val="auto"/>
              </w:rPr>
            </w:pPr>
          </w:p>
        </w:tc>
        <w:tc>
          <w:tcPr>
            <w:tcW w:w="26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60" w:type="dxa"/>
            <w:vAlign w:val="bottom"/>
            <w:tcBorders>
              <w:top w:val="single" w:sz="8" w:color="CCEEFF"/>
              <w:bottom w:val="single" w:sz="8" w:color="auto"/>
            </w:tcBorders>
          </w:tcPr>
          <w:p>
            <w:pPr>
              <w:spacing w:after="0" w:line="20" w:lineRule="exact"/>
              <w:rPr>
                <w:sz w:val="1"/>
                <w:szCs w:val="1"/>
                <w:color w:val="auto"/>
              </w:rPr>
            </w:pPr>
          </w:p>
        </w:tc>
        <w:tc>
          <w:tcPr>
            <w:tcW w:w="820" w:type="dxa"/>
            <w:vAlign w:val="bottom"/>
            <w:tcBorders>
              <w:top w:val="single" w:sz="8" w:color="CCEEFF"/>
              <w:bottom w:val="single" w:sz="8" w:color="auto"/>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160" w:type="dxa"/>
            <w:vAlign w:val="bottom"/>
            <w:tcBorders>
              <w:top w:val="single" w:sz="8" w:color="CCEEFF"/>
              <w:bottom w:val="single" w:sz="8" w:color="auto"/>
            </w:tcBorders>
          </w:tcPr>
          <w:p>
            <w:pPr>
              <w:spacing w:after="0" w:line="20" w:lineRule="exact"/>
              <w:rPr>
                <w:sz w:val="1"/>
                <w:szCs w:val="1"/>
                <w:color w:val="auto"/>
              </w:rPr>
            </w:pPr>
          </w:p>
        </w:tc>
        <w:tc>
          <w:tcPr>
            <w:tcW w:w="70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200" w:type="dxa"/>
            <w:vAlign w:val="bottom"/>
            <w:tcBorders>
              <w:top w:val="single" w:sz="8" w:color="CCEEFF"/>
              <w:bottom w:val="single" w:sz="8" w:color="auto"/>
            </w:tcBorders>
          </w:tcPr>
          <w:p>
            <w:pPr>
              <w:spacing w:after="0" w:line="20" w:lineRule="exact"/>
              <w:rPr>
                <w:sz w:val="1"/>
                <w:szCs w:val="1"/>
                <w:color w:val="auto"/>
              </w:rPr>
            </w:pPr>
          </w:p>
        </w:tc>
        <w:tc>
          <w:tcPr>
            <w:tcW w:w="860" w:type="dxa"/>
            <w:vAlign w:val="bottom"/>
            <w:tcBorders>
              <w:top w:val="single" w:sz="8" w:color="CCEEFF"/>
              <w:bottom w:val="single" w:sz="8" w:color="auto"/>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140" w:type="dxa"/>
            <w:vAlign w:val="bottom"/>
            <w:tcBorders>
              <w:top w:val="single" w:sz="8" w:color="CCEEFF"/>
              <w:bottom w:val="single" w:sz="8" w:color="auto"/>
            </w:tcBorders>
          </w:tcPr>
          <w:p>
            <w:pPr>
              <w:spacing w:after="0" w:line="20" w:lineRule="exact"/>
              <w:rPr>
                <w:sz w:val="1"/>
                <w:szCs w:val="1"/>
                <w:color w:val="auto"/>
              </w:rPr>
            </w:pPr>
          </w:p>
        </w:tc>
        <w:tc>
          <w:tcPr>
            <w:tcW w:w="124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200" w:type="dxa"/>
            <w:vAlign w:val="bottom"/>
            <w:tcBorders>
              <w:top w:val="single" w:sz="8" w:color="CCEEFF"/>
              <w:bottom w:val="single" w:sz="8" w:color="auto"/>
            </w:tcBorders>
          </w:tcPr>
          <w:p>
            <w:pPr>
              <w:spacing w:after="0" w:line="20" w:lineRule="exact"/>
              <w:rPr>
                <w:sz w:val="1"/>
                <w:szCs w:val="1"/>
                <w:color w:val="auto"/>
              </w:rPr>
            </w:pPr>
          </w:p>
        </w:tc>
        <w:tc>
          <w:tcPr>
            <w:tcW w:w="700" w:type="dxa"/>
            <w:vAlign w:val="bottom"/>
            <w:tcBorders>
              <w:top w:val="single" w:sz="8" w:color="CCEEFF"/>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5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4"/>
          <w:szCs w:val="14"/>
          <w:b w:val="1"/>
          <w:bCs w:val="1"/>
          <w:color w:val="auto"/>
        </w:rPr>
        <w:t>See Notes to Consolidated Financial Statements.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2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4"/>
          <w:szCs w:val="14"/>
          <w:color w:val="auto"/>
        </w:rPr>
        <w:t>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-8890</wp:posOffset>
            </wp:positionH>
            <wp:positionV relativeFrom="paragraph">
              <wp:posOffset>55880</wp:posOffset>
            </wp:positionV>
            <wp:extent cx="7186930" cy="38735"/>
            <wp:wrapNone/>
            <wp:docPr id="80" name="Picture 8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0"/>
                    <pic:cNvPicPr>
                      <a:picLocks noChangeAspect="1" noChangeArrowheads="1"/>
                    </pic:cNvPicPr>
                  </pic:nvPicPr>
                  <pic:blipFill>
                    <a:blip r:embed="rId87">
                      <a:extLst>
                        <a:ext uri="{28A0092B-C50C-407E-A947-70E740481C1C}"/>
                      </a:extLst>
                    </a:blip>
                    <a:srcRect/>
                    <a:stretch>
                      <a:fillRect/>
                    </a:stretch>
                  </pic:blipFill>
                  <pic:spPr bwMode="auto">
                    <a:xfrm>
                      <a:off x="0" y="0"/>
                      <a:ext cx="7186930" cy="38735"/>
                    </a:xfrm>
                    <a:prstGeom prst="rect">
                      <a:avLst/>
                    </a:prstGeom>
                    <a:noFill/>
                  </pic:spPr>
                </pic:pic>
              </a:graphicData>
            </a:graphic>
          </wp:anchor>
        </w:drawing>
      </w:r>
    </w:p>
    <w:p>
      <w:pPr>
        <w:sectPr>
          <w:pgSz w:w="11900" w:h="16838" w:orient="portrait"/>
          <w:cols w:equalWidth="0" w:num="1">
            <w:col w:w="11280"/>
          </w:cols>
          <w:pgMar w:left="300" w:top="759" w:right="319" w:bottom="1440" w:gutter="0" w:footer="0" w:header="0"/>
        </w:sectPr>
      </w:pPr>
    </w:p>
    <w:bookmarkStart w:id="48" w:name="page49"/>
    <w:bookmarkEnd w:id="48"/>
    <w:p>
      <w:pPr>
        <w:jc w:val="center"/>
        <w:spacing w:after="0"/>
        <w:rPr>
          <w:sz w:val="20"/>
          <w:szCs w:val="20"/>
          <w:color w:val="auto"/>
        </w:rPr>
      </w:pPr>
      <w:r>
        <w:rPr>
          <w:rFonts w:ascii="Times New Roman" w:cs="Times New Roman" w:eastAsia="Times New Roman" w:hAnsi="Times New Roman"/>
          <w:sz w:val="13"/>
          <w:szCs w:val="13"/>
          <w:b w:val="1"/>
          <w:bCs w:val="1"/>
          <w:color w:val="auto"/>
        </w:rPr>
        <w:t>WESTWOOD HOLDINGS GROUP, INC.</w:t>
      </w:r>
    </w:p>
    <w:p>
      <w:pPr>
        <w:spacing w:after="0" w:line="84"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3"/>
          <w:szCs w:val="13"/>
          <w:b w:val="1"/>
          <w:bCs w:val="1"/>
          <w:color w:val="auto"/>
        </w:rPr>
        <w:t>CONSOLIDATED STATEMENTS OF CASH FLOWS</w:t>
      </w:r>
    </w:p>
    <w:p>
      <w:pPr>
        <w:spacing w:after="0" w:line="1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1"/>
          <w:szCs w:val="11"/>
          <w:b w:val="1"/>
          <w:bCs w:val="1"/>
          <w:color w:val="auto"/>
        </w:rPr>
        <w:t>(in thousands)</w:t>
      </w:r>
    </w:p>
    <w:p>
      <w:pPr>
        <w:spacing w:after="0" w:line="157" w:lineRule="exact"/>
        <w:rPr>
          <w:sz w:val="20"/>
          <w:szCs w:val="20"/>
          <w:color w:val="auto"/>
        </w:rPr>
      </w:pPr>
    </w:p>
    <w:tbl>
      <w:tblPr>
        <w:tblLayout w:type="fixed"/>
        <w:tblInd w:w="0" w:type="dxa"/>
        <w:tblCellMar>
          <w:top w:w="0" w:type="dxa"/>
          <w:left w:w="0" w:type="dxa"/>
          <w:bottom w:w="0" w:type="dxa"/>
          <w:right w:w="0" w:type="dxa"/>
        </w:tblCellMar>
      </w:tblPr>
      <w:tr>
        <w:trPr>
          <w:trHeight w:val="158"/>
        </w:trPr>
        <w:tc>
          <w:tcPr>
            <w:tcW w:w="7680" w:type="dxa"/>
            <w:vAlign w:val="bottom"/>
          </w:tcPr>
          <w:p>
            <w:pPr>
              <w:spacing w:after="0"/>
              <w:rPr>
                <w:sz w:val="13"/>
                <w:szCs w:val="13"/>
                <w:color w:val="auto"/>
              </w:rPr>
            </w:pPr>
          </w:p>
        </w:tc>
        <w:tc>
          <w:tcPr>
            <w:tcW w:w="740" w:type="dxa"/>
            <w:vAlign w:val="bottom"/>
            <w:tcBorders>
              <w:bottom w:val="single" w:sz="8" w:color="auto"/>
            </w:tcBorders>
          </w:tcPr>
          <w:p>
            <w:pPr>
              <w:spacing w:after="0"/>
              <w:rPr>
                <w:sz w:val="13"/>
                <w:szCs w:val="13"/>
                <w:color w:val="auto"/>
              </w:rPr>
            </w:pPr>
          </w:p>
        </w:tc>
        <w:tc>
          <w:tcPr>
            <w:tcW w:w="400" w:type="dxa"/>
            <w:vAlign w:val="bottom"/>
            <w:tcBorders>
              <w:bottom w:val="single" w:sz="8" w:color="auto"/>
            </w:tcBorders>
          </w:tcPr>
          <w:p>
            <w:pPr>
              <w:spacing w:after="0"/>
              <w:rPr>
                <w:sz w:val="13"/>
                <w:szCs w:val="13"/>
                <w:color w:val="auto"/>
              </w:rPr>
            </w:pPr>
          </w:p>
        </w:tc>
        <w:tc>
          <w:tcPr>
            <w:tcW w:w="1320" w:type="dxa"/>
            <w:vAlign w:val="bottom"/>
            <w:tcBorders>
              <w:bottom w:val="single" w:sz="8" w:color="auto"/>
            </w:tcBorders>
            <w:gridSpan w:val="4"/>
          </w:tcPr>
          <w:p>
            <w:pPr>
              <w:ind w:left="20"/>
              <w:spacing w:after="0"/>
              <w:rPr>
                <w:sz w:val="20"/>
                <w:szCs w:val="20"/>
                <w:color w:val="auto"/>
              </w:rPr>
            </w:pPr>
            <w:r>
              <w:rPr>
                <w:rFonts w:ascii="Times New Roman" w:cs="Times New Roman" w:eastAsia="Times New Roman" w:hAnsi="Times New Roman"/>
                <w:sz w:val="11"/>
                <w:szCs w:val="11"/>
                <w:b w:val="1"/>
                <w:bCs w:val="1"/>
                <w:color w:val="auto"/>
              </w:rPr>
              <w:t>Years ended December 31,</w:t>
            </w:r>
          </w:p>
        </w:tc>
        <w:tc>
          <w:tcPr>
            <w:tcW w:w="280" w:type="dxa"/>
            <w:vAlign w:val="bottom"/>
            <w:tcBorders>
              <w:bottom w:val="single" w:sz="8" w:color="auto"/>
            </w:tcBorders>
          </w:tcPr>
          <w:p>
            <w:pPr>
              <w:spacing w:after="0"/>
              <w:rPr>
                <w:sz w:val="13"/>
                <w:szCs w:val="13"/>
                <w:color w:val="auto"/>
              </w:rPr>
            </w:pPr>
          </w:p>
        </w:tc>
        <w:tc>
          <w:tcPr>
            <w:tcW w:w="860" w:type="dxa"/>
            <w:vAlign w:val="bottom"/>
            <w:tcBorders>
              <w:bottom w:val="single" w:sz="8" w:color="auto"/>
            </w:tcBorders>
          </w:tcPr>
          <w:p>
            <w:pPr>
              <w:spacing w:after="0"/>
              <w:rPr>
                <w:sz w:val="13"/>
                <w:szCs w:val="13"/>
                <w:color w:val="auto"/>
              </w:rPr>
            </w:pPr>
          </w:p>
        </w:tc>
        <w:tc>
          <w:tcPr>
            <w:tcW w:w="0" w:type="dxa"/>
            <w:vAlign w:val="bottom"/>
          </w:tcPr>
          <w:p>
            <w:pPr>
              <w:spacing w:after="0"/>
              <w:rPr>
                <w:sz w:val="1"/>
                <w:szCs w:val="1"/>
                <w:color w:val="auto"/>
              </w:rPr>
            </w:pPr>
          </w:p>
        </w:tc>
      </w:tr>
      <w:tr>
        <w:trPr>
          <w:trHeight w:val="154"/>
        </w:trPr>
        <w:tc>
          <w:tcPr>
            <w:tcW w:w="7680" w:type="dxa"/>
            <w:vAlign w:val="bottom"/>
            <w:tcBorders>
              <w:bottom w:val="single" w:sz="8" w:color="CCEEFF"/>
            </w:tcBorders>
          </w:tcPr>
          <w:p>
            <w:pPr>
              <w:spacing w:after="0"/>
              <w:rPr>
                <w:sz w:val="13"/>
                <w:szCs w:val="13"/>
                <w:color w:val="auto"/>
              </w:rPr>
            </w:pPr>
          </w:p>
        </w:tc>
        <w:tc>
          <w:tcPr>
            <w:tcW w:w="740" w:type="dxa"/>
            <w:vAlign w:val="bottom"/>
            <w:tcBorders>
              <w:bottom w:val="single" w:sz="8" w:color="auto"/>
            </w:tcBorders>
          </w:tcPr>
          <w:p>
            <w:pPr>
              <w:jc w:val="right"/>
              <w:ind w:right="3"/>
              <w:spacing w:after="0"/>
              <w:rPr>
                <w:sz w:val="20"/>
                <w:szCs w:val="20"/>
                <w:color w:val="auto"/>
              </w:rPr>
            </w:pPr>
            <w:r>
              <w:rPr>
                <w:rFonts w:ascii="Times New Roman" w:cs="Times New Roman" w:eastAsia="Times New Roman" w:hAnsi="Times New Roman"/>
                <w:sz w:val="11"/>
                <w:szCs w:val="11"/>
                <w:b w:val="1"/>
                <w:bCs w:val="1"/>
                <w:color w:val="auto"/>
              </w:rPr>
              <w:t>2025</w:t>
            </w:r>
          </w:p>
        </w:tc>
        <w:tc>
          <w:tcPr>
            <w:tcW w:w="400" w:type="dxa"/>
            <w:vAlign w:val="bottom"/>
            <w:tcBorders>
              <w:bottom w:val="single" w:sz="8" w:color="auto"/>
            </w:tcBorders>
          </w:tcPr>
          <w:p>
            <w:pPr>
              <w:spacing w:after="0"/>
              <w:rPr>
                <w:sz w:val="13"/>
                <w:szCs w:val="13"/>
                <w:color w:val="auto"/>
              </w:rPr>
            </w:pPr>
          </w:p>
        </w:tc>
        <w:tc>
          <w:tcPr>
            <w:tcW w:w="100" w:type="dxa"/>
            <w:vAlign w:val="bottom"/>
            <w:tcBorders>
              <w:bottom w:val="single" w:sz="8" w:color="CCEEFF"/>
            </w:tcBorders>
          </w:tcPr>
          <w:p>
            <w:pPr>
              <w:spacing w:after="0"/>
              <w:rPr>
                <w:sz w:val="13"/>
                <w:szCs w:val="13"/>
                <w:color w:val="auto"/>
              </w:rPr>
            </w:pPr>
          </w:p>
        </w:tc>
        <w:tc>
          <w:tcPr>
            <w:tcW w:w="260" w:type="dxa"/>
            <w:vAlign w:val="bottom"/>
            <w:tcBorders>
              <w:bottom w:val="single" w:sz="8" w:color="auto"/>
            </w:tcBorders>
          </w:tcPr>
          <w:p>
            <w:pPr>
              <w:spacing w:after="0"/>
              <w:rPr>
                <w:sz w:val="13"/>
                <w:szCs w:val="13"/>
                <w:color w:val="auto"/>
              </w:rPr>
            </w:pPr>
          </w:p>
        </w:tc>
        <w:tc>
          <w:tcPr>
            <w:tcW w:w="880" w:type="dxa"/>
            <w:vAlign w:val="bottom"/>
            <w:tcBorders>
              <w:bottom w:val="single" w:sz="8" w:color="auto"/>
            </w:tcBorders>
          </w:tcPr>
          <w:p>
            <w:pPr>
              <w:jc w:val="right"/>
              <w:ind w:right="403"/>
              <w:spacing w:after="0"/>
              <w:rPr>
                <w:sz w:val="20"/>
                <w:szCs w:val="20"/>
                <w:color w:val="auto"/>
              </w:rPr>
            </w:pPr>
            <w:r>
              <w:rPr>
                <w:rFonts w:ascii="Times New Roman" w:cs="Times New Roman" w:eastAsia="Times New Roman" w:hAnsi="Times New Roman"/>
                <w:sz w:val="11"/>
                <w:szCs w:val="11"/>
                <w:b w:val="1"/>
                <w:bCs w:val="1"/>
                <w:color w:val="auto"/>
              </w:rPr>
              <w:t>2024</w:t>
            </w:r>
          </w:p>
        </w:tc>
        <w:tc>
          <w:tcPr>
            <w:tcW w:w="80" w:type="dxa"/>
            <w:vAlign w:val="bottom"/>
            <w:tcBorders>
              <w:bottom w:val="single" w:sz="8" w:color="CCEEFF"/>
            </w:tcBorders>
          </w:tcPr>
          <w:p>
            <w:pPr>
              <w:spacing w:after="0"/>
              <w:rPr>
                <w:sz w:val="13"/>
                <w:szCs w:val="13"/>
                <w:color w:val="auto"/>
              </w:rPr>
            </w:pPr>
          </w:p>
        </w:tc>
        <w:tc>
          <w:tcPr>
            <w:tcW w:w="280" w:type="dxa"/>
            <w:vAlign w:val="bottom"/>
            <w:tcBorders>
              <w:bottom w:val="single" w:sz="8" w:color="auto"/>
            </w:tcBorders>
          </w:tcPr>
          <w:p>
            <w:pPr>
              <w:spacing w:after="0"/>
              <w:rPr>
                <w:sz w:val="13"/>
                <w:szCs w:val="13"/>
                <w:color w:val="auto"/>
              </w:rPr>
            </w:pPr>
          </w:p>
        </w:tc>
        <w:tc>
          <w:tcPr>
            <w:tcW w:w="860" w:type="dxa"/>
            <w:vAlign w:val="bottom"/>
            <w:tcBorders>
              <w:bottom w:val="single" w:sz="8" w:color="auto"/>
            </w:tcBorders>
          </w:tcPr>
          <w:p>
            <w:pPr>
              <w:jc w:val="right"/>
              <w:ind w:right="403"/>
              <w:spacing w:after="0"/>
              <w:rPr>
                <w:sz w:val="20"/>
                <w:szCs w:val="20"/>
                <w:color w:val="auto"/>
              </w:rPr>
            </w:pPr>
            <w:r>
              <w:rPr>
                <w:rFonts w:ascii="Times New Roman" w:cs="Times New Roman" w:eastAsia="Times New Roman" w:hAnsi="Times New Roman"/>
                <w:sz w:val="11"/>
                <w:szCs w:val="11"/>
                <w:b w:val="1"/>
                <w:bCs w:val="1"/>
                <w:color w:val="auto"/>
              </w:rPr>
              <w:t>2023</w:t>
            </w:r>
          </w:p>
        </w:tc>
        <w:tc>
          <w:tcPr>
            <w:tcW w:w="0" w:type="dxa"/>
            <w:vAlign w:val="bottom"/>
          </w:tcPr>
          <w:p>
            <w:pPr>
              <w:spacing w:after="0"/>
              <w:rPr>
                <w:sz w:val="1"/>
                <w:szCs w:val="1"/>
                <w:color w:val="auto"/>
              </w:rPr>
            </w:pPr>
          </w:p>
        </w:tc>
      </w:tr>
      <w:tr>
        <w:trPr>
          <w:trHeight w:val="135"/>
        </w:trPr>
        <w:tc>
          <w:tcPr>
            <w:tcW w:w="768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1"/>
                <w:szCs w:val="11"/>
                <w:b w:val="1"/>
                <w:bCs w:val="1"/>
                <w:color w:val="auto"/>
              </w:rPr>
              <w:t>Cash flows from operating activities:</w:t>
            </w:r>
          </w:p>
        </w:tc>
        <w:tc>
          <w:tcPr>
            <w:tcW w:w="740" w:type="dxa"/>
            <w:vAlign w:val="bottom"/>
            <w:tcBorders>
              <w:bottom w:val="single" w:sz="8" w:color="CCEEFF"/>
            </w:tcBorders>
            <w:shd w:val="clear" w:color="auto" w:fill="CCEEFF"/>
          </w:tcPr>
          <w:p>
            <w:pPr>
              <w:spacing w:after="0"/>
              <w:rPr>
                <w:sz w:val="11"/>
                <w:szCs w:val="11"/>
                <w:color w:val="auto"/>
              </w:rPr>
            </w:pPr>
          </w:p>
        </w:tc>
        <w:tc>
          <w:tcPr>
            <w:tcW w:w="400" w:type="dxa"/>
            <w:vAlign w:val="bottom"/>
            <w:tcBorders>
              <w:bottom w:val="single" w:sz="8" w:color="CCEEFF"/>
            </w:tcBorders>
            <w:shd w:val="clear" w:color="auto" w:fill="CCEEFF"/>
          </w:tcPr>
          <w:p>
            <w:pPr>
              <w:spacing w:after="0"/>
              <w:rPr>
                <w:sz w:val="11"/>
                <w:szCs w:val="11"/>
                <w:color w:val="auto"/>
              </w:rPr>
            </w:pPr>
          </w:p>
        </w:tc>
        <w:tc>
          <w:tcPr>
            <w:tcW w:w="100" w:type="dxa"/>
            <w:vAlign w:val="bottom"/>
            <w:tcBorders>
              <w:bottom w:val="single" w:sz="8" w:color="CCEEFF"/>
            </w:tcBorders>
            <w:shd w:val="clear" w:color="auto" w:fill="CCEEFF"/>
          </w:tcPr>
          <w:p>
            <w:pPr>
              <w:spacing w:after="0"/>
              <w:rPr>
                <w:sz w:val="11"/>
                <w:szCs w:val="11"/>
                <w:color w:val="auto"/>
              </w:rPr>
            </w:pPr>
          </w:p>
        </w:tc>
        <w:tc>
          <w:tcPr>
            <w:tcW w:w="260" w:type="dxa"/>
            <w:vAlign w:val="bottom"/>
            <w:tcBorders>
              <w:bottom w:val="single" w:sz="8" w:color="CCEEFF"/>
            </w:tcBorders>
            <w:shd w:val="clear" w:color="auto" w:fill="CCEEFF"/>
          </w:tcPr>
          <w:p>
            <w:pPr>
              <w:spacing w:after="0"/>
              <w:rPr>
                <w:sz w:val="11"/>
                <w:szCs w:val="11"/>
                <w:color w:val="auto"/>
              </w:rPr>
            </w:pPr>
          </w:p>
        </w:tc>
        <w:tc>
          <w:tcPr>
            <w:tcW w:w="880" w:type="dxa"/>
            <w:vAlign w:val="bottom"/>
            <w:tcBorders>
              <w:bottom w:val="single" w:sz="8" w:color="CCEEFF"/>
            </w:tcBorders>
            <w:shd w:val="clear" w:color="auto" w:fill="CCEEFF"/>
          </w:tcPr>
          <w:p>
            <w:pPr>
              <w:spacing w:after="0"/>
              <w:rPr>
                <w:sz w:val="11"/>
                <w:szCs w:val="11"/>
                <w:color w:val="auto"/>
              </w:rPr>
            </w:pPr>
          </w:p>
        </w:tc>
        <w:tc>
          <w:tcPr>
            <w:tcW w:w="80" w:type="dxa"/>
            <w:vAlign w:val="bottom"/>
            <w:tcBorders>
              <w:bottom w:val="single" w:sz="8" w:color="CCEEFF"/>
            </w:tcBorders>
            <w:shd w:val="clear" w:color="auto" w:fill="CCEEFF"/>
          </w:tcPr>
          <w:p>
            <w:pPr>
              <w:spacing w:after="0"/>
              <w:rPr>
                <w:sz w:val="11"/>
                <w:szCs w:val="11"/>
                <w:color w:val="auto"/>
              </w:rPr>
            </w:pPr>
          </w:p>
        </w:tc>
        <w:tc>
          <w:tcPr>
            <w:tcW w:w="280" w:type="dxa"/>
            <w:vAlign w:val="bottom"/>
            <w:tcBorders>
              <w:bottom w:val="single" w:sz="8" w:color="CCEEFF"/>
            </w:tcBorders>
            <w:shd w:val="clear" w:color="auto" w:fill="CCEEFF"/>
          </w:tcPr>
          <w:p>
            <w:pPr>
              <w:spacing w:after="0"/>
              <w:rPr>
                <w:sz w:val="11"/>
                <w:szCs w:val="11"/>
                <w:color w:val="auto"/>
              </w:rPr>
            </w:pPr>
          </w:p>
        </w:tc>
        <w:tc>
          <w:tcPr>
            <w:tcW w:w="860" w:type="dxa"/>
            <w:vAlign w:val="bottom"/>
            <w:tcBorders>
              <w:bottom w:val="single" w:sz="8" w:color="CCEEFF"/>
            </w:tcBorders>
            <w:shd w:val="clear" w:color="auto" w:fill="CCEEFF"/>
          </w:tcPr>
          <w:p>
            <w:pPr>
              <w:spacing w:after="0"/>
              <w:rPr>
                <w:sz w:val="11"/>
                <w:szCs w:val="11"/>
                <w:color w:val="auto"/>
              </w:rPr>
            </w:pPr>
          </w:p>
        </w:tc>
        <w:tc>
          <w:tcPr>
            <w:tcW w:w="0" w:type="dxa"/>
            <w:vAlign w:val="bottom"/>
          </w:tcPr>
          <w:p>
            <w:pPr>
              <w:spacing w:after="0"/>
              <w:rPr>
                <w:sz w:val="1"/>
                <w:szCs w:val="1"/>
                <w:color w:val="auto"/>
              </w:rPr>
            </w:pPr>
          </w:p>
        </w:tc>
      </w:tr>
      <w:tr>
        <w:trPr>
          <w:trHeight w:val="153"/>
        </w:trPr>
        <w:tc>
          <w:tcPr>
            <w:tcW w:w="7680" w:type="dxa"/>
            <w:vAlign w:val="bottom"/>
          </w:tcPr>
          <w:p>
            <w:pPr>
              <w:ind w:left="280"/>
              <w:spacing w:after="0"/>
              <w:rPr>
                <w:sz w:val="20"/>
                <w:szCs w:val="20"/>
                <w:color w:val="auto"/>
              </w:rPr>
            </w:pPr>
            <w:r>
              <w:rPr>
                <w:rFonts w:ascii="Times New Roman" w:cs="Times New Roman" w:eastAsia="Times New Roman" w:hAnsi="Times New Roman"/>
                <w:sz w:val="11"/>
                <w:szCs w:val="11"/>
                <w:color w:val="auto"/>
              </w:rPr>
              <w:t>Net income</w:t>
            </w:r>
          </w:p>
        </w:tc>
        <w:tc>
          <w:tcPr>
            <w:tcW w:w="740" w:type="dxa"/>
            <w:vAlign w:val="bottom"/>
          </w:tcPr>
          <w:p>
            <w:pPr>
              <w:jc w:val="right"/>
              <w:ind w:right="603"/>
              <w:spacing w:after="0"/>
              <w:rPr>
                <w:sz w:val="20"/>
                <w:szCs w:val="20"/>
                <w:color w:val="auto"/>
              </w:rPr>
            </w:pPr>
            <w:r>
              <w:rPr>
                <w:rFonts w:ascii="Times New Roman" w:cs="Times New Roman" w:eastAsia="Times New Roman" w:hAnsi="Times New Roman"/>
                <w:sz w:val="11"/>
                <w:szCs w:val="11"/>
                <w:color w:val="auto"/>
              </w:rPr>
              <w:t>$</w:t>
            </w:r>
          </w:p>
        </w:tc>
        <w:tc>
          <w:tcPr>
            <w:tcW w:w="400" w:type="dxa"/>
            <w:vAlign w:val="bottom"/>
          </w:tcPr>
          <w:p>
            <w:pPr>
              <w:jc w:val="right"/>
              <w:spacing w:after="0"/>
              <w:rPr>
                <w:sz w:val="20"/>
                <w:szCs w:val="20"/>
                <w:color w:val="auto"/>
              </w:rPr>
            </w:pPr>
            <w:r>
              <w:rPr>
                <w:rFonts w:ascii="Times New Roman" w:cs="Times New Roman" w:eastAsia="Times New Roman" w:hAnsi="Times New Roman"/>
                <w:sz w:val="11"/>
                <w:szCs w:val="11"/>
                <w:color w:val="auto"/>
              </w:rPr>
              <w:t>7,077</w:t>
            </w:r>
          </w:p>
        </w:tc>
        <w:tc>
          <w:tcPr>
            <w:tcW w:w="360" w:type="dxa"/>
            <w:vAlign w:val="bottom"/>
            <w:gridSpan w:val="2"/>
          </w:tcPr>
          <w:p>
            <w:pPr>
              <w:jc w:val="right"/>
              <w:ind w:right="143"/>
              <w:spacing w:after="0"/>
              <w:rPr>
                <w:sz w:val="20"/>
                <w:szCs w:val="20"/>
                <w:color w:val="auto"/>
              </w:rPr>
            </w:pPr>
            <w:r>
              <w:rPr>
                <w:rFonts w:ascii="Times New Roman" w:cs="Times New Roman" w:eastAsia="Times New Roman" w:hAnsi="Times New Roman"/>
                <w:sz w:val="11"/>
                <w:szCs w:val="11"/>
                <w:color w:val="auto"/>
              </w:rPr>
              <w:t>$</w:t>
            </w:r>
          </w:p>
        </w:tc>
        <w:tc>
          <w:tcPr>
            <w:tcW w:w="880" w:type="dxa"/>
            <w:vAlign w:val="bottom"/>
          </w:tcPr>
          <w:p>
            <w:pPr>
              <w:jc w:val="right"/>
              <w:ind w:right="3"/>
              <w:spacing w:after="0"/>
              <w:rPr>
                <w:sz w:val="20"/>
                <w:szCs w:val="20"/>
                <w:color w:val="auto"/>
              </w:rPr>
            </w:pPr>
            <w:r>
              <w:rPr>
                <w:rFonts w:ascii="Times New Roman" w:cs="Times New Roman" w:eastAsia="Times New Roman" w:hAnsi="Times New Roman"/>
                <w:sz w:val="11"/>
                <w:szCs w:val="11"/>
                <w:color w:val="auto"/>
              </w:rPr>
              <w:t>2,211</w:t>
            </w:r>
          </w:p>
        </w:tc>
        <w:tc>
          <w:tcPr>
            <w:tcW w:w="80" w:type="dxa"/>
            <w:vAlign w:val="bottom"/>
          </w:tcPr>
          <w:p>
            <w:pPr>
              <w:spacing w:after="0"/>
              <w:rPr>
                <w:sz w:val="13"/>
                <w:szCs w:val="13"/>
                <w:color w:val="auto"/>
              </w:rPr>
            </w:pPr>
          </w:p>
        </w:tc>
        <w:tc>
          <w:tcPr>
            <w:tcW w:w="280" w:type="dxa"/>
            <w:vAlign w:val="bottom"/>
          </w:tcPr>
          <w:p>
            <w:pPr>
              <w:jc w:val="right"/>
              <w:ind w:right="143"/>
              <w:spacing w:after="0"/>
              <w:rPr>
                <w:sz w:val="20"/>
                <w:szCs w:val="20"/>
                <w:color w:val="auto"/>
              </w:rPr>
            </w:pPr>
            <w:r>
              <w:rPr>
                <w:rFonts w:ascii="Times New Roman" w:cs="Times New Roman" w:eastAsia="Times New Roman" w:hAnsi="Times New Roman"/>
                <w:sz w:val="11"/>
                <w:szCs w:val="11"/>
                <w:color w:val="auto"/>
              </w:rPr>
              <w:t>$</w:t>
            </w:r>
          </w:p>
        </w:tc>
        <w:tc>
          <w:tcPr>
            <w:tcW w:w="860" w:type="dxa"/>
            <w:vAlign w:val="bottom"/>
          </w:tcPr>
          <w:p>
            <w:pPr>
              <w:jc w:val="right"/>
              <w:spacing w:after="0"/>
              <w:rPr>
                <w:sz w:val="20"/>
                <w:szCs w:val="20"/>
                <w:color w:val="auto"/>
              </w:rPr>
            </w:pPr>
            <w:r>
              <w:rPr>
                <w:rFonts w:ascii="Times New Roman" w:cs="Times New Roman" w:eastAsia="Times New Roman" w:hAnsi="Times New Roman"/>
                <w:sz w:val="11"/>
                <w:szCs w:val="11"/>
                <w:color w:val="auto"/>
              </w:rPr>
              <w:t>10,571</w:t>
            </w:r>
          </w:p>
        </w:tc>
        <w:tc>
          <w:tcPr>
            <w:tcW w:w="0" w:type="dxa"/>
            <w:vAlign w:val="bottom"/>
          </w:tcPr>
          <w:p>
            <w:pPr>
              <w:spacing w:after="0"/>
              <w:rPr>
                <w:sz w:val="1"/>
                <w:szCs w:val="1"/>
                <w:color w:val="auto"/>
              </w:rPr>
            </w:pPr>
          </w:p>
        </w:tc>
      </w:tr>
      <w:tr>
        <w:trPr>
          <w:trHeight w:val="165"/>
        </w:trPr>
        <w:tc>
          <w:tcPr>
            <w:tcW w:w="7680" w:type="dxa"/>
            <w:vAlign w:val="bottom"/>
            <w:shd w:val="clear" w:color="auto" w:fill="CCEEFF"/>
          </w:tcPr>
          <w:p>
            <w:pPr>
              <w:ind w:left="280"/>
              <w:spacing w:after="0"/>
              <w:rPr>
                <w:sz w:val="20"/>
                <w:szCs w:val="20"/>
                <w:color w:val="auto"/>
              </w:rPr>
            </w:pPr>
            <w:r>
              <w:rPr>
                <w:rFonts w:ascii="Times New Roman" w:cs="Times New Roman" w:eastAsia="Times New Roman" w:hAnsi="Times New Roman"/>
                <w:sz w:val="11"/>
                <w:szCs w:val="11"/>
                <w:color w:val="auto"/>
              </w:rPr>
              <w:t>Adjustments to reconcile net income to net cash provided by (used in) operating activities:</w:t>
            </w:r>
          </w:p>
        </w:tc>
        <w:tc>
          <w:tcPr>
            <w:tcW w:w="740" w:type="dxa"/>
            <w:vAlign w:val="bottom"/>
            <w:shd w:val="clear" w:color="auto" w:fill="CCEEFF"/>
          </w:tcPr>
          <w:p>
            <w:pPr>
              <w:spacing w:after="0"/>
              <w:rPr>
                <w:sz w:val="14"/>
                <w:szCs w:val="14"/>
                <w:color w:val="auto"/>
              </w:rPr>
            </w:pPr>
          </w:p>
        </w:tc>
        <w:tc>
          <w:tcPr>
            <w:tcW w:w="40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260" w:type="dxa"/>
            <w:vAlign w:val="bottom"/>
            <w:shd w:val="clear" w:color="auto" w:fill="CCEEFF"/>
          </w:tcPr>
          <w:p>
            <w:pPr>
              <w:spacing w:after="0"/>
              <w:rPr>
                <w:sz w:val="14"/>
                <w:szCs w:val="14"/>
                <w:color w:val="auto"/>
              </w:rPr>
            </w:pPr>
          </w:p>
        </w:tc>
        <w:tc>
          <w:tcPr>
            <w:tcW w:w="880" w:type="dxa"/>
            <w:vAlign w:val="bottom"/>
            <w:shd w:val="clear" w:color="auto" w:fill="CCEEFF"/>
          </w:tcPr>
          <w:p>
            <w:pPr>
              <w:spacing w:after="0"/>
              <w:rPr>
                <w:sz w:val="14"/>
                <w:szCs w:val="14"/>
                <w:color w:val="auto"/>
              </w:rPr>
            </w:pPr>
          </w:p>
        </w:tc>
        <w:tc>
          <w:tcPr>
            <w:tcW w:w="80" w:type="dxa"/>
            <w:vAlign w:val="bottom"/>
            <w:shd w:val="clear" w:color="auto" w:fill="CCEEFF"/>
          </w:tcPr>
          <w:p>
            <w:pPr>
              <w:spacing w:after="0"/>
              <w:rPr>
                <w:sz w:val="14"/>
                <w:szCs w:val="14"/>
                <w:color w:val="auto"/>
              </w:rPr>
            </w:pPr>
          </w:p>
        </w:tc>
        <w:tc>
          <w:tcPr>
            <w:tcW w:w="280" w:type="dxa"/>
            <w:vAlign w:val="bottom"/>
            <w:shd w:val="clear" w:color="auto" w:fill="CCEEFF"/>
          </w:tcPr>
          <w:p>
            <w:pPr>
              <w:spacing w:after="0"/>
              <w:rPr>
                <w:sz w:val="14"/>
                <w:szCs w:val="14"/>
                <w:color w:val="auto"/>
              </w:rPr>
            </w:pPr>
          </w:p>
        </w:tc>
        <w:tc>
          <w:tcPr>
            <w:tcW w:w="860" w:type="dxa"/>
            <w:vAlign w:val="bottom"/>
            <w:shd w:val="clear" w:color="auto" w:fill="CCEEFF"/>
          </w:tcPr>
          <w:p>
            <w:pPr>
              <w:spacing w:after="0"/>
              <w:rPr>
                <w:sz w:val="14"/>
                <w:szCs w:val="14"/>
                <w:color w:val="auto"/>
              </w:rPr>
            </w:pPr>
          </w:p>
        </w:tc>
        <w:tc>
          <w:tcPr>
            <w:tcW w:w="0" w:type="dxa"/>
            <w:vAlign w:val="bottom"/>
          </w:tcPr>
          <w:p>
            <w:pPr>
              <w:spacing w:after="0"/>
              <w:rPr>
                <w:sz w:val="1"/>
                <w:szCs w:val="1"/>
                <w:color w:val="auto"/>
              </w:rPr>
            </w:pPr>
          </w:p>
        </w:tc>
      </w:tr>
      <w:tr>
        <w:trPr>
          <w:trHeight w:val="153"/>
        </w:trPr>
        <w:tc>
          <w:tcPr>
            <w:tcW w:w="7680" w:type="dxa"/>
            <w:vAlign w:val="bottom"/>
          </w:tcPr>
          <w:p>
            <w:pPr>
              <w:ind w:left="520"/>
              <w:spacing w:after="0"/>
              <w:rPr>
                <w:sz w:val="20"/>
                <w:szCs w:val="20"/>
                <w:color w:val="auto"/>
              </w:rPr>
            </w:pPr>
            <w:r>
              <w:rPr>
                <w:rFonts w:ascii="Times New Roman" w:cs="Times New Roman" w:eastAsia="Times New Roman" w:hAnsi="Times New Roman"/>
                <w:sz w:val="11"/>
                <w:szCs w:val="11"/>
                <w:color w:val="auto"/>
              </w:rPr>
              <w:t>Depreciation</w:t>
            </w:r>
          </w:p>
        </w:tc>
        <w:tc>
          <w:tcPr>
            <w:tcW w:w="740" w:type="dxa"/>
            <w:vAlign w:val="bottom"/>
          </w:tcPr>
          <w:p>
            <w:pPr>
              <w:spacing w:after="0"/>
              <w:rPr>
                <w:sz w:val="13"/>
                <w:szCs w:val="13"/>
                <w:color w:val="auto"/>
              </w:rPr>
            </w:pPr>
          </w:p>
        </w:tc>
        <w:tc>
          <w:tcPr>
            <w:tcW w:w="400" w:type="dxa"/>
            <w:vAlign w:val="bottom"/>
          </w:tcPr>
          <w:p>
            <w:pPr>
              <w:jc w:val="right"/>
              <w:spacing w:after="0"/>
              <w:rPr>
                <w:sz w:val="20"/>
                <w:szCs w:val="20"/>
                <w:color w:val="auto"/>
              </w:rPr>
            </w:pPr>
            <w:r>
              <w:rPr>
                <w:rFonts w:ascii="Times New Roman" w:cs="Times New Roman" w:eastAsia="Times New Roman" w:hAnsi="Times New Roman"/>
                <w:sz w:val="11"/>
                <w:szCs w:val="11"/>
                <w:color w:val="auto"/>
              </w:rPr>
              <w:t>501</w:t>
            </w:r>
          </w:p>
        </w:tc>
        <w:tc>
          <w:tcPr>
            <w:tcW w:w="100" w:type="dxa"/>
            <w:vAlign w:val="bottom"/>
          </w:tcPr>
          <w:p>
            <w:pPr>
              <w:spacing w:after="0"/>
              <w:rPr>
                <w:sz w:val="13"/>
                <w:szCs w:val="13"/>
                <w:color w:val="auto"/>
              </w:rPr>
            </w:pPr>
          </w:p>
        </w:tc>
        <w:tc>
          <w:tcPr>
            <w:tcW w:w="260" w:type="dxa"/>
            <w:vAlign w:val="bottom"/>
          </w:tcPr>
          <w:p>
            <w:pPr>
              <w:spacing w:after="0"/>
              <w:rPr>
                <w:sz w:val="13"/>
                <w:szCs w:val="13"/>
                <w:color w:val="auto"/>
              </w:rPr>
            </w:pPr>
          </w:p>
        </w:tc>
        <w:tc>
          <w:tcPr>
            <w:tcW w:w="880" w:type="dxa"/>
            <w:vAlign w:val="bottom"/>
          </w:tcPr>
          <w:p>
            <w:pPr>
              <w:jc w:val="right"/>
              <w:ind w:right="3"/>
              <w:spacing w:after="0"/>
              <w:rPr>
                <w:sz w:val="20"/>
                <w:szCs w:val="20"/>
                <w:color w:val="auto"/>
              </w:rPr>
            </w:pPr>
            <w:r>
              <w:rPr>
                <w:rFonts w:ascii="Times New Roman" w:cs="Times New Roman" w:eastAsia="Times New Roman" w:hAnsi="Times New Roman"/>
                <w:sz w:val="11"/>
                <w:szCs w:val="11"/>
                <w:color w:val="auto"/>
              </w:rPr>
              <w:t>602</w:t>
            </w:r>
          </w:p>
        </w:tc>
        <w:tc>
          <w:tcPr>
            <w:tcW w:w="80" w:type="dxa"/>
            <w:vAlign w:val="bottom"/>
          </w:tcPr>
          <w:p>
            <w:pPr>
              <w:spacing w:after="0"/>
              <w:rPr>
                <w:sz w:val="13"/>
                <w:szCs w:val="13"/>
                <w:color w:val="auto"/>
              </w:rPr>
            </w:pPr>
          </w:p>
        </w:tc>
        <w:tc>
          <w:tcPr>
            <w:tcW w:w="280" w:type="dxa"/>
            <w:vAlign w:val="bottom"/>
          </w:tcPr>
          <w:p>
            <w:pPr>
              <w:spacing w:after="0"/>
              <w:rPr>
                <w:sz w:val="13"/>
                <w:szCs w:val="13"/>
                <w:color w:val="auto"/>
              </w:rPr>
            </w:pPr>
          </w:p>
        </w:tc>
        <w:tc>
          <w:tcPr>
            <w:tcW w:w="860" w:type="dxa"/>
            <w:vAlign w:val="bottom"/>
          </w:tcPr>
          <w:p>
            <w:pPr>
              <w:jc w:val="right"/>
              <w:spacing w:after="0"/>
              <w:rPr>
                <w:sz w:val="20"/>
                <w:szCs w:val="20"/>
                <w:color w:val="auto"/>
              </w:rPr>
            </w:pPr>
            <w:r>
              <w:rPr>
                <w:rFonts w:ascii="Times New Roman" w:cs="Times New Roman" w:eastAsia="Times New Roman" w:hAnsi="Times New Roman"/>
                <w:sz w:val="11"/>
                <w:szCs w:val="11"/>
                <w:color w:val="auto"/>
              </w:rPr>
              <w:t>670</w:t>
            </w:r>
          </w:p>
        </w:tc>
        <w:tc>
          <w:tcPr>
            <w:tcW w:w="0" w:type="dxa"/>
            <w:vAlign w:val="bottom"/>
          </w:tcPr>
          <w:p>
            <w:pPr>
              <w:spacing w:after="0"/>
              <w:rPr>
                <w:sz w:val="1"/>
                <w:szCs w:val="1"/>
                <w:color w:val="auto"/>
              </w:rPr>
            </w:pPr>
          </w:p>
        </w:tc>
      </w:tr>
      <w:tr>
        <w:trPr>
          <w:trHeight w:val="165"/>
        </w:trPr>
        <w:tc>
          <w:tcPr>
            <w:tcW w:w="7680" w:type="dxa"/>
            <w:vAlign w:val="bottom"/>
            <w:shd w:val="clear" w:color="auto" w:fill="CCEEFF"/>
          </w:tcPr>
          <w:p>
            <w:pPr>
              <w:ind w:left="520"/>
              <w:spacing w:after="0"/>
              <w:rPr>
                <w:sz w:val="20"/>
                <w:szCs w:val="20"/>
                <w:color w:val="auto"/>
              </w:rPr>
            </w:pPr>
            <w:r>
              <w:rPr>
                <w:rFonts w:ascii="Times New Roman" w:cs="Times New Roman" w:eastAsia="Times New Roman" w:hAnsi="Times New Roman"/>
                <w:sz w:val="11"/>
                <w:szCs w:val="11"/>
                <w:color w:val="auto"/>
              </w:rPr>
              <w:t>Amortization of intangible assets</w:t>
            </w:r>
          </w:p>
        </w:tc>
        <w:tc>
          <w:tcPr>
            <w:tcW w:w="740" w:type="dxa"/>
            <w:vAlign w:val="bottom"/>
            <w:shd w:val="clear" w:color="auto" w:fill="CCEEFF"/>
          </w:tcPr>
          <w:p>
            <w:pPr>
              <w:spacing w:after="0"/>
              <w:rPr>
                <w:sz w:val="14"/>
                <w:szCs w:val="14"/>
                <w:color w:val="auto"/>
              </w:rPr>
            </w:pPr>
          </w:p>
        </w:tc>
        <w:tc>
          <w:tcPr>
            <w:tcW w:w="4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1"/>
                <w:szCs w:val="11"/>
                <w:color w:val="auto"/>
              </w:rPr>
              <w:t>3,945</w:t>
            </w:r>
          </w:p>
        </w:tc>
        <w:tc>
          <w:tcPr>
            <w:tcW w:w="100" w:type="dxa"/>
            <w:vAlign w:val="bottom"/>
            <w:shd w:val="clear" w:color="auto" w:fill="CCEEFF"/>
          </w:tcPr>
          <w:p>
            <w:pPr>
              <w:spacing w:after="0"/>
              <w:rPr>
                <w:sz w:val="14"/>
                <w:szCs w:val="14"/>
                <w:color w:val="auto"/>
              </w:rPr>
            </w:pPr>
          </w:p>
        </w:tc>
        <w:tc>
          <w:tcPr>
            <w:tcW w:w="260" w:type="dxa"/>
            <w:vAlign w:val="bottom"/>
            <w:shd w:val="clear" w:color="auto" w:fill="CCEEFF"/>
          </w:tcPr>
          <w:p>
            <w:pPr>
              <w:spacing w:after="0"/>
              <w:rPr>
                <w:sz w:val="14"/>
                <w:szCs w:val="14"/>
                <w:color w:val="auto"/>
              </w:rPr>
            </w:pPr>
          </w:p>
        </w:tc>
        <w:tc>
          <w:tcPr>
            <w:tcW w:w="880" w:type="dxa"/>
            <w:vAlign w:val="bottom"/>
            <w:shd w:val="clear" w:color="auto" w:fill="CCEEFF"/>
          </w:tcPr>
          <w:p>
            <w:pPr>
              <w:jc w:val="right"/>
              <w:ind w:right="3"/>
              <w:spacing w:after="0"/>
              <w:rPr>
                <w:sz w:val="20"/>
                <w:szCs w:val="20"/>
                <w:color w:val="auto"/>
              </w:rPr>
            </w:pPr>
            <w:r>
              <w:rPr>
                <w:rFonts w:ascii="Times New Roman" w:cs="Times New Roman" w:eastAsia="Times New Roman" w:hAnsi="Times New Roman"/>
                <w:sz w:val="11"/>
                <w:szCs w:val="11"/>
                <w:color w:val="auto"/>
              </w:rPr>
              <w:t>4,148</w:t>
            </w:r>
          </w:p>
        </w:tc>
        <w:tc>
          <w:tcPr>
            <w:tcW w:w="80" w:type="dxa"/>
            <w:vAlign w:val="bottom"/>
            <w:shd w:val="clear" w:color="auto" w:fill="CCEEFF"/>
          </w:tcPr>
          <w:p>
            <w:pPr>
              <w:spacing w:after="0"/>
              <w:rPr>
                <w:sz w:val="14"/>
                <w:szCs w:val="14"/>
                <w:color w:val="auto"/>
              </w:rPr>
            </w:pPr>
          </w:p>
        </w:tc>
        <w:tc>
          <w:tcPr>
            <w:tcW w:w="280" w:type="dxa"/>
            <w:vAlign w:val="bottom"/>
            <w:shd w:val="clear" w:color="auto" w:fill="CCEEFF"/>
          </w:tcPr>
          <w:p>
            <w:pPr>
              <w:spacing w:after="0"/>
              <w:rPr>
                <w:sz w:val="14"/>
                <w:szCs w:val="14"/>
                <w:color w:val="auto"/>
              </w:rPr>
            </w:pPr>
          </w:p>
        </w:tc>
        <w:tc>
          <w:tcPr>
            <w:tcW w:w="8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1"/>
                <w:szCs w:val="11"/>
                <w:color w:val="auto"/>
              </w:rPr>
              <w:t>4,149</w:t>
            </w:r>
          </w:p>
        </w:tc>
        <w:tc>
          <w:tcPr>
            <w:tcW w:w="0" w:type="dxa"/>
            <w:vAlign w:val="bottom"/>
          </w:tcPr>
          <w:p>
            <w:pPr>
              <w:spacing w:after="0"/>
              <w:rPr>
                <w:sz w:val="1"/>
                <w:szCs w:val="1"/>
                <w:color w:val="auto"/>
              </w:rPr>
            </w:pPr>
          </w:p>
        </w:tc>
      </w:tr>
      <w:tr>
        <w:trPr>
          <w:trHeight w:val="153"/>
        </w:trPr>
        <w:tc>
          <w:tcPr>
            <w:tcW w:w="7680" w:type="dxa"/>
            <w:vAlign w:val="bottom"/>
          </w:tcPr>
          <w:p>
            <w:pPr>
              <w:ind w:left="520"/>
              <w:spacing w:after="0"/>
              <w:rPr>
                <w:sz w:val="20"/>
                <w:szCs w:val="20"/>
                <w:color w:val="auto"/>
              </w:rPr>
            </w:pPr>
            <w:r>
              <w:rPr>
                <w:rFonts w:ascii="Times New Roman" w:cs="Times New Roman" w:eastAsia="Times New Roman" w:hAnsi="Times New Roman"/>
                <w:sz w:val="11"/>
                <w:szCs w:val="11"/>
                <w:color w:val="auto"/>
              </w:rPr>
              <w:t>Net change in unrealized appreciation on investments</w:t>
            </w:r>
          </w:p>
        </w:tc>
        <w:tc>
          <w:tcPr>
            <w:tcW w:w="740" w:type="dxa"/>
            <w:vAlign w:val="bottom"/>
          </w:tcPr>
          <w:p>
            <w:pPr>
              <w:spacing w:after="0"/>
              <w:rPr>
                <w:sz w:val="13"/>
                <w:szCs w:val="13"/>
                <w:color w:val="auto"/>
              </w:rPr>
            </w:pPr>
          </w:p>
        </w:tc>
        <w:tc>
          <w:tcPr>
            <w:tcW w:w="400" w:type="dxa"/>
            <w:vAlign w:val="bottom"/>
          </w:tcPr>
          <w:p>
            <w:pPr>
              <w:jc w:val="right"/>
              <w:spacing w:after="0"/>
              <w:rPr>
                <w:sz w:val="20"/>
                <w:szCs w:val="20"/>
                <w:color w:val="auto"/>
              </w:rPr>
            </w:pPr>
            <w:r>
              <w:rPr>
                <w:rFonts w:ascii="Times New Roman" w:cs="Times New Roman" w:eastAsia="Times New Roman" w:hAnsi="Times New Roman"/>
                <w:sz w:val="11"/>
                <w:szCs w:val="11"/>
                <w:color w:val="auto"/>
              </w:rPr>
              <w:t>(1,999)</w:t>
            </w:r>
          </w:p>
        </w:tc>
        <w:tc>
          <w:tcPr>
            <w:tcW w:w="100" w:type="dxa"/>
            <w:vAlign w:val="bottom"/>
          </w:tcPr>
          <w:p>
            <w:pPr>
              <w:spacing w:after="0"/>
              <w:rPr>
                <w:sz w:val="13"/>
                <w:szCs w:val="13"/>
                <w:color w:val="auto"/>
              </w:rPr>
            </w:pPr>
          </w:p>
        </w:tc>
        <w:tc>
          <w:tcPr>
            <w:tcW w:w="260" w:type="dxa"/>
            <w:vAlign w:val="bottom"/>
          </w:tcPr>
          <w:p>
            <w:pPr>
              <w:spacing w:after="0"/>
              <w:rPr>
                <w:sz w:val="13"/>
                <w:szCs w:val="13"/>
                <w:color w:val="auto"/>
              </w:rPr>
            </w:pPr>
          </w:p>
        </w:tc>
        <w:tc>
          <w:tcPr>
            <w:tcW w:w="880" w:type="dxa"/>
            <w:vAlign w:val="bottom"/>
          </w:tcPr>
          <w:p>
            <w:pPr>
              <w:jc w:val="right"/>
              <w:spacing w:after="0"/>
              <w:rPr>
                <w:sz w:val="20"/>
                <w:szCs w:val="20"/>
                <w:color w:val="auto"/>
              </w:rPr>
            </w:pPr>
            <w:r>
              <w:rPr>
                <w:rFonts w:ascii="Times New Roman" w:cs="Times New Roman" w:eastAsia="Times New Roman" w:hAnsi="Times New Roman"/>
                <w:sz w:val="11"/>
                <w:szCs w:val="11"/>
                <w:color w:val="auto"/>
              </w:rPr>
              <w:t>(790)</w:t>
            </w:r>
          </w:p>
        </w:tc>
        <w:tc>
          <w:tcPr>
            <w:tcW w:w="80" w:type="dxa"/>
            <w:vAlign w:val="bottom"/>
          </w:tcPr>
          <w:p>
            <w:pPr>
              <w:spacing w:after="0"/>
              <w:rPr>
                <w:sz w:val="13"/>
                <w:szCs w:val="13"/>
                <w:color w:val="auto"/>
              </w:rPr>
            </w:pPr>
          </w:p>
        </w:tc>
        <w:tc>
          <w:tcPr>
            <w:tcW w:w="280" w:type="dxa"/>
            <w:vAlign w:val="bottom"/>
          </w:tcPr>
          <w:p>
            <w:pPr>
              <w:spacing w:after="0"/>
              <w:rPr>
                <w:sz w:val="13"/>
                <w:szCs w:val="13"/>
                <w:color w:val="auto"/>
              </w:rPr>
            </w:pPr>
          </w:p>
        </w:tc>
        <w:tc>
          <w:tcPr>
            <w:tcW w:w="860" w:type="dxa"/>
            <w:vAlign w:val="bottom"/>
          </w:tcPr>
          <w:p>
            <w:pPr>
              <w:jc w:val="right"/>
              <w:spacing w:after="0"/>
              <w:rPr>
                <w:sz w:val="20"/>
                <w:szCs w:val="20"/>
                <w:color w:val="auto"/>
              </w:rPr>
            </w:pPr>
            <w:r>
              <w:rPr>
                <w:rFonts w:ascii="Times New Roman" w:cs="Times New Roman" w:eastAsia="Times New Roman" w:hAnsi="Times New Roman"/>
                <w:sz w:val="11"/>
                <w:szCs w:val="11"/>
                <w:color w:val="auto"/>
              </w:rPr>
              <w:t>(839)</w:t>
            </w:r>
          </w:p>
        </w:tc>
        <w:tc>
          <w:tcPr>
            <w:tcW w:w="0" w:type="dxa"/>
            <w:vAlign w:val="bottom"/>
          </w:tcPr>
          <w:p>
            <w:pPr>
              <w:spacing w:after="0"/>
              <w:rPr>
                <w:sz w:val="1"/>
                <w:szCs w:val="1"/>
                <w:color w:val="auto"/>
              </w:rPr>
            </w:pPr>
          </w:p>
        </w:tc>
      </w:tr>
      <w:tr>
        <w:trPr>
          <w:trHeight w:val="165"/>
        </w:trPr>
        <w:tc>
          <w:tcPr>
            <w:tcW w:w="7680" w:type="dxa"/>
            <w:vAlign w:val="bottom"/>
            <w:shd w:val="clear" w:color="auto" w:fill="CCEEFF"/>
          </w:tcPr>
          <w:p>
            <w:pPr>
              <w:ind w:left="520"/>
              <w:spacing w:after="0"/>
              <w:rPr>
                <w:sz w:val="20"/>
                <w:szCs w:val="20"/>
                <w:color w:val="auto"/>
              </w:rPr>
            </w:pPr>
            <w:r>
              <w:rPr>
                <w:rFonts w:ascii="Times New Roman" w:cs="Times New Roman" w:eastAsia="Times New Roman" w:hAnsi="Times New Roman"/>
                <w:sz w:val="11"/>
                <w:szCs w:val="11"/>
                <w:color w:val="auto"/>
              </w:rPr>
              <w:t>Stock-based compensation expense</w:t>
            </w:r>
          </w:p>
        </w:tc>
        <w:tc>
          <w:tcPr>
            <w:tcW w:w="740" w:type="dxa"/>
            <w:vAlign w:val="bottom"/>
            <w:shd w:val="clear" w:color="auto" w:fill="CCEEFF"/>
          </w:tcPr>
          <w:p>
            <w:pPr>
              <w:spacing w:after="0"/>
              <w:rPr>
                <w:sz w:val="14"/>
                <w:szCs w:val="14"/>
                <w:color w:val="auto"/>
              </w:rPr>
            </w:pPr>
          </w:p>
        </w:tc>
        <w:tc>
          <w:tcPr>
            <w:tcW w:w="4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1"/>
                <w:szCs w:val="11"/>
                <w:color w:val="auto"/>
              </w:rPr>
              <w:t>5,148</w:t>
            </w:r>
          </w:p>
        </w:tc>
        <w:tc>
          <w:tcPr>
            <w:tcW w:w="100" w:type="dxa"/>
            <w:vAlign w:val="bottom"/>
            <w:shd w:val="clear" w:color="auto" w:fill="CCEEFF"/>
          </w:tcPr>
          <w:p>
            <w:pPr>
              <w:spacing w:after="0"/>
              <w:rPr>
                <w:sz w:val="14"/>
                <w:szCs w:val="14"/>
                <w:color w:val="auto"/>
              </w:rPr>
            </w:pPr>
          </w:p>
        </w:tc>
        <w:tc>
          <w:tcPr>
            <w:tcW w:w="260" w:type="dxa"/>
            <w:vAlign w:val="bottom"/>
            <w:shd w:val="clear" w:color="auto" w:fill="CCEEFF"/>
          </w:tcPr>
          <w:p>
            <w:pPr>
              <w:spacing w:after="0"/>
              <w:rPr>
                <w:sz w:val="14"/>
                <w:szCs w:val="14"/>
                <w:color w:val="auto"/>
              </w:rPr>
            </w:pPr>
          </w:p>
        </w:tc>
        <w:tc>
          <w:tcPr>
            <w:tcW w:w="880" w:type="dxa"/>
            <w:vAlign w:val="bottom"/>
            <w:shd w:val="clear" w:color="auto" w:fill="CCEEFF"/>
          </w:tcPr>
          <w:p>
            <w:pPr>
              <w:jc w:val="right"/>
              <w:ind w:right="3"/>
              <w:spacing w:after="0"/>
              <w:rPr>
                <w:sz w:val="20"/>
                <w:szCs w:val="20"/>
                <w:color w:val="auto"/>
              </w:rPr>
            </w:pPr>
            <w:r>
              <w:rPr>
                <w:rFonts w:ascii="Times New Roman" w:cs="Times New Roman" w:eastAsia="Times New Roman" w:hAnsi="Times New Roman"/>
                <w:sz w:val="11"/>
                <w:szCs w:val="11"/>
                <w:color w:val="auto"/>
              </w:rPr>
              <w:t>5,537</w:t>
            </w:r>
          </w:p>
        </w:tc>
        <w:tc>
          <w:tcPr>
            <w:tcW w:w="80" w:type="dxa"/>
            <w:vAlign w:val="bottom"/>
            <w:shd w:val="clear" w:color="auto" w:fill="CCEEFF"/>
          </w:tcPr>
          <w:p>
            <w:pPr>
              <w:spacing w:after="0"/>
              <w:rPr>
                <w:sz w:val="14"/>
                <w:szCs w:val="14"/>
                <w:color w:val="auto"/>
              </w:rPr>
            </w:pPr>
          </w:p>
        </w:tc>
        <w:tc>
          <w:tcPr>
            <w:tcW w:w="280" w:type="dxa"/>
            <w:vAlign w:val="bottom"/>
            <w:shd w:val="clear" w:color="auto" w:fill="CCEEFF"/>
          </w:tcPr>
          <w:p>
            <w:pPr>
              <w:spacing w:after="0"/>
              <w:rPr>
                <w:sz w:val="14"/>
                <w:szCs w:val="14"/>
                <w:color w:val="auto"/>
              </w:rPr>
            </w:pPr>
          </w:p>
        </w:tc>
        <w:tc>
          <w:tcPr>
            <w:tcW w:w="8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1"/>
                <w:szCs w:val="11"/>
                <w:color w:val="auto"/>
              </w:rPr>
              <w:t>6,518</w:t>
            </w:r>
          </w:p>
        </w:tc>
        <w:tc>
          <w:tcPr>
            <w:tcW w:w="0" w:type="dxa"/>
            <w:vAlign w:val="bottom"/>
          </w:tcPr>
          <w:p>
            <w:pPr>
              <w:spacing w:after="0"/>
              <w:rPr>
                <w:sz w:val="1"/>
                <w:szCs w:val="1"/>
                <w:color w:val="auto"/>
              </w:rPr>
            </w:pPr>
          </w:p>
        </w:tc>
      </w:tr>
      <w:tr>
        <w:trPr>
          <w:trHeight w:val="153"/>
        </w:trPr>
        <w:tc>
          <w:tcPr>
            <w:tcW w:w="7680" w:type="dxa"/>
            <w:vAlign w:val="bottom"/>
          </w:tcPr>
          <w:p>
            <w:pPr>
              <w:ind w:left="520"/>
              <w:spacing w:after="0"/>
              <w:rPr>
                <w:sz w:val="20"/>
                <w:szCs w:val="20"/>
                <w:color w:val="auto"/>
              </w:rPr>
            </w:pPr>
            <w:r>
              <w:rPr>
                <w:rFonts w:ascii="Times New Roman" w:cs="Times New Roman" w:eastAsia="Times New Roman" w:hAnsi="Times New Roman"/>
                <w:sz w:val="11"/>
                <w:szCs w:val="11"/>
                <w:color w:val="auto"/>
              </w:rPr>
              <w:t>Deferred income taxes</w:t>
            </w:r>
          </w:p>
        </w:tc>
        <w:tc>
          <w:tcPr>
            <w:tcW w:w="740" w:type="dxa"/>
            <w:vAlign w:val="bottom"/>
          </w:tcPr>
          <w:p>
            <w:pPr>
              <w:spacing w:after="0"/>
              <w:rPr>
                <w:sz w:val="13"/>
                <w:szCs w:val="13"/>
                <w:color w:val="auto"/>
              </w:rPr>
            </w:pPr>
          </w:p>
        </w:tc>
        <w:tc>
          <w:tcPr>
            <w:tcW w:w="400" w:type="dxa"/>
            <w:vAlign w:val="bottom"/>
          </w:tcPr>
          <w:p>
            <w:pPr>
              <w:jc w:val="right"/>
              <w:spacing w:after="0"/>
              <w:rPr>
                <w:sz w:val="20"/>
                <w:szCs w:val="20"/>
                <w:color w:val="auto"/>
              </w:rPr>
            </w:pPr>
            <w:r>
              <w:rPr>
                <w:rFonts w:ascii="Times New Roman" w:cs="Times New Roman" w:eastAsia="Times New Roman" w:hAnsi="Times New Roman"/>
                <w:sz w:val="11"/>
                <w:szCs w:val="11"/>
                <w:color w:val="auto"/>
              </w:rPr>
              <w:t>(208)</w:t>
            </w:r>
          </w:p>
        </w:tc>
        <w:tc>
          <w:tcPr>
            <w:tcW w:w="100" w:type="dxa"/>
            <w:vAlign w:val="bottom"/>
          </w:tcPr>
          <w:p>
            <w:pPr>
              <w:spacing w:after="0"/>
              <w:rPr>
                <w:sz w:val="13"/>
                <w:szCs w:val="13"/>
                <w:color w:val="auto"/>
              </w:rPr>
            </w:pPr>
          </w:p>
        </w:tc>
        <w:tc>
          <w:tcPr>
            <w:tcW w:w="260" w:type="dxa"/>
            <w:vAlign w:val="bottom"/>
          </w:tcPr>
          <w:p>
            <w:pPr>
              <w:spacing w:after="0"/>
              <w:rPr>
                <w:sz w:val="13"/>
                <w:szCs w:val="13"/>
                <w:color w:val="auto"/>
              </w:rPr>
            </w:pPr>
          </w:p>
        </w:tc>
        <w:tc>
          <w:tcPr>
            <w:tcW w:w="880" w:type="dxa"/>
            <w:vAlign w:val="bottom"/>
          </w:tcPr>
          <w:p>
            <w:pPr>
              <w:jc w:val="right"/>
              <w:spacing w:after="0"/>
              <w:rPr>
                <w:sz w:val="20"/>
                <w:szCs w:val="20"/>
                <w:color w:val="auto"/>
              </w:rPr>
            </w:pPr>
            <w:r>
              <w:rPr>
                <w:rFonts w:ascii="Times New Roman" w:cs="Times New Roman" w:eastAsia="Times New Roman" w:hAnsi="Times New Roman"/>
                <w:sz w:val="11"/>
                <w:szCs w:val="11"/>
                <w:color w:val="auto"/>
              </w:rPr>
              <w:t>(1,518)</w:t>
            </w:r>
          </w:p>
        </w:tc>
        <w:tc>
          <w:tcPr>
            <w:tcW w:w="80" w:type="dxa"/>
            <w:vAlign w:val="bottom"/>
          </w:tcPr>
          <w:p>
            <w:pPr>
              <w:spacing w:after="0"/>
              <w:rPr>
                <w:sz w:val="13"/>
                <w:szCs w:val="13"/>
                <w:color w:val="auto"/>
              </w:rPr>
            </w:pPr>
          </w:p>
        </w:tc>
        <w:tc>
          <w:tcPr>
            <w:tcW w:w="280" w:type="dxa"/>
            <w:vAlign w:val="bottom"/>
          </w:tcPr>
          <w:p>
            <w:pPr>
              <w:spacing w:after="0"/>
              <w:rPr>
                <w:sz w:val="13"/>
                <w:szCs w:val="13"/>
                <w:color w:val="auto"/>
              </w:rPr>
            </w:pPr>
          </w:p>
        </w:tc>
        <w:tc>
          <w:tcPr>
            <w:tcW w:w="860" w:type="dxa"/>
            <w:vAlign w:val="bottom"/>
          </w:tcPr>
          <w:p>
            <w:pPr>
              <w:jc w:val="right"/>
              <w:spacing w:after="0"/>
              <w:rPr>
                <w:sz w:val="20"/>
                <w:szCs w:val="20"/>
                <w:color w:val="auto"/>
              </w:rPr>
            </w:pPr>
            <w:r>
              <w:rPr>
                <w:rFonts w:ascii="Times New Roman" w:cs="Times New Roman" w:eastAsia="Times New Roman" w:hAnsi="Times New Roman"/>
                <w:sz w:val="11"/>
                <w:szCs w:val="11"/>
                <w:color w:val="auto"/>
              </w:rPr>
              <w:t>1,036</w:t>
            </w:r>
          </w:p>
        </w:tc>
        <w:tc>
          <w:tcPr>
            <w:tcW w:w="0" w:type="dxa"/>
            <w:vAlign w:val="bottom"/>
          </w:tcPr>
          <w:p>
            <w:pPr>
              <w:spacing w:after="0"/>
              <w:rPr>
                <w:sz w:val="1"/>
                <w:szCs w:val="1"/>
                <w:color w:val="auto"/>
              </w:rPr>
            </w:pPr>
          </w:p>
        </w:tc>
      </w:tr>
      <w:tr>
        <w:trPr>
          <w:trHeight w:val="165"/>
        </w:trPr>
        <w:tc>
          <w:tcPr>
            <w:tcW w:w="7680" w:type="dxa"/>
            <w:vAlign w:val="bottom"/>
            <w:shd w:val="clear" w:color="auto" w:fill="CCEEFF"/>
          </w:tcPr>
          <w:p>
            <w:pPr>
              <w:ind w:left="520"/>
              <w:spacing w:after="0"/>
              <w:rPr>
                <w:sz w:val="20"/>
                <w:szCs w:val="20"/>
                <w:color w:val="auto"/>
              </w:rPr>
            </w:pPr>
            <w:r>
              <w:rPr>
                <w:rFonts w:ascii="Times New Roman" w:cs="Times New Roman" w:eastAsia="Times New Roman" w:hAnsi="Times New Roman"/>
                <w:sz w:val="11"/>
                <w:szCs w:val="11"/>
                <w:color w:val="auto"/>
              </w:rPr>
              <w:t>Non-cash lease expense</w:t>
            </w:r>
          </w:p>
        </w:tc>
        <w:tc>
          <w:tcPr>
            <w:tcW w:w="740" w:type="dxa"/>
            <w:vAlign w:val="bottom"/>
            <w:shd w:val="clear" w:color="auto" w:fill="CCEEFF"/>
          </w:tcPr>
          <w:p>
            <w:pPr>
              <w:spacing w:after="0"/>
              <w:rPr>
                <w:sz w:val="14"/>
                <w:szCs w:val="14"/>
                <w:color w:val="auto"/>
              </w:rPr>
            </w:pPr>
          </w:p>
        </w:tc>
        <w:tc>
          <w:tcPr>
            <w:tcW w:w="4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1"/>
                <w:szCs w:val="11"/>
                <w:color w:val="auto"/>
              </w:rPr>
              <w:t>1,015</w:t>
            </w:r>
          </w:p>
        </w:tc>
        <w:tc>
          <w:tcPr>
            <w:tcW w:w="100" w:type="dxa"/>
            <w:vAlign w:val="bottom"/>
            <w:shd w:val="clear" w:color="auto" w:fill="CCEEFF"/>
          </w:tcPr>
          <w:p>
            <w:pPr>
              <w:spacing w:after="0"/>
              <w:rPr>
                <w:sz w:val="14"/>
                <w:szCs w:val="14"/>
                <w:color w:val="auto"/>
              </w:rPr>
            </w:pPr>
          </w:p>
        </w:tc>
        <w:tc>
          <w:tcPr>
            <w:tcW w:w="260" w:type="dxa"/>
            <w:vAlign w:val="bottom"/>
            <w:shd w:val="clear" w:color="auto" w:fill="CCEEFF"/>
          </w:tcPr>
          <w:p>
            <w:pPr>
              <w:spacing w:after="0"/>
              <w:rPr>
                <w:sz w:val="14"/>
                <w:szCs w:val="14"/>
                <w:color w:val="auto"/>
              </w:rPr>
            </w:pPr>
          </w:p>
        </w:tc>
        <w:tc>
          <w:tcPr>
            <w:tcW w:w="880" w:type="dxa"/>
            <w:vAlign w:val="bottom"/>
            <w:shd w:val="clear" w:color="auto" w:fill="CCEEFF"/>
          </w:tcPr>
          <w:p>
            <w:pPr>
              <w:jc w:val="right"/>
              <w:ind w:right="3"/>
              <w:spacing w:after="0"/>
              <w:rPr>
                <w:sz w:val="20"/>
                <w:szCs w:val="20"/>
                <w:color w:val="auto"/>
              </w:rPr>
            </w:pPr>
            <w:r>
              <w:rPr>
                <w:rFonts w:ascii="Times New Roman" w:cs="Times New Roman" w:eastAsia="Times New Roman" w:hAnsi="Times New Roman"/>
                <w:sz w:val="11"/>
                <w:szCs w:val="11"/>
                <w:color w:val="auto"/>
              </w:rPr>
              <w:t>1,115</w:t>
            </w:r>
          </w:p>
        </w:tc>
        <w:tc>
          <w:tcPr>
            <w:tcW w:w="80" w:type="dxa"/>
            <w:vAlign w:val="bottom"/>
            <w:shd w:val="clear" w:color="auto" w:fill="CCEEFF"/>
          </w:tcPr>
          <w:p>
            <w:pPr>
              <w:spacing w:after="0"/>
              <w:rPr>
                <w:sz w:val="14"/>
                <w:szCs w:val="14"/>
                <w:color w:val="auto"/>
              </w:rPr>
            </w:pPr>
          </w:p>
        </w:tc>
        <w:tc>
          <w:tcPr>
            <w:tcW w:w="280" w:type="dxa"/>
            <w:vAlign w:val="bottom"/>
            <w:shd w:val="clear" w:color="auto" w:fill="CCEEFF"/>
          </w:tcPr>
          <w:p>
            <w:pPr>
              <w:spacing w:after="0"/>
              <w:rPr>
                <w:sz w:val="14"/>
                <w:szCs w:val="14"/>
                <w:color w:val="auto"/>
              </w:rPr>
            </w:pPr>
          </w:p>
        </w:tc>
        <w:tc>
          <w:tcPr>
            <w:tcW w:w="8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1"/>
                <w:szCs w:val="11"/>
                <w:color w:val="auto"/>
              </w:rPr>
              <w:t>1,103</w:t>
            </w:r>
          </w:p>
        </w:tc>
        <w:tc>
          <w:tcPr>
            <w:tcW w:w="0" w:type="dxa"/>
            <w:vAlign w:val="bottom"/>
          </w:tcPr>
          <w:p>
            <w:pPr>
              <w:spacing w:after="0"/>
              <w:rPr>
                <w:sz w:val="1"/>
                <w:szCs w:val="1"/>
                <w:color w:val="auto"/>
              </w:rPr>
            </w:pPr>
          </w:p>
        </w:tc>
      </w:tr>
      <w:tr>
        <w:trPr>
          <w:trHeight w:val="153"/>
        </w:trPr>
        <w:tc>
          <w:tcPr>
            <w:tcW w:w="7680" w:type="dxa"/>
            <w:vAlign w:val="bottom"/>
          </w:tcPr>
          <w:p>
            <w:pPr>
              <w:ind w:left="520"/>
              <w:spacing w:after="0"/>
              <w:rPr>
                <w:sz w:val="20"/>
                <w:szCs w:val="20"/>
                <w:color w:val="auto"/>
              </w:rPr>
            </w:pPr>
            <w:r>
              <w:rPr>
                <w:rFonts w:ascii="Times New Roman" w:cs="Times New Roman" w:eastAsia="Times New Roman" w:hAnsi="Times New Roman"/>
                <w:sz w:val="11"/>
                <w:szCs w:val="11"/>
                <w:color w:val="auto"/>
              </w:rPr>
              <w:t>Loss on asset disposition</w:t>
            </w:r>
          </w:p>
        </w:tc>
        <w:tc>
          <w:tcPr>
            <w:tcW w:w="740" w:type="dxa"/>
            <w:vAlign w:val="bottom"/>
          </w:tcPr>
          <w:p>
            <w:pPr>
              <w:spacing w:after="0"/>
              <w:rPr>
                <w:sz w:val="13"/>
                <w:szCs w:val="13"/>
                <w:color w:val="auto"/>
              </w:rPr>
            </w:pPr>
          </w:p>
        </w:tc>
        <w:tc>
          <w:tcPr>
            <w:tcW w:w="400" w:type="dxa"/>
            <w:vAlign w:val="bottom"/>
          </w:tcPr>
          <w:p>
            <w:pPr>
              <w:jc w:val="right"/>
              <w:spacing w:after="0"/>
              <w:rPr>
                <w:sz w:val="20"/>
                <w:szCs w:val="20"/>
                <w:color w:val="auto"/>
              </w:rPr>
            </w:pPr>
            <w:r>
              <w:rPr>
                <w:rFonts w:ascii="Times New Roman" w:cs="Times New Roman" w:eastAsia="Times New Roman" w:hAnsi="Times New Roman"/>
                <w:sz w:val="11"/>
                <w:szCs w:val="11"/>
                <w:color w:val="auto"/>
              </w:rPr>
              <w:t>—</w:t>
            </w:r>
          </w:p>
        </w:tc>
        <w:tc>
          <w:tcPr>
            <w:tcW w:w="100" w:type="dxa"/>
            <w:vAlign w:val="bottom"/>
          </w:tcPr>
          <w:p>
            <w:pPr>
              <w:spacing w:after="0"/>
              <w:rPr>
                <w:sz w:val="13"/>
                <w:szCs w:val="13"/>
                <w:color w:val="auto"/>
              </w:rPr>
            </w:pPr>
          </w:p>
        </w:tc>
        <w:tc>
          <w:tcPr>
            <w:tcW w:w="260" w:type="dxa"/>
            <w:vAlign w:val="bottom"/>
          </w:tcPr>
          <w:p>
            <w:pPr>
              <w:spacing w:after="0"/>
              <w:rPr>
                <w:sz w:val="13"/>
                <w:szCs w:val="13"/>
                <w:color w:val="auto"/>
              </w:rPr>
            </w:pPr>
          </w:p>
        </w:tc>
        <w:tc>
          <w:tcPr>
            <w:tcW w:w="960" w:type="dxa"/>
            <w:vAlign w:val="bottom"/>
            <w:gridSpan w:val="2"/>
          </w:tcPr>
          <w:p>
            <w:pPr>
              <w:jc w:val="right"/>
              <w:ind w:right="140"/>
              <w:spacing w:after="0"/>
              <w:rPr>
                <w:sz w:val="20"/>
                <w:szCs w:val="20"/>
                <w:color w:val="auto"/>
              </w:rPr>
            </w:pPr>
            <w:r>
              <w:rPr>
                <w:rFonts w:ascii="Times New Roman" w:cs="Times New Roman" w:eastAsia="Times New Roman" w:hAnsi="Times New Roman"/>
                <w:sz w:val="11"/>
                <w:szCs w:val="11"/>
                <w:color w:val="auto"/>
              </w:rPr>
              <w:t>—</w:t>
            </w:r>
          </w:p>
        </w:tc>
        <w:tc>
          <w:tcPr>
            <w:tcW w:w="280" w:type="dxa"/>
            <w:vAlign w:val="bottom"/>
          </w:tcPr>
          <w:p>
            <w:pPr>
              <w:spacing w:after="0"/>
              <w:rPr>
                <w:sz w:val="13"/>
                <w:szCs w:val="13"/>
                <w:color w:val="auto"/>
              </w:rPr>
            </w:pPr>
          </w:p>
        </w:tc>
        <w:tc>
          <w:tcPr>
            <w:tcW w:w="860" w:type="dxa"/>
            <w:vAlign w:val="bottom"/>
          </w:tcPr>
          <w:p>
            <w:pPr>
              <w:jc w:val="right"/>
              <w:spacing w:after="0"/>
              <w:rPr>
                <w:sz w:val="20"/>
                <w:szCs w:val="20"/>
                <w:color w:val="auto"/>
              </w:rPr>
            </w:pPr>
            <w:r>
              <w:rPr>
                <w:rFonts w:ascii="Times New Roman" w:cs="Times New Roman" w:eastAsia="Times New Roman" w:hAnsi="Times New Roman"/>
                <w:sz w:val="11"/>
                <w:szCs w:val="11"/>
                <w:color w:val="auto"/>
              </w:rPr>
              <w:t>69</w:t>
            </w:r>
          </w:p>
        </w:tc>
        <w:tc>
          <w:tcPr>
            <w:tcW w:w="0" w:type="dxa"/>
            <w:vAlign w:val="bottom"/>
          </w:tcPr>
          <w:p>
            <w:pPr>
              <w:spacing w:after="0"/>
              <w:rPr>
                <w:sz w:val="1"/>
                <w:szCs w:val="1"/>
                <w:color w:val="auto"/>
              </w:rPr>
            </w:pPr>
          </w:p>
        </w:tc>
      </w:tr>
      <w:tr>
        <w:trPr>
          <w:trHeight w:val="165"/>
        </w:trPr>
        <w:tc>
          <w:tcPr>
            <w:tcW w:w="7680" w:type="dxa"/>
            <w:vAlign w:val="bottom"/>
            <w:shd w:val="clear" w:color="auto" w:fill="CCEEFF"/>
          </w:tcPr>
          <w:p>
            <w:pPr>
              <w:ind w:left="520"/>
              <w:spacing w:after="0"/>
              <w:rPr>
                <w:sz w:val="20"/>
                <w:szCs w:val="20"/>
                <w:color w:val="auto"/>
              </w:rPr>
            </w:pPr>
            <w:r>
              <w:rPr>
                <w:rFonts w:ascii="Times New Roman" w:cs="Times New Roman" w:eastAsia="Times New Roman" w:hAnsi="Times New Roman"/>
                <w:sz w:val="11"/>
                <w:szCs w:val="11"/>
                <w:color w:val="auto"/>
              </w:rPr>
              <w:t>Gain on remeasurement of lease liabilities</w:t>
            </w:r>
          </w:p>
        </w:tc>
        <w:tc>
          <w:tcPr>
            <w:tcW w:w="740" w:type="dxa"/>
            <w:vAlign w:val="bottom"/>
            <w:shd w:val="clear" w:color="auto" w:fill="CCEEFF"/>
          </w:tcPr>
          <w:p>
            <w:pPr>
              <w:spacing w:after="0"/>
              <w:rPr>
                <w:sz w:val="14"/>
                <w:szCs w:val="14"/>
                <w:color w:val="auto"/>
              </w:rPr>
            </w:pPr>
          </w:p>
        </w:tc>
        <w:tc>
          <w:tcPr>
            <w:tcW w:w="4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1"/>
                <w:szCs w:val="11"/>
                <w:color w:val="auto"/>
              </w:rPr>
              <w:t>—</w:t>
            </w:r>
          </w:p>
        </w:tc>
        <w:tc>
          <w:tcPr>
            <w:tcW w:w="100" w:type="dxa"/>
            <w:vAlign w:val="bottom"/>
            <w:shd w:val="clear" w:color="auto" w:fill="CCEEFF"/>
          </w:tcPr>
          <w:p>
            <w:pPr>
              <w:spacing w:after="0"/>
              <w:rPr>
                <w:sz w:val="14"/>
                <w:szCs w:val="14"/>
                <w:color w:val="auto"/>
              </w:rPr>
            </w:pPr>
          </w:p>
        </w:tc>
        <w:tc>
          <w:tcPr>
            <w:tcW w:w="260" w:type="dxa"/>
            <w:vAlign w:val="bottom"/>
            <w:shd w:val="clear" w:color="auto" w:fill="CCEEFF"/>
          </w:tcPr>
          <w:p>
            <w:pPr>
              <w:spacing w:after="0"/>
              <w:rPr>
                <w:sz w:val="14"/>
                <w:szCs w:val="14"/>
                <w:color w:val="auto"/>
              </w:rPr>
            </w:pPr>
          </w:p>
        </w:tc>
        <w:tc>
          <w:tcPr>
            <w:tcW w:w="960" w:type="dxa"/>
            <w:vAlign w:val="bottom"/>
            <w:gridSpan w:val="2"/>
            <w:shd w:val="clear" w:color="auto" w:fill="CCEEFF"/>
          </w:tcPr>
          <w:p>
            <w:pPr>
              <w:jc w:val="right"/>
              <w:ind w:right="140"/>
              <w:spacing w:after="0"/>
              <w:rPr>
                <w:sz w:val="20"/>
                <w:szCs w:val="20"/>
                <w:color w:val="auto"/>
              </w:rPr>
            </w:pPr>
            <w:r>
              <w:rPr>
                <w:rFonts w:ascii="Times New Roman" w:cs="Times New Roman" w:eastAsia="Times New Roman" w:hAnsi="Times New Roman"/>
                <w:sz w:val="11"/>
                <w:szCs w:val="11"/>
                <w:color w:val="auto"/>
              </w:rPr>
              <w:t>—</w:t>
            </w:r>
          </w:p>
        </w:tc>
        <w:tc>
          <w:tcPr>
            <w:tcW w:w="280" w:type="dxa"/>
            <w:vAlign w:val="bottom"/>
            <w:shd w:val="clear" w:color="auto" w:fill="CCEEFF"/>
          </w:tcPr>
          <w:p>
            <w:pPr>
              <w:spacing w:after="0"/>
              <w:rPr>
                <w:sz w:val="14"/>
                <w:szCs w:val="14"/>
                <w:color w:val="auto"/>
              </w:rPr>
            </w:pPr>
          </w:p>
        </w:tc>
        <w:tc>
          <w:tcPr>
            <w:tcW w:w="8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1"/>
                <w:szCs w:val="11"/>
                <w:color w:val="auto"/>
              </w:rPr>
              <w:t>(119)</w:t>
            </w:r>
          </w:p>
        </w:tc>
        <w:tc>
          <w:tcPr>
            <w:tcW w:w="0" w:type="dxa"/>
            <w:vAlign w:val="bottom"/>
          </w:tcPr>
          <w:p>
            <w:pPr>
              <w:spacing w:after="0"/>
              <w:rPr>
                <w:sz w:val="1"/>
                <w:szCs w:val="1"/>
                <w:color w:val="auto"/>
              </w:rPr>
            </w:pPr>
          </w:p>
        </w:tc>
      </w:tr>
      <w:tr>
        <w:trPr>
          <w:trHeight w:val="153"/>
        </w:trPr>
        <w:tc>
          <w:tcPr>
            <w:tcW w:w="7680" w:type="dxa"/>
            <w:vAlign w:val="bottom"/>
          </w:tcPr>
          <w:p>
            <w:pPr>
              <w:ind w:left="520"/>
              <w:spacing w:after="0"/>
              <w:rPr>
                <w:sz w:val="20"/>
                <w:szCs w:val="20"/>
                <w:color w:val="auto"/>
              </w:rPr>
            </w:pPr>
            <w:r>
              <w:rPr>
                <w:rFonts w:ascii="Times New Roman" w:cs="Times New Roman" w:eastAsia="Times New Roman" w:hAnsi="Times New Roman"/>
                <w:sz w:val="11"/>
                <w:szCs w:val="11"/>
                <w:color w:val="auto"/>
              </w:rPr>
              <w:t>Fair value change of contingent consideration</w:t>
            </w:r>
          </w:p>
        </w:tc>
        <w:tc>
          <w:tcPr>
            <w:tcW w:w="740" w:type="dxa"/>
            <w:vAlign w:val="bottom"/>
          </w:tcPr>
          <w:p>
            <w:pPr>
              <w:spacing w:after="0"/>
              <w:rPr>
                <w:sz w:val="13"/>
                <w:szCs w:val="13"/>
                <w:color w:val="auto"/>
              </w:rPr>
            </w:pPr>
          </w:p>
        </w:tc>
        <w:tc>
          <w:tcPr>
            <w:tcW w:w="400" w:type="dxa"/>
            <w:vAlign w:val="bottom"/>
          </w:tcPr>
          <w:p>
            <w:pPr>
              <w:jc w:val="right"/>
              <w:spacing w:after="0"/>
              <w:rPr>
                <w:sz w:val="20"/>
                <w:szCs w:val="20"/>
                <w:color w:val="auto"/>
              </w:rPr>
            </w:pPr>
            <w:r>
              <w:rPr>
                <w:rFonts w:ascii="Times New Roman" w:cs="Times New Roman" w:eastAsia="Times New Roman" w:hAnsi="Times New Roman"/>
                <w:sz w:val="11"/>
                <w:szCs w:val="11"/>
                <w:color w:val="auto"/>
              </w:rPr>
              <w:t>—</w:t>
            </w:r>
          </w:p>
        </w:tc>
        <w:tc>
          <w:tcPr>
            <w:tcW w:w="100" w:type="dxa"/>
            <w:vAlign w:val="bottom"/>
          </w:tcPr>
          <w:p>
            <w:pPr>
              <w:spacing w:after="0"/>
              <w:rPr>
                <w:sz w:val="13"/>
                <w:szCs w:val="13"/>
                <w:color w:val="auto"/>
              </w:rPr>
            </w:pPr>
          </w:p>
        </w:tc>
        <w:tc>
          <w:tcPr>
            <w:tcW w:w="260" w:type="dxa"/>
            <w:vAlign w:val="bottom"/>
          </w:tcPr>
          <w:p>
            <w:pPr>
              <w:spacing w:after="0"/>
              <w:rPr>
                <w:sz w:val="13"/>
                <w:szCs w:val="13"/>
                <w:color w:val="auto"/>
              </w:rPr>
            </w:pPr>
          </w:p>
        </w:tc>
        <w:tc>
          <w:tcPr>
            <w:tcW w:w="880" w:type="dxa"/>
            <w:vAlign w:val="bottom"/>
          </w:tcPr>
          <w:p>
            <w:pPr>
              <w:jc w:val="right"/>
              <w:ind w:right="3"/>
              <w:spacing w:after="0"/>
              <w:rPr>
                <w:sz w:val="20"/>
                <w:szCs w:val="20"/>
                <w:color w:val="auto"/>
              </w:rPr>
            </w:pPr>
            <w:r>
              <w:rPr>
                <w:rFonts w:ascii="Times New Roman" w:cs="Times New Roman" w:eastAsia="Times New Roman" w:hAnsi="Times New Roman"/>
                <w:sz w:val="11"/>
                <w:szCs w:val="11"/>
                <w:color w:val="auto"/>
              </w:rPr>
              <w:t>4,881</w:t>
            </w:r>
          </w:p>
        </w:tc>
        <w:tc>
          <w:tcPr>
            <w:tcW w:w="80" w:type="dxa"/>
            <w:vAlign w:val="bottom"/>
          </w:tcPr>
          <w:p>
            <w:pPr>
              <w:spacing w:after="0"/>
              <w:rPr>
                <w:sz w:val="13"/>
                <w:szCs w:val="13"/>
                <w:color w:val="auto"/>
              </w:rPr>
            </w:pPr>
          </w:p>
        </w:tc>
        <w:tc>
          <w:tcPr>
            <w:tcW w:w="280" w:type="dxa"/>
            <w:vAlign w:val="bottom"/>
          </w:tcPr>
          <w:p>
            <w:pPr>
              <w:spacing w:after="0"/>
              <w:rPr>
                <w:sz w:val="13"/>
                <w:szCs w:val="13"/>
                <w:color w:val="auto"/>
              </w:rPr>
            </w:pPr>
          </w:p>
        </w:tc>
        <w:tc>
          <w:tcPr>
            <w:tcW w:w="860" w:type="dxa"/>
            <w:vAlign w:val="bottom"/>
          </w:tcPr>
          <w:p>
            <w:pPr>
              <w:jc w:val="right"/>
              <w:spacing w:after="0"/>
              <w:rPr>
                <w:sz w:val="20"/>
                <w:szCs w:val="20"/>
                <w:color w:val="auto"/>
              </w:rPr>
            </w:pPr>
            <w:r>
              <w:rPr>
                <w:rFonts w:ascii="Times New Roman" w:cs="Times New Roman" w:eastAsia="Times New Roman" w:hAnsi="Times New Roman"/>
                <w:sz w:val="11"/>
                <w:szCs w:val="11"/>
                <w:color w:val="auto"/>
              </w:rPr>
              <w:t>(2,768)</w:t>
            </w:r>
          </w:p>
        </w:tc>
        <w:tc>
          <w:tcPr>
            <w:tcW w:w="0" w:type="dxa"/>
            <w:vAlign w:val="bottom"/>
          </w:tcPr>
          <w:p>
            <w:pPr>
              <w:spacing w:after="0"/>
              <w:rPr>
                <w:sz w:val="1"/>
                <w:szCs w:val="1"/>
                <w:color w:val="auto"/>
              </w:rPr>
            </w:pPr>
          </w:p>
        </w:tc>
      </w:tr>
      <w:tr>
        <w:trPr>
          <w:trHeight w:val="165"/>
        </w:trPr>
        <w:tc>
          <w:tcPr>
            <w:tcW w:w="7680" w:type="dxa"/>
            <w:vAlign w:val="bottom"/>
            <w:shd w:val="clear" w:color="auto" w:fill="CCEEFF"/>
          </w:tcPr>
          <w:p>
            <w:pPr>
              <w:ind w:left="520"/>
              <w:spacing w:after="0"/>
              <w:rPr>
                <w:sz w:val="20"/>
                <w:szCs w:val="20"/>
                <w:color w:val="auto"/>
              </w:rPr>
            </w:pPr>
            <w:r>
              <w:rPr>
                <w:rFonts w:ascii="Times New Roman" w:cs="Times New Roman" w:eastAsia="Times New Roman" w:hAnsi="Times New Roman"/>
                <w:sz w:val="11"/>
                <w:szCs w:val="11"/>
                <w:color w:val="auto"/>
              </w:rPr>
              <w:t>Gain on insurance settlement</w:t>
            </w:r>
          </w:p>
        </w:tc>
        <w:tc>
          <w:tcPr>
            <w:tcW w:w="740" w:type="dxa"/>
            <w:vAlign w:val="bottom"/>
            <w:shd w:val="clear" w:color="auto" w:fill="CCEEFF"/>
          </w:tcPr>
          <w:p>
            <w:pPr>
              <w:spacing w:after="0"/>
              <w:rPr>
                <w:sz w:val="14"/>
                <w:szCs w:val="14"/>
                <w:color w:val="auto"/>
              </w:rPr>
            </w:pPr>
          </w:p>
        </w:tc>
        <w:tc>
          <w:tcPr>
            <w:tcW w:w="4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1"/>
                <w:szCs w:val="11"/>
                <w:color w:val="auto"/>
              </w:rPr>
              <w:t>—</w:t>
            </w:r>
          </w:p>
        </w:tc>
        <w:tc>
          <w:tcPr>
            <w:tcW w:w="100" w:type="dxa"/>
            <w:vAlign w:val="bottom"/>
            <w:shd w:val="clear" w:color="auto" w:fill="CCEEFF"/>
          </w:tcPr>
          <w:p>
            <w:pPr>
              <w:spacing w:after="0"/>
              <w:rPr>
                <w:sz w:val="14"/>
                <w:szCs w:val="14"/>
                <w:color w:val="auto"/>
              </w:rPr>
            </w:pPr>
          </w:p>
        </w:tc>
        <w:tc>
          <w:tcPr>
            <w:tcW w:w="260" w:type="dxa"/>
            <w:vAlign w:val="bottom"/>
            <w:shd w:val="clear" w:color="auto" w:fill="CCEEFF"/>
          </w:tcPr>
          <w:p>
            <w:pPr>
              <w:spacing w:after="0"/>
              <w:rPr>
                <w:sz w:val="14"/>
                <w:szCs w:val="14"/>
                <w:color w:val="auto"/>
              </w:rPr>
            </w:pPr>
          </w:p>
        </w:tc>
        <w:tc>
          <w:tcPr>
            <w:tcW w:w="960" w:type="dxa"/>
            <w:vAlign w:val="bottom"/>
            <w:gridSpan w:val="2"/>
            <w:shd w:val="clear" w:color="auto" w:fill="CCEEFF"/>
          </w:tcPr>
          <w:p>
            <w:pPr>
              <w:jc w:val="right"/>
              <w:ind w:right="140"/>
              <w:spacing w:after="0"/>
              <w:rPr>
                <w:sz w:val="20"/>
                <w:szCs w:val="20"/>
                <w:color w:val="auto"/>
              </w:rPr>
            </w:pPr>
            <w:r>
              <w:rPr>
                <w:rFonts w:ascii="Times New Roman" w:cs="Times New Roman" w:eastAsia="Times New Roman" w:hAnsi="Times New Roman"/>
                <w:sz w:val="11"/>
                <w:szCs w:val="11"/>
                <w:color w:val="auto"/>
              </w:rPr>
              <w:t>—</w:t>
            </w:r>
          </w:p>
        </w:tc>
        <w:tc>
          <w:tcPr>
            <w:tcW w:w="280" w:type="dxa"/>
            <w:vAlign w:val="bottom"/>
            <w:shd w:val="clear" w:color="auto" w:fill="CCEEFF"/>
          </w:tcPr>
          <w:p>
            <w:pPr>
              <w:spacing w:after="0"/>
              <w:rPr>
                <w:sz w:val="14"/>
                <w:szCs w:val="14"/>
                <w:color w:val="auto"/>
              </w:rPr>
            </w:pPr>
          </w:p>
        </w:tc>
        <w:tc>
          <w:tcPr>
            <w:tcW w:w="8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1"/>
                <w:szCs w:val="11"/>
                <w:color w:val="auto"/>
              </w:rPr>
              <w:t>(5,000)</w:t>
            </w:r>
          </w:p>
        </w:tc>
        <w:tc>
          <w:tcPr>
            <w:tcW w:w="0" w:type="dxa"/>
            <w:vAlign w:val="bottom"/>
          </w:tcPr>
          <w:p>
            <w:pPr>
              <w:spacing w:after="0"/>
              <w:rPr>
                <w:sz w:val="1"/>
                <w:szCs w:val="1"/>
                <w:color w:val="auto"/>
              </w:rPr>
            </w:pPr>
          </w:p>
        </w:tc>
      </w:tr>
      <w:tr>
        <w:trPr>
          <w:trHeight w:val="153"/>
        </w:trPr>
        <w:tc>
          <w:tcPr>
            <w:tcW w:w="7680" w:type="dxa"/>
            <w:vAlign w:val="bottom"/>
          </w:tcPr>
          <w:p>
            <w:pPr>
              <w:ind w:left="280"/>
              <w:spacing w:after="0"/>
              <w:rPr>
                <w:sz w:val="20"/>
                <w:szCs w:val="20"/>
                <w:color w:val="auto"/>
              </w:rPr>
            </w:pPr>
            <w:r>
              <w:rPr>
                <w:rFonts w:ascii="Times New Roman" w:cs="Times New Roman" w:eastAsia="Times New Roman" w:hAnsi="Times New Roman"/>
                <w:sz w:val="11"/>
                <w:szCs w:val="11"/>
                <w:color w:val="auto"/>
              </w:rPr>
              <w:t>Changes in operating assets and liabilities:</w:t>
            </w:r>
          </w:p>
        </w:tc>
        <w:tc>
          <w:tcPr>
            <w:tcW w:w="740" w:type="dxa"/>
            <w:vAlign w:val="bottom"/>
          </w:tcPr>
          <w:p>
            <w:pPr>
              <w:spacing w:after="0"/>
              <w:rPr>
                <w:sz w:val="13"/>
                <w:szCs w:val="13"/>
                <w:color w:val="auto"/>
              </w:rPr>
            </w:pPr>
          </w:p>
        </w:tc>
        <w:tc>
          <w:tcPr>
            <w:tcW w:w="40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260" w:type="dxa"/>
            <w:vAlign w:val="bottom"/>
          </w:tcPr>
          <w:p>
            <w:pPr>
              <w:spacing w:after="0"/>
              <w:rPr>
                <w:sz w:val="13"/>
                <w:szCs w:val="13"/>
                <w:color w:val="auto"/>
              </w:rPr>
            </w:pPr>
          </w:p>
        </w:tc>
        <w:tc>
          <w:tcPr>
            <w:tcW w:w="88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280" w:type="dxa"/>
            <w:vAlign w:val="bottom"/>
          </w:tcPr>
          <w:p>
            <w:pPr>
              <w:spacing w:after="0"/>
              <w:rPr>
                <w:sz w:val="13"/>
                <w:szCs w:val="13"/>
                <w:color w:val="auto"/>
              </w:rPr>
            </w:pPr>
          </w:p>
        </w:tc>
        <w:tc>
          <w:tcPr>
            <w:tcW w:w="86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65"/>
        </w:trPr>
        <w:tc>
          <w:tcPr>
            <w:tcW w:w="7680" w:type="dxa"/>
            <w:vAlign w:val="bottom"/>
            <w:shd w:val="clear" w:color="auto" w:fill="CCEEFF"/>
          </w:tcPr>
          <w:p>
            <w:pPr>
              <w:ind w:left="520"/>
              <w:spacing w:after="0"/>
              <w:rPr>
                <w:sz w:val="20"/>
                <w:szCs w:val="20"/>
                <w:color w:val="auto"/>
              </w:rPr>
            </w:pPr>
            <w:r>
              <w:rPr>
                <w:rFonts w:ascii="Times New Roman" w:cs="Times New Roman" w:eastAsia="Times New Roman" w:hAnsi="Times New Roman"/>
                <w:sz w:val="11"/>
                <w:szCs w:val="11"/>
                <w:color w:val="auto"/>
              </w:rPr>
              <w:t>Accounts receivable</w:t>
            </w:r>
          </w:p>
        </w:tc>
        <w:tc>
          <w:tcPr>
            <w:tcW w:w="740" w:type="dxa"/>
            <w:vAlign w:val="bottom"/>
            <w:shd w:val="clear" w:color="auto" w:fill="CCEEFF"/>
          </w:tcPr>
          <w:p>
            <w:pPr>
              <w:spacing w:after="0"/>
              <w:rPr>
                <w:sz w:val="14"/>
                <w:szCs w:val="14"/>
                <w:color w:val="auto"/>
              </w:rPr>
            </w:pPr>
          </w:p>
        </w:tc>
        <w:tc>
          <w:tcPr>
            <w:tcW w:w="4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1"/>
                <w:szCs w:val="11"/>
                <w:color w:val="auto"/>
              </w:rPr>
              <w:t>(2,298)</w:t>
            </w:r>
          </w:p>
        </w:tc>
        <w:tc>
          <w:tcPr>
            <w:tcW w:w="100" w:type="dxa"/>
            <w:vAlign w:val="bottom"/>
            <w:shd w:val="clear" w:color="auto" w:fill="CCEEFF"/>
          </w:tcPr>
          <w:p>
            <w:pPr>
              <w:spacing w:after="0"/>
              <w:rPr>
                <w:sz w:val="14"/>
                <w:szCs w:val="14"/>
                <w:color w:val="auto"/>
              </w:rPr>
            </w:pPr>
          </w:p>
        </w:tc>
        <w:tc>
          <w:tcPr>
            <w:tcW w:w="260" w:type="dxa"/>
            <w:vAlign w:val="bottom"/>
            <w:shd w:val="clear" w:color="auto" w:fill="CCEEFF"/>
          </w:tcPr>
          <w:p>
            <w:pPr>
              <w:spacing w:after="0"/>
              <w:rPr>
                <w:sz w:val="14"/>
                <w:szCs w:val="14"/>
                <w:color w:val="auto"/>
              </w:rPr>
            </w:pPr>
          </w:p>
        </w:tc>
        <w:tc>
          <w:tcPr>
            <w:tcW w:w="8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1"/>
                <w:szCs w:val="11"/>
                <w:color w:val="auto"/>
              </w:rPr>
              <w:t>(59)</w:t>
            </w:r>
          </w:p>
        </w:tc>
        <w:tc>
          <w:tcPr>
            <w:tcW w:w="80" w:type="dxa"/>
            <w:vAlign w:val="bottom"/>
            <w:shd w:val="clear" w:color="auto" w:fill="CCEEFF"/>
          </w:tcPr>
          <w:p>
            <w:pPr>
              <w:spacing w:after="0"/>
              <w:rPr>
                <w:sz w:val="14"/>
                <w:szCs w:val="14"/>
                <w:color w:val="auto"/>
              </w:rPr>
            </w:pPr>
          </w:p>
        </w:tc>
        <w:tc>
          <w:tcPr>
            <w:tcW w:w="280" w:type="dxa"/>
            <w:vAlign w:val="bottom"/>
            <w:shd w:val="clear" w:color="auto" w:fill="CCEEFF"/>
          </w:tcPr>
          <w:p>
            <w:pPr>
              <w:spacing w:after="0"/>
              <w:rPr>
                <w:sz w:val="14"/>
                <w:szCs w:val="14"/>
                <w:color w:val="auto"/>
              </w:rPr>
            </w:pPr>
          </w:p>
        </w:tc>
        <w:tc>
          <w:tcPr>
            <w:tcW w:w="8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1"/>
                <w:szCs w:val="11"/>
                <w:color w:val="auto"/>
              </w:rPr>
              <w:t>135</w:t>
            </w:r>
          </w:p>
        </w:tc>
        <w:tc>
          <w:tcPr>
            <w:tcW w:w="0" w:type="dxa"/>
            <w:vAlign w:val="bottom"/>
          </w:tcPr>
          <w:p>
            <w:pPr>
              <w:spacing w:after="0"/>
              <w:rPr>
                <w:sz w:val="1"/>
                <w:szCs w:val="1"/>
                <w:color w:val="auto"/>
              </w:rPr>
            </w:pPr>
          </w:p>
        </w:tc>
      </w:tr>
      <w:tr>
        <w:trPr>
          <w:trHeight w:val="153"/>
        </w:trPr>
        <w:tc>
          <w:tcPr>
            <w:tcW w:w="7680" w:type="dxa"/>
            <w:vAlign w:val="bottom"/>
          </w:tcPr>
          <w:p>
            <w:pPr>
              <w:ind w:left="520"/>
              <w:spacing w:after="0"/>
              <w:rPr>
                <w:sz w:val="20"/>
                <w:szCs w:val="20"/>
                <w:color w:val="auto"/>
              </w:rPr>
            </w:pPr>
            <w:r>
              <w:rPr>
                <w:rFonts w:ascii="Times New Roman" w:cs="Times New Roman" w:eastAsia="Times New Roman" w:hAnsi="Times New Roman"/>
                <w:sz w:val="11"/>
                <w:szCs w:val="11"/>
                <w:color w:val="auto"/>
              </w:rPr>
              <w:t>Other assets</w:t>
            </w:r>
          </w:p>
        </w:tc>
        <w:tc>
          <w:tcPr>
            <w:tcW w:w="740" w:type="dxa"/>
            <w:vAlign w:val="bottom"/>
          </w:tcPr>
          <w:p>
            <w:pPr>
              <w:spacing w:after="0"/>
              <w:rPr>
                <w:sz w:val="13"/>
                <w:szCs w:val="13"/>
                <w:color w:val="auto"/>
              </w:rPr>
            </w:pPr>
          </w:p>
        </w:tc>
        <w:tc>
          <w:tcPr>
            <w:tcW w:w="400" w:type="dxa"/>
            <w:vAlign w:val="bottom"/>
          </w:tcPr>
          <w:p>
            <w:pPr>
              <w:jc w:val="right"/>
              <w:spacing w:after="0"/>
              <w:rPr>
                <w:sz w:val="20"/>
                <w:szCs w:val="20"/>
                <w:color w:val="auto"/>
              </w:rPr>
            </w:pPr>
            <w:r>
              <w:rPr>
                <w:rFonts w:ascii="Times New Roman" w:cs="Times New Roman" w:eastAsia="Times New Roman" w:hAnsi="Times New Roman"/>
                <w:sz w:val="11"/>
                <w:szCs w:val="11"/>
                <w:color w:val="auto"/>
              </w:rPr>
              <w:t>(720)</w:t>
            </w:r>
          </w:p>
        </w:tc>
        <w:tc>
          <w:tcPr>
            <w:tcW w:w="100" w:type="dxa"/>
            <w:vAlign w:val="bottom"/>
          </w:tcPr>
          <w:p>
            <w:pPr>
              <w:spacing w:after="0"/>
              <w:rPr>
                <w:sz w:val="13"/>
                <w:szCs w:val="13"/>
                <w:color w:val="auto"/>
              </w:rPr>
            </w:pPr>
          </w:p>
        </w:tc>
        <w:tc>
          <w:tcPr>
            <w:tcW w:w="260" w:type="dxa"/>
            <w:vAlign w:val="bottom"/>
          </w:tcPr>
          <w:p>
            <w:pPr>
              <w:spacing w:after="0"/>
              <w:rPr>
                <w:sz w:val="13"/>
                <w:szCs w:val="13"/>
                <w:color w:val="auto"/>
              </w:rPr>
            </w:pPr>
          </w:p>
        </w:tc>
        <w:tc>
          <w:tcPr>
            <w:tcW w:w="880" w:type="dxa"/>
            <w:vAlign w:val="bottom"/>
          </w:tcPr>
          <w:p>
            <w:pPr>
              <w:jc w:val="right"/>
              <w:spacing w:after="0"/>
              <w:rPr>
                <w:sz w:val="20"/>
                <w:szCs w:val="20"/>
                <w:color w:val="auto"/>
              </w:rPr>
            </w:pPr>
            <w:r>
              <w:rPr>
                <w:rFonts w:ascii="Times New Roman" w:cs="Times New Roman" w:eastAsia="Times New Roman" w:hAnsi="Times New Roman"/>
                <w:sz w:val="11"/>
                <w:szCs w:val="11"/>
                <w:color w:val="auto"/>
              </w:rPr>
              <w:t>(1,227)</w:t>
            </w:r>
          </w:p>
        </w:tc>
        <w:tc>
          <w:tcPr>
            <w:tcW w:w="80" w:type="dxa"/>
            <w:vAlign w:val="bottom"/>
          </w:tcPr>
          <w:p>
            <w:pPr>
              <w:spacing w:after="0"/>
              <w:rPr>
                <w:sz w:val="13"/>
                <w:szCs w:val="13"/>
                <w:color w:val="auto"/>
              </w:rPr>
            </w:pPr>
          </w:p>
        </w:tc>
        <w:tc>
          <w:tcPr>
            <w:tcW w:w="280" w:type="dxa"/>
            <w:vAlign w:val="bottom"/>
          </w:tcPr>
          <w:p>
            <w:pPr>
              <w:spacing w:after="0"/>
              <w:rPr>
                <w:sz w:val="13"/>
                <w:szCs w:val="13"/>
                <w:color w:val="auto"/>
              </w:rPr>
            </w:pPr>
          </w:p>
        </w:tc>
        <w:tc>
          <w:tcPr>
            <w:tcW w:w="860" w:type="dxa"/>
            <w:vAlign w:val="bottom"/>
          </w:tcPr>
          <w:p>
            <w:pPr>
              <w:jc w:val="right"/>
              <w:spacing w:after="0"/>
              <w:rPr>
                <w:sz w:val="20"/>
                <w:szCs w:val="20"/>
                <w:color w:val="auto"/>
              </w:rPr>
            </w:pPr>
            <w:r>
              <w:rPr>
                <w:rFonts w:ascii="Times New Roman" w:cs="Times New Roman" w:eastAsia="Times New Roman" w:hAnsi="Times New Roman"/>
                <w:sz w:val="11"/>
                <w:szCs w:val="11"/>
                <w:color w:val="auto"/>
              </w:rPr>
              <w:t>660</w:t>
            </w:r>
          </w:p>
        </w:tc>
        <w:tc>
          <w:tcPr>
            <w:tcW w:w="0" w:type="dxa"/>
            <w:vAlign w:val="bottom"/>
          </w:tcPr>
          <w:p>
            <w:pPr>
              <w:spacing w:after="0"/>
              <w:rPr>
                <w:sz w:val="1"/>
                <w:szCs w:val="1"/>
                <w:color w:val="auto"/>
              </w:rPr>
            </w:pPr>
          </w:p>
        </w:tc>
      </w:tr>
      <w:tr>
        <w:trPr>
          <w:trHeight w:val="165"/>
        </w:trPr>
        <w:tc>
          <w:tcPr>
            <w:tcW w:w="7680" w:type="dxa"/>
            <w:vAlign w:val="bottom"/>
            <w:shd w:val="clear" w:color="auto" w:fill="CCEEFF"/>
          </w:tcPr>
          <w:p>
            <w:pPr>
              <w:ind w:left="520"/>
              <w:spacing w:after="0"/>
              <w:rPr>
                <w:sz w:val="20"/>
                <w:szCs w:val="20"/>
                <w:color w:val="auto"/>
              </w:rPr>
            </w:pPr>
            <w:r>
              <w:rPr>
                <w:rFonts w:ascii="Times New Roman" w:cs="Times New Roman" w:eastAsia="Times New Roman" w:hAnsi="Times New Roman"/>
                <w:sz w:val="11"/>
                <w:szCs w:val="11"/>
                <w:color w:val="auto"/>
              </w:rPr>
              <w:t>Accounts payable and accrued liabilities</w:t>
            </w:r>
          </w:p>
        </w:tc>
        <w:tc>
          <w:tcPr>
            <w:tcW w:w="740" w:type="dxa"/>
            <w:vAlign w:val="bottom"/>
            <w:shd w:val="clear" w:color="auto" w:fill="CCEEFF"/>
          </w:tcPr>
          <w:p>
            <w:pPr>
              <w:spacing w:after="0"/>
              <w:rPr>
                <w:sz w:val="14"/>
                <w:szCs w:val="14"/>
                <w:color w:val="auto"/>
              </w:rPr>
            </w:pPr>
          </w:p>
        </w:tc>
        <w:tc>
          <w:tcPr>
            <w:tcW w:w="4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1"/>
                <w:szCs w:val="11"/>
                <w:color w:val="auto"/>
              </w:rPr>
              <w:t>1,171</w:t>
            </w:r>
          </w:p>
        </w:tc>
        <w:tc>
          <w:tcPr>
            <w:tcW w:w="100" w:type="dxa"/>
            <w:vAlign w:val="bottom"/>
            <w:shd w:val="clear" w:color="auto" w:fill="CCEEFF"/>
          </w:tcPr>
          <w:p>
            <w:pPr>
              <w:spacing w:after="0"/>
              <w:rPr>
                <w:sz w:val="14"/>
                <w:szCs w:val="14"/>
                <w:color w:val="auto"/>
              </w:rPr>
            </w:pPr>
          </w:p>
        </w:tc>
        <w:tc>
          <w:tcPr>
            <w:tcW w:w="260" w:type="dxa"/>
            <w:vAlign w:val="bottom"/>
            <w:shd w:val="clear" w:color="auto" w:fill="CCEEFF"/>
          </w:tcPr>
          <w:p>
            <w:pPr>
              <w:spacing w:after="0"/>
              <w:rPr>
                <w:sz w:val="14"/>
                <w:szCs w:val="14"/>
                <w:color w:val="auto"/>
              </w:rPr>
            </w:pPr>
          </w:p>
        </w:tc>
        <w:tc>
          <w:tcPr>
            <w:tcW w:w="880" w:type="dxa"/>
            <w:vAlign w:val="bottom"/>
            <w:shd w:val="clear" w:color="auto" w:fill="CCEEFF"/>
          </w:tcPr>
          <w:p>
            <w:pPr>
              <w:jc w:val="right"/>
              <w:ind w:right="3"/>
              <w:spacing w:after="0"/>
              <w:rPr>
                <w:sz w:val="20"/>
                <w:szCs w:val="20"/>
                <w:color w:val="auto"/>
              </w:rPr>
            </w:pPr>
            <w:r>
              <w:rPr>
                <w:rFonts w:ascii="Times New Roman" w:cs="Times New Roman" w:eastAsia="Times New Roman" w:hAnsi="Times New Roman"/>
                <w:sz w:val="11"/>
                <w:szCs w:val="11"/>
                <w:color w:val="auto"/>
              </w:rPr>
              <w:t>283</w:t>
            </w:r>
          </w:p>
        </w:tc>
        <w:tc>
          <w:tcPr>
            <w:tcW w:w="80" w:type="dxa"/>
            <w:vAlign w:val="bottom"/>
            <w:shd w:val="clear" w:color="auto" w:fill="CCEEFF"/>
          </w:tcPr>
          <w:p>
            <w:pPr>
              <w:spacing w:after="0"/>
              <w:rPr>
                <w:sz w:val="14"/>
                <w:szCs w:val="14"/>
                <w:color w:val="auto"/>
              </w:rPr>
            </w:pPr>
          </w:p>
        </w:tc>
        <w:tc>
          <w:tcPr>
            <w:tcW w:w="280" w:type="dxa"/>
            <w:vAlign w:val="bottom"/>
            <w:shd w:val="clear" w:color="auto" w:fill="CCEEFF"/>
          </w:tcPr>
          <w:p>
            <w:pPr>
              <w:spacing w:after="0"/>
              <w:rPr>
                <w:sz w:val="14"/>
                <w:szCs w:val="14"/>
                <w:color w:val="auto"/>
              </w:rPr>
            </w:pPr>
          </w:p>
        </w:tc>
        <w:tc>
          <w:tcPr>
            <w:tcW w:w="8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1"/>
                <w:szCs w:val="11"/>
                <w:color w:val="auto"/>
              </w:rPr>
              <w:t>(447)</w:t>
            </w:r>
          </w:p>
        </w:tc>
        <w:tc>
          <w:tcPr>
            <w:tcW w:w="0" w:type="dxa"/>
            <w:vAlign w:val="bottom"/>
          </w:tcPr>
          <w:p>
            <w:pPr>
              <w:spacing w:after="0"/>
              <w:rPr>
                <w:sz w:val="1"/>
                <w:szCs w:val="1"/>
                <w:color w:val="auto"/>
              </w:rPr>
            </w:pPr>
          </w:p>
        </w:tc>
      </w:tr>
      <w:tr>
        <w:trPr>
          <w:trHeight w:val="153"/>
        </w:trPr>
        <w:tc>
          <w:tcPr>
            <w:tcW w:w="7680" w:type="dxa"/>
            <w:vAlign w:val="bottom"/>
          </w:tcPr>
          <w:p>
            <w:pPr>
              <w:ind w:left="520"/>
              <w:spacing w:after="0"/>
              <w:rPr>
                <w:sz w:val="20"/>
                <w:szCs w:val="20"/>
                <w:color w:val="auto"/>
              </w:rPr>
            </w:pPr>
            <w:r>
              <w:rPr>
                <w:rFonts w:ascii="Times New Roman" w:cs="Times New Roman" w:eastAsia="Times New Roman" w:hAnsi="Times New Roman"/>
                <w:sz w:val="11"/>
                <w:szCs w:val="11"/>
                <w:color w:val="auto"/>
              </w:rPr>
              <w:t>Compensation and benefits payable</w:t>
            </w:r>
          </w:p>
        </w:tc>
        <w:tc>
          <w:tcPr>
            <w:tcW w:w="740" w:type="dxa"/>
            <w:vAlign w:val="bottom"/>
          </w:tcPr>
          <w:p>
            <w:pPr>
              <w:spacing w:after="0"/>
              <w:rPr>
                <w:sz w:val="13"/>
                <w:szCs w:val="13"/>
                <w:color w:val="auto"/>
              </w:rPr>
            </w:pPr>
          </w:p>
        </w:tc>
        <w:tc>
          <w:tcPr>
            <w:tcW w:w="400" w:type="dxa"/>
            <w:vAlign w:val="bottom"/>
          </w:tcPr>
          <w:p>
            <w:pPr>
              <w:jc w:val="right"/>
              <w:spacing w:after="0"/>
              <w:rPr>
                <w:sz w:val="20"/>
                <w:szCs w:val="20"/>
                <w:color w:val="auto"/>
              </w:rPr>
            </w:pPr>
            <w:r>
              <w:rPr>
                <w:rFonts w:ascii="Times New Roman" w:cs="Times New Roman" w:eastAsia="Times New Roman" w:hAnsi="Times New Roman"/>
                <w:sz w:val="11"/>
                <w:szCs w:val="11"/>
                <w:color w:val="auto"/>
              </w:rPr>
              <w:t>2,702</w:t>
            </w:r>
          </w:p>
        </w:tc>
        <w:tc>
          <w:tcPr>
            <w:tcW w:w="100" w:type="dxa"/>
            <w:vAlign w:val="bottom"/>
          </w:tcPr>
          <w:p>
            <w:pPr>
              <w:spacing w:after="0"/>
              <w:rPr>
                <w:sz w:val="13"/>
                <w:szCs w:val="13"/>
                <w:color w:val="auto"/>
              </w:rPr>
            </w:pPr>
          </w:p>
        </w:tc>
        <w:tc>
          <w:tcPr>
            <w:tcW w:w="260" w:type="dxa"/>
            <w:vAlign w:val="bottom"/>
          </w:tcPr>
          <w:p>
            <w:pPr>
              <w:spacing w:after="0"/>
              <w:rPr>
                <w:sz w:val="13"/>
                <w:szCs w:val="13"/>
                <w:color w:val="auto"/>
              </w:rPr>
            </w:pPr>
          </w:p>
        </w:tc>
        <w:tc>
          <w:tcPr>
            <w:tcW w:w="880" w:type="dxa"/>
            <w:vAlign w:val="bottom"/>
          </w:tcPr>
          <w:p>
            <w:pPr>
              <w:jc w:val="right"/>
              <w:ind w:right="3"/>
              <w:spacing w:after="0"/>
              <w:rPr>
                <w:sz w:val="20"/>
                <w:szCs w:val="20"/>
                <w:color w:val="auto"/>
              </w:rPr>
            </w:pPr>
            <w:r>
              <w:rPr>
                <w:rFonts w:ascii="Times New Roman" w:cs="Times New Roman" w:eastAsia="Times New Roman" w:hAnsi="Times New Roman"/>
                <w:sz w:val="11"/>
                <w:szCs w:val="11"/>
                <w:color w:val="auto"/>
              </w:rPr>
              <w:t>1,385</w:t>
            </w:r>
          </w:p>
        </w:tc>
        <w:tc>
          <w:tcPr>
            <w:tcW w:w="80" w:type="dxa"/>
            <w:vAlign w:val="bottom"/>
          </w:tcPr>
          <w:p>
            <w:pPr>
              <w:spacing w:after="0"/>
              <w:rPr>
                <w:sz w:val="13"/>
                <w:szCs w:val="13"/>
                <w:color w:val="auto"/>
              </w:rPr>
            </w:pPr>
          </w:p>
        </w:tc>
        <w:tc>
          <w:tcPr>
            <w:tcW w:w="280" w:type="dxa"/>
            <w:vAlign w:val="bottom"/>
          </w:tcPr>
          <w:p>
            <w:pPr>
              <w:spacing w:after="0"/>
              <w:rPr>
                <w:sz w:val="13"/>
                <w:szCs w:val="13"/>
                <w:color w:val="auto"/>
              </w:rPr>
            </w:pPr>
          </w:p>
        </w:tc>
        <w:tc>
          <w:tcPr>
            <w:tcW w:w="860" w:type="dxa"/>
            <w:vAlign w:val="bottom"/>
          </w:tcPr>
          <w:p>
            <w:pPr>
              <w:jc w:val="right"/>
              <w:spacing w:after="0"/>
              <w:rPr>
                <w:sz w:val="20"/>
                <w:szCs w:val="20"/>
                <w:color w:val="auto"/>
              </w:rPr>
            </w:pPr>
            <w:r>
              <w:rPr>
                <w:rFonts w:ascii="Times New Roman" w:cs="Times New Roman" w:eastAsia="Times New Roman" w:hAnsi="Times New Roman"/>
                <w:sz w:val="11"/>
                <w:szCs w:val="11"/>
                <w:color w:val="auto"/>
              </w:rPr>
              <w:t>851</w:t>
            </w:r>
          </w:p>
        </w:tc>
        <w:tc>
          <w:tcPr>
            <w:tcW w:w="0" w:type="dxa"/>
            <w:vAlign w:val="bottom"/>
          </w:tcPr>
          <w:p>
            <w:pPr>
              <w:spacing w:after="0"/>
              <w:rPr>
                <w:sz w:val="1"/>
                <w:szCs w:val="1"/>
                <w:color w:val="auto"/>
              </w:rPr>
            </w:pPr>
          </w:p>
        </w:tc>
      </w:tr>
      <w:tr>
        <w:trPr>
          <w:trHeight w:val="165"/>
        </w:trPr>
        <w:tc>
          <w:tcPr>
            <w:tcW w:w="7680" w:type="dxa"/>
            <w:vAlign w:val="bottom"/>
            <w:shd w:val="clear" w:color="auto" w:fill="CCEEFF"/>
          </w:tcPr>
          <w:p>
            <w:pPr>
              <w:ind w:left="520"/>
              <w:spacing w:after="0"/>
              <w:rPr>
                <w:sz w:val="20"/>
                <w:szCs w:val="20"/>
                <w:color w:val="auto"/>
              </w:rPr>
            </w:pPr>
            <w:r>
              <w:rPr>
                <w:rFonts w:ascii="Times New Roman" w:cs="Times New Roman" w:eastAsia="Times New Roman" w:hAnsi="Times New Roman"/>
                <w:sz w:val="11"/>
                <w:szCs w:val="11"/>
                <w:color w:val="auto"/>
              </w:rPr>
              <w:t>Income taxes receivable and payable</w:t>
            </w:r>
          </w:p>
        </w:tc>
        <w:tc>
          <w:tcPr>
            <w:tcW w:w="740" w:type="dxa"/>
            <w:vAlign w:val="bottom"/>
            <w:shd w:val="clear" w:color="auto" w:fill="CCEEFF"/>
          </w:tcPr>
          <w:p>
            <w:pPr>
              <w:spacing w:after="0"/>
              <w:rPr>
                <w:sz w:val="14"/>
                <w:szCs w:val="14"/>
                <w:color w:val="auto"/>
              </w:rPr>
            </w:pPr>
          </w:p>
        </w:tc>
        <w:tc>
          <w:tcPr>
            <w:tcW w:w="4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1"/>
                <w:szCs w:val="11"/>
                <w:color w:val="auto"/>
              </w:rPr>
              <w:t>1,788</w:t>
            </w:r>
          </w:p>
        </w:tc>
        <w:tc>
          <w:tcPr>
            <w:tcW w:w="100" w:type="dxa"/>
            <w:vAlign w:val="bottom"/>
            <w:shd w:val="clear" w:color="auto" w:fill="CCEEFF"/>
          </w:tcPr>
          <w:p>
            <w:pPr>
              <w:spacing w:after="0"/>
              <w:rPr>
                <w:sz w:val="14"/>
                <w:szCs w:val="14"/>
                <w:color w:val="auto"/>
              </w:rPr>
            </w:pPr>
          </w:p>
        </w:tc>
        <w:tc>
          <w:tcPr>
            <w:tcW w:w="260" w:type="dxa"/>
            <w:vAlign w:val="bottom"/>
            <w:shd w:val="clear" w:color="auto" w:fill="CCEEFF"/>
          </w:tcPr>
          <w:p>
            <w:pPr>
              <w:spacing w:after="0"/>
              <w:rPr>
                <w:sz w:val="14"/>
                <w:szCs w:val="14"/>
                <w:color w:val="auto"/>
              </w:rPr>
            </w:pPr>
          </w:p>
        </w:tc>
        <w:tc>
          <w:tcPr>
            <w:tcW w:w="8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1"/>
                <w:szCs w:val="11"/>
                <w:color w:val="auto"/>
              </w:rPr>
              <w:t>(90)</w:t>
            </w:r>
          </w:p>
        </w:tc>
        <w:tc>
          <w:tcPr>
            <w:tcW w:w="80" w:type="dxa"/>
            <w:vAlign w:val="bottom"/>
            <w:shd w:val="clear" w:color="auto" w:fill="CCEEFF"/>
          </w:tcPr>
          <w:p>
            <w:pPr>
              <w:spacing w:after="0"/>
              <w:rPr>
                <w:sz w:val="14"/>
                <w:szCs w:val="14"/>
                <w:color w:val="auto"/>
              </w:rPr>
            </w:pPr>
          </w:p>
        </w:tc>
        <w:tc>
          <w:tcPr>
            <w:tcW w:w="280" w:type="dxa"/>
            <w:vAlign w:val="bottom"/>
            <w:shd w:val="clear" w:color="auto" w:fill="CCEEFF"/>
          </w:tcPr>
          <w:p>
            <w:pPr>
              <w:spacing w:after="0"/>
              <w:rPr>
                <w:sz w:val="14"/>
                <w:szCs w:val="14"/>
                <w:color w:val="auto"/>
              </w:rPr>
            </w:pPr>
          </w:p>
        </w:tc>
        <w:tc>
          <w:tcPr>
            <w:tcW w:w="8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1"/>
                <w:szCs w:val="11"/>
                <w:color w:val="auto"/>
              </w:rPr>
              <w:t>241</w:t>
            </w:r>
          </w:p>
        </w:tc>
        <w:tc>
          <w:tcPr>
            <w:tcW w:w="0" w:type="dxa"/>
            <w:vAlign w:val="bottom"/>
          </w:tcPr>
          <w:p>
            <w:pPr>
              <w:spacing w:after="0"/>
              <w:rPr>
                <w:sz w:val="1"/>
                <w:szCs w:val="1"/>
                <w:color w:val="auto"/>
              </w:rPr>
            </w:pPr>
          </w:p>
        </w:tc>
      </w:tr>
      <w:tr>
        <w:trPr>
          <w:trHeight w:val="153"/>
        </w:trPr>
        <w:tc>
          <w:tcPr>
            <w:tcW w:w="7680" w:type="dxa"/>
            <w:vAlign w:val="bottom"/>
          </w:tcPr>
          <w:p>
            <w:pPr>
              <w:ind w:left="520"/>
              <w:spacing w:after="0"/>
              <w:rPr>
                <w:sz w:val="20"/>
                <w:szCs w:val="20"/>
                <w:color w:val="auto"/>
              </w:rPr>
            </w:pPr>
            <w:r>
              <w:rPr>
                <w:rFonts w:ascii="Times New Roman" w:cs="Times New Roman" w:eastAsia="Times New Roman" w:hAnsi="Times New Roman"/>
                <w:sz w:val="11"/>
                <w:szCs w:val="11"/>
                <w:color w:val="auto"/>
              </w:rPr>
              <w:t>Operating lease liabilities</w:t>
            </w:r>
          </w:p>
        </w:tc>
        <w:tc>
          <w:tcPr>
            <w:tcW w:w="740" w:type="dxa"/>
            <w:vAlign w:val="bottom"/>
          </w:tcPr>
          <w:p>
            <w:pPr>
              <w:spacing w:after="0"/>
              <w:rPr>
                <w:sz w:val="13"/>
                <w:szCs w:val="13"/>
                <w:color w:val="auto"/>
              </w:rPr>
            </w:pPr>
          </w:p>
        </w:tc>
        <w:tc>
          <w:tcPr>
            <w:tcW w:w="400" w:type="dxa"/>
            <w:vAlign w:val="bottom"/>
          </w:tcPr>
          <w:p>
            <w:pPr>
              <w:jc w:val="right"/>
              <w:spacing w:after="0"/>
              <w:rPr>
                <w:sz w:val="20"/>
                <w:szCs w:val="20"/>
                <w:color w:val="auto"/>
              </w:rPr>
            </w:pPr>
            <w:r>
              <w:rPr>
                <w:rFonts w:ascii="Times New Roman" w:cs="Times New Roman" w:eastAsia="Times New Roman" w:hAnsi="Times New Roman"/>
                <w:sz w:val="11"/>
                <w:szCs w:val="11"/>
                <w:color w:val="auto"/>
              </w:rPr>
              <w:t>(1,148)</w:t>
            </w:r>
          </w:p>
        </w:tc>
        <w:tc>
          <w:tcPr>
            <w:tcW w:w="100" w:type="dxa"/>
            <w:vAlign w:val="bottom"/>
          </w:tcPr>
          <w:p>
            <w:pPr>
              <w:spacing w:after="0"/>
              <w:rPr>
                <w:sz w:val="13"/>
                <w:szCs w:val="13"/>
                <w:color w:val="auto"/>
              </w:rPr>
            </w:pPr>
          </w:p>
        </w:tc>
        <w:tc>
          <w:tcPr>
            <w:tcW w:w="260" w:type="dxa"/>
            <w:vAlign w:val="bottom"/>
          </w:tcPr>
          <w:p>
            <w:pPr>
              <w:spacing w:after="0"/>
              <w:rPr>
                <w:sz w:val="13"/>
                <w:szCs w:val="13"/>
                <w:color w:val="auto"/>
              </w:rPr>
            </w:pPr>
          </w:p>
        </w:tc>
        <w:tc>
          <w:tcPr>
            <w:tcW w:w="880" w:type="dxa"/>
            <w:vAlign w:val="bottom"/>
          </w:tcPr>
          <w:p>
            <w:pPr>
              <w:jc w:val="right"/>
              <w:spacing w:after="0"/>
              <w:rPr>
                <w:sz w:val="20"/>
                <w:szCs w:val="20"/>
                <w:color w:val="auto"/>
              </w:rPr>
            </w:pPr>
            <w:r>
              <w:rPr>
                <w:rFonts w:ascii="Times New Roman" w:cs="Times New Roman" w:eastAsia="Times New Roman" w:hAnsi="Times New Roman"/>
                <w:sz w:val="11"/>
                <w:szCs w:val="11"/>
                <w:color w:val="auto"/>
              </w:rPr>
              <w:t>(1,402)</w:t>
            </w:r>
          </w:p>
        </w:tc>
        <w:tc>
          <w:tcPr>
            <w:tcW w:w="80" w:type="dxa"/>
            <w:vAlign w:val="bottom"/>
          </w:tcPr>
          <w:p>
            <w:pPr>
              <w:spacing w:after="0"/>
              <w:rPr>
                <w:sz w:val="13"/>
                <w:szCs w:val="13"/>
                <w:color w:val="auto"/>
              </w:rPr>
            </w:pPr>
          </w:p>
        </w:tc>
        <w:tc>
          <w:tcPr>
            <w:tcW w:w="280" w:type="dxa"/>
            <w:vAlign w:val="bottom"/>
          </w:tcPr>
          <w:p>
            <w:pPr>
              <w:spacing w:after="0"/>
              <w:rPr>
                <w:sz w:val="13"/>
                <w:szCs w:val="13"/>
                <w:color w:val="auto"/>
              </w:rPr>
            </w:pPr>
          </w:p>
        </w:tc>
        <w:tc>
          <w:tcPr>
            <w:tcW w:w="860" w:type="dxa"/>
            <w:vAlign w:val="bottom"/>
          </w:tcPr>
          <w:p>
            <w:pPr>
              <w:jc w:val="right"/>
              <w:spacing w:after="0"/>
              <w:rPr>
                <w:sz w:val="20"/>
                <w:szCs w:val="20"/>
                <w:color w:val="auto"/>
              </w:rPr>
            </w:pPr>
            <w:r>
              <w:rPr>
                <w:rFonts w:ascii="Times New Roman" w:cs="Times New Roman" w:eastAsia="Times New Roman" w:hAnsi="Times New Roman"/>
                <w:sz w:val="11"/>
                <w:szCs w:val="11"/>
                <w:color w:val="auto"/>
              </w:rPr>
              <w:t>(1,406)</w:t>
            </w:r>
          </w:p>
        </w:tc>
        <w:tc>
          <w:tcPr>
            <w:tcW w:w="0" w:type="dxa"/>
            <w:vAlign w:val="bottom"/>
          </w:tcPr>
          <w:p>
            <w:pPr>
              <w:spacing w:after="0"/>
              <w:rPr>
                <w:sz w:val="1"/>
                <w:szCs w:val="1"/>
                <w:color w:val="auto"/>
              </w:rPr>
            </w:pPr>
          </w:p>
        </w:tc>
      </w:tr>
      <w:tr>
        <w:trPr>
          <w:trHeight w:val="165"/>
        </w:trPr>
        <w:tc>
          <w:tcPr>
            <w:tcW w:w="7680" w:type="dxa"/>
            <w:vAlign w:val="bottom"/>
            <w:shd w:val="clear" w:color="auto" w:fill="CCEEFF"/>
          </w:tcPr>
          <w:p>
            <w:pPr>
              <w:ind w:left="280"/>
              <w:spacing w:after="0"/>
              <w:rPr>
                <w:sz w:val="20"/>
                <w:szCs w:val="20"/>
                <w:color w:val="auto"/>
              </w:rPr>
            </w:pPr>
            <w:r>
              <w:rPr>
                <w:rFonts w:ascii="Times New Roman" w:cs="Times New Roman" w:eastAsia="Times New Roman" w:hAnsi="Times New Roman"/>
                <w:sz w:val="11"/>
                <w:szCs w:val="11"/>
                <w:color w:val="auto"/>
              </w:rPr>
              <w:t>Net sales of equity investments</w:t>
            </w:r>
          </w:p>
        </w:tc>
        <w:tc>
          <w:tcPr>
            <w:tcW w:w="740" w:type="dxa"/>
            <w:vAlign w:val="bottom"/>
            <w:shd w:val="clear" w:color="auto" w:fill="CCEEFF"/>
          </w:tcPr>
          <w:p>
            <w:pPr>
              <w:spacing w:after="0"/>
              <w:rPr>
                <w:sz w:val="14"/>
                <w:szCs w:val="14"/>
                <w:color w:val="auto"/>
              </w:rPr>
            </w:pPr>
          </w:p>
        </w:tc>
        <w:tc>
          <w:tcPr>
            <w:tcW w:w="4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1"/>
                <w:szCs w:val="11"/>
                <w:color w:val="auto"/>
              </w:rPr>
              <w:t>6,390</w:t>
            </w:r>
          </w:p>
        </w:tc>
        <w:tc>
          <w:tcPr>
            <w:tcW w:w="100" w:type="dxa"/>
            <w:vAlign w:val="bottom"/>
            <w:shd w:val="clear" w:color="auto" w:fill="CCEEFF"/>
          </w:tcPr>
          <w:p>
            <w:pPr>
              <w:spacing w:after="0"/>
              <w:rPr>
                <w:sz w:val="14"/>
                <w:szCs w:val="14"/>
                <w:color w:val="auto"/>
              </w:rPr>
            </w:pPr>
          </w:p>
        </w:tc>
        <w:tc>
          <w:tcPr>
            <w:tcW w:w="260" w:type="dxa"/>
            <w:vAlign w:val="bottom"/>
            <w:shd w:val="clear" w:color="auto" w:fill="CCEEFF"/>
          </w:tcPr>
          <w:p>
            <w:pPr>
              <w:spacing w:after="0"/>
              <w:rPr>
                <w:sz w:val="14"/>
                <w:szCs w:val="14"/>
                <w:color w:val="auto"/>
              </w:rPr>
            </w:pPr>
          </w:p>
        </w:tc>
        <w:tc>
          <w:tcPr>
            <w:tcW w:w="880" w:type="dxa"/>
            <w:vAlign w:val="bottom"/>
            <w:shd w:val="clear" w:color="auto" w:fill="CCEEFF"/>
          </w:tcPr>
          <w:p>
            <w:pPr>
              <w:jc w:val="right"/>
              <w:ind w:right="3"/>
              <w:spacing w:after="0"/>
              <w:rPr>
                <w:sz w:val="20"/>
                <w:szCs w:val="20"/>
                <w:color w:val="auto"/>
              </w:rPr>
            </w:pPr>
            <w:r>
              <w:rPr>
                <w:rFonts w:ascii="Times New Roman" w:cs="Times New Roman" w:eastAsia="Times New Roman" w:hAnsi="Times New Roman"/>
                <w:sz w:val="11"/>
                <w:szCs w:val="11"/>
                <w:color w:val="auto"/>
              </w:rPr>
              <w:t>6,046</w:t>
            </w:r>
          </w:p>
        </w:tc>
        <w:tc>
          <w:tcPr>
            <w:tcW w:w="80" w:type="dxa"/>
            <w:vAlign w:val="bottom"/>
            <w:shd w:val="clear" w:color="auto" w:fill="CCEEFF"/>
          </w:tcPr>
          <w:p>
            <w:pPr>
              <w:spacing w:after="0"/>
              <w:rPr>
                <w:sz w:val="14"/>
                <w:szCs w:val="14"/>
                <w:color w:val="auto"/>
              </w:rPr>
            </w:pPr>
          </w:p>
        </w:tc>
        <w:tc>
          <w:tcPr>
            <w:tcW w:w="280" w:type="dxa"/>
            <w:vAlign w:val="bottom"/>
            <w:shd w:val="clear" w:color="auto" w:fill="CCEEFF"/>
          </w:tcPr>
          <w:p>
            <w:pPr>
              <w:spacing w:after="0"/>
              <w:rPr>
                <w:sz w:val="14"/>
                <w:szCs w:val="14"/>
                <w:color w:val="auto"/>
              </w:rPr>
            </w:pPr>
          </w:p>
        </w:tc>
        <w:tc>
          <w:tcPr>
            <w:tcW w:w="8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1"/>
                <w:szCs w:val="11"/>
                <w:color w:val="auto"/>
              </w:rPr>
              <w:t>(16,609)</w:t>
            </w:r>
          </w:p>
        </w:tc>
        <w:tc>
          <w:tcPr>
            <w:tcW w:w="0" w:type="dxa"/>
            <w:vAlign w:val="bottom"/>
          </w:tcPr>
          <w:p>
            <w:pPr>
              <w:spacing w:after="0"/>
              <w:rPr>
                <w:sz w:val="1"/>
                <w:szCs w:val="1"/>
                <w:color w:val="auto"/>
              </w:rPr>
            </w:pPr>
          </w:p>
        </w:tc>
      </w:tr>
      <w:tr>
        <w:trPr>
          <w:trHeight w:val="153"/>
        </w:trPr>
        <w:tc>
          <w:tcPr>
            <w:tcW w:w="7680" w:type="dxa"/>
            <w:vAlign w:val="bottom"/>
          </w:tcPr>
          <w:p>
            <w:pPr>
              <w:ind w:left="280"/>
              <w:spacing w:after="0"/>
              <w:rPr>
                <w:sz w:val="20"/>
                <w:szCs w:val="20"/>
                <w:color w:val="auto"/>
              </w:rPr>
            </w:pPr>
            <w:r>
              <w:rPr>
                <w:rFonts w:ascii="Times New Roman" w:cs="Times New Roman" w:eastAsia="Times New Roman" w:hAnsi="Times New Roman"/>
                <w:sz w:val="11"/>
                <w:szCs w:val="11"/>
                <w:color w:val="auto"/>
              </w:rPr>
              <w:t>Contingent consideration</w:t>
            </w:r>
          </w:p>
        </w:tc>
        <w:tc>
          <w:tcPr>
            <w:tcW w:w="740" w:type="dxa"/>
            <w:vAlign w:val="bottom"/>
          </w:tcPr>
          <w:p>
            <w:pPr>
              <w:spacing w:after="0"/>
              <w:rPr>
                <w:sz w:val="13"/>
                <w:szCs w:val="13"/>
                <w:color w:val="auto"/>
              </w:rPr>
            </w:pPr>
          </w:p>
        </w:tc>
        <w:tc>
          <w:tcPr>
            <w:tcW w:w="400" w:type="dxa"/>
            <w:vAlign w:val="bottom"/>
          </w:tcPr>
          <w:p>
            <w:pPr>
              <w:jc w:val="right"/>
              <w:spacing w:after="0"/>
              <w:rPr>
                <w:sz w:val="20"/>
                <w:szCs w:val="20"/>
                <w:color w:val="auto"/>
              </w:rPr>
            </w:pPr>
            <w:r>
              <w:rPr>
                <w:rFonts w:ascii="Times New Roman" w:cs="Times New Roman" w:eastAsia="Times New Roman" w:hAnsi="Times New Roman"/>
                <w:sz w:val="11"/>
                <w:szCs w:val="11"/>
                <w:color w:val="auto"/>
              </w:rPr>
              <w:t>(4,442)</w:t>
            </w:r>
          </w:p>
        </w:tc>
        <w:tc>
          <w:tcPr>
            <w:tcW w:w="100" w:type="dxa"/>
            <w:vAlign w:val="bottom"/>
          </w:tcPr>
          <w:p>
            <w:pPr>
              <w:spacing w:after="0"/>
              <w:rPr>
                <w:sz w:val="13"/>
                <w:szCs w:val="13"/>
                <w:color w:val="auto"/>
              </w:rPr>
            </w:pPr>
          </w:p>
        </w:tc>
        <w:tc>
          <w:tcPr>
            <w:tcW w:w="260" w:type="dxa"/>
            <w:vAlign w:val="bottom"/>
          </w:tcPr>
          <w:p>
            <w:pPr>
              <w:spacing w:after="0"/>
              <w:rPr>
                <w:sz w:val="13"/>
                <w:szCs w:val="13"/>
                <w:color w:val="auto"/>
              </w:rPr>
            </w:pPr>
          </w:p>
        </w:tc>
        <w:tc>
          <w:tcPr>
            <w:tcW w:w="960" w:type="dxa"/>
            <w:vAlign w:val="bottom"/>
            <w:gridSpan w:val="2"/>
          </w:tcPr>
          <w:p>
            <w:pPr>
              <w:jc w:val="right"/>
              <w:ind w:right="140"/>
              <w:spacing w:after="0"/>
              <w:rPr>
                <w:sz w:val="20"/>
                <w:szCs w:val="20"/>
                <w:color w:val="auto"/>
              </w:rPr>
            </w:pPr>
            <w:r>
              <w:rPr>
                <w:rFonts w:ascii="Times New Roman" w:cs="Times New Roman" w:eastAsia="Times New Roman" w:hAnsi="Times New Roman"/>
                <w:sz w:val="11"/>
                <w:szCs w:val="11"/>
                <w:color w:val="auto"/>
              </w:rPr>
              <w:t>—</w:t>
            </w:r>
          </w:p>
        </w:tc>
        <w:tc>
          <w:tcPr>
            <w:tcW w:w="280" w:type="dxa"/>
            <w:vAlign w:val="bottom"/>
          </w:tcPr>
          <w:p>
            <w:pPr>
              <w:spacing w:after="0"/>
              <w:rPr>
                <w:sz w:val="13"/>
                <w:szCs w:val="13"/>
                <w:color w:val="auto"/>
              </w:rPr>
            </w:pPr>
          </w:p>
        </w:tc>
        <w:tc>
          <w:tcPr>
            <w:tcW w:w="860" w:type="dxa"/>
            <w:vAlign w:val="bottom"/>
          </w:tcPr>
          <w:p>
            <w:pPr>
              <w:jc w:val="right"/>
              <w:spacing w:after="0"/>
              <w:rPr>
                <w:sz w:val="20"/>
                <w:szCs w:val="20"/>
                <w:color w:val="auto"/>
              </w:rPr>
            </w:pPr>
            <w:r>
              <w:rPr>
                <w:rFonts w:ascii="Times New Roman" w:cs="Times New Roman" w:eastAsia="Times New Roman" w:hAnsi="Times New Roman"/>
                <w:sz w:val="11"/>
                <w:szCs w:val="11"/>
                <w:color w:val="auto"/>
              </w:rPr>
              <w:t>—</w:t>
            </w:r>
          </w:p>
        </w:tc>
        <w:tc>
          <w:tcPr>
            <w:tcW w:w="0" w:type="dxa"/>
            <w:vAlign w:val="bottom"/>
          </w:tcPr>
          <w:p>
            <w:pPr>
              <w:spacing w:after="0"/>
              <w:rPr>
                <w:sz w:val="1"/>
                <w:szCs w:val="1"/>
                <w:color w:val="auto"/>
              </w:rPr>
            </w:pPr>
          </w:p>
        </w:tc>
      </w:tr>
      <w:tr>
        <w:trPr>
          <w:trHeight w:val="156"/>
        </w:trPr>
        <w:tc>
          <w:tcPr>
            <w:tcW w:w="7680" w:type="dxa"/>
            <w:vAlign w:val="bottom"/>
            <w:tcBorders>
              <w:top w:val="single" w:sz="8" w:color="CCEEFF"/>
            </w:tcBorders>
            <w:shd w:val="clear" w:color="auto" w:fill="CCEEFF"/>
          </w:tcPr>
          <w:p>
            <w:pPr>
              <w:ind w:left="780"/>
              <w:spacing w:after="0"/>
              <w:rPr>
                <w:sz w:val="20"/>
                <w:szCs w:val="20"/>
                <w:color w:val="auto"/>
              </w:rPr>
            </w:pPr>
            <w:r>
              <w:rPr>
                <w:rFonts w:ascii="Times New Roman" w:cs="Times New Roman" w:eastAsia="Times New Roman" w:hAnsi="Times New Roman"/>
                <w:sz w:val="11"/>
                <w:szCs w:val="11"/>
                <w:color w:val="auto"/>
              </w:rPr>
              <w:t>Net cash provided by (used in) operating activities</w:t>
            </w:r>
          </w:p>
        </w:tc>
        <w:tc>
          <w:tcPr>
            <w:tcW w:w="740" w:type="dxa"/>
            <w:vAlign w:val="bottom"/>
            <w:tcBorders>
              <w:top w:val="single" w:sz="8" w:color="auto"/>
              <w:bottom w:val="single" w:sz="8" w:color="auto"/>
            </w:tcBorders>
            <w:shd w:val="clear" w:color="auto" w:fill="CCEEFF"/>
          </w:tcPr>
          <w:p>
            <w:pPr>
              <w:spacing w:after="0"/>
              <w:rPr>
                <w:sz w:val="13"/>
                <w:szCs w:val="13"/>
                <w:color w:val="auto"/>
              </w:rPr>
            </w:pPr>
          </w:p>
        </w:tc>
        <w:tc>
          <w:tcPr>
            <w:tcW w:w="4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1"/>
                <w:szCs w:val="11"/>
                <w:color w:val="auto"/>
              </w:rPr>
              <w:t>18,922</w:t>
            </w:r>
          </w:p>
        </w:tc>
        <w:tc>
          <w:tcPr>
            <w:tcW w:w="100" w:type="dxa"/>
            <w:vAlign w:val="bottom"/>
            <w:tcBorders>
              <w:top w:val="single" w:sz="8" w:color="CCEEFF"/>
            </w:tcBorders>
            <w:shd w:val="clear" w:color="auto" w:fill="CCEEFF"/>
          </w:tcPr>
          <w:p>
            <w:pPr>
              <w:spacing w:after="0"/>
              <w:rPr>
                <w:sz w:val="13"/>
                <w:szCs w:val="13"/>
                <w:color w:val="auto"/>
              </w:rPr>
            </w:pPr>
          </w:p>
        </w:tc>
        <w:tc>
          <w:tcPr>
            <w:tcW w:w="260" w:type="dxa"/>
            <w:vAlign w:val="bottom"/>
            <w:tcBorders>
              <w:top w:val="single" w:sz="8" w:color="auto"/>
              <w:bottom w:val="single" w:sz="8" w:color="auto"/>
            </w:tcBorders>
            <w:shd w:val="clear" w:color="auto" w:fill="CCEEFF"/>
          </w:tcPr>
          <w:p>
            <w:pPr>
              <w:spacing w:after="0"/>
              <w:rPr>
                <w:sz w:val="13"/>
                <w:szCs w:val="13"/>
                <w:color w:val="auto"/>
              </w:rPr>
            </w:pPr>
          </w:p>
        </w:tc>
        <w:tc>
          <w:tcPr>
            <w:tcW w:w="880" w:type="dxa"/>
            <w:vAlign w:val="bottom"/>
            <w:tcBorders>
              <w:top w:val="single" w:sz="8" w:color="auto"/>
              <w:bottom w:val="single" w:sz="8" w:color="auto"/>
            </w:tcBorders>
            <w:shd w:val="clear" w:color="auto" w:fill="CCEEFF"/>
          </w:tcPr>
          <w:p>
            <w:pPr>
              <w:jc w:val="right"/>
              <w:ind w:right="3"/>
              <w:spacing w:after="0"/>
              <w:rPr>
                <w:sz w:val="20"/>
                <w:szCs w:val="20"/>
                <w:color w:val="auto"/>
              </w:rPr>
            </w:pPr>
            <w:r>
              <w:rPr>
                <w:rFonts w:ascii="Times New Roman" w:cs="Times New Roman" w:eastAsia="Times New Roman" w:hAnsi="Times New Roman"/>
                <w:sz w:val="11"/>
                <w:szCs w:val="11"/>
                <w:color w:val="auto"/>
              </w:rPr>
              <w:t>21,122</w:t>
            </w:r>
          </w:p>
        </w:tc>
        <w:tc>
          <w:tcPr>
            <w:tcW w:w="80" w:type="dxa"/>
            <w:vAlign w:val="bottom"/>
            <w:tcBorders>
              <w:top w:val="single" w:sz="8" w:color="CCEEFF"/>
            </w:tcBorders>
            <w:shd w:val="clear" w:color="auto" w:fill="CCEEFF"/>
          </w:tcPr>
          <w:p>
            <w:pPr>
              <w:spacing w:after="0"/>
              <w:rPr>
                <w:sz w:val="13"/>
                <w:szCs w:val="13"/>
                <w:color w:val="auto"/>
              </w:rPr>
            </w:pPr>
          </w:p>
        </w:tc>
        <w:tc>
          <w:tcPr>
            <w:tcW w:w="280" w:type="dxa"/>
            <w:vAlign w:val="bottom"/>
            <w:tcBorders>
              <w:top w:val="single" w:sz="8" w:color="auto"/>
              <w:bottom w:val="single" w:sz="8" w:color="auto"/>
            </w:tcBorders>
            <w:shd w:val="clear" w:color="auto" w:fill="CCEEFF"/>
          </w:tcPr>
          <w:p>
            <w:pPr>
              <w:spacing w:after="0"/>
              <w:rPr>
                <w:sz w:val="13"/>
                <w:szCs w:val="13"/>
                <w:color w:val="auto"/>
              </w:rPr>
            </w:pPr>
          </w:p>
        </w:tc>
        <w:tc>
          <w:tcPr>
            <w:tcW w:w="86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1"/>
                <w:szCs w:val="11"/>
                <w:color w:val="auto"/>
              </w:rPr>
              <w:t>(1,185)</w:t>
            </w:r>
          </w:p>
        </w:tc>
        <w:tc>
          <w:tcPr>
            <w:tcW w:w="0" w:type="dxa"/>
            <w:vAlign w:val="bottom"/>
          </w:tcPr>
          <w:p>
            <w:pPr>
              <w:spacing w:after="0"/>
              <w:rPr>
                <w:sz w:val="1"/>
                <w:szCs w:val="1"/>
                <w:color w:val="auto"/>
              </w:rPr>
            </w:pPr>
          </w:p>
        </w:tc>
      </w:tr>
      <w:tr>
        <w:trPr>
          <w:trHeight w:val="129"/>
        </w:trPr>
        <w:tc>
          <w:tcPr>
            <w:tcW w:w="7680" w:type="dxa"/>
            <w:vAlign w:val="bottom"/>
          </w:tcPr>
          <w:p>
            <w:pPr>
              <w:ind w:left="20"/>
              <w:spacing w:after="0"/>
              <w:rPr>
                <w:sz w:val="20"/>
                <w:szCs w:val="20"/>
                <w:color w:val="auto"/>
              </w:rPr>
            </w:pPr>
            <w:r>
              <w:rPr>
                <w:rFonts w:ascii="Times New Roman" w:cs="Times New Roman" w:eastAsia="Times New Roman" w:hAnsi="Times New Roman"/>
                <w:sz w:val="11"/>
                <w:szCs w:val="11"/>
                <w:b w:val="1"/>
                <w:bCs w:val="1"/>
                <w:color w:val="auto"/>
              </w:rPr>
              <w:t>Cash flows from investing activities:</w:t>
            </w:r>
          </w:p>
        </w:tc>
        <w:tc>
          <w:tcPr>
            <w:tcW w:w="740" w:type="dxa"/>
            <w:vAlign w:val="bottom"/>
          </w:tcPr>
          <w:p>
            <w:pPr>
              <w:spacing w:after="0"/>
              <w:rPr>
                <w:sz w:val="11"/>
                <w:szCs w:val="11"/>
                <w:color w:val="auto"/>
              </w:rPr>
            </w:pPr>
          </w:p>
        </w:tc>
        <w:tc>
          <w:tcPr>
            <w:tcW w:w="40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260" w:type="dxa"/>
            <w:vAlign w:val="bottom"/>
          </w:tcPr>
          <w:p>
            <w:pPr>
              <w:spacing w:after="0"/>
              <w:rPr>
                <w:sz w:val="11"/>
                <w:szCs w:val="11"/>
                <w:color w:val="auto"/>
              </w:rPr>
            </w:pPr>
          </w:p>
        </w:tc>
        <w:tc>
          <w:tcPr>
            <w:tcW w:w="8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86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21"/>
        </w:trPr>
        <w:tc>
          <w:tcPr>
            <w:tcW w:w="7680" w:type="dxa"/>
            <w:vAlign w:val="bottom"/>
          </w:tcPr>
          <w:p>
            <w:pPr>
              <w:spacing w:after="0" w:line="20" w:lineRule="exact"/>
              <w:rPr>
                <w:sz w:val="1"/>
                <w:szCs w:val="1"/>
                <w:color w:val="auto"/>
              </w:rPr>
            </w:pPr>
          </w:p>
        </w:tc>
        <w:tc>
          <w:tcPr>
            <w:tcW w:w="740" w:type="dxa"/>
            <w:vAlign w:val="bottom"/>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88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8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59"/>
        </w:trPr>
        <w:tc>
          <w:tcPr>
            <w:tcW w:w="7680" w:type="dxa"/>
            <w:vAlign w:val="bottom"/>
            <w:shd w:val="clear" w:color="auto" w:fill="CCEEFF"/>
          </w:tcPr>
          <w:p>
            <w:pPr>
              <w:ind w:left="280"/>
              <w:spacing w:after="0"/>
              <w:rPr>
                <w:sz w:val="20"/>
                <w:szCs w:val="20"/>
                <w:color w:val="auto"/>
              </w:rPr>
            </w:pPr>
            <w:r>
              <w:rPr>
                <w:rFonts w:ascii="Times New Roman" w:cs="Times New Roman" w:eastAsia="Times New Roman" w:hAnsi="Times New Roman"/>
                <w:sz w:val="11"/>
                <w:szCs w:val="11"/>
                <w:color w:val="auto"/>
              </w:rPr>
              <w:t>Acquisition, net of cash acquired</w:t>
            </w:r>
          </w:p>
        </w:tc>
        <w:tc>
          <w:tcPr>
            <w:tcW w:w="740" w:type="dxa"/>
            <w:vAlign w:val="bottom"/>
            <w:shd w:val="clear" w:color="auto" w:fill="CCEEFF"/>
          </w:tcPr>
          <w:p>
            <w:pPr>
              <w:spacing w:after="0"/>
              <w:rPr>
                <w:sz w:val="13"/>
                <w:szCs w:val="13"/>
                <w:color w:val="auto"/>
              </w:rPr>
            </w:pPr>
          </w:p>
        </w:tc>
        <w:tc>
          <w:tcPr>
            <w:tcW w:w="4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1"/>
                <w:szCs w:val="11"/>
                <w:color w:val="auto"/>
              </w:rPr>
              <w:t>—</w:t>
            </w:r>
          </w:p>
        </w:tc>
        <w:tc>
          <w:tcPr>
            <w:tcW w:w="100" w:type="dxa"/>
            <w:vAlign w:val="bottom"/>
            <w:shd w:val="clear" w:color="auto" w:fill="CCEEFF"/>
          </w:tcPr>
          <w:p>
            <w:pPr>
              <w:spacing w:after="0"/>
              <w:rPr>
                <w:sz w:val="13"/>
                <w:szCs w:val="13"/>
                <w:color w:val="auto"/>
              </w:rPr>
            </w:pPr>
          </w:p>
        </w:tc>
        <w:tc>
          <w:tcPr>
            <w:tcW w:w="260" w:type="dxa"/>
            <w:vAlign w:val="bottom"/>
            <w:shd w:val="clear" w:color="auto" w:fill="CCEEFF"/>
          </w:tcPr>
          <w:p>
            <w:pPr>
              <w:spacing w:after="0"/>
              <w:rPr>
                <w:sz w:val="13"/>
                <w:szCs w:val="13"/>
                <w:color w:val="auto"/>
              </w:rPr>
            </w:pPr>
          </w:p>
        </w:tc>
        <w:tc>
          <w:tcPr>
            <w:tcW w:w="960" w:type="dxa"/>
            <w:vAlign w:val="bottom"/>
            <w:gridSpan w:val="2"/>
            <w:shd w:val="clear" w:color="auto" w:fill="CCEEFF"/>
          </w:tcPr>
          <w:p>
            <w:pPr>
              <w:jc w:val="right"/>
              <w:ind w:right="140"/>
              <w:spacing w:after="0"/>
              <w:rPr>
                <w:sz w:val="20"/>
                <w:szCs w:val="20"/>
                <w:color w:val="auto"/>
              </w:rPr>
            </w:pPr>
            <w:r>
              <w:rPr>
                <w:rFonts w:ascii="Times New Roman" w:cs="Times New Roman" w:eastAsia="Times New Roman" w:hAnsi="Times New Roman"/>
                <w:sz w:val="11"/>
                <w:szCs w:val="11"/>
                <w:color w:val="auto"/>
              </w:rPr>
              <w:t>—</w:t>
            </w:r>
          </w:p>
        </w:tc>
        <w:tc>
          <w:tcPr>
            <w:tcW w:w="280" w:type="dxa"/>
            <w:vAlign w:val="bottom"/>
            <w:shd w:val="clear" w:color="auto" w:fill="CCEEFF"/>
          </w:tcPr>
          <w:p>
            <w:pPr>
              <w:spacing w:after="0"/>
              <w:rPr>
                <w:sz w:val="13"/>
                <w:szCs w:val="13"/>
                <w:color w:val="auto"/>
              </w:rPr>
            </w:pPr>
          </w:p>
        </w:tc>
        <w:tc>
          <w:tcPr>
            <w:tcW w:w="8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1"/>
                <w:szCs w:val="11"/>
                <w:color w:val="auto"/>
              </w:rPr>
              <w:t>(741)</w:t>
            </w:r>
          </w:p>
        </w:tc>
        <w:tc>
          <w:tcPr>
            <w:tcW w:w="0" w:type="dxa"/>
            <w:vAlign w:val="bottom"/>
          </w:tcPr>
          <w:p>
            <w:pPr>
              <w:spacing w:after="0"/>
              <w:rPr>
                <w:sz w:val="1"/>
                <w:szCs w:val="1"/>
                <w:color w:val="auto"/>
              </w:rPr>
            </w:pPr>
          </w:p>
        </w:tc>
      </w:tr>
      <w:tr>
        <w:trPr>
          <w:trHeight w:val="153"/>
        </w:trPr>
        <w:tc>
          <w:tcPr>
            <w:tcW w:w="7680" w:type="dxa"/>
            <w:vAlign w:val="bottom"/>
          </w:tcPr>
          <w:p>
            <w:pPr>
              <w:ind w:left="280"/>
              <w:spacing w:after="0"/>
              <w:rPr>
                <w:sz w:val="20"/>
                <w:szCs w:val="20"/>
                <w:color w:val="auto"/>
              </w:rPr>
            </w:pPr>
            <w:r>
              <w:rPr>
                <w:rFonts w:ascii="Times New Roman" w:cs="Times New Roman" w:eastAsia="Times New Roman" w:hAnsi="Times New Roman"/>
                <w:sz w:val="11"/>
                <w:szCs w:val="11"/>
                <w:color w:val="auto"/>
              </w:rPr>
              <w:t>Insurance settlement proceeds</w:t>
            </w:r>
          </w:p>
        </w:tc>
        <w:tc>
          <w:tcPr>
            <w:tcW w:w="740" w:type="dxa"/>
            <w:vAlign w:val="bottom"/>
          </w:tcPr>
          <w:p>
            <w:pPr>
              <w:spacing w:after="0"/>
              <w:rPr>
                <w:sz w:val="13"/>
                <w:szCs w:val="13"/>
                <w:color w:val="auto"/>
              </w:rPr>
            </w:pPr>
          </w:p>
        </w:tc>
        <w:tc>
          <w:tcPr>
            <w:tcW w:w="400" w:type="dxa"/>
            <w:vAlign w:val="bottom"/>
          </w:tcPr>
          <w:p>
            <w:pPr>
              <w:jc w:val="right"/>
              <w:spacing w:after="0"/>
              <w:rPr>
                <w:sz w:val="20"/>
                <w:szCs w:val="20"/>
                <w:color w:val="auto"/>
              </w:rPr>
            </w:pPr>
            <w:r>
              <w:rPr>
                <w:rFonts w:ascii="Times New Roman" w:cs="Times New Roman" w:eastAsia="Times New Roman" w:hAnsi="Times New Roman"/>
                <w:sz w:val="11"/>
                <w:szCs w:val="11"/>
                <w:color w:val="auto"/>
              </w:rPr>
              <w:t>—</w:t>
            </w:r>
          </w:p>
        </w:tc>
        <w:tc>
          <w:tcPr>
            <w:tcW w:w="100" w:type="dxa"/>
            <w:vAlign w:val="bottom"/>
          </w:tcPr>
          <w:p>
            <w:pPr>
              <w:spacing w:after="0"/>
              <w:rPr>
                <w:sz w:val="13"/>
                <w:szCs w:val="13"/>
                <w:color w:val="auto"/>
              </w:rPr>
            </w:pPr>
          </w:p>
        </w:tc>
        <w:tc>
          <w:tcPr>
            <w:tcW w:w="260" w:type="dxa"/>
            <w:vAlign w:val="bottom"/>
          </w:tcPr>
          <w:p>
            <w:pPr>
              <w:spacing w:after="0"/>
              <w:rPr>
                <w:sz w:val="13"/>
                <w:szCs w:val="13"/>
                <w:color w:val="auto"/>
              </w:rPr>
            </w:pPr>
          </w:p>
        </w:tc>
        <w:tc>
          <w:tcPr>
            <w:tcW w:w="960" w:type="dxa"/>
            <w:vAlign w:val="bottom"/>
            <w:gridSpan w:val="2"/>
          </w:tcPr>
          <w:p>
            <w:pPr>
              <w:jc w:val="right"/>
              <w:ind w:right="140"/>
              <w:spacing w:after="0"/>
              <w:rPr>
                <w:sz w:val="20"/>
                <w:szCs w:val="20"/>
                <w:color w:val="auto"/>
              </w:rPr>
            </w:pPr>
            <w:r>
              <w:rPr>
                <w:rFonts w:ascii="Times New Roman" w:cs="Times New Roman" w:eastAsia="Times New Roman" w:hAnsi="Times New Roman"/>
                <w:sz w:val="11"/>
                <w:szCs w:val="11"/>
                <w:color w:val="auto"/>
              </w:rPr>
              <w:t>—</w:t>
            </w:r>
          </w:p>
        </w:tc>
        <w:tc>
          <w:tcPr>
            <w:tcW w:w="280" w:type="dxa"/>
            <w:vAlign w:val="bottom"/>
          </w:tcPr>
          <w:p>
            <w:pPr>
              <w:spacing w:after="0"/>
              <w:rPr>
                <w:sz w:val="13"/>
                <w:szCs w:val="13"/>
                <w:color w:val="auto"/>
              </w:rPr>
            </w:pPr>
          </w:p>
        </w:tc>
        <w:tc>
          <w:tcPr>
            <w:tcW w:w="860" w:type="dxa"/>
            <w:vAlign w:val="bottom"/>
          </w:tcPr>
          <w:p>
            <w:pPr>
              <w:jc w:val="right"/>
              <w:spacing w:after="0"/>
              <w:rPr>
                <w:sz w:val="20"/>
                <w:szCs w:val="20"/>
                <w:color w:val="auto"/>
              </w:rPr>
            </w:pPr>
            <w:r>
              <w:rPr>
                <w:rFonts w:ascii="Times New Roman" w:cs="Times New Roman" w:eastAsia="Times New Roman" w:hAnsi="Times New Roman"/>
                <w:sz w:val="11"/>
                <w:szCs w:val="11"/>
                <w:color w:val="auto"/>
              </w:rPr>
              <w:t>5,000</w:t>
            </w:r>
          </w:p>
        </w:tc>
        <w:tc>
          <w:tcPr>
            <w:tcW w:w="0" w:type="dxa"/>
            <w:vAlign w:val="bottom"/>
          </w:tcPr>
          <w:p>
            <w:pPr>
              <w:spacing w:after="0"/>
              <w:rPr>
                <w:sz w:val="1"/>
                <w:szCs w:val="1"/>
                <w:color w:val="auto"/>
              </w:rPr>
            </w:pPr>
          </w:p>
        </w:tc>
      </w:tr>
      <w:tr>
        <w:trPr>
          <w:trHeight w:val="165"/>
        </w:trPr>
        <w:tc>
          <w:tcPr>
            <w:tcW w:w="7680" w:type="dxa"/>
            <w:vAlign w:val="bottom"/>
            <w:shd w:val="clear" w:color="auto" w:fill="CCEEFF"/>
          </w:tcPr>
          <w:p>
            <w:pPr>
              <w:ind w:left="280"/>
              <w:spacing w:after="0"/>
              <w:rPr>
                <w:sz w:val="20"/>
                <w:szCs w:val="20"/>
                <w:color w:val="auto"/>
              </w:rPr>
            </w:pPr>
            <w:r>
              <w:rPr>
                <w:rFonts w:ascii="Times New Roman" w:cs="Times New Roman" w:eastAsia="Times New Roman" w:hAnsi="Times New Roman"/>
                <w:sz w:val="11"/>
                <w:szCs w:val="11"/>
                <w:color w:val="auto"/>
              </w:rPr>
              <w:t>Purchases of investments</w:t>
            </w:r>
          </w:p>
        </w:tc>
        <w:tc>
          <w:tcPr>
            <w:tcW w:w="740" w:type="dxa"/>
            <w:vAlign w:val="bottom"/>
            <w:shd w:val="clear" w:color="auto" w:fill="CCEEFF"/>
          </w:tcPr>
          <w:p>
            <w:pPr>
              <w:spacing w:after="0"/>
              <w:rPr>
                <w:sz w:val="14"/>
                <w:szCs w:val="14"/>
                <w:color w:val="auto"/>
              </w:rPr>
            </w:pPr>
          </w:p>
        </w:tc>
        <w:tc>
          <w:tcPr>
            <w:tcW w:w="4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1"/>
                <w:szCs w:val="11"/>
                <w:color w:val="auto"/>
              </w:rPr>
              <w:t>(3,131)</w:t>
            </w:r>
          </w:p>
        </w:tc>
        <w:tc>
          <w:tcPr>
            <w:tcW w:w="100" w:type="dxa"/>
            <w:vAlign w:val="bottom"/>
            <w:shd w:val="clear" w:color="auto" w:fill="CCEEFF"/>
          </w:tcPr>
          <w:p>
            <w:pPr>
              <w:spacing w:after="0"/>
              <w:rPr>
                <w:sz w:val="14"/>
                <w:szCs w:val="14"/>
                <w:color w:val="auto"/>
              </w:rPr>
            </w:pPr>
          </w:p>
        </w:tc>
        <w:tc>
          <w:tcPr>
            <w:tcW w:w="260" w:type="dxa"/>
            <w:vAlign w:val="bottom"/>
            <w:shd w:val="clear" w:color="auto" w:fill="CCEEFF"/>
          </w:tcPr>
          <w:p>
            <w:pPr>
              <w:spacing w:after="0"/>
              <w:rPr>
                <w:sz w:val="14"/>
                <w:szCs w:val="14"/>
                <w:color w:val="auto"/>
              </w:rPr>
            </w:pPr>
          </w:p>
        </w:tc>
        <w:tc>
          <w:tcPr>
            <w:tcW w:w="8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1"/>
                <w:szCs w:val="11"/>
                <w:color w:val="auto"/>
              </w:rPr>
              <w:t>(3,500)</w:t>
            </w:r>
          </w:p>
        </w:tc>
        <w:tc>
          <w:tcPr>
            <w:tcW w:w="80" w:type="dxa"/>
            <w:vAlign w:val="bottom"/>
            <w:shd w:val="clear" w:color="auto" w:fill="CCEEFF"/>
          </w:tcPr>
          <w:p>
            <w:pPr>
              <w:spacing w:after="0"/>
              <w:rPr>
                <w:sz w:val="14"/>
                <w:szCs w:val="14"/>
                <w:color w:val="auto"/>
              </w:rPr>
            </w:pPr>
          </w:p>
        </w:tc>
        <w:tc>
          <w:tcPr>
            <w:tcW w:w="280" w:type="dxa"/>
            <w:vAlign w:val="bottom"/>
            <w:shd w:val="clear" w:color="auto" w:fill="CCEEFF"/>
          </w:tcPr>
          <w:p>
            <w:pPr>
              <w:spacing w:after="0"/>
              <w:rPr>
                <w:sz w:val="14"/>
                <w:szCs w:val="14"/>
                <w:color w:val="auto"/>
              </w:rPr>
            </w:pPr>
          </w:p>
        </w:tc>
        <w:tc>
          <w:tcPr>
            <w:tcW w:w="8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1"/>
                <w:szCs w:val="11"/>
                <w:color w:val="auto"/>
              </w:rPr>
              <w:t>—</w:t>
            </w:r>
          </w:p>
        </w:tc>
        <w:tc>
          <w:tcPr>
            <w:tcW w:w="0" w:type="dxa"/>
            <w:vAlign w:val="bottom"/>
          </w:tcPr>
          <w:p>
            <w:pPr>
              <w:spacing w:after="0"/>
              <w:rPr>
                <w:sz w:val="1"/>
                <w:szCs w:val="1"/>
                <w:color w:val="auto"/>
              </w:rPr>
            </w:pPr>
          </w:p>
        </w:tc>
      </w:tr>
      <w:tr>
        <w:trPr>
          <w:trHeight w:val="153"/>
        </w:trPr>
        <w:tc>
          <w:tcPr>
            <w:tcW w:w="7680" w:type="dxa"/>
            <w:vAlign w:val="bottom"/>
          </w:tcPr>
          <w:p>
            <w:pPr>
              <w:ind w:left="280"/>
              <w:spacing w:after="0"/>
              <w:rPr>
                <w:sz w:val="20"/>
                <w:szCs w:val="20"/>
                <w:color w:val="auto"/>
              </w:rPr>
            </w:pPr>
            <w:r>
              <w:rPr>
                <w:rFonts w:ascii="Times New Roman" w:cs="Times New Roman" w:eastAsia="Times New Roman" w:hAnsi="Times New Roman"/>
                <w:sz w:val="11"/>
                <w:szCs w:val="11"/>
                <w:color w:val="auto"/>
              </w:rPr>
              <w:t>Purchases of property and equipment</w:t>
            </w:r>
          </w:p>
        </w:tc>
        <w:tc>
          <w:tcPr>
            <w:tcW w:w="740" w:type="dxa"/>
            <w:vAlign w:val="bottom"/>
          </w:tcPr>
          <w:p>
            <w:pPr>
              <w:spacing w:after="0"/>
              <w:rPr>
                <w:sz w:val="13"/>
                <w:szCs w:val="13"/>
                <w:color w:val="auto"/>
              </w:rPr>
            </w:pPr>
          </w:p>
        </w:tc>
        <w:tc>
          <w:tcPr>
            <w:tcW w:w="400" w:type="dxa"/>
            <w:vAlign w:val="bottom"/>
          </w:tcPr>
          <w:p>
            <w:pPr>
              <w:jc w:val="right"/>
              <w:spacing w:after="0"/>
              <w:rPr>
                <w:sz w:val="20"/>
                <w:szCs w:val="20"/>
                <w:color w:val="auto"/>
              </w:rPr>
            </w:pPr>
            <w:r>
              <w:rPr>
                <w:rFonts w:ascii="Times New Roman" w:cs="Times New Roman" w:eastAsia="Times New Roman" w:hAnsi="Times New Roman"/>
                <w:sz w:val="11"/>
                <w:szCs w:val="11"/>
                <w:color w:val="auto"/>
              </w:rPr>
              <w:t>(86)</w:t>
            </w:r>
          </w:p>
        </w:tc>
        <w:tc>
          <w:tcPr>
            <w:tcW w:w="100" w:type="dxa"/>
            <w:vAlign w:val="bottom"/>
          </w:tcPr>
          <w:p>
            <w:pPr>
              <w:spacing w:after="0"/>
              <w:rPr>
                <w:sz w:val="13"/>
                <w:szCs w:val="13"/>
                <w:color w:val="auto"/>
              </w:rPr>
            </w:pPr>
          </w:p>
        </w:tc>
        <w:tc>
          <w:tcPr>
            <w:tcW w:w="260" w:type="dxa"/>
            <w:vAlign w:val="bottom"/>
          </w:tcPr>
          <w:p>
            <w:pPr>
              <w:spacing w:after="0"/>
              <w:rPr>
                <w:sz w:val="13"/>
                <w:szCs w:val="13"/>
                <w:color w:val="auto"/>
              </w:rPr>
            </w:pPr>
          </w:p>
        </w:tc>
        <w:tc>
          <w:tcPr>
            <w:tcW w:w="880" w:type="dxa"/>
            <w:vAlign w:val="bottom"/>
          </w:tcPr>
          <w:p>
            <w:pPr>
              <w:jc w:val="right"/>
              <w:spacing w:after="0"/>
              <w:rPr>
                <w:sz w:val="20"/>
                <w:szCs w:val="20"/>
                <w:color w:val="auto"/>
              </w:rPr>
            </w:pPr>
            <w:r>
              <w:rPr>
                <w:rFonts w:ascii="Times New Roman" w:cs="Times New Roman" w:eastAsia="Times New Roman" w:hAnsi="Times New Roman"/>
                <w:sz w:val="11"/>
                <w:szCs w:val="11"/>
                <w:color w:val="auto"/>
              </w:rPr>
              <w:t>(109)</w:t>
            </w:r>
          </w:p>
        </w:tc>
        <w:tc>
          <w:tcPr>
            <w:tcW w:w="80" w:type="dxa"/>
            <w:vAlign w:val="bottom"/>
          </w:tcPr>
          <w:p>
            <w:pPr>
              <w:spacing w:after="0"/>
              <w:rPr>
                <w:sz w:val="13"/>
                <w:szCs w:val="13"/>
                <w:color w:val="auto"/>
              </w:rPr>
            </w:pPr>
          </w:p>
        </w:tc>
        <w:tc>
          <w:tcPr>
            <w:tcW w:w="280" w:type="dxa"/>
            <w:vAlign w:val="bottom"/>
          </w:tcPr>
          <w:p>
            <w:pPr>
              <w:spacing w:after="0"/>
              <w:rPr>
                <w:sz w:val="13"/>
                <w:szCs w:val="13"/>
                <w:color w:val="auto"/>
              </w:rPr>
            </w:pPr>
          </w:p>
        </w:tc>
        <w:tc>
          <w:tcPr>
            <w:tcW w:w="860" w:type="dxa"/>
            <w:vAlign w:val="bottom"/>
          </w:tcPr>
          <w:p>
            <w:pPr>
              <w:jc w:val="right"/>
              <w:spacing w:after="0"/>
              <w:rPr>
                <w:sz w:val="20"/>
                <w:szCs w:val="20"/>
                <w:color w:val="auto"/>
              </w:rPr>
            </w:pPr>
            <w:r>
              <w:rPr>
                <w:rFonts w:ascii="Times New Roman" w:cs="Times New Roman" w:eastAsia="Times New Roman" w:hAnsi="Times New Roman"/>
                <w:sz w:val="11"/>
                <w:szCs w:val="11"/>
                <w:color w:val="auto"/>
              </w:rPr>
              <w:t>(147)</w:t>
            </w:r>
          </w:p>
        </w:tc>
        <w:tc>
          <w:tcPr>
            <w:tcW w:w="0" w:type="dxa"/>
            <w:vAlign w:val="bottom"/>
          </w:tcPr>
          <w:p>
            <w:pPr>
              <w:spacing w:after="0"/>
              <w:rPr>
                <w:sz w:val="1"/>
                <w:szCs w:val="1"/>
                <w:color w:val="auto"/>
              </w:rPr>
            </w:pPr>
          </w:p>
        </w:tc>
      </w:tr>
      <w:tr>
        <w:trPr>
          <w:trHeight w:val="165"/>
        </w:trPr>
        <w:tc>
          <w:tcPr>
            <w:tcW w:w="7680" w:type="dxa"/>
            <w:vAlign w:val="bottom"/>
            <w:shd w:val="clear" w:color="auto" w:fill="CCEEFF"/>
          </w:tcPr>
          <w:p>
            <w:pPr>
              <w:ind w:left="280"/>
              <w:spacing w:after="0"/>
              <w:rPr>
                <w:sz w:val="20"/>
                <w:szCs w:val="20"/>
                <w:color w:val="auto"/>
              </w:rPr>
            </w:pPr>
            <w:r>
              <w:rPr>
                <w:rFonts w:ascii="Times New Roman" w:cs="Times New Roman" w:eastAsia="Times New Roman" w:hAnsi="Times New Roman"/>
                <w:sz w:val="11"/>
                <w:szCs w:val="11"/>
                <w:color w:val="auto"/>
              </w:rPr>
              <w:t>Additions to internally developed software</w:t>
            </w:r>
          </w:p>
        </w:tc>
        <w:tc>
          <w:tcPr>
            <w:tcW w:w="740" w:type="dxa"/>
            <w:vAlign w:val="bottom"/>
            <w:tcBorders>
              <w:bottom w:val="single" w:sz="8" w:color="auto"/>
            </w:tcBorders>
            <w:shd w:val="clear" w:color="auto" w:fill="CCEEFF"/>
          </w:tcPr>
          <w:p>
            <w:pPr>
              <w:spacing w:after="0"/>
              <w:rPr>
                <w:sz w:val="14"/>
                <w:szCs w:val="14"/>
                <w:color w:val="auto"/>
              </w:rPr>
            </w:pPr>
          </w:p>
        </w:tc>
        <w:tc>
          <w:tcPr>
            <w:tcW w:w="4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1"/>
                <w:szCs w:val="11"/>
                <w:color w:val="auto"/>
              </w:rPr>
              <w:t>(449)</w:t>
            </w:r>
          </w:p>
        </w:tc>
        <w:tc>
          <w:tcPr>
            <w:tcW w:w="100" w:type="dxa"/>
            <w:vAlign w:val="bottom"/>
            <w:shd w:val="clear" w:color="auto" w:fill="CCEEFF"/>
          </w:tcPr>
          <w:p>
            <w:pPr>
              <w:spacing w:after="0"/>
              <w:rPr>
                <w:sz w:val="14"/>
                <w:szCs w:val="14"/>
                <w:color w:val="auto"/>
              </w:rPr>
            </w:pPr>
          </w:p>
        </w:tc>
        <w:tc>
          <w:tcPr>
            <w:tcW w:w="260" w:type="dxa"/>
            <w:vAlign w:val="bottom"/>
            <w:tcBorders>
              <w:bottom w:val="single" w:sz="8" w:color="auto"/>
            </w:tcBorders>
            <w:shd w:val="clear" w:color="auto" w:fill="CCEEFF"/>
          </w:tcPr>
          <w:p>
            <w:pPr>
              <w:spacing w:after="0"/>
              <w:rPr>
                <w:sz w:val="14"/>
                <w:szCs w:val="14"/>
                <w:color w:val="auto"/>
              </w:rPr>
            </w:pPr>
          </w:p>
        </w:tc>
        <w:tc>
          <w:tcPr>
            <w:tcW w:w="8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1"/>
                <w:szCs w:val="11"/>
                <w:color w:val="auto"/>
              </w:rPr>
              <w:t>(1,004)</w:t>
            </w:r>
          </w:p>
        </w:tc>
        <w:tc>
          <w:tcPr>
            <w:tcW w:w="80" w:type="dxa"/>
            <w:vAlign w:val="bottom"/>
            <w:shd w:val="clear" w:color="auto" w:fill="CCEEFF"/>
          </w:tcPr>
          <w:p>
            <w:pPr>
              <w:spacing w:after="0"/>
              <w:rPr>
                <w:sz w:val="14"/>
                <w:szCs w:val="14"/>
                <w:color w:val="auto"/>
              </w:rPr>
            </w:pPr>
          </w:p>
        </w:tc>
        <w:tc>
          <w:tcPr>
            <w:tcW w:w="280" w:type="dxa"/>
            <w:vAlign w:val="bottom"/>
            <w:tcBorders>
              <w:bottom w:val="single" w:sz="8" w:color="auto"/>
            </w:tcBorders>
            <w:shd w:val="clear" w:color="auto" w:fill="CCEEFF"/>
          </w:tcPr>
          <w:p>
            <w:pPr>
              <w:spacing w:after="0"/>
              <w:rPr>
                <w:sz w:val="14"/>
                <w:szCs w:val="14"/>
                <w:color w:val="auto"/>
              </w:rPr>
            </w:pPr>
          </w:p>
        </w:tc>
        <w:tc>
          <w:tcPr>
            <w:tcW w:w="8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1"/>
                <w:szCs w:val="11"/>
                <w:color w:val="auto"/>
              </w:rPr>
              <w:t>—</w:t>
            </w:r>
          </w:p>
        </w:tc>
        <w:tc>
          <w:tcPr>
            <w:tcW w:w="0" w:type="dxa"/>
            <w:vAlign w:val="bottom"/>
          </w:tcPr>
          <w:p>
            <w:pPr>
              <w:spacing w:after="0"/>
              <w:rPr>
                <w:sz w:val="1"/>
                <w:szCs w:val="1"/>
                <w:color w:val="auto"/>
              </w:rPr>
            </w:pPr>
          </w:p>
        </w:tc>
      </w:tr>
      <w:tr>
        <w:trPr>
          <w:trHeight w:val="144"/>
        </w:trPr>
        <w:tc>
          <w:tcPr>
            <w:tcW w:w="7680" w:type="dxa"/>
            <w:vAlign w:val="bottom"/>
            <w:tcBorders>
              <w:bottom w:val="single" w:sz="8" w:color="CCEEFF"/>
            </w:tcBorders>
          </w:tcPr>
          <w:p>
            <w:pPr>
              <w:ind w:left="780"/>
              <w:spacing w:after="0"/>
              <w:rPr>
                <w:sz w:val="20"/>
                <w:szCs w:val="20"/>
                <w:color w:val="auto"/>
              </w:rPr>
            </w:pPr>
            <w:r>
              <w:rPr>
                <w:rFonts w:ascii="Times New Roman" w:cs="Times New Roman" w:eastAsia="Times New Roman" w:hAnsi="Times New Roman"/>
                <w:sz w:val="11"/>
                <w:szCs w:val="11"/>
                <w:color w:val="auto"/>
              </w:rPr>
              <w:t>Net cash (used in) provided by investing activities</w:t>
            </w:r>
          </w:p>
        </w:tc>
        <w:tc>
          <w:tcPr>
            <w:tcW w:w="740" w:type="dxa"/>
            <w:vAlign w:val="bottom"/>
            <w:tcBorders>
              <w:bottom w:val="single" w:sz="8" w:color="auto"/>
            </w:tcBorders>
          </w:tcPr>
          <w:p>
            <w:pPr>
              <w:spacing w:after="0"/>
              <w:rPr>
                <w:sz w:val="12"/>
                <w:szCs w:val="12"/>
                <w:color w:val="auto"/>
              </w:rPr>
            </w:pPr>
          </w:p>
        </w:tc>
        <w:tc>
          <w:tcPr>
            <w:tcW w:w="4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1"/>
                <w:szCs w:val="11"/>
                <w:color w:val="auto"/>
              </w:rPr>
              <w:t>(3,666)</w:t>
            </w:r>
          </w:p>
        </w:tc>
        <w:tc>
          <w:tcPr>
            <w:tcW w:w="100" w:type="dxa"/>
            <w:vAlign w:val="bottom"/>
            <w:tcBorders>
              <w:bottom w:val="single" w:sz="8" w:color="CCEEFF"/>
            </w:tcBorders>
          </w:tcPr>
          <w:p>
            <w:pPr>
              <w:spacing w:after="0"/>
              <w:rPr>
                <w:sz w:val="12"/>
                <w:szCs w:val="12"/>
                <w:color w:val="auto"/>
              </w:rPr>
            </w:pPr>
          </w:p>
        </w:tc>
        <w:tc>
          <w:tcPr>
            <w:tcW w:w="260" w:type="dxa"/>
            <w:vAlign w:val="bottom"/>
            <w:tcBorders>
              <w:bottom w:val="single" w:sz="8" w:color="auto"/>
            </w:tcBorders>
          </w:tcPr>
          <w:p>
            <w:pPr>
              <w:spacing w:after="0"/>
              <w:rPr>
                <w:sz w:val="12"/>
                <w:szCs w:val="12"/>
                <w:color w:val="auto"/>
              </w:rPr>
            </w:pPr>
          </w:p>
        </w:tc>
        <w:tc>
          <w:tcPr>
            <w:tcW w:w="8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1"/>
                <w:szCs w:val="11"/>
                <w:color w:val="auto"/>
              </w:rPr>
              <w:t>(4,613)</w:t>
            </w:r>
          </w:p>
        </w:tc>
        <w:tc>
          <w:tcPr>
            <w:tcW w:w="80" w:type="dxa"/>
            <w:vAlign w:val="bottom"/>
            <w:tcBorders>
              <w:bottom w:val="single" w:sz="8" w:color="CCEEFF"/>
            </w:tcBorders>
          </w:tcPr>
          <w:p>
            <w:pPr>
              <w:spacing w:after="0"/>
              <w:rPr>
                <w:sz w:val="12"/>
                <w:szCs w:val="12"/>
                <w:color w:val="auto"/>
              </w:rPr>
            </w:pPr>
          </w:p>
        </w:tc>
        <w:tc>
          <w:tcPr>
            <w:tcW w:w="280" w:type="dxa"/>
            <w:vAlign w:val="bottom"/>
            <w:tcBorders>
              <w:bottom w:val="single" w:sz="8" w:color="auto"/>
            </w:tcBorders>
          </w:tcPr>
          <w:p>
            <w:pPr>
              <w:spacing w:after="0"/>
              <w:rPr>
                <w:sz w:val="12"/>
                <w:szCs w:val="12"/>
                <w:color w:val="auto"/>
              </w:rPr>
            </w:pPr>
          </w:p>
        </w:tc>
        <w:tc>
          <w:tcPr>
            <w:tcW w:w="8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1"/>
                <w:szCs w:val="11"/>
                <w:color w:val="auto"/>
              </w:rPr>
              <w:t>4,112</w:t>
            </w:r>
          </w:p>
        </w:tc>
        <w:tc>
          <w:tcPr>
            <w:tcW w:w="0" w:type="dxa"/>
            <w:vAlign w:val="bottom"/>
          </w:tcPr>
          <w:p>
            <w:pPr>
              <w:spacing w:after="0"/>
              <w:rPr>
                <w:sz w:val="1"/>
                <w:szCs w:val="1"/>
                <w:color w:val="auto"/>
              </w:rPr>
            </w:pPr>
          </w:p>
        </w:tc>
      </w:tr>
      <w:tr>
        <w:trPr>
          <w:trHeight w:val="136"/>
        </w:trPr>
        <w:tc>
          <w:tcPr>
            <w:tcW w:w="768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1"/>
                <w:szCs w:val="11"/>
                <w:b w:val="1"/>
                <w:bCs w:val="1"/>
                <w:color w:val="auto"/>
              </w:rPr>
              <w:t>Cash flows from financing activities:</w:t>
            </w:r>
          </w:p>
        </w:tc>
        <w:tc>
          <w:tcPr>
            <w:tcW w:w="740" w:type="dxa"/>
            <w:vAlign w:val="bottom"/>
            <w:tcBorders>
              <w:bottom w:val="single" w:sz="8" w:color="CCEEFF"/>
            </w:tcBorders>
            <w:shd w:val="clear" w:color="auto" w:fill="CCEEFF"/>
          </w:tcPr>
          <w:p>
            <w:pPr>
              <w:spacing w:after="0"/>
              <w:rPr>
                <w:sz w:val="11"/>
                <w:szCs w:val="11"/>
                <w:color w:val="auto"/>
              </w:rPr>
            </w:pPr>
          </w:p>
        </w:tc>
        <w:tc>
          <w:tcPr>
            <w:tcW w:w="400" w:type="dxa"/>
            <w:vAlign w:val="bottom"/>
            <w:tcBorders>
              <w:bottom w:val="single" w:sz="8" w:color="CCEEFF"/>
            </w:tcBorders>
            <w:shd w:val="clear" w:color="auto" w:fill="CCEEFF"/>
          </w:tcPr>
          <w:p>
            <w:pPr>
              <w:spacing w:after="0"/>
              <w:rPr>
                <w:sz w:val="11"/>
                <w:szCs w:val="11"/>
                <w:color w:val="auto"/>
              </w:rPr>
            </w:pPr>
          </w:p>
        </w:tc>
        <w:tc>
          <w:tcPr>
            <w:tcW w:w="100" w:type="dxa"/>
            <w:vAlign w:val="bottom"/>
            <w:tcBorders>
              <w:bottom w:val="single" w:sz="8" w:color="CCEEFF"/>
            </w:tcBorders>
            <w:shd w:val="clear" w:color="auto" w:fill="CCEEFF"/>
          </w:tcPr>
          <w:p>
            <w:pPr>
              <w:spacing w:after="0"/>
              <w:rPr>
                <w:sz w:val="11"/>
                <w:szCs w:val="11"/>
                <w:color w:val="auto"/>
              </w:rPr>
            </w:pPr>
          </w:p>
        </w:tc>
        <w:tc>
          <w:tcPr>
            <w:tcW w:w="260" w:type="dxa"/>
            <w:vAlign w:val="bottom"/>
            <w:tcBorders>
              <w:bottom w:val="single" w:sz="8" w:color="CCEEFF"/>
            </w:tcBorders>
            <w:shd w:val="clear" w:color="auto" w:fill="CCEEFF"/>
          </w:tcPr>
          <w:p>
            <w:pPr>
              <w:spacing w:after="0"/>
              <w:rPr>
                <w:sz w:val="11"/>
                <w:szCs w:val="11"/>
                <w:color w:val="auto"/>
              </w:rPr>
            </w:pPr>
          </w:p>
        </w:tc>
        <w:tc>
          <w:tcPr>
            <w:tcW w:w="880" w:type="dxa"/>
            <w:vAlign w:val="bottom"/>
            <w:tcBorders>
              <w:bottom w:val="single" w:sz="8" w:color="CCEEFF"/>
            </w:tcBorders>
            <w:shd w:val="clear" w:color="auto" w:fill="CCEEFF"/>
          </w:tcPr>
          <w:p>
            <w:pPr>
              <w:spacing w:after="0"/>
              <w:rPr>
                <w:sz w:val="11"/>
                <w:szCs w:val="11"/>
                <w:color w:val="auto"/>
              </w:rPr>
            </w:pPr>
          </w:p>
        </w:tc>
        <w:tc>
          <w:tcPr>
            <w:tcW w:w="80" w:type="dxa"/>
            <w:vAlign w:val="bottom"/>
            <w:tcBorders>
              <w:bottom w:val="single" w:sz="8" w:color="CCEEFF"/>
            </w:tcBorders>
            <w:shd w:val="clear" w:color="auto" w:fill="CCEEFF"/>
          </w:tcPr>
          <w:p>
            <w:pPr>
              <w:spacing w:after="0"/>
              <w:rPr>
                <w:sz w:val="11"/>
                <w:szCs w:val="11"/>
                <w:color w:val="auto"/>
              </w:rPr>
            </w:pPr>
          </w:p>
        </w:tc>
        <w:tc>
          <w:tcPr>
            <w:tcW w:w="280" w:type="dxa"/>
            <w:vAlign w:val="bottom"/>
            <w:tcBorders>
              <w:bottom w:val="single" w:sz="8" w:color="CCEEFF"/>
            </w:tcBorders>
            <w:shd w:val="clear" w:color="auto" w:fill="CCEEFF"/>
          </w:tcPr>
          <w:p>
            <w:pPr>
              <w:spacing w:after="0"/>
              <w:rPr>
                <w:sz w:val="11"/>
                <w:szCs w:val="11"/>
                <w:color w:val="auto"/>
              </w:rPr>
            </w:pPr>
          </w:p>
        </w:tc>
        <w:tc>
          <w:tcPr>
            <w:tcW w:w="860" w:type="dxa"/>
            <w:vAlign w:val="bottom"/>
            <w:tcBorders>
              <w:bottom w:val="single" w:sz="8" w:color="CCEEFF"/>
            </w:tcBorders>
            <w:shd w:val="clear" w:color="auto" w:fill="CCEEFF"/>
          </w:tcPr>
          <w:p>
            <w:pPr>
              <w:spacing w:after="0"/>
              <w:rPr>
                <w:sz w:val="11"/>
                <w:szCs w:val="11"/>
                <w:color w:val="auto"/>
              </w:rPr>
            </w:pPr>
          </w:p>
        </w:tc>
        <w:tc>
          <w:tcPr>
            <w:tcW w:w="0" w:type="dxa"/>
            <w:vAlign w:val="bottom"/>
          </w:tcPr>
          <w:p>
            <w:pPr>
              <w:spacing w:after="0"/>
              <w:rPr>
                <w:sz w:val="1"/>
                <w:szCs w:val="1"/>
                <w:color w:val="auto"/>
              </w:rPr>
            </w:pPr>
          </w:p>
        </w:tc>
      </w:tr>
      <w:tr>
        <w:trPr>
          <w:trHeight w:val="153"/>
        </w:trPr>
        <w:tc>
          <w:tcPr>
            <w:tcW w:w="7680" w:type="dxa"/>
            <w:vAlign w:val="bottom"/>
          </w:tcPr>
          <w:p>
            <w:pPr>
              <w:ind w:left="280"/>
              <w:spacing w:after="0"/>
              <w:rPr>
                <w:sz w:val="20"/>
                <w:szCs w:val="20"/>
                <w:color w:val="auto"/>
              </w:rPr>
            </w:pPr>
            <w:r>
              <w:rPr>
                <w:rFonts w:ascii="Times New Roman" w:cs="Times New Roman" w:eastAsia="Times New Roman" w:hAnsi="Times New Roman"/>
                <w:sz w:val="11"/>
                <w:szCs w:val="11"/>
                <w:color w:val="auto"/>
              </w:rPr>
              <w:t>Purchases of treasury stock</w:t>
            </w:r>
          </w:p>
        </w:tc>
        <w:tc>
          <w:tcPr>
            <w:tcW w:w="740" w:type="dxa"/>
            <w:vAlign w:val="bottom"/>
          </w:tcPr>
          <w:p>
            <w:pPr>
              <w:spacing w:after="0"/>
              <w:rPr>
                <w:sz w:val="13"/>
                <w:szCs w:val="13"/>
                <w:color w:val="auto"/>
              </w:rPr>
            </w:pPr>
          </w:p>
        </w:tc>
        <w:tc>
          <w:tcPr>
            <w:tcW w:w="400" w:type="dxa"/>
            <w:vAlign w:val="bottom"/>
          </w:tcPr>
          <w:p>
            <w:pPr>
              <w:jc w:val="right"/>
              <w:spacing w:after="0"/>
              <w:rPr>
                <w:sz w:val="20"/>
                <w:szCs w:val="20"/>
                <w:color w:val="auto"/>
              </w:rPr>
            </w:pPr>
            <w:r>
              <w:rPr>
                <w:rFonts w:ascii="Times New Roman" w:cs="Times New Roman" w:eastAsia="Times New Roman" w:hAnsi="Times New Roman"/>
                <w:sz w:val="11"/>
                <w:szCs w:val="11"/>
                <w:color w:val="auto"/>
              </w:rPr>
              <w:t>—</w:t>
            </w:r>
          </w:p>
        </w:tc>
        <w:tc>
          <w:tcPr>
            <w:tcW w:w="100" w:type="dxa"/>
            <w:vAlign w:val="bottom"/>
          </w:tcPr>
          <w:p>
            <w:pPr>
              <w:spacing w:after="0"/>
              <w:rPr>
                <w:sz w:val="13"/>
                <w:szCs w:val="13"/>
                <w:color w:val="auto"/>
              </w:rPr>
            </w:pPr>
          </w:p>
        </w:tc>
        <w:tc>
          <w:tcPr>
            <w:tcW w:w="260" w:type="dxa"/>
            <w:vAlign w:val="bottom"/>
          </w:tcPr>
          <w:p>
            <w:pPr>
              <w:spacing w:after="0"/>
              <w:rPr>
                <w:sz w:val="13"/>
                <w:szCs w:val="13"/>
                <w:color w:val="auto"/>
              </w:rPr>
            </w:pPr>
          </w:p>
        </w:tc>
        <w:tc>
          <w:tcPr>
            <w:tcW w:w="880" w:type="dxa"/>
            <w:vAlign w:val="bottom"/>
          </w:tcPr>
          <w:p>
            <w:pPr>
              <w:jc w:val="right"/>
              <w:spacing w:after="0"/>
              <w:rPr>
                <w:sz w:val="20"/>
                <w:szCs w:val="20"/>
                <w:color w:val="auto"/>
              </w:rPr>
            </w:pPr>
            <w:r>
              <w:rPr>
                <w:rFonts w:ascii="Times New Roman" w:cs="Times New Roman" w:eastAsia="Times New Roman" w:hAnsi="Times New Roman"/>
                <w:sz w:val="11"/>
                <w:szCs w:val="11"/>
                <w:color w:val="auto"/>
              </w:rPr>
              <w:t>(1,348)</w:t>
            </w:r>
          </w:p>
        </w:tc>
        <w:tc>
          <w:tcPr>
            <w:tcW w:w="80" w:type="dxa"/>
            <w:vAlign w:val="bottom"/>
          </w:tcPr>
          <w:p>
            <w:pPr>
              <w:spacing w:after="0"/>
              <w:rPr>
                <w:sz w:val="13"/>
                <w:szCs w:val="13"/>
                <w:color w:val="auto"/>
              </w:rPr>
            </w:pPr>
          </w:p>
        </w:tc>
        <w:tc>
          <w:tcPr>
            <w:tcW w:w="280" w:type="dxa"/>
            <w:vAlign w:val="bottom"/>
          </w:tcPr>
          <w:p>
            <w:pPr>
              <w:spacing w:after="0"/>
              <w:rPr>
                <w:sz w:val="13"/>
                <w:szCs w:val="13"/>
                <w:color w:val="auto"/>
              </w:rPr>
            </w:pPr>
          </w:p>
        </w:tc>
        <w:tc>
          <w:tcPr>
            <w:tcW w:w="860" w:type="dxa"/>
            <w:vAlign w:val="bottom"/>
          </w:tcPr>
          <w:p>
            <w:pPr>
              <w:jc w:val="right"/>
              <w:spacing w:after="0"/>
              <w:rPr>
                <w:sz w:val="20"/>
                <w:szCs w:val="20"/>
                <w:color w:val="auto"/>
              </w:rPr>
            </w:pPr>
            <w:r>
              <w:rPr>
                <w:rFonts w:ascii="Times New Roman" w:cs="Times New Roman" w:eastAsia="Times New Roman" w:hAnsi="Times New Roman"/>
                <w:sz w:val="11"/>
                <w:szCs w:val="11"/>
                <w:color w:val="auto"/>
              </w:rPr>
              <w:t>—</w:t>
            </w:r>
          </w:p>
        </w:tc>
        <w:tc>
          <w:tcPr>
            <w:tcW w:w="0" w:type="dxa"/>
            <w:vAlign w:val="bottom"/>
          </w:tcPr>
          <w:p>
            <w:pPr>
              <w:spacing w:after="0"/>
              <w:rPr>
                <w:sz w:val="1"/>
                <w:szCs w:val="1"/>
                <w:color w:val="auto"/>
              </w:rPr>
            </w:pPr>
          </w:p>
        </w:tc>
      </w:tr>
      <w:tr>
        <w:trPr>
          <w:trHeight w:val="165"/>
        </w:trPr>
        <w:tc>
          <w:tcPr>
            <w:tcW w:w="7680" w:type="dxa"/>
            <w:vAlign w:val="bottom"/>
            <w:shd w:val="clear" w:color="auto" w:fill="CCEEFF"/>
          </w:tcPr>
          <w:p>
            <w:pPr>
              <w:ind w:left="280"/>
              <w:spacing w:after="0"/>
              <w:rPr>
                <w:sz w:val="20"/>
                <w:szCs w:val="20"/>
                <w:color w:val="auto"/>
              </w:rPr>
            </w:pPr>
            <w:r>
              <w:rPr>
                <w:rFonts w:ascii="Times New Roman" w:cs="Times New Roman" w:eastAsia="Times New Roman" w:hAnsi="Times New Roman"/>
                <w:sz w:val="11"/>
                <w:szCs w:val="11"/>
                <w:color w:val="auto"/>
              </w:rPr>
              <w:t>Restricted stock returned for payment of taxes</w:t>
            </w:r>
          </w:p>
        </w:tc>
        <w:tc>
          <w:tcPr>
            <w:tcW w:w="740" w:type="dxa"/>
            <w:vAlign w:val="bottom"/>
            <w:shd w:val="clear" w:color="auto" w:fill="CCEEFF"/>
          </w:tcPr>
          <w:p>
            <w:pPr>
              <w:spacing w:after="0"/>
              <w:rPr>
                <w:sz w:val="14"/>
                <w:szCs w:val="14"/>
                <w:color w:val="auto"/>
              </w:rPr>
            </w:pPr>
          </w:p>
        </w:tc>
        <w:tc>
          <w:tcPr>
            <w:tcW w:w="4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1"/>
                <w:szCs w:val="11"/>
                <w:color w:val="auto"/>
              </w:rPr>
              <w:t>(1,335)</w:t>
            </w:r>
          </w:p>
        </w:tc>
        <w:tc>
          <w:tcPr>
            <w:tcW w:w="100" w:type="dxa"/>
            <w:vAlign w:val="bottom"/>
            <w:shd w:val="clear" w:color="auto" w:fill="CCEEFF"/>
          </w:tcPr>
          <w:p>
            <w:pPr>
              <w:spacing w:after="0"/>
              <w:rPr>
                <w:sz w:val="14"/>
                <w:szCs w:val="14"/>
                <w:color w:val="auto"/>
              </w:rPr>
            </w:pPr>
          </w:p>
        </w:tc>
        <w:tc>
          <w:tcPr>
            <w:tcW w:w="260" w:type="dxa"/>
            <w:vAlign w:val="bottom"/>
            <w:shd w:val="clear" w:color="auto" w:fill="CCEEFF"/>
          </w:tcPr>
          <w:p>
            <w:pPr>
              <w:spacing w:after="0"/>
              <w:rPr>
                <w:sz w:val="14"/>
                <w:szCs w:val="14"/>
                <w:color w:val="auto"/>
              </w:rPr>
            </w:pPr>
          </w:p>
        </w:tc>
        <w:tc>
          <w:tcPr>
            <w:tcW w:w="8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1"/>
                <w:szCs w:val="11"/>
                <w:color w:val="auto"/>
              </w:rPr>
              <w:t>(939)</w:t>
            </w:r>
          </w:p>
        </w:tc>
        <w:tc>
          <w:tcPr>
            <w:tcW w:w="80" w:type="dxa"/>
            <w:vAlign w:val="bottom"/>
            <w:shd w:val="clear" w:color="auto" w:fill="CCEEFF"/>
          </w:tcPr>
          <w:p>
            <w:pPr>
              <w:spacing w:after="0"/>
              <w:rPr>
                <w:sz w:val="14"/>
                <w:szCs w:val="14"/>
                <w:color w:val="auto"/>
              </w:rPr>
            </w:pPr>
          </w:p>
        </w:tc>
        <w:tc>
          <w:tcPr>
            <w:tcW w:w="280" w:type="dxa"/>
            <w:vAlign w:val="bottom"/>
            <w:shd w:val="clear" w:color="auto" w:fill="CCEEFF"/>
          </w:tcPr>
          <w:p>
            <w:pPr>
              <w:spacing w:after="0"/>
              <w:rPr>
                <w:sz w:val="14"/>
                <w:szCs w:val="14"/>
                <w:color w:val="auto"/>
              </w:rPr>
            </w:pPr>
          </w:p>
        </w:tc>
        <w:tc>
          <w:tcPr>
            <w:tcW w:w="8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1"/>
                <w:szCs w:val="11"/>
                <w:color w:val="auto"/>
              </w:rPr>
              <w:t>(862)</w:t>
            </w:r>
          </w:p>
        </w:tc>
        <w:tc>
          <w:tcPr>
            <w:tcW w:w="0" w:type="dxa"/>
            <w:vAlign w:val="bottom"/>
          </w:tcPr>
          <w:p>
            <w:pPr>
              <w:spacing w:after="0"/>
              <w:rPr>
                <w:sz w:val="1"/>
                <w:szCs w:val="1"/>
                <w:color w:val="auto"/>
              </w:rPr>
            </w:pPr>
          </w:p>
        </w:tc>
      </w:tr>
      <w:tr>
        <w:trPr>
          <w:trHeight w:val="153"/>
        </w:trPr>
        <w:tc>
          <w:tcPr>
            <w:tcW w:w="7680" w:type="dxa"/>
            <w:vAlign w:val="bottom"/>
          </w:tcPr>
          <w:p>
            <w:pPr>
              <w:ind w:left="280"/>
              <w:spacing w:after="0"/>
              <w:rPr>
                <w:sz w:val="20"/>
                <w:szCs w:val="20"/>
                <w:color w:val="auto"/>
              </w:rPr>
            </w:pPr>
            <w:r>
              <w:rPr>
                <w:rFonts w:ascii="Times New Roman" w:cs="Times New Roman" w:eastAsia="Times New Roman" w:hAnsi="Times New Roman"/>
                <w:sz w:val="11"/>
                <w:szCs w:val="11"/>
                <w:color w:val="auto"/>
              </w:rPr>
              <w:t>Payment of contingent consideration in acquisition</w:t>
            </w:r>
          </w:p>
        </w:tc>
        <w:tc>
          <w:tcPr>
            <w:tcW w:w="740" w:type="dxa"/>
            <w:vAlign w:val="bottom"/>
          </w:tcPr>
          <w:p>
            <w:pPr>
              <w:spacing w:after="0"/>
              <w:rPr>
                <w:sz w:val="13"/>
                <w:szCs w:val="13"/>
                <w:color w:val="auto"/>
              </w:rPr>
            </w:pPr>
          </w:p>
        </w:tc>
        <w:tc>
          <w:tcPr>
            <w:tcW w:w="400" w:type="dxa"/>
            <w:vAlign w:val="bottom"/>
          </w:tcPr>
          <w:p>
            <w:pPr>
              <w:jc w:val="right"/>
              <w:spacing w:after="0"/>
              <w:rPr>
                <w:sz w:val="20"/>
                <w:szCs w:val="20"/>
                <w:color w:val="auto"/>
              </w:rPr>
            </w:pPr>
            <w:r>
              <w:rPr>
                <w:rFonts w:ascii="Times New Roman" w:cs="Times New Roman" w:eastAsia="Times New Roman" w:hAnsi="Times New Roman"/>
                <w:sz w:val="11"/>
                <w:szCs w:val="11"/>
                <w:color w:val="auto"/>
              </w:rPr>
              <w:t>(201)</w:t>
            </w:r>
          </w:p>
        </w:tc>
        <w:tc>
          <w:tcPr>
            <w:tcW w:w="100" w:type="dxa"/>
            <w:vAlign w:val="bottom"/>
          </w:tcPr>
          <w:p>
            <w:pPr>
              <w:spacing w:after="0"/>
              <w:rPr>
                <w:sz w:val="13"/>
                <w:szCs w:val="13"/>
                <w:color w:val="auto"/>
              </w:rPr>
            </w:pPr>
          </w:p>
        </w:tc>
        <w:tc>
          <w:tcPr>
            <w:tcW w:w="260" w:type="dxa"/>
            <w:vAlign w:val="bottom"/>
          </w:tcPr>
          <w:p>
            <w:pPr>
              <w:spacing w:after="0"/>
              <w:rPr>
                <w:sz w:val="13"/>
                <w:szCs w:val="13"/>
                <w:color w:val="auto"/>
              </w:rPr>
            </w:pPr>
          </w:p>
        </w:tc>
        <w:tc>
          <w:tcPr>
            <w:tcW w:w="880" w:type="dxa"/>
            <w:vAlign w:val="bottom"/>
          </w:tcPr>
          <w:p>
            <w:pPr>
              <w:jc w:val="right"/>
              <w:spacing w:after="0"/>
              <w:rPr>
                <w:sz w:val="20"/>
                <w:szCs w:val="20"/>
                <w:color w:val="auto"/>
              </w:rPr>
            </w:pPr>
            <w:r>
              <w:rPr>
                <w:rFonts w:ascii="Times New Roman" w:cs="Times New Roman" w:eastAsia="Times New Roman" w:hAnsi="Times New Roman"/>
                <w:sz w:val="11"/>
                <w:szCs w:val="11"/>
                <w:color w:val="auto"/>
              </w:rPr>
              <w:t>(10,357)</w:t>
            </w:r>
          </w:p>
        </w:tc>
        <w:tc>
          <w:tcPr>
            <w:tcW w:w="80" w:type="dxa"/>
            <w:vAlign w:val="bottom"/>
          </w:tcPr>
          <w:p>
            <w:pPr>
              <w:spacing w:after="0"/>
              <w:rPr>
                <w:sz w:val="13"/>
                <w:szCs w:val="13"/>
                <w:color w:val="auto"/>
              </w:rPr>
            </w:pPr>
          </w:p>
        </w:tc>
        <w:tc>
          <w:tcPr>
            <w:tcW w:w="280" w:type="dxa"/>
            <w:vAlign w:val="bottom"/>
          </w:tcPr>
          <w:p>
            <w:pPr>
              <w:spacing w:after="0"/>
              <w:rPr>
                <w:sz w:val="13"/>
                <w:szCs w:val="13"/>
                <w:color w:val="auto"/>
              </w:rPr>
            </w:pPr>
          </w:p>
        </w:tc>
        <w:tc>
          <w:tcPr>
            <w:tcW w:w="860" w:type="dxa"/>
            <w:vAlign w:val="bottom"/>
          </w:tcPr>
          <w:p>
            <w:pPr>
              <w:jc w:val="right"/>
              <w:spacing w:after="0"/>
              <w:rPr>
                <w:sz w:val="20"/>
                <w:szCs w:val="20"/>
                <w:color w:val="auto"/>
              </w:rPr>
            </w:pPr>
            <w:r>
              <w:rPr>
                <w:rFonts w:ascii="Times New Roman" w:cs="Times New Roman" w:eastAsia="Times New Roman" w:hAnsi="Times New Roman"/>
                <w:sz w:val="11"/>
                <w:szCs w:val="11"/>
                <w:color w:val="auto"/>
              </w:rPr>
              <w:t>—</w:t>
            </w:r>
          </w:p>
        </w:tc>
        <w:tc>
          <w:tcPr>
            <w:tcW w:w="0" w:type="dxa"/>
            <w:vAlign w:val="bottom"/>
          </w:tcPr>
          <w:p>
            <w:pPr>
              <w:spacing w:after="0"/>
              <w:rPr>
                <w:sz w:val="1"/>
                <w:szCs w:val="1"/>
                <w:color w:val="auto"/>
              </w:rPr>
            </w:pPr>
          </w:p>
        </w:tc>
      </w:tr>
      <w:tr>
        <w:trPr>
          <w:trHeight w:val="165"/>
        </w:trPr>
        <w:tc>
          <w:tcPr>
            <w:tcW w:w="7680" w:type="dxa"/>
            <w:vAlign w:val="bottom"/>
            <w:shd w:val="clear" w:color="auto" w:fill="CCEEFF"/>
          </w:tcPr>
          <w:p>
            <w:pPr>
              <w:ind w:left="280"/>
              <w:spacing w:after="0"/>
              <w:rPr>
                <w:sz w:val="20"/>
                <w:szCs w:val="20"/>
                <w:color w:val="auto"/>
              </w:rPr>
            </w:pPr>
            <w:r>
              <w:rPr>
                <w:rFonts w:ascii="Times New Roman" w:cs="Times New Roman" w:eastAsia="Times New Roman" w:hAnsi="Times New Roman"/>
                <w:sz w:val="11"/>
                <w:szCs w:val="11"/>
                <w:color w:val="auto"/>
              </w:rPr>
              <w:t>Cash dividends</w:t>
            </w:r>
          </w:p>
        </w:tc>
        <w:tc>
          <w:tcPr>
            <w:tcW w:w="740" w:type="dxa"/>
            <w:vAlign w:val="bottom"/>
            <w:shd w:val="clear" w:color="auto" w:fill="CCEEFF"/>
          </w:tcPr>
          <w:p>
            <w:pPr>
              <w:spacing w:after="0"/>
              <w:rPr>
                <w:sz w:val="14"/>
                <w:szCs w:val="14"/>
                <w:color w:val="auto"/>
              </w:rPr>
            </w:pPr>
          </w:p>
        </w:tc>
        <w:tc>
          <w:tcPr>
            <w:tcW w:w="4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1"/>
                <w:szCs w:val="11"/>
                <w:color w:val="auto"/>
              </w:rPr>
              <w:t>(5,365)</w:t>
            </w:r>
          </w:p>
        </w:tc>
        <w:tc>
          <w:tcPr>
            <w:tcW w:w="100" w:type="dxa"/>
            <w:vAlign w:val="bottom"/>
            <w:shd w:val="clear" w:color="auto" w:fill="CCEEFF"/>
          </w:tcPr>
          <w:p>
            <w:pPr>
              <w:spacing w:after="0"/>
              <w:rPr>
                <w:sz w:val="14"/>
                <w:szCs w:val="14"/>
                <w:color w:val="auto"/>
              </w:rPr>
            </w:pPr>
          </w:p>
        </w:tc>
        <w:tc>
          <w:tcPr>
            <w:tcW w:w="260" w:type="dxa"/>
            <w:vAlign w:val="bottom"/>
            <w:shd w:val="clear" w:color="auto" w:fill="CCEEFF"/>
          </w:tcPr>
          <w:p>
            <w:pPr>
              <w:spacing w:after="0"/>
              <w:rPr>
                <w:sz w:val="14"/>
                <w:szCs w:val="14"/>
                <w:color w:val="auto"/>
              </w:rPr>
            </w:pPr>
          </w:p>
        </w:tc>
        <w:tc>
          <w:tcPr>
            <w:tcW w:w="8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1"/>
                <w:szCs w:val="11"/>
                <w:color w:val="auto"/>
              </w:rPr>
              <w:t>(5,440)</w:t>
            </w:r>
          </w:p>
        </w:tc>
        <w:tc>
          <w:tcPr>
            <w:tcW w:w="80" w:type="dxa"/>
            <w:vAlign w:val="bottom"/>
            <w:shd w:val="clear" w:color="auto" w:fill="CCEEFF"/>
          </w:tcPr>
          <w:p>
            <w:pPr>
              <w:spacing w:after="0"/>
              <w:rPr>
                <w:sz w:val="14"/>
                <w:szCs w:val="14"/>
                <w:color w:val="auto"/>
              </w:rPr>
            </w:pPr>
          </w:p>
        </w:tc>
        <w:tc>
          <w:tcPr>
            <w:tcW w:w="280" w:type="dxa"/>
            <w:vAlign w:val="bottom"/>
            <w:shd w:val="clear" w:color="auto" w:fill="CCEEFF"/>
          </w:tcPr>
          <w:p>
            <w:pPr>
              <w:spacing w:after="0"/>
              <w:rPr>
                <w:sz w:val="14"/>
                <w:szCs w:val="14"/>
                <w:color w:val="auto"/>
              </w:rPr>
            </w:pPr>
          </w:p>
        </w:tc>
        <w:tc>
          <w:tcPr>
            <w:tcW w:w="8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1"/>
                <w:szCs w:val="11"/>
                <w:color w:val="auto"/>
              </w:rPr>
              <w:t>(5,502)</w:t>
            </w:r>
          </w:p>
        </w:tc>
        <w:tc>
          <w:tcPr>
            <w:tcW w:w="0" w:type="dxa"/>
            <w:vAlign w:val="bottom"/>
          </w:tcPr>
          <w:p>
            <w:pPr>
              <w:spacing w:after="0"/>
              <w:rPr>
                <w:sz w:val="1"/>
                <w:szCs w:val="1"/>
                <w:color w:val="auto"/>
              </w:rPr>
            </w:pPr>
          </w:p>
        </w:tc>
      </w:tr>
      <w:tr>
        <w:trPr>
          <w:trHeight w:val="153"/>
        </w:trPr>
        <w:tc>
          <w:tcPr>
            <w:tcW w:w="7680" w:type="dxa"/>
            <w:vAlign w:val="bottom"/>
          </w:tcPr>
          <w:p>
            <w:pPr>
              <w:ind w:left="280"/>
              <w:spacing w:after="0"/>
              <w:rPr>
                <w:sz w:val="20"/>
                <w:szCs w:val="20"/>
                <w:color w:val="auto"/>
              </w:rPr>
            </w:pPr>
            <w:r>
              <w:rPr>
                <w:rFonts w:ascii="Times New Roman" w:cs="Times New Roman" w:eastAsia="Times New Roman" w:hAnsi="Times New Roman"/>
                <w:sz w:val="11"/>
                <w:szCs w:val="11"/>
                <w:color w:val="auto"/>
              </w:rPr>
              <w:t>Distributions to noncontrolling interest holders</w:t>
            </w:r>
          </w:p>
        </w:tc>
        <w:tc>
          <w:tcPr>
            <w:tcW w:w="740" w:type="dxa"/>
            <w:vAlign w:val="bottom"/>
          </w:tcPr>
          <w:p>
            <w:pPr>
              <w:spacing w:after="0"/>
              <w:rPr>
                <w:sz w:val="13"/>
                <w:szCs w:val="13"/>
                <w:color w:val="auto"/>
              </w:rPr>
            </w:pPr>
          </w:p>
        </w:tc>
        <w:tc>
          <w:tcPr>
            <w:tcW w:w="400" w:type="dxa"/>
            <w:vAlign w:val="bottom"/>
          </w:tcPr>
          <w:p>
            <w:pPr>
              <w:jc w:val="right"/>
              <w:spacing w:after="0"/>
              <w:rPr>
                <w:sz w:val="20"/>
                <w:szCs w:val="20"/>
                <w:color w:val="auto"/>
              </w:rPr>
            </w:pPr>
            <w:r>
              <w:rPr>
                <w:rFonts w:ascii="Times New Roman" w:cs="Times New Roman" w:eastAsia="Times New Roman" w:hAnsi="Times New Roman"/>
                <w:sz w:val="11"/>
                <w:szCs w:val="11"/>
                <w:color w:val="auto"/>
              </w:rPr>
              <w:t>(438)</w:t>
            </w:r>
          </w:p>
        </w:tc>
        <w:tc>
          <w:tcPr>
            <w:tcW w:w="100" w:type="dxa"/>
            <w:vAlign w:val="bottom"/>
          </w:tcPr>
          <w:p>
            <w:pPr>
              <w:spacing w:after="0"/>
              <w:rPr>
                <w:sz w:val="13"/>
                <w:szCs w:val="13"/>
                <w:color w:val="auto"/>
              </w:rPr>
            </w:pPr>
          </w:p>
        </w:tc>
        <w:tc>
          <w:tcPr>
            <w:tcW w:w="260" w:type="dxa"/>
            <w:vAlign w:val="bottom"/>
          </w:tcPr>
          <w:p>
            <w:pPr>
              <w:spacing w:after="0"/>
              <w:rPr>
                <w:sz w:val="13"/>
                <w:szCs w:val="13"/>
                <w:color w:val="auto"/>
              </w:rPr>
            </w:pPr>
          </w:p>
        </w:tc>
        <w:tc>
          <w:tcPr>
            <w:tcW w:w="960" w:type="dxa"/>
            <w:vAlign w:val="bottom"/>
            <w:gridSpan w:val="2"/>
          </w:tcPr>
          <w:p>
            <w:pPr>
              <w:jc w:val="right"/>
              <w:ind w:right="140"/>
              <w:spacing w:after="0"/>
              <w:rPr>
                <w:sz w:val="20"/>
                <w:szCs w:val="20"/>
                <w:color w:val="auto"/>
              </w:rPr>
            </w:pPr>
            <w:r>
              <w:rPr>
                <w:rFonts w:ascii="Times New Roman" w:cs="Times New Roman" w:eastAsia="Times New Roman" w:hAnsi="Times New Roman"/>
                <w:sz w:val="11"/>
                <w:szCs w:val="11"/>
                <w:color w:val="auto"/>
              </w:rPr>
              <w:t>—</w:t>
            </w:r>
          </w:p>
        </w:tc>
        <w:tc>
          <w:tcPr>
            <w:tcW w:w="280" w:type="dxa"/>
            <w:vAlign w:val="bottom"/>
          </w:tcPr>
          <w:p>
            <w:pPr>
              <w:spacing w:after="0"/>
              <w:rPr>
                <w:sz w:val="13"/>
                <w:szCs w:val="13"/>
                <w:color w:val="auto"/>
              </w:rPr>
            </w:pPr>
          </w:p>
        </w:tc>
        <w:tc>
          <w:tcPr>
            <w:tcW w:w="860" w:type="dxa"/>
            <w:vAlign w:val="bottom"/>
          </w:tcPr>
          <w:p>
            <w:pPr>
              <w:jc w:val="right"/>
              <w:spacing w:after="0"/>
              <w:rPr>
                <w:sz w:val="20"/>
                <w:szCs w:val="20"/>
                <w:color w:val="auto"/>
              </w:rPr>
            </w:pPr>
            <w:r>
              <w:rPr>
                <w:rFonts w:ascii="Times New Roman" w:cs="Times New Roman" w:eastAsia="Times New Roman" w:hAnsi="Times New Roman"/>
                <w:sz w:val="11"/>
                <w:szCs w:val="11"/>
                <w:color w:val="auto"/>
              </w:rPr>
              <w:t>—</w:t>
            </w:r>
          </w:p>
        </w:tc>
        <w:tc>
          <w:tcPr>
            <w:tcW w:w="0" w:type="dxa"/>
            <w:vAlign w:val="bottom"/>
          </w:tcPr>
          <w:p>
            <w:pPr>
              <w:spacing w:after="0"/>
              <w:rPr>
                <w:sz w:val="1"/>
                <w:szCs w:val="1"/>
                <w:color w:val="auto"/>
              </w:rPr>
            </w:pPr>
          </w:p>
        </w:tc>
      </w:tr>
      <w:tr>
        <w:trPr>
          <w:trHeight w:val="165"/>
        </w:trPr>
        <w:tc>
          <w:tcPr>
            <w:tcW w:w="7680" w:type="dxa"/>
            <w:vAlign w:val="bottom"/>
            <w:shd w:val="clear" w:color="auto" w:fill="CCEEFF"/>
          </w:tcPr>
          <w:p>
            <w:pPr>
              <w:ind w:left="280"/>
              <w:spacing w:after="0"/>
              <w:rPr>
                <w:sz w:val="20"/>
                <w:szCs w:val="20"/>
                <w:color w:val="auto"/>
              </w:rPr>
            </w:pPr>
            <w:r>
              <w:rPr>
                <w:rFonts w:ascii="Times New Roman" w:cs="Times New Roman" w:eastAsia="Times New Roman" w:hAnsi="Times New Roman"/>
                <w:sz w:val="11"/>
                <w:szCs w:val="11"/>
                <w:color w:val="auto"/>
              </w:rPr>
              <w:t>Purchase of additional noncontrolling interest</w:t>
            </w:r>
          </w:p>
        </w:tc>
        <w:tc>
          <w:tcPr>
            <w:tcW w:w="740" w:type="dxa"/>
            <w:vAlign w:val="bottom"/>
            <w:shd w:val="clear" w:color="auto" w:fill="CCEEFF"/>
          </w:tcPr>
          <w:p>
            <w:pPr>
              <w:spacing w:after="0"/>
              <w:rPr>
                <w:sz w:val="14"/>
                <w:szCs w:val="14"/>
                <w:color w:val="auto"/>
              </w:rPr>
            </w:pPr>
          </w:p>
        </w:tc>
        <w:tc>
          <w:tcPr>
            <w:tcW w:w="4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1"/>
                <w:szCs w:val="11"/>
                <w:color w:val="auto"/>
              </w:rPr>
              <w:t>(515)</w:t>
            </w:r>
          </w:p>
        </w:tc>
        <w:tc>
          <w:tcPr>
            <w:tcW w:w="100" w:type="dxa"/>
            <w:vAlign w:val="bottom"/>
            <w:shd w:val="clear" w:color="auto" w:fill="CCEEFF"/>
          </w:tcPr>
          <w:p>
            <w:pPr>
              <w:spacing w:after="0"/>
              <w:rPr>
                <w:sz w:val="14"/>
                <w:szCs w:val="14"/>
                <w:color w:val="auto"/>
              </w:rPr>
            </w:pPr>
          </w:p>
        </w:tc>
        <w:tc>
          <w:tcPr>
            <w:tcW w:w="260" w:type="dxa"/>
            <w:vAlign w:val="bottom"/>
            <w:shd w:val="clear" w:color="auto" w:fill="CCEEFF"/>
          </w:tcPr>
          <w:p>
            <w:pPr>
              <w:spacing w:after="0"/>
              <w:rPr>
                <w:sz w:val="14"/>
                <w:szCs w:val="14"/>
                <w:color w:val="auto"/>
              </w:rPr>
            </w:pPr>
          </w:p>
        </w:tc>
        <w:tc>
          <w:tcPr>
            <w:tcW w:w="960" w:type="dxa"/>
            <w:vAlign w:val="bottom"/>
            <w:gridSpan w:val="2"/>
            <w:shd w:val="clear" w:color="auto" w:fill="CCEEFF"/>
          </w:tcPr>
          <w:p>
            <w:pPr>
              <w:jc w:val="right"/>
              <w:ind w:right="140"/>
              <w:spacing w:after="0"/>
              <w:rPr>
                <w:sz w:val="20"/>
                <w:szCs w:val="20"/>
                <w:color w:val="auto"/>
              </w:rPr>
            </w:pPr>
            <w:r>
              <w:rPr>
                <w:rFonts w:ascii="Times New Roman" w:cs="Times New Roman" w:eastAsia="Times New Roman" w:hAnsi="Times New Roman"/>
                <w:sz w:val="11"/>
                <w:szCs w:val="11"/>
                <w:color w:val="auto"/>
              </w:rPr>
              <w:t>—</w:t>
            </w:r>
          </w:p>
        </w:tc>
        <w:tc>
          <w:tcPr>
            <w:tcW w:w="280" w:type="dxa"/>
            <w:vAlign w:val="bottom"/>
            <w:shd w:val="clear" w:color="auto" w:fill="CCEEFF"/>
          </w:tcPr>
          <w:p>
            <w:pPr>
              <w:spacing w:after="0"/>
              <w:rPr>
                <w:sz w:val="14"/>
                <w:szCs w:val="14"/>
                <w:color w:val="auto"/>
              </w:rPr>
            </w:pPr>
          </w:p>
        </w:tc>
        <w:tc>
          <w:tcPr>
            <w:tcW w:w="8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1"/>
                <w:szCs w:val="11"/>
                <w:color w:val="auto"/>
              </w:rPr>
              <w:t>—</w:t>
            </w:r>
          </w:p>
        </w:tc>
        <w:tc>
          <w:tcPr>
            <w:tcW w:w="0" w:type="dxa"/>
            <w:vAlign w:val="bottom"/>
          </w:tcPr>
          <w:p>
            <w:pPr>
              <w:spacing w:after="0"/>
              <w:rPr>
                <w:sz w:val="1"/>
                <w:szCs w:val="1"/>
                <w:color w:val="auto"/>
              </w:rPr>
            </w:pPr>
          </w:p>
        </w:tc>
      </w:tr>
      <w:tr>
        <w:trPr>
          <w:trHeight w:val="144"/>
        </w:trPr>
        <w:tc>
          <w:tcPr>
            <w:tcW w:w="7680" w:type="dxa"/>
            <w:vAlign w:val="bottom"/>
          </w:tcPr>
          <w:p>
            <w:pPr>
              <w:ind w:left="780"/>
              <w:spacing w:after="0"/>
              <w:rPr>
                <w:sz w:val="20"/>
                <w:szCs w:val="20"/>
                <w:color w:val="auto"/>
              </w:rPr>
            </w:pPr>
            <w:r>
              <w:rPr>
                <w:rFonts w:ascii="Times New Roman" w:cs="Times New Roman" w:eastAsia="Times New Roman" w:hAnsi="Times New Roman"/>
                <w:sz w:val="11"/>
                <w:szCs w:val="11"/>
                <w:color w:val="auto"/>
              </w:rPr>
              <w:t>Net cash used in financing activities</w:t>
            </w:r>
          </w:p>
        </w:tc>
        <w:tc>
          <w:tcPr>
            <w:tcW w:w="740" w:type="dxa"/>
            <w:vAlign w:val="bottom"/>
            <w:tcBorders>
              <w:top w:val="single" w:sz="8" w:color="auto"/>
            </w:tcBorders>
          </w:tcPr>
          <w:p>
            <w:pPr>
              <w:spacing w:after="0"/>
              <w:rPr>
                <w:sz w:val="12"/>
                <w:szCs w:val="12"/>
                <w:color w:val="auto"/>
              </w:rPr>
            </w:pPr>
          </w:p>
        </w:tc>
        <w:tc>
          <w:tcPr>
            <w:tcW w:w="40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1"/>
                <w:szCs w:val="11"/>
                <w:color w:val="auto"/>
              </w:rPr>
              <w:t>(7,854)</w:t>
            </w:r>
          </w:p>
        </w:tc>
        <w:tc>
          <w:tcPr>
            <w:tcW w:w="100" w:type="dxa"/>
            <w:vAlign w:val="bottom"/>
          </w:tcPr>
          <w:p>
            <w:pPr>
              <w:spacing w:after="0"/>
              <w:rPr>
                <w:sz w:val="12"/>
                <w:szCs w:val="12"/>
                <w:color w:val="auto"/>
              </w:rPr>
            </w:pPr>
          </w:p>
        </w:tc>
        <w:tc>
          <w:tcPr>
            <w:tcW w:w="260" w:type="dxa"/>
            <w:vAlign w:val="bottom"/>
            <w:tcBorders>
              <w:top w:val="single" w:sz="8" w:color="auto"/>
            </w:tcBorders>
          </w:tcPr>
          <w:p>
            <w:pPr>
              <w:spacing w:after="0"/>
              <w:rPr>
                <w:sz w:val="12"/>
                <w:szCs w:val="12"/>
                <w:color w:val="auto"/>
              </w:rPr>
            </w:pPr>
          </w:p>
        </w:tc>
        <w:tc>
          <w:tcPr>
            <w:tcW w:w="88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1"/>
                <w:szCs w:val="11"/>
                <w:color w:val="auto"/>
              </w:rPr>
              <w:t>(18,084)</w:t>
            </w:r>
          </w:p>
        </w:tc>
        <w:tc>
          <w:tcPr>
            <w:tcW w:w="80" w:type="dxa"/>
            <w:vAlign w:val="bottom"/>
          </w:tcPr>
          <w:p>
            <w:pPr>
              <w:spacing w:after="0"/>
              <w:rPr>
                <w:sz w:val="12"/>
                <w:szCs w:val="12"/>
                <w:color w:val="auto"/>
              </w:rPr>
            </w:pPr>
          </w:p>
        </w:tc>
        <w:tc>
          <w:tcPr>
            <w:tcW w:w="280" w:type="dxa"/>
            <w:vAlign w:val="bottom"/>
            <w:tcBorders>
              <w:top w:val="single" w:sz="8" w:color="auto"/>
            </w:tcBorders>
          </w:tcPr>
          <w:p>
            <w:pPr>
              <w:spacing w:after="0"/>
              <w:rPr>
                <w:sz w:val="12"/>
                <w:szCs w:val="12"/>
                <w:color w:val="auto"/>
              </w:rPr>
            </w:pPr>
          </w:p>
        </w:tc>
        <w:tc>
          <w:tcPr>
            <w:tcW w:w="86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1"/>
                <w:szCs w:val="11"/>
                <w:color w:val="auto"/>
              </w:rPr>
              <w:t>(6,364)</w:t>
            </w:r>
          </w:p>
        </w:tc>
        <w:tc>
          <w:tcPr>
            <w:tcW w:w="0" w:type="dxa"/>
            <w:vAlign w:val="bottom"/>
          </w:tcPr>
          <w:p>
            <w:pPr>
              <w:spacing w:after="0"/>
              <w:rPr>
                <w:sz w:val="1"/>
                <w:szCs w:val="1"/>
                <w:color w:val="auto"/>
              </w:rPr>
            </w:pPr>
          </w:p>
        </w:tc>
      </w:tr>
      <w:tr>
        <w:trPr>
          <w:trHeight w:val="165"/>
        </w:trPr>
        <w:tc>
          <w:tcPr>
            <w:tcW w:w="768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1"/>
                <w:szCs w:val="11"/>
                <w:b w:val="1"/>
                <w:bCs w:val="1"/>
                <w:color w:val="auto"/>
              </w:rPr>
              <w:t>Net increase (decrease) in cash and cash equivalents</w:t>
            </w:r>
          </w:p>
        </w:tc>
        <w:tc>
          <w:tcPr>
            <w:tcW w:w="740" w:type="dxa"/>
            <w:vAlign w:val="bottom"/>
            <w:shd w:val="clear" w:color="auto" w:fill="CCEEFF"/>
          </w:tcPr>
          <w:p>
            <w:pPr>
              <w:spacing w:after="0"/>
              <w:rPr>
                <w:sz w:val="14"/>
                <w:szCs w:val="14"/>
                <w:color w:val="auto"/>
              </w:rPr>
            </w:pPr>
          </w:p>
        </w:tc>
        <w:tc>
          <w:tcPr>
            <w:tcW w:w="4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1"/>
                <w:szCs w:val="11"/>
                <w:color w:val="auto"/>
              </w:rPr>
              <w:t>7,402</w:t>
            </w:r>
          </w:p>
        </w:tc>
        <w:tc>
          <w:tcPr>
            <w:tcW w:w="100" w:type="dxa"/>
            <w:vAlign w:val="bottom"/>
            <w:shd w:val="clear" w:color="auto" w:fill="CCEEFF"/>
          </w:tcPr>
          <w:p>
            <w:pPr>
              <w:spacing w:after="0"/>
              <w:rPr>
                <w:sz w:val="14"/>
                <w:szCs w:val="14"/>
                <w:color w:val="auto"/>
              </w:rPr>
            </w:pPr>
          </w:p>
        </w:tc>
        <w:tc>
          <w:tcPr>
            <w:tcW w:w="260" w:type="dxa"/>
            <w:vAlign w:val="bottom"/>
            <w:shd w:val="clear" w:color="auto" w:fill="CCEEFF"/>
          </w:tcPr>
          <w:p>
            <w:pPr>
              <w:spacing w:after="0"/>
              <w:rPr>
                <w:sz w:val="14"/>
                <w:szCs w:val="14"/>
                <w:color w:val="auto"/>
              </w:rPr>
            </w:pPr>
          </w:p>
        </w:tc>
        <w:tc>
          <w:tcPr>
            <w:tcW w:w="8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1"/>
                <w:szCs w:val="11"/>
                <w:color w:val="auto"/>
              </w:rPr>
              <w:t>(1,575)</w:t>
            </w:r>
          </w:p>
        </w:tc>
        <w:tc>
          <w:tcPr>
            <w:tcW w:w="80" w:type="dxa"/>
            <w:vAlign w:val="bottom"/>
            <w:shd w:val="clear" w:color="auto" w:fill="CCEEFF"/>
          </w:tcPr>
          <w:p>
            <w:pPr>
              <w:spacing w:after="0"/>
              <w:rPr>
                <w:sz w:val="14"/>
                <w:szCs w:val="14"/>
                <w:color w:val="auto"/>
              </w:rPr>
            </w:pPr>
          </w:p>
        </w:tc>
        <w:tc>
          <w:tcPr>
            <w:tcW w:w="280" w:type="dxa"/>
            <w:vAlign w:val="bottom"/>
            <w:shd w:val="clear" w:color="auto" w:fill="CCEEFF"/>
          </w:tcPr>
          <w:p>
            <w:pPr>
              <w:spacing w:after="0"/>
              <w:rPr>
                <w:sz w:val="14"/>
                <w:szCs w:val="14"/>
                <w:color w:val="auto"/>
              </w:rPr>
            </w:pPr>
          </w:p>
        </w:tc>
        <w:tc>
          <w:tcPr>
            <w:tcW w:w="8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1"/>
                <w:szCs w:val="11"/>
                <w:color w:val="auto"/>
              </w:rPr>
              <w:t>(3,437)</w:t>
            </w:r>
          </w:p>
        </w:tc>
        <w:tc>
          <w:tcPr>
            <w:tcW w:w="0" w:type="dxa"/>
            <w:vAlign w:val="bottom"/>
          </w:tcPr>
          <w:p>
            <w:pPr>
              <w:spacing w:after="0"/>
              <w:rPr>
                <w:sz w:val="1"/>
                <w:szCs w:val="1"/>
                <w:color w:val="auto"/>
              </w:rPr>
            </w:pPr>
          </w:p>
        </w:tc>
      </w:tr>
      <w:tr>
        <w:trPr>
          <w:trHeight w:val="154"/>
        </w:trPr>
        <w:tc>
          <w:tcPr>
            <w:tcW w:w="7680" w:type="dxa"/>
            <w:vAlign w:val="bottom"/>
            <w:tcBorders>
              <w:bottom w:val="single" w:sz="8" w:color="CCEEFF"/>
            </w:tcBorders>
          </w:tcPr>
          <w:p>
            <w:pPr>
              <w:ind w:left="20"/>
              <w:spacing w:after="0"/>
              <w:rPr>
                <w:sz w:val="20"/>
                <w:szCs w:val="20"/>
                <w:color w:val="auto"/>
              </w:rPr>
            </w:pPr>
            <w:r>
              <w:rPr>
                <w:rFonts w:ascii="Times New Roman" w:cs="Times New Roman" w:eastAsia="Times New Roman" w:hAnsi="Times New Roman"/>
                <w:sz w:val="11"/>
                <w:szCs w:val="11"/>
                <w:b w:val="1"/>
                <w:bCs w:val="1"/>
                <w:color w:val="auto"/>
              </w:rPr>
              <w:t>Cash and cash equivalents, beginning of year</w:t>
            </w:r>
          </w:p>
        </w:tc>
        <w:tc>
          <w:tcPr>
            <w:tcW w:w="740" w:type="dxa"/>
            <w:vAlign w:val="bottom"/>
            <w:tcBorders>
              <w:bottom w:val="single" w:sz="8" w:color="auto"/>
            </w:tcBorders>
          </w:tcPr>
          <w:p>
            <w:pPr>
              <w:spacing w:after="0"/>
              <w:rPr>
                <w:sz w:val="13"/>
                <w:szCs w:val="13"/>
                <w:color w:val="auto"/>
              </w:rPr>
            </w:pPr>
          </w:p>
        </w:tc>
        <w:tc>
          <w:tcPr>
            <w:tcW w:w="4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1"/>
                <w:szCs w:val="11"/>
                <w:color w:val="auto"/>
              </w:rPr>
              <w:t>18,847</w:t>
            </w:r>
          </w:p>
        </w:tc>
        <w:tc>
          <w:tcPr>
            <w:tcW w:w="100" w:type="dxa"/>
            <w:vAlign w:val="bottom"/>
            <w:tcBorders>
              <w:bottom w:val="single" w:sz="8" w:color="CCEEFF"/>
            </w:tcBorders>
          </w:tcPr>
          <w:p>
            <w:pPr>
              <w:spacing w:after="0"/>
              <w:rPr>
                <w:sz w:val="13"/>
                <w:szCs w:val="13"/>
                <w:color w:val="auto"/>
              </w:rPr>
            </w:pPr>
          </w:p>
        </w:tc>
        <w:tc>
          <w:tcPr>
            <w:tcW w:w="260" w:type="dxa"/>
            <w:vAlign w:val="bottom"/>
            <w:tcBorders>
              <w:bottom w:val="single" w:sz="8" w:color="auto"/>
            </w:tcBorders>
          </w:tcPr>
          <w:p>
            <w:pPr>
              <w:spacing w:after="0"/>
              <w:rPr>
                <w:sz w:val="13"/>
                <w:szCs w:val="13"/>
                <w:color w:val="auto"/>
              </w:rPr>
            </w:pPr>
          </w:p>
        </w:tc>
        <w:tc>
          <w:tcPr>
            <w:tcW w:w="880" w:type="dxa"/>
            <w:vAlign w:val="bottom"/>
            <w:tcBorders>
              <w:bottom w:val="single" w:sz="8" w:color="auto"/>
            </w:tcBorders>
          </w:tcPr>
          <w:p>
            <w:pPr>
              <w:jc w:val="right"/>
              <w:ind w:right="3"/>
              <w:spacing w:after="0"/>
              <w:rPr>
                <w:sz w:val="20"/>
                <w:szCs w:val="20"/>
                <w:color w:val="auto"/>
              </w:rPr>
            </w:pPr>
            <w:r>
              <w:rPr>
                <w:rFonts w:ascii="Times New Roman" w:cs="Times New Roman" w:eastAsia="Times New Roman" w:hAnsi="Times New Roman"/>
                <w:sz w:val="11"/>
                <w:szCs w:val="11"/>
                <w:color w:val="auto"/>
              </w:rPr>
              <w:t>20,422</w:t>
            </w:r>
          </w:p>
        </w:tc>
        <w:tc>
          <w:tcPr>
            <w:tcW w:w="80" w:type="dxa"/>
            <w:vAlign w:val="bottom"/>
            <w:tcBorders>
              <w:bottom w:val="single" w:sz="8" w:color="CCEEFF"/>
            </w:tcBorders>
          </w:tcPr>
          <w:p>
            <w:pPr>
              <w:spacing w:after="0"/>
              <w:rPr>
                <w:sz w:val="13"/>
                <w:szCs w:val="13"/>
                <w:color w:val="auto"/>
              </w:rPr>
            </w:pPr>
          </w:p>
        </w:tc>
        <w:tc>
          <w:tcPr>
            <w:tcW w:w="280" w:type="dxa"/>
            <w:vAlign w:val="bottom"/>
            <w:tcBorders>
              <w:bottom w:val="single" w:sz="8" w:color="auto"/>
            </w:tcBorders>
          </w:tcPr>
          <w:p>
            <w:pPr>
              <w:spacing w:after="0"/>
              <w:rPr>
                <w:sz w:val="13"/>
                <w:szCs w:val="13"/>
                <w:color w:val="auto"/>
              </w:rPr>
            </w:pPr>
          </w:p>
        </w:tc>
        <w:tc>
          <w:tcPr>
            <w:tcW w:w="8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1"/>
                <w:szCs w:val="11"/>
                <w:color w:val="auto"/>
              </w:rPr>
              <w:t>23,859</w:t>
            </w:r>
          </w:p>
        </w:tc>
        <w:tc>
          <w:tcPr>
            <w:tcW w:w="0" w:type="dxa"/>
            <w:vAlign w:val="bottom"/>
          </w:tcPr>
          <w:p>
            <w:pPr>
              <w:spacing w:after="0"/>
              <w:rPr>
                <w:sz w:val="1"/>
                <w:szCs w:val="1"/>
                <w:color w:val="auto"/>
              </w:rPr>
            </w:pPr>
          </w:p>
        </w:tc>
      </w:tr>
      <w:tr>
        <w:trPr>
          <w:trHeight w:val="174"/>
        </w:trPr>
        <w:tc>
          <w:tcPr>
            <w:tcW w:w="768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1"/>
                <w:szCs w:val="11"/>
                <w:b w:val="1"/>
                <w:bCs w:val="1"/>
                <w:color w:val="auto"/>
              </w:rPr>
              <w:t>Cash and cash equivalents, end of year</w:t>
            </w:r>
          </w:p>
        </w:tc>
        <w:tc>
          <w:tcPr>
            <w:tcW w:w="740" w:type="dxa"/>
            <w:vAlign w:val="bottom"/>
            <w:tcBorders>
              <w:bottom w:val="single" w:sz="8" w:color="auto"/>
            </w:tcBorders>
            <w:shd w:val="clear" w:color="auto" w:fill="CCEEFF"/>
          </w:tcPr>
          <w:p>
            <w:pPr>
              <w:jc w:val="right"/>
              <w:ind w:right="603"/>
              <w:spacing w:after="0"/>
              <w:rPr>
                <w:sz w:val="20"/>
                <w:szCs w:val="20"/>
                <w:color w:val="auto"/>
              </w:rPr>
            </w:pPr>
            <w:r>
              <w:rPr>
                <w:rFonts w:ascii="Times New Roman" w:cs="Times New Roman" w:eastAsia="Times New Roman" w:hAnsi="Times New Roman"/>
                <w:sz w:val="11"/>
                <w:szCs w:val="11"/>
                <w:color w:val="auto"/>
              </w:rPr>
              <w:t>$</w:t>
            </w:r>
          </w:p>
        </w:tc>
        <w:tc>
          <w:tcPr>
            <w:tcW w:w="4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1"/>
                <w:szCs w:val="11"/>
                <w:color w:val="auto"/>
              </w:rPr>
              <w:t>26,249</w:t>
            </w:r>
          </w:p>
        </w:tc>
        <w:tc>
          <w:tcPr>
            <w:tcW w:w="100" w:type="dxa"/>
            <w:vAlign w:val="bottom"/>
            <w:tcBorders>
              <w:bottom w:val="single" w:sz="8" w:color="CCEEFF"/>
            </w:tcBorders>
            <w:shd w:val="clear" w:color="auto" w:fill="CCEEFF"/>
          </w:tcPr>
          <w:p>
            <w:pPr>
              <w:spacing w:after="0"/>
              <w:rPr>
                <w:sz w:val="14"/>
                <w:szCs w:val="14"/>
                <w:color w:val="auto"/>
              </w:rPr>
            </w:pPr>
          </w:p>
        </w:tc>
        <w:tc>
          <w:tcPr>
            <w:tcW w:w="260" w:type="dxa"/>
            <w:vAlign w:val="bottom"/>
            <w:tcBorders>
              <w:bottom w:val="single" w:sz="8" w:color="auto"/>
            </w:tcBorders>
            <w:shd w:val="clear" w:color="auto" w:fill="CCEEFF"/>
          </w:tcPr>
          <w:p>
            <w:pPr>
              <w:jc w:val="right"/>
              <w:ind w:right="143"/>
              <w:spacing w:after="0"/>
              <w:rPr>
                <w:sz w:val="20"/>
                <w:szCs w:val="20"/>
                <w:color w:val="auto"/>
              </w:rPr>
            </w:pPr>
            <w:r>
              <w:rPr>
                <w:rFonts w:ascii="Times New Roman" w:cs="Times New Roman" w:eastAsia="Times New Roman" w:hAnsi="Times New Roman"/>
                <w:sz w:val="11"/>
                <w:szCs w:val="11"/>
                <w:color w:val="auto"/>
                <w:w w:val="71"/>
              </w:rPr>
              <w:t>$</w:t>
            </w:r>
          </w:p>
        </w:tc>
        <w:tc>
          <w:tcPr>
            <w:tcW w:w="880" w:type="dxa"/>
            <w:vAlign w:val="bottom"/>
            <w:tcBorders>
              <w:bottom w:val="single" w:sz="8" w:color="auto"/>
            </w:tcBorders>
            <w:shd w:val="clear" w:color="auto" w:fill="CCEEFF"/>
          </w:tcPr>
          <w:p>
            <w:pPr>
              <w:jc w:val="right"/>
              <w:ind w:right="3"/>
              <w:spacing w:after="0"/>
              <w:rPr>
                <w:sz w:val="20"/>
                <w:szCs w:val="20"/>
                <w:color w:val="auto"/>
              </w:rPr>
            </w:pPr>
            <w:r>
              <w:rPr>
                <w:rFonts w:ascii="Times New Roman" w:cs="Times New Roman" w:eastAsia="Times New Roman" w:hAnsi="Times New Roman"/>
                <w:sz w:val="11"/>
                <w:szCs w:val="11"/>
                <w:color w:val="auto"/>
              </w:rPr>
              <w:t>18,847</w:t>
            </w:r>
          </w:p>
        </w:tc>
        <w:tc>
          <w:tcPr>
            <w:tcW w:w="80" w:type="dxa"/>
            <w:vAlign w:val="bottom"/>
            <w:tcBorders>
              <w:bottom w:val="single" w:sz="8" w:color="CCEEFF"/>
            </w:tcBorders>
            <w:shd w:val="clear" w:color="auto" w:fill="CCEEFF"/>
          </w:tcPr>
          <w:p>
            <w:pPr>
              <w:spacing w:after="0"/>
              <w:rPr>
                <w:sz w:val="14"/>
                <w:szCs w:val="14"/>
                <w:color w:val="auto"/>
              </w:rPr>
            </w:pPr>
          </w:p>
        </w:tc>
        <w:tc>
          <w:tcPr>
            <w:tcW w:w="280" w:type="dxa"/>
            <w:vAlign w:val="bottom"/>
            <w:tcBorders>
              <w:bottom w:val="single" w:sz="8" w:color="auto"/>
            </w:tcBorders>
            <w:shd w:val="clear" w:color="auto" w:fill="CCEEFF"/>
          </w:tcPr>
          <w:p>
            <w:pPr>
              <w:jc w:val="right"/>
              <w:ind w:right="143"/>
              <w:spacing w:after="0"/>
              <w:rPr>
                <w:sz w:val="20"/>
                <w:szCs w:val="20"/>
                <w:color w:val="auto"/>
              </w:rPr>
            </w:pPr>
            <w:r>
              <w:rPr>
                <w:rFonts w:ascii="Times New Roman" w:cs="Times New Roman" w:eastAsia="Times New Roman" w:hAnsi="Times New Roman"/>
                <w:sz w:val="11"/>
                <w:szCs w:val="11"/>
                <w:color w:val="auto"/>
              </w:rPr>
              <w:t>$</w:t>
            </w:r>
          </w:p>
        </w:tc>
        <w:tc>
          <w:tcPr>
            <w:tcW w:w="8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1"/>
                <w:szCs w:val="11"/>
                <w:color w:val="auto"/>
              </w:rPr>
              <w:t>20,422</w:t>
            </w:r>
          </w:p>
        </w:tc>
        <w:tc>
          <w:tcPr>
            <w:tcW w:w="0" w:type="dxa"/>
            <w:vAlign w:val="bottom"/>
          </w:tcPr>
          <w:p>
            <w:pPr>
              <w:spacing w:after="0"/>
              <w:rPr>
                <w:sz w:val="1"/>
                <w:szCs w:val="1"/>
                <w:color w:val="auto"/>
              </w:rPr>
            </w:pPr>
          </w:p>
        </w:tc>
      </w:tr>
      <w:tr>
        <w:trPr>
          <w:trHeight w:val="20"/>
        </w:trPr>
        <w:tc>
          <w:tcPr>
            <w:tcW w:w="7680" w:type="dxa"/>
            <w:vAlign w:val="bottom"/>
            <w:tcBorders>
              <w:top w:val="single" w:sz="8" w:color="CCEEFF"/>
              <w:bottom w:val="single" w:sz="8" w:color="CCEEFF"/>
            </w:tcBorders>
            <w:vMerge w:val="restart"/>
          </w:tcPr>
          <w:p>
            <w:pPr>
              <w:ind w:left="20"/>
              <w:spacing w:after="0"/>
              <w:rPr>
                <w:sz w:val="20"/>
                <w:szCs w:val="20"/>
                <w:color w:val="auto"/>
              </w:rPr>
            </w:pPr>
            <w:r>
              <w:rPr>
                <w:rFonts w:ascii="Times New Roman" w:cs="Times New Roman" w:eastAsia="Times New Roman" w:hAnsi="Times New Roman"/>
                <w:sz w:val="11"/>
                <w:szCs w:val="11"/>
                <w:color w:val="auto"/>
              </w:rPr>
              <w:t>Supplemental cash flow information:</w:t>
            </w:r>
          </w:p>
        </w:tc>
        <w:tc>
          <w:tcPr>
            <w:tcW w:w="740" w:type="dxa"/>
            <w:vAlign w:val="bottom"/>
            <w:tcBorders>
              <w:top w:val="single" w:sz="8" w:color="CCEEFF"/>
              <w:bottom w:val="single" w:sz="8" w:color="auto"/>
            </w:tcBorders>
          </w:tcPr>
          <w:p>
            <w:pPr>
              <w:spacing w:after="0" w:line="20" w:lineRule="exact"/>
              <w:rPr>
                <w:sz w:val="1"/>
                <w:szCs w:val="1"/>
                <w:color w:val="auto"/>
              </w:rPr>
            </w:pPr>
          </w:p>
        </w:tc>
        <w:tc>
          <w:tcPr>
            <w:tcW w:w="40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260" w:type="dxa"/>
            <w:vAlign w:val="bottom"/>
            <w:tcBorders>
              <w:top w:val="single" w:sz="8" w:color="CCEEFF"/>
              <w:bottom w:val="single" w:sz="8" w:color="auto"/>
            </w:tcBorders>
          </w:tcPr>
          <w:p>
            <w:pPr>
              <w:spacing w:after="0" w:line="20" w:lineRule="exact"/>
              <w:rPr>
                <w:sz w:val="1"/>
                <w:szCs w:val="1"/>
                <w:color w:val="auto"/>
              </w:rPr>
            </w:pPr>
          </w:p>
        </w:tc>
        <w:tc>
          <w:tcPr>
            <w:tcW w:w="880" w:type="dxa"/>
            <w:vAlign w:val="bottom"/>
            <w:tcBorders>
              <w:top w:val="single" w:sz="8" w:color="CCEEFF"/>
              <w:bottom w:val="single" w:sz="8" w:color="auto"/>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280" w:type="dxa"/>
            <w:vAlign w:val="bottom"/>
            <w:tcBorders>
              <w:top w:val="single" w:sz="8" w:color="CCEEFF"/>
              <w:bottom w:val="single" w:sz="8" w:color="auto"/>
            </w:tcBorders>
          </w:tcPr>
          <w:p>
            <w:pPr>
              <w:spacing w:after="0" w:line="20" w:lineRule="exact"/>
              <w:rPr>
                <w:sz w:val="1"/>
                <w:szCs w:val="1"/>
                <w:color w:val="auto"/>
              </w:rPr>
            </w:pPr>
          </w:p>
        </w:tc>
        <w:tc>
          <w:tcPr>
            <w:tcW w:w="860" w:type="dxa"/>
            <w:vAlign w:val="bottom"/>
            <w:tcBorders>
              <w:top w:val="single" w:sz="8" w:color="CCEEFF"/>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98"/>
        </w:trPr>
        <w:tc>
          <w:tcPr>
            <w:tcW w:w="7680" w:type="dxa"/>
            <w:vAlign w:val="bottom"/>
            <w:vMerge w:val="continue"/>
          </w:tcPr>
          <w:p>
            <w:pPr>
              <w:spacing w:after="0"/>
              <w:rPr>
                <w:sz w:val="8"/>
                <w:szCs w:val="8"/>
                <w:color w:val="auto"/>
              </w:rPr>
            </w:pPr>
          </w:p>
        </w:tc>
        <w:tc>
          <w:tcPr>
            <w:tcW w:w="740" w:type="dxa"/>
            <w:vAlign w:val="bottom"/>
          </w:tcPr>
          <w:p>
            <w:pPr>
              <w:spacing w:after="0"/>
              <w:rPr>
                <w:sz w:val="8"/>
                <w:szCs w:val="8"/>
                <w:color w:val="auto"/>
              </w:rPr>
            </w:pPr>
          </w:p>
        </w:tc>
        <w:tc>
          <w:tcPr>
            <w:tcW w:w="400" w:type="dxa"/>
            <w:vAlign w:val="bottom"/>
          </w:tcPr>
          <w:p>
            <w:pPr>
              <w:spacing w:after="0"/>
              <w:rPr>
                <w:sz w:val="8"/>
                <w:szCs w:val="8"/>
                <w:color w:val="auto"/>
              </w:rPr>
            </w:pPr>
          </w:p>
        </w:tc>
        <w:tc>
          <w:tcPr>
            <w:tcW w:w="100" w:type="dxa"/>
            <w:vAlign w:val="bottom"/>
          </w:tcPr>
          <w:p>
            <w:pPr>
              <w:spacing w:after="0"/>
              <w:rPr>
                <w:sz w:val="8"/>
                <w:szCs w:val="8"/>
                <w:color w:val="auto"/>
              </w:rPr>
            </w:pPr>
          </w:p>
        </w:tc>
        <w:tc>
          <w:tcPr>
            <w:tcW w:w="260" w:type="dxa"/>
            <w:vAlign w:val="bottom"/>
          </w:tcPr>
          <w:p>
            <w:pPr>
              <w:spacing w:after="0"/>
              <w:rPr>
                <w:sz w:val="8"/>
                <w:szCs w:val="8"/>
                <w:color w:val="auto"/>
              </w:rPr>
            </w:pPr>
          </w:p>
        </w:tc>
        <w:tc>
          <w:tcPr>
            <w:tcW w:w="880" w:type="dxa"/>
            <w:vAlign w:val="bottom"/>
          </w:tcPr>
          <w:p>
            <w:pPr>
              <w:spacing w:after="0"/>
              <w:rPr>
                <w:sz w:val="8"/>
                <w:szCs w:val="8"/>
                <w:color w:val="auto"/>
              </w:rPr>
            </w:pPr>
          </w:p>
        </w:tc>
        <w:tc>
          <w:tcPr>
            <w:tcW w:w="80" w:type="dxa"/>
            <w:vAlign w:val="bottom"/>
          </w:tcPr>
          <w:p>
            <w:pPr>
              <w:spacing w:after="0"/>
              <w:rPr>
                <w:sz w:val="8"/>
                <w:szCs w:val="8"/>
                <w:color w:val="auto"/>
              </w:rPr>
            </w:pPr>
          </w:p>
        </w:tc>
        <w:tc>
          <w:tcPr>
            <w:tcW w:w="280" w:type="dxa"/>
            <w:vAlign w:val="bottom"/>
          </w:tcPr>
          <w:p>
            <w:pPr>
              <w:spacing w:after="0"/>
              <w:rPr>
                <w:sz w:val="8"/>
                <w:szCs w:val="8"/>
                <w:color w:val="auto"/>
              </w:rPr>
            </w:pPr>
          </w:p>
        </w:tc>
        <w:tc>
          <w:tcPr>
            <w:tcW w:w="86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30"/>
        </w:trPr>
        <w:tc>
          <w:tcPr>
            <w:tcW w:w="7680" w:type="dxa"/>
            <w:vAlign w:val="bottom"/>
          </w:tcPr>
          <w:p>
            <w:pPr>
              <w:spacing w:after="0"/>
              <w:rPr>
                <w:sz w:val="2"/>
                <w:szCs w:val="2"/>
                <w:color w:val="auto"/>
              </w:rPr>
            </w:pPr>
          </w:p>
        </w:tc>
        <w:tc>
          <w:tcPr>
            <w:tcW w:w="740" w:type="dxa"/>
            <w:vAlign w:val="bottom"/>
          </w:tcPr>
          <w:p>
            <w:pPr>
              <w:spacing w:after="0"/>
              <w:rPr>
                <w:sz w:val="2"/>
                <w:szCs w:val="2"/>
                <w:color w:val="auto"/>
              </w:rPr>
            </w:pPr>
          </w:p>
        </w:tc>
        <w:tc>
          <w:tcPr>
            <w:tcW w:w="400" w:type="dxa"/>
            <w:vAlign w:val="bottom"/>
          </w:tcPr>
          <w:p>
            <w:pPr>
              <w:spacing w:after="0"/>
              <w:rPr>
                <w:sz w:val="2"/>
                <w:szCs w:val="2"/>
                <w:color w:val="auto"/>
              </w:rPr>
            </w:pPr>
          </w:p>
        </w:tc>
        <w:tc>
          <w:tcPr>
            <w:tcW w:w="100" w:type="dxa"/>
            <w:vAlign w:val="bottom"/>
          </w:tcPr>
          <w:p>
            <w:pPr>
              <w:spacing w:after="0"/>
              <w:rPr>
                <w:sz w:val="2"/>
                <w:szCs w:val="2"/>
                <w:color w:val="auto"/>
              </w:rPr>
            </w:pPr>
          </w:p>
        </w:tc>
        <w:tc>
          <w:tcPr>
            <w:tcW w:w="260" w:type="dxa"/>
            <w:vAlign w:val="bottom"/>
          </w:tcPr>
          <w:p>
            <w:pPr>
              <w:spacing w:after="0"/>
              <w:rPr>
                <w:sz w:val="2"/>
                <w:szCs w:val="2"/>
                <w:color w:val="auto"/>
              </w:rPr>
            </w:pPr>
          </w:p>
        </w:tc>
        <w:tc>
          <w:tcPr>
            <w:tcW w:w="880" w:type="dxa"/>
            <w:vAlign w:val="bottom"/>
          </w:tcPr>
          <w:p>
            <w:pPr>
              <w:spacing w:after="0"/>
              <w:rPr>
                <w:sz w:val="2"/>
                <w:szCs w:val="2"/>
                <w:color w:val="auto"/>
              </w:rPr>
            </w:pPr>
          </w:p>
        </w:tc>
        <w:tc>
          <w:tcPr>
            <w:tcW w:w="80" w:type="dxa"/>
            <w:vAlign w:val="bottom"/>
          </w:tcPr>
          <w:p>
            <w:pPr>
              <w:spacing w:after="0"/>
              <w:rPr>
                <w:sz w:val="2"/>
                <w:szCs w:val="2"/>
                <w:color w:val="auto"/>
              </w:rPr>
            </w:pPr>
          </w:p>
        </w:tc>
        <w:tc>
          <w:tcPr>
            <w:tcW w:w="280" w:type="dxa"/>
            <w:vAlign w:val="bottom"/>
          </w:tcPr>
          <w:p>
            <w:pPr>
              <w:spacing w:after="0"/>
              <w:rPr>
                <w:sz w:val="2"/>
                <w:szCs w:val="2"/>
                <w:color w:val="auto"/>
              </w:rPr>
            </w:pPr>
          </w:p>
        </w:tc>
        <w:tc>
          <w:tcPr>
            <w:tcW w:w="86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159"/>
        </w:trPr>
        <w:tc>
          <w:tcPr>
            <w:tcW w:w="7680" w:type="dxa"/>
            <w:vAlign w:val="bottom"/>
            <w:shd w:val="clear" w:color="auto" w:fill="CCEEFF"/>
          </w:tcPr>
          <w:p>
            <w:pPr>
              <w:ind w:left="280"/>
              <w:spacing w:after="0"/>
              <w:rPr>
                <w:sz w:val="20"/>
                <w:szCs w:val="20"/>
                <w:color w:val="auto"/>
              </w:rPr>
            </w:pPr>
            <w:r>
              <w:rPr>
                <w:rFonts w:ascii="Times New Roman" w:cs="Times New Roman" w:eastAsia="Times New Roman" w:hAnsi="Times New Roman"/>
                <w:sz w:val="11"/>
                <w:szCs w:val="11"/>
                <w:color w:val="auto"/>
              </w:rPr>
              <w:t>Cash paid during the year for income taxes</w:t>
            </w:r>
          </w:p>
        </w:tc>
        <w:tc>
          <w:tcPr>
            <w:tcW w:w="740" w:type="dxa"/>
            <w:vAlign w:val="bottom"/>
            <w:shd w:val="clear" w:color="auto" w:fill="CCEEFF"/>
          </w:tcPr>
          <w:p>
            <w:pPr>
              <w:jc w:val="right"/>
              <w:ind w:right="603"/>
              <w:spacing w:after="0"/>
              <w:rPr>
                <w:sz w:val="20"/>
                <w:szCs w:val="20"/>
                <w:color w:val="auto"/>
              </w:rPr>
            </w:pPr>
            <w:r>
              <w:rPr>
                <w:rFonts w:ascii="Times New Roman" w:cs="Times New Roman" w:eastAsia="Times New Roman" w:hAnsi="Times New Roman"/>
                <w:sz w:val="11"/>
                <w:szCs w:val="11"/>
                <w:color w:val="auto"/>
              </w:rPr>
              <w:t>$</w:t>
            </w:r>
          </w:p>
        </w:tc>
        <w:tc>
          <w:tcPr>
            <w:tcW w:w="4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1"/>
                <w:szCs w:val="11"/>
                <w:color w:val="auto"/>
              </w:rPr>
              <w:t>1,019</w:t>
            </w:r>
          </w:p>
        </w:tc>
        <w:tc>
          <w:tcPr>
            <w:tcW w:w="360" w:type="dxa"/>
            <w:vAlign w:val="bottom"/>
            <w:gridSpan w:val="2"/>
            <w:shd w:val="clear" w:color="auto" w:fill="CCEEFF"/>
          </w:tcPr>
          <w:p>
            <w:pPr>
              <w:jc w:val="right"/>
              <w:ind w:right="143"/>
              <w:spacing w:after="0"/>
              <w:rPr>
                <w:sz w:val="20"/>
                <w:szCs w:val="20"/>
                <w:color w:val="auto"/>
              </w:rPr>
            </w:pPr>
            <w:r>
              <w:rPr>
                <w:rFonts w:ascii="Times New Roman" w:cs="Times New Roman" w:eastAsia="Times New Roman" w:hAnsi="Times New Roman"/>
                <w:sz w:val="11"/>
                <w:szCs w:val="11"/>
                <w:color w:val="auto"/>
              </w:rPr>
              <w:t>$</w:t>
            </w:r>
          </w:p>
        </w:tc>
        <w:tc>
          <w:tcPr>
            <w:tcW w:w="880" w:type="dxa"/>
            <w:vAlign w:val="bottom"/>
            <w:shd w:val="clear" w:color="auto" w:fill="CCEEFF"/>
          </w:tcPr>
          <w:p>
            <w:pPr>
              <w:jc w:val="right"/>
              <w:ind w:right="3"/>
              <w:spacing w:after="0"/>
              <w:rPr>
                <w:sz w:val="20"/>
                <w:szCs w:val="20"/>
                <w:color w:val="auto"/>
              </w:rPr>
            </w:pPr>
            <w:r>
              <w:rPr>
                <w:rFonts w:ascii="Times New Roman" w:cs="Times New Roman" w:eastAsia="Times New Roman" w:hAnsi="Times New Roman"/>
                <w:sz w:val="11"/>
                <w:szCs w:val="11"/>
                <w:color w:val="auto"/>
              </w:rPr>
              <w:t>3,431</w:t>
            </w:r>
          </w:p>
        </w:tc>
        <w:tc>
          <w:tcPr>
            <w:tcW w:w="80" w:type="dxa"/>
            <w:vAlign w:val="bottom"/>
            <w:shd w:val="clear" w:color="auto" w:fill="CCEEFF"/>
          </w:tcPr>
          <w:p>
            <w:pPr>
              <w:spacing w:after="0"/>
              <w:rPr>
                <w:sz w:val="13"/>
                <w:szCs w:val="13"/>
                <w:color w:val="auto"/>
              </w:rPr>
            </w:pPr>
          </w:p>
        </w:tc>
        <w:tc>
          <w:tcPr>
            <w:tcW w:w="280" w:type="dxa"/>
            <w:vAlign w:val="bottom"/>
            <w:shd w:val="clear" w:color="auto" w:fill="CCEEFF"/>
          </w:tcPr>
          <w:p>
            <w:pPr>
              <w:jc w:val="right"/>
              <w:ind w:right="143"/>
              <w:spacing w:after="0"/>
              <w:rPr>
                <w:sz w:val="20"/>
                <w:szCs w:val="20"/>
                <w:color w:val="auto"/>
              </w:rPr>
            </w:pPr>
            <w:r>
              <w:rPr>
                <w:rFonts w:ascii="Times New Roman" w:cs="Times New Roman" w:eastAsia="Times New Roman" w:hAnsi="Times New Roman"/>
                <w:sz w:val="11"/>
                <w:szCs w:val="11"/>
                <w:color w:val="auto"/>
              </w:rPr>
              <w:t>$</w:t>
            </w:r>
          </w:p>
        </w:tc>
        <w:tc>
          <w:tcPr>
            <w:tcW w:w="8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1"/>
                <w:szCs w:val="11"/>
                <w:color w:val="auto"/>
              </w:rPr>
              <w:t>1,594</w:t>
            </w:r>
          </w:p>
        </w:tc>
        <w:tc>
          <w:tcPr>
            <w:tcW w:w="0" w:type="dxa"/>
            <w:vAlign w:val="bottom"/>
          </w:tcPr>
          <w:p>
            <w:pPr>
              <w:spacing w:after="0"/>
              <w:rPr>
                <w:sz w:val="1"/>
                <w:szCs w:val="1"/>
                <w:color w:val="auto"/>
              </w:rPr>
            </w:pPr>
          </w:p>
        </w:tc>
      </w:tr>
      <w:tr>
        <w:trPr>
          <w:trHeight w:val="153"/>
        </w:trPr>
        <w:tc>
          <w:tcPr>
            <w:tcW w:w="7680" w:type="dxa"/>
            <w:vAlign w:val="bottom"/>
          </w:tcPr>
          <w:p>
            <w:pPr>
              <w:ind w:left="280"/>
              <w:spacing w:after="0"/>
              <w:rPr>
                <w:sz w:val="20"/>
                <w:szCs w:val="20"/>
                <w:color w:val="auto"/>
              </w:rPr>
            </w:pPr>
            <w:r>
              <w:rPr>
                <w:rFonts w:ascii="Times New Roman" w:cs="Times New Roman" w:eastAsia="Times New Roman" w:hAnsi="Times New Roman"/>
                <w:sz w:val="11"/>
                <w:szCs w:val="11"/>
                <w:color w:val="auto"/>
              </w:rPr>
              <w:t>Right-of-use assets obtained in exchange for operating lease liabilities</w:t>
            </w:r>
          </w:p>
        </w:tc>
        <w:tc>
          <w:tcPr>
            <w:tcW w:w="740" w:type="dxa"/>
            <w:vAlign w:val="bottom"/>
          </w:tcPr>
          <w:p>
            <w:pPr>
              <w:jc w:val="right"/>
              <w:ind w:right="603"/>
              <w:spacing w:after="0"/>
              <w:rPr>
                <w:sz w:val="20"/>
                <w:szCs w:val="20"/>
                <w:color w:val="auto"/>
              </w:rPr>
            </w:pPr>
            <w:r>
              <w:rPr>
                <w:rFonts w:ascii="Times New Roman" w:cs="Times New Roman" w:eastAsia="Times New Roman" w:hAnsi="Times New Roman"/>
                <w:sz w:val="11"/>
                <w:szCs w:val="11"/>
                <w:color w:val="auto"/>
              </w:rPr>
              <w:t>$</w:t>
            </w:r>
          </w:p>
        </w:tc>
        <w:tc>
          <w:tcPr>
            <w:tcW w:w="400" w:type="dxa"/>
            <w:vAlign w:val="bottom"/>
          </w:tcPr>
          <w:p>
            <w:pPr>
              <w:jc w:val="right"/>
              <w:spacing w:after="0"/>
              <w:rPr>
                <w:sz w:val="20"/>
                <w:szCs w:val="20"/>
                <w:color w:val="auto"/>
              </w:rPr>
            </w:pPr>
            <w:r>
              <w:rPr>
                <w:rFonts w:ascii="Times New Roman" w:cs="Times New Roman" w:eastAsia="Times New Roman" w:hAnsi="Times New Roman"/>
                <w:sz w:val="11"/>
                <w:szCs w:val="11"/>
                <w:color w:val="auto"/>
              </w:rPr>
              <w:t>8,133</w:t>
            </w:r>
          </w:p>
        </w:tc>
        <w:tc>
          <w:tcPr>
            <w:tcW w:w="360" w:type="dxa"/>
            <w:vAlign w:val="bottom"/>
            <w:gridSpan w:val="2"/>
          </w:tcPr>
          <w:p>
            <w:pPr>
              <w:jc w:val="right"/>
              <w:ind w:right="143"/>
              <w:spacing w:after="0"/>
              <w:rPr>
                <w:sz w:val="20"/>
                <w:szCs w:val="20"/>
                <w:color w:val="auto"/>
              </w:rPr>
            </w:pPr>
            <w:r>
              <w:rPr>
                <w:rFonts w:ascii="Times New Roman" w:cs="Times New Roman" w:eastAsia="Times New Roman" w:hAnsi="Times New Roman"/>
                <w:sz w:val="11"/>
                <w:szCs w:val="11"/>
                <w:color w:val="auto"/>
              </w:rPr>
              <w:t>$</w:t>
            </w:r>
          </w:p>
        </w:tc>
        <w:tc>
          <w:tcPr>
            <w:tcW w:w="960" w:type="dxa"/>
            <w:vAlign w:val="bottom"/>
            <w:gridSpan w:val="2"/>
          </w:tcPr>
          <w:p>
            <w:pPr>
              <w:jc w:val="right"/>
              <w:ind w:right="140"/>
              <w:spacing w:after="0"/>
              <w:rPr>
                <w:sz w:val="20"/>
                <w:szCs w:val="20"/>
                <w:color w:val="auto"/>
              </w:rPr>
            </w:pPr>
            <w:r>
              <w:rPr>
                <w:rFonts w:ascii="Times New Roman" w:cs="Times New Roman" w:eastAsia="Times New Roman" w:hAnsi="Times New Roman"/>
                <w:sz w:val="11"/>
                <w:szCs w:val="11"/>
                <w:color w:val="auto"/>
              </w:rPr>
              <w:t>—</w:t>
            </w:r>
          </w:p>
        </w:tc>
        <w:tc>
          <w:tcPr>
            <w:tcW w:w="280" w:type="dxa"/>
            <w:vAlign w:val="bottom"/>
          </w:tcPr>
          <w:p>
            <w:pPr>
              <w:jc w:val="right"/>
              <w:ind w:right="143"/>
              <w:spacing w:after="0"/>
              <w:rPr>
                <w:sz w:val="20"/>
                <w:szCs w:val="20"/>
                <w:color w:val="auto"/>
              </w:rPr>
            </w:pPr>
            <w:r>
              <w:rPr>
                <w:rFonts w:ascii="Times New Roman" w:cs="Times New Roman" w:eastAsia="Times New Roman" w:hAnsi="Times New Roman"/>
                <w:sz w:val="11"/>
                <w:szCs w:val="11"/>
                <w:color w:val="auto"/>
              </w:rPr>
              <w:t>$</w:t>
            </w:r>
          </w:p>
        </w:tc>
        <w:tc>
          <w:tcPr>
            <w:tcW w:w="860" w:type="dxa"/>
            <w:vAlign w:val="bottom"/>
          </w:tcPr>
          <w:p>
            <w:pPr>
              <w:jc w:val="right"/>
              <w:spacing w:after="0"/>
              <w:rPr>
                <w:sz w:val="20"/>
                <w:szCs w:val="20"/>
                <w:color w:val="auto"/>
              </w:rPr>
            </w:pPr>
            <w:r>
              <w:rPr>
                <w:rFonts w:ascii="Times New Roman" w:cs="Times New Roman" w:eastAsia="Times New Roman" w:hAnsi="Times New Roman"/>
                <w:sz w:val="11"/>
                <w:szCs w:val="11"/>
                <w:color w:val="auto"/>
              </w:rPr>
              <w:t>173</w:t>
            </w:r>
          </w:p>
        </w:tc>
        <w:tc>
          <w:tcPr>
            <w:tcW w:w="0" w:type="dxa"/>
            <w:vAlign w:val="bottom"/>
          </w:tcPr>
          <w:p>
            <w:pPr>
              <w:spacing w:after="0"/>
              <w:rPr>
                <w:sz w:val="1"/>
                <w:szCs w:val="1"/>
                <w:color w:val="auto"/>
              </w:rPr>
            </w:pPr>
          </w:p>
        </w:tc>
      </w:tr>
      <w:tr>
        <w:trPr>
          <w:trHeight w:val="165"/>
        </w:trPr>
        <w:tc>
          <w:tcPr>
            <w:tcW w:w="7680" w:type="dxa"/>
            <w:vAlign w:val="bottom"/>
            <w:shd w:val="clear" w:color="auto" w:fill="CCEEFF"/>
          </w:tcPr>
          <w:p>
            <w:pPr>
              <w:ind w:left="280"/>
              <w:spacing w:after="0"/>
              <w:rPr>
                <w:sz w:val="20"/>
                <w:szCs w:val="20"/>
                <w:color w:val="auto"/>
              </w:rPr>
            </w:pPr>
            <w:r>
              <w:rPr>
                <w:rFonts w:ascii="Times New Roman" w:cs="Times New Roman" w:eastAsia="Times New Roman" w:hAnsi="Times New Roman"/>
                <w:sz w:val="11"/>
                <w:szCs w:val="11"/>
                <w:color w:val="auto"/>
              </w:rPr>
              <w:t>Accrued dividends</w:t>
            </w:r>
          </w:p>
        </w:tc>
        <w:tc>
          <w:tcPr>
            <w:tcW w:w="740" w:type="dxa"/>
            <w:vAlign w:val="bottom"/>
            <w:shd w:val="clear" w:color="auto" w:fill="CCEEFF"/>
          </w:tcPr>
          <w:p>
            <w:pPr>
              <w:jc w:val="right"/>
              <w:ind w:right="603"/>
              <w:spacing w:after="0"/>
              <w:rPr>
                <w:sz w:val="20"/>
                <w:szCs w:val="20"/>
                <w:color w:val="auto"/>
              </w:rPr>
            </w:pPr>
            <w:r>
              <w:rPr>
                <w:rFonts w:ascii="Times New Roman" w:cs="Times New Roman" w:eastAsia="Times New Roman" w:hAnsi="Times New Roman"/>
                <w:sz w:val="11"/>
                <w:szCs w:val="11"/>
                <w:color w:val="auto"/>
              </w:rPr>
              <w:t>$</w:t>
            </w:r>
          </w:p>
        </w:tc>
        <w:tc>
          <w:tcPr>
            <w:tcW w:w="4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1"/>
                <w:szCs w:val="11"/>
                <w:color w:val="auto"/>
              </w:rPr>
              <w:t>2,701</w:t>
            </w:r>
          </w:p>
        </w:tc>
        <w:tc>
          <w:tcPr>
            <w:tcW w:w="360" w:type="dxa"/>
            <w:vAlign w:val="bottom"/>
            <w:gridSpan w:val="2"/>
            <w:shd w:val="clear" w:color="auto" w:fill="CCEEFF"/>
          </w:tcPr>
          <w:p>
            <w:pPr>
              <w:jc w:val="right"/>
              <w:ind w:right="143"/>
              <w:spacing w:after="0"/>
              <w:rPr>
                <w:sz w:val="20"/>
                <w:szCs w:val="20"/>
                <w:color w:val="auto"/>
              </w:rPr>
            </w:pPr>
            <w:r>
              <w:rPr>
                <w:rFonts w:ascii="Times New Roman" w:cs="Times New Roman" w:eastAsia="Times New Roman" w:hAnsi="Times New Roman"/>
                <w:sz w:val="11"/>
                <w:szCs w:val="11"/>
                <w:color w:val="auto"/>
              </w:rPr>
              <w:t>$</w:t>
            </w:r>
          </w:p>
        </w:tc>
        <w:tc>
          <w:tcPr>
            <w:tcW w:w="880" w:type="dxa"/>
            <w:vAlign w:val="bottom"/>
            <w:shd w:val="clear" w:color="auto" w:fill="CCEEFF"/>
          </w:tcPr>
          <w:p>
            <w:pPr>
              <w:jc w:val="right"/>
              <w:ind w:right="3"/>
              <w:spacing w:after="0"/>
              <w:rPr>
                <w:sz w:val="20"/>
                <w:szCs w:val="20"/>
                <w:color w:val="auto"/>
              </w:rPr>
            </w:pPr>
            <w:r>
              <w:rPr>
                <w:rFonts w:ascii="Times New Roman" w:cs="Times New Roman" w:eastAsia="Times New Roman" w:hAnsi="Times New Roman"/>
                <w:sz w:val="11"/>
                <w:szCs w:val="11"/>
                <w:color w:val="auto"/>
              </w:rPr>
              <w:t>2,466</w:t>
            </w:r>
          </w:p>
        </w:tc>
        <w:tc>
          <w:tcPr>
            <w:tcW w:w="80" w:type="dxa"/>
            <w:vAlign w:val="bottom"/>
            <w:shd w:val="clear" w:color="auto" w:fill="CCEEFF"/>
          </w:tcPr>
          <w:p>
            <w:pPr>
              <w:spacing w:after="0"/>
              <w:rPr>
                <w:sz w:val="14"/>
                <w:szCs w:val="14"/>
                <w:color w:val="auto"/>
              </w:rPr>
            </w:pPr>
          </w:p>
        </w:tc>
        <w:tc>
          <w:tcPr>
            <w:tcW w:w="280" w:type="dxa"/>
            <w:vAlign w:val="bottom"/>
            <w:shd w:val="clear" w:color="auto" w:fill="CCEEFF"/>
          </w:tcPr>
          <w:p>
            <w:pPr>
              <w:jc w:val="right"/>
              <w:ind w:right="143"/>
              <w:spacing w:after="0"/>
              <w:rPr>
                <w:sz w:val="20"/>
                <w:szCs w:val="20"/>
                <w:color w:val="auto"/>
              </w:rPr>
            </w:pPr>
            <w:r>
              <w:rPr>
                <w:rFonts w:ascii="Times New Roman" w:cs="Times New Roman" w:eastAsia="Times New Roman" w:hAnsi="Times New Roman"/>
                <w:sz w:val="11"/>
                <w:szCs w:val="11"/>
                <w:color w:val="auto"/>
              </w:rPr>
              <w:t>$</w:t>
            </w:r>
          </w:p>
        </w:tc>
        <w:tc>
          <w:tcPr>
            <w:tcW w:w="8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1"/>
                <w:szCs w:val="11"/>
                <w:color w:val="auto"/>
              </w:rPr>
              <w:t>2,368</w:t>
            </w:r>
          </w:p>
        </w:tc>
        <w:tc>
          <w:tcPr>
            <w:tcW w:w="0" w:type="dxa"/>
            <w:vAlign w:val="bottom"/>
          </w:tcPr>
          <w:p>
            <w:pPr>
              <w:spacing w:after="0"/>
              <w:rPr>
                <w:sz w:val="1"/>
                <w:szCs w:val="1"/>
                <w:color w:val="auto"/>
              </w:rPr>
            </w:pPr>
          </w:p>
        </w:tc>
      </w:tr>
    </w:tbl>
    <w:p>
      <w:pPr>
        <w:spacing w:after="0" w:line="24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1"/>
          <w:szCs w:val="11"/>
          <w:b w:val="1"/>
          <w:bCs w:val="1"/>
          <w:color w:val="auto"/>
        </w:rPr>
        <w:t>See Notes to Consolidated Financial Statements.</w:t>
      </w:r>
    </w:p>
    <w:p>
      <w:pPr>
        <w:spacing w:after="0" w:line="200" w:lineRule="exact"/>
        <w:rPr>
          <w:sz w:val="20"/>
          <w:szCs w:val="20"/>
          <w:color w:val="auto"/>
        </w:rPr>
      </w:pPr>
    </w:p>
    <w:p>
      <w:pPr>
        <w:spacing w:after="0" w:line="200" w:lineRule="exact"/>
        <w:rPr>
          <w:sz w:val="20"/>
          <w:szCs w:val="20"/>
          <w:color w:val="auto"/>
        </w:rPr>
      </w:pPr>
    </w:p>
    <w:p>
      <w:pPr>
        <w:spacing w:after="0" w:line="33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4"/>
          <w:szCs w:val="14"/>
          <w:color w:val="auto"/>
        </w:rPr>
        <w:t>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-8890</wp:posOffset>
            </wp:positionH>
            <wp:positionV relativeFrom="paragraph">
              <wp:posOffset>55880</wp:posOffset>
            </wp:positionV>
            <wp:extent cx="7186930" cy="38735"/>
            <wp:wrapNone/>
            <wp:docPr id="81" name="Picture 8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1"/>
                    <pic:cNvPicPr>
                      <a:picLocks noChangeAspect="1" noChangeArrowheads="1"/>
                    </pic:cNvPicPr>
                  </pic:nvPicPr>
                  <pic:blipFill>
                    <a:blip r:embed="rId88">
                      <a:extLst>
                        <a:ext uri="{28A0092B-C50C-407E-A947-70E740481C1C}"/>
                      </a:extLst>
                    </a:blip>
                    <a:srcRect/>
                    <a:stretch>
                      <a:fillRect/>
                    </a:stretch>
                  </pic:blipFill>
                  <pic:spPr bwMode="auto">
                    <a:xfrm>
                      <a:off x="0" y="0"/>
                      <a:ext cx="7186930" cy="38735"/>
                    </a:xfrm>
                    <a:prstGeom prst="rect">
                      <a:avLst/>
                    </a:prstGeom>
                    <a:noFill/>
                  </pic:spPr>
                </pic:pic>
              </a:graphicData>
            </a:graphic>
          </wp:anchor>
        </w:drawing>
      </w:r>
    </w:p>
    <w:p>
      <w:pPr>
        <w:sectPr>
          <w:pgSz w:w="11900" w:h="16838" w:orient="portrait"/>
          <w:cols w:equalWidth="0" w:num="1">
            <w:col w:w="11280"/>
          </w:cols>
          <w:pgMar w:left="300" w:top="763" w:right="319" w:bottom="1440" w:gutter="0" w:footer="0" w:header="0"/>
        </w:sectPr>
      </w:pPr>
    </w:p>
    <w:bookmarkStart w:id="49" w:name="page50"/>
    <w:bookmarkEnd w:id="49"/>
    <w:p>
      <w:pPr>
        <w:jc w:val="center"/>
        <w:spacing w:after="0"/>
        <w:rPr>
          <w:sz w:val="20"/>
          <w:szCs w:val="20"/>
          <w:color w:val="auto"/>
        </w:rPr>
      </w:pPr>
      <w:r>
        <w:rPr>
          <w:rFonts w:ascii="Times New Roman" w:cs="Times New Roman" w:eastAsia="Times New Roman" w:hAnsi="Times New Roman"/>
          <w:sz w:val="14"/>
          <w:szCs w:val="14"/>
          <w:b w:val="1"/>
          <w:bCs w:val="1"/>
          <w:color w:val="auto"/>
        </w:rPr>
        <w:t>WESTWOOD HOLDINGS GROUP, INC.</w:t>
      </w:r>
    </w:p>
    <w:p>
      <w:pPr>
        <w:spacing w:after="0" w:line="94"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4"/>
          <w:szCs w:val="14"/>
          <w:b w:val="1"/>
          <w:bCs w:val="1"/>
          <w:color w:val="auto"/>
        </w:rPr>
        <w:t>NOTES TO CONSOLIDATED FINANCIAL STATEMENTS</w:t>
      </w:r>
    </w:p>
    <w:p>
      <w:pPr>
        <w:spacing w:after="0" w:line="94"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b w:val="1"/>
          <w:bCs w:val="1"/>
          <w:color w:val="auto"/>
        </w:rPr>
        <w:t>1. DESCRIPTION OF THE BUSINESS:</w:t>
      </w:r>
    </w:p>
    <w:p>
      <w:pPr>
        <w:spacing w:after="0" w:line="96" w:lineRule="exact"/>
        <w:rPr>
          <w:sz w:val="20"/>
          <w:szCs w:val="20"/>
          <w:color w:val="auto"/>
        </w:rPr>
      </w:pPr>
    </w:p>
    <w:p>
      <w:pPr>
        <w:jc w:val="both"/>
        <w:ind w:right="280" w:firstLine="382"/>
        <w:spacing w:after="0" w:line="270" w:lineRule="auto"/>
        <w:rPr>
          <w:sz w:val="20"/>
          <w:szCs w:val="20"/>
          <w:color w:val="auto"/>
        </w:rPr>
      </w:pPr>
      <w:r>
        <w:rPr>
          <w:rFonts w:ascii="Times New Roman" w:cs="Times New Roman" w:eastAsia="Times New Roman" w:hAnsi="Times New Roman"/>
          <w:sz w:val="14"/>
          <w:szCs w:val="14"/>
          <w:color w:val="auto"/>
        </w:rPr>
        <w:t>Westwood Holdings Group, Inc. (“Westwood”, “the Company”, “we”, “us” or “our”) was incorporated under the laws of the State of Delaware on December 12, 2001. Westwood manages investment assets and provides services for its clients through its subsidiaries, Westwood Management Corp., Westwood Advisors, L.L.C., Salient Advisors, L.P. ("Salient Advisors"), Broadmark Asset Management LLC ("Broadmark") and Salient Capital L.P. ("SCLP"), (referred to hereinafter together as “Westwood Management”), and Westwood Trust.</w:t>
      </w:r>
    </w:p>
    <w:p>
      <w:pPr>
        <w:spacing w:after="0" w:line="51" w:lineRule="exact"/>
        <w:rPr>
          <w:sz w:val="20"/>
          <w:szCs w:val="20"/>
          <w:color w:val="auto"/>
        </w:rPr>
      </w:pPr>
    </w:p>
    <w:p>
      <w:pPr>
        <w:ind w:right="40" w:firstLine="382"/>
        <w:spacing w:after="0" w:line="270" w:lineRule="auto"/>
        <w:rPr>
          <w:sz w:val="20"/>
          <w:szCs w:val="20"/>
          <w:color w:val="auto"/>
        </w:rPr>
      </w:pPr>
      <w:r>
        <w:rPr>
          <w:rFonts w:ascii="Times New Roman" w:cs="Times New Roman" w:eastAsia="Times New Roman" w:hAnsi="Times New Roman"/>
          <w:sz w:val="14"/>
          <w:szCs w:val="14"/>
          <w:color w:val="auto"/>
        </w:rPr>
        <w:t>SCLP is an SEC-registered broker-dealer and Financial Industry Regulatory Authority ("FINRA") member and serves as a sub-placement agent for private placements. Salient Advisors is an SEC registered investment adviser, a Commodity Futures Trading Commission ("CFTC") registered Commodity Pool Operator ("CPO") and a National Futures Association ("NFA") member. Salient Advisors is an advisor to the Westwood Salient Tactical Plus Fund, which is sub-advised by Broadmark.</w:t>
      </w:r>
    </w:p>
    <w:p>
      <w:pPr>
        <w:spacing w:after="0" w:line="51" w:lineRule="exact"/>
        <w:rPr>
          <w:sz w:val="20"/>
          <w:szCs w:val="20"/>
          <w:color w:val="auto"/>
        </w:rPr>
      </w:pPr>
    </w:p>
    <w:p>
      <w:pPr>
        <w:ind w:right="120" w:firstLine="382"/>
        <w:spacing w:after="0" w:line="264" w:lineRule="auto"/>
        <w:rPr>
          <w:sz w:val="20"/>
          <w:szCs w:val="20"/>
          <w:color w:val="auto"/>
        </w:rPr>
      </w:pPr>
      <w:r>
        <w:rPr>
          <w:rFonts w:ascii="Times New Roman" w:cs="Times New Roman" w:eastAsia="Times New Roman" w:hAnsi="Times New Roman"/>
          <w:sz w:val="14"/>
          <w:szCs w:val="14"/>
          <w:color w:val="auto"/>
        </w:rPr>
        <w:t>Westwood Management provides investment advisory services to institutional clients, a family of mutual funds called the Westwood Funds®, Westwood ETFs, other mutual funds, individual investors, private capital funds and clients of Westwood Trust. Westwood Trust provides trust and custodial services and participation in self-sponsored common trust funds ("CTFs") to institutions and high net worth individuals. Revenue is largely dependent on the total value and composition of assets under management ("AUM") and assets under advisement ("AUA"), and fluctuations in financial markets and in the composition of AUM impact our revenues and results of operations.</w:t>
      </w:r>
    </w:p>
    <w:p>
      <w:pPr>
        <w:spacing w:after="0" w:line="56" w:lineRule="exact"/>
        <w:rPr>
          <w:sz w:val="20"/>
          <w:szCs w:val="20"/>
          <w:color w:val="auto"/>
        </w:rPr>
      </w:pPr>
    </w:p>
    <w:p>
      <w:pPr>
        <w:ind w:right="200" w:firstLine="382"/>
        <w:spacing w:after="0" w:line="287" w:lineRule="auto"/>
        <w:rPr>
          <w:sz w:val="20"/>
          <w:szCs w:val="20"/>
          <w:color w:val="auto"/>
        </w:rPr>
      </w:pPr>
      <w:r>
        <w:rPr>
          <w:rFonts w:ascii="Times New Roman" w:cs="Times New Roman" w:eastAsia="Times New Roman" w:hAnsi="Times New Roman"/>
          <w:sz w:val="14"/>
          <w:szCs w:val="14"/>
          <w:color w:val="auto"/>
        </w:rPr>
        <w:t>Each entity comprising Westwood Management is registered with the Securities and Exchange Commission ("SEC") as an investment adviser under the Investment Advisers Act of 1940, as amended. Westwood Trust is chartered and regulated by the Texas Department of Banking.</w:t>
      </w:r>
    </w:p>
    <w:p>
      <w:pPr>
        <w:spacing w:after="0" w:line="37"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b w:val="1"/>
          <w:bCs w:val="1"/>
          <w:color w:val="auto"/>
        </w:rPr>
        <w:t>Acquisition of Broadmark Asset Management LLC</w:t>
      </w:r>
    </w:p>
    <w:p>
      <w:pPr>
        <w:spacing w:after="0" w:line="96" w:lineRule="exact"/>
        <w:rPr>
          <w:sz w:val="20"/>
          <w:szCs w:val="20"/>
          <w:color w:val="auto"/>
        </w:rPr>
      </w:pPr>
    </w:p>
    <w:p>
      <w:pPr>
        <w:ind w:right="200" w:firstLine="382"/>
        <w:spacing w:after="0" w:line="264" w:lineRule="auto"/>
        <w:rPr>
          <w:sz w:val="20"/>
          <w:szCs w:val="20"/>
          <w:color w:val="auto"/>
        </w:rPr>
      </w:pPr>
      <w:r>
        <w:rPr>
          <w:rFonts w:ascii="Times New Roman" w:cs="Times New Roman" w:eastAsia="Times New Roman" w:hAnsi="Times New Roman"/>
          <w:sz w:val="14"/>
          <w:szCs w:val="14"/>
          <w:color w:val="auto"/>
        </w:rPr>
        <w:t>We acquired a 48% interest in Broadmark via our 2022 acquisition of the asset management business of Salient Partners, L.P. (the "Salient Acquisition"). In January 2023 we acquired an additional 32% interest in Broadmark for $1.2 million (net of cash acquired), increasing our ownership of Broadmark to approximately 80%, which represents a controlling interest for financial statement consolidation purposes (the "Broadmark Acquisition"). Broadmark is a San Francisco-based RIA managing and/or sub-advising mutual funds, retail and institutional separately-managed accounts.</w:t>
      </w:r>
    </w:p>
    <w:p>
      <w:pPr>
        <w:spacing w:after="0" w:line="181"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b w:val="1"/>
          <w:bCs w:val="1"/>
          <w:color w:val="auto"/>
        </w:rPr>
        <w:t>2. SUMMARY OF SIGNIFICANT ACCOUNTING POLICIES:</w:t>
      </w:r>
    </w:p>
    <w:p>
      <w:pPr>
        <w:spacing w:after="0" w:line="179"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b w:val="1"/>
          <w:bCs w:val="1"/>
          <w:color w:val="auto"/>
        </w:rPr>
        <w:t>Basis of Presentation and Principles of Consolidation</w:t>
      </w:r>
    </w:p>
    <w:p>
      <w:pPr>
        <w:spacing w:after="0" w:line="96" w:lineRule="exact"/>
        <w:rPr>
          <w:sz w:val="20"/>
          <w:szCs w:val="20"/>
          <w:color w:val="auto"/>
        </w:rPr>
      </w:pPr>
    </w:p>
    <w:p>
      <w:pPr>
        <w:ind w:right="640" w:firstLine="382"/>
        <w:spacing w:after="0" w:line="287" w:lineRule="auto"/>
        <w:rPr>
          <w:sz w:val="20"/>
          <w:szCs w:val="20"/>
          <w:color w:val="auto"/>
        </w:rPr>
      </w:pPr>
      <w:r>
        <w:rPr>
          <w:rFonts w:ascii="Times New Roman" w:cs="Times New Roman" w:eastAsia="Times New Roman" w:hAnsi="Times New Roman"/>
          <w:sz w:val="14"/>
          <w:szCs w:val="14"/>
          <w:color w:val="auto"/>
        </w:rPr>
        <w:t>The accompanying Consolidated Financial Statements include the accounts of Westwood and its subsidiaries. All intercompany accounts and transactions have been eliminated upon consolidation.</w:t>
      </w:r>
    </w:p>
    <w:p>
      <w:pPr>
        <w:spacing w:after="0" w:line="39" w:lineRule="exact"/>
        <w:rPr>
          <w:sz w:val="20"/>
          <w:szCs w:val="20"/>
          <w:color w:val="auto"/>
        </w:rPr>
      </w:pPr>
    </w:p>
    <w:p>
      <w:pPr>
        <w:ind w:right="160" w:firstLine="382"/>
        <w:spacing w:after="0" w:line="259" w:lineRule="auto"/>
        <w:rPr>
          <w:sz w:val="20"/>
          <w:szCs w:val="20"/>
          <w:color w:val="auto"/>
        </w:rPr>
      </w:pPr>
      <w:r>
        <w:rPr>
          <w:rFonts w:ascii="Times New Roman" w:cs="Times New Roman" w:eastAsia="Times New Roman" w:hAnsi="Times New Roman"/>
          <w:sz w:val="14"/>
          <w:szCs w:val="14"/>
          <w:color w:val="auto"/>
        </w:rPr>
        <w:t>We assess each legal entity that we manage to determine whether consolidation is appropriate at the onset of the relationship. We first determine whether the entity is a variable interest entity ("VIE"), or a voting interest entity ("VOE"), under GAAP and whether we have a controlling financial interest in the entity. Assessing whether or not an entity is a VOE or VIE and if it requires consolidation involves judgment and analysis. Factors considered in this assessment include, but are not limited to, the legal organization of the entity, our equity ownership and contractual involvement with the entity and any related party or de facto agent implications of our involvement with the entity. We reconsider whether entities are a VIE or VOE whenever contractual arrangements change, the entity receives additional equity or returns equity to its investors or changes in facts and circumstances occur that change investors’ abilities to direct the activities of the entity.</w:t>
      </w:r>
    </w:p>
    <w:p>
      <w:pPr>
        <w:spacing w:after="0" w:line="61" w:lineRule="exact"/>
        <w:rPr>
          <w:sz w:val="20"/>
          <w:szCs w:val="20"/>
          <w:color w:val="auto"/>
        </w:rPr>
      </w:pPr>
    </w:p>
    <w:p>
      <w:pPr>
        <w:ind w:firstLine="382"/>
        <w:spacing w:after="0" w:line="257" w:lineRule="auto"/>
        <w:rPr>
          <w:sz w:val="20"/>
          <w:szCs w:val="20"/>
          <w:color w:val="auto"/>
        </w:rPr>
      </w:pPr>
      <w:r>
        <w:rPr>
          <w:rFonts w:ascii="Times New Roman" w:cs="Times New Roman" w:eastAsia="Times New Roman" w:hAnsi="Times New Roman"/>
          <w:sz w:val="14"/>
          <w:szCs w:val="14"/>
          <w:color w:val="auto"/>
        </w:rPr>
        <w:t>A VIE is an entity in which (i) the total equity investment at risk is not sufficient to enable the entity to finance its activities without subordinated financial support, (ii) the at-risk equity holders, as a group, lack the characteristics of a controlling financial interest or (iii) the entity is structured with disproportionate voting rights, and substantially all of the activities are conducted on behalf of an investor with disproportionately few voting rights. That is, the at-risk equity holders do not have the obligation to absorb significant losses, the right to receive residual returns and the right to direct the activities of the entity that most significantly impact the entity’s economic performance. An enterprise must consolidate all VIEs of which it is the primary beneficiary. We determine if a sponsored investment meets the definition of a VIE by considering whether the fund’s equity investment at risk is sufficient to finance its activities without additional subordinated financial support and whether the fund’s at-risk equity holders absorb any losses, have the right to receive residual returns and have the right to direct the activities of the entity most responsible for the entity’s economic performance. The primary beneficiary of a VIE is defined as the party that, considering the involvement of related parties and de facto agents, has (i) the power to direct the activities of the VIE that most significantly affect its economic performance and (ii) the obligation to absorb losses of the entity or the right</w:t>
      </w:r>
    </w:p>
    <w:p>
      <w:pPr>
        <w:spacing w:after="0" w:line="200" w:lineRule="exact"/>
        <w:rPr>
          <w:sz w:val="20"/>
          <w:szCs w:val="20"/>
          <w:color w:val="auto"/>
        </w:rPr>
      </w:pPr>
    </w:p>
    <w:p>
      <w:pPr>
        <w:spacing w:after="0" w:line="214"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4"/>
          <w:szCs w:val="14"/>
          <w:color w:val="auto"/>
        </w:rPr>
        <w:t>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-8890</wp:posOffset>
            </wp:positionH>
            <wp:positionV relativeFrom="paragraph">
              <wp:posOffset>55880</wp:posOffset>
            </wp:positionV>
            <wp:extent cx="7186930" cy="38735"/>
            <wp:wrapNone/>
            <wp:docPr id="82" name="Picture 8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2"/>
                    <pic:cNvPicPr>
                      <a:picLocks noChangeAspect="1" noChangeArrowheads="1"/>
                    </pic:cNvPicPr>
                  </pic:nvPicPr>
                  <pic:blipFill>
                    <a:blip r:embed="rId89">
                      <a:extLst>
                        <a:ext uri="{28A0092B-C50C-407E-A947-70E740481C1C}"/>
                      </a:extLst>
                    </a:blip>
                    <a:srcRect/>
                    <a:stretch>
                      <a:fillRect/>
                    </a:stretch>
                  </pic:blipFill>
                  <pic:spPr bwMode="auto">
                    <a:xfrm>
                      <a:off x="0" y="0"/>
                      <a:ext cx="7186930" cy="38735"/>
                    </a:xfrm>
                    <a:prstGeom prst="rect">
                      <a:avLst/>
                    </a:prstGeom>
                    <a:noFill/>
                  </pic:spPr>
                </pic:pic>
              </a:graphicData>
            </a:graphic>
          </wp:anchor>
        </w:drawing>
      </w:r>
    </w:p>
    <w:p>
      <w:pPr>
        <w:sectPr>
          <w:pgSz w:w="11900" w:h="16838" w:orient="portrait"/>
          <w:cols w:equalWidth="0" w:num="1">
            <w:col w:w="11280"/>
          </w:cols>
          <w:pgMar w:left="300" w:top="728" w:right="319" w:bottom="1440" w:gutter="0" w:footer="0" w:header="0"/>
        </w:sectPr>
      </w:pPr>
    </w:p>
    <w:bookmarkStart w:id="50" w:name="page51"/>
    <w:bookmarkEnd w:id="50"/>
    <w:p>
      <w:pPr>
        <w:jc w:val="center"/>
        <w:ind w:right="-19"/>
        <w:spacing w:after="0"/>
        <w:rPr>
          <w:sz w:val="20"/>
          <w:szCs w:val="20"/>
          <w:color w:val="auto"/>
        </w:rPr>
      </w:pPr>
      <w:r>
        <w:rPr>
          <w:rFonts w:ascii="Times New Roman" w:cs="Times New Roman" w:eastAsia="Times New Roman" w:hAnsi="Times New Roman"/>
          <w:sz w:val="14"/>
          <w:szCs w:val="14"/>
          <w:b w:val="1"/>
          <w:bCs w:val="1"/>
          <w:color w:val="auto"/>
        </w:rPr>
        <w:t>WESTWOOD HOLDINGS GROUP, INC.</w:t>
      </w:r>
    </w:p>
    <w:p>
      <w:pPr>
        <w:spacing w:after="0" w:line="51"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4"/>
          <w:szCs w:val="14"/>
          <w:b w:val="1"/>
          <w:bCs w:val="1"/>
          <w:color w:val="auto"/>
        </w:rPr>
        <w:t>NOTES TO CONSOLIDATED FINANCIAL STATEMENTS — (Continued)</w:t>
      </w:r>
    </w:p>
    <w:p>
      <w:pPr>
        <w:spacing w:after="0" w:line="318"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color w:val="auto"/>
        </w:rPr>
        <w:t>to receive benefits from the entity that could potentially be significant to the VIE. This evaluation is updated on a continuing basis.</w:t>
      </w:r>
    </w:p>
    <w:p>
      <w:pPr>
        <w:spacing w:after="0" w:line="94" w:lineRule="exact"/>
        <w:rPr>
          <w:sz w:val="20"/>
          <w:szCs w:val="20"/>
          <w:color w:val="auto"/>
        </w:rPr>
      </w:pPr>
    </w:p>
    <w:p>
      <w:pPr>
        <w:ind w:right="80" w:firstLine="382"/>
        <w:spacing w:after="0" w:line="287" w:lineRule="auto"/>
        <w:rPr>
          <w:sz w:val="20"/>
          <w:szCs w:val="20"/>
          <w:color w:val="auto"/>
        </w:rPr>
      </w:pPr>
      <w:r>
        <w:rPr>
          <w:rFonts w:ascii="Times New Roman" w:cs="Times New Roman" w:eastAsia="Times New Roman" w:hAnsi="Times New Roman"/>
          <w:sz w:val="14"/>
          <w:szCs w:val="14"/>
          <w:color w:val="auto"/>
        </w:rPr>
        <w:t>A VOE is an entity that is outside the scope of the guidance for VIEs. Consolidation of a VOE is required when a reporting entity owns a controlling financial interest in a VOE. Ownership of a majority of the voting interests is the usual condition for a controlling financial interest.</w:t>
      </w:r>
    </w:p>
    <w:p>
      <w:pPr>
        <w:spacing w:after="0" w:line="39" w:lineRule="exact"/>
        <w:rPr>
          <w:sz w:val="20"/>
          <w:szCs w:val="20"/>
          <w:color w:val="auto"/>
        </w:rPr>
      </w:pPr>
    </w:p>
    <w:p>
      <w:pPr>
        <w:ind w:right="80" w:firstLine="382"/>
        <w:spacing w:after="0" w:line="261" w:lineRule="auto"/>
        <w:rPr>
          <w:sz w:val="20"/>
          <w:szCs w:val="20"/>
          <w:color w:val="auto"/>
        </w:rPr>
      </w:pPr>
      <w:r>
        <w:rPr>
          <w:rFonts w:ascii="Times New Roman" w:cs="Times New Roman" w:eastAsia="Times New Roman" w:hAnsi="Times New Roman"/>
          <w:sz w:val="14"/>
          <w:szCs w:val="14"/>
          <w:color w:val="auto"/>
        </w:rPr>
        <w:t xml:space="preserve">We evaluated (i) our relationship as sponsor of the CTFs and managing member of the private equity funds Westwood Hospitality, Westwood Technology Opportunities Fund I, LP, Westwood Energy Secondaries I and Westwood Energy Secondaries II, Westwood Energy Secondaries Fund Co-Invest II, and Westwood Energy Secondaries Fund Co-Invest III (collectively the “Private Funds”), (ii) our advisory relationships with the Westwood Funds® and (iii) our investments in InvestCloud Inc. ("InvestCloud"), Vista, Zarvona Energy Fund GP, Zarvona Energy Fund II-A, WEBs Investments Inc. ("WEBs") and the TXSE Group Inc. ("TXSE") as discussed in Note 6 </w:t>
      </w:r>
      <w:r>
        <w:rPr>
          <w:rFonts w:ascii="Times New Roman" w:cs="Times New Roman" w:eastAsia="Times New Roman" w:hAnsi="Times New Roman"/>
          <w:sz w:val="14"/>
          <w:szCs w:val="14"/>
          <w:color w:val="222222"/>
        </w:rPr>
        <w:t>“Investments”</w:t>
      </w:r>
      <w:r>
        <w:rPr>
          <w:rFonts w:ascii="Times New Roman" w:cs="Times New Roman" w:eastAsia="Times New Roman" w:hAnsi="Times New Roman"/>
          <w:sz w:val="14"/>
          <w:szCs w:val="14"/>
          <w:color w:val="auto"/>
        </w:rPr>
        <w:t xml:space="preserve"> to determine whether each of these entities is a variable interest entity ("VIE") or voting ownership entity (“VOE”).</w:t>
      </w:r>
    </w:p>
    <w:p>
      <w:pPr>
        <w:spacing w:after="0" w:line="58" w:lineRule="exact"/>
        <w:rPr>
          <w:sz w:val="20"/>
          <w:szCs w:val="20"/>
          <w:color w:val="auto"/>
        </w:rPr>
      </w:pPr>
    </w:p>
    <w:p>
      <w:pPr>
        <w:ind w:firstLine="382"/>
        <w:spacing w:after="0" w:line="264" w:lineRule="auto"/>
        <w:rPr>
          <w:sz w:val="20"/>
          <w:szCs w:val="20"/>
          <w:color w:val="auto"/>
        </w:rPr>
      </w:pPr>
      <w:r>
        <w:rPr>
          <w:rFonts w:ascii="Times New Roman" w:cs="Times New Roman" w:eastAsia="Times New Roman" w:hAnsi="Times New Roman"/>
          <w:sz w:val="14"/>
          <w:szCs w:val="14"/>
          <w:color w:val="auto"/>
        </w:rPr>
        <w:t>Based on our analyses, we determined that the CTFs, Private Funds, Zarvona Energy Fund II-A and WEBs were VIEs, as the at-risk equity holders do not have the ability to direct the activities that most significantly impact the entities' economic performance, and, while the Company and its representatives have a majority control of the entities' respective boards of directors and can influence the respective entities' management and affairs, the Company is not exposed to a majority of the economics of those entities and does not qualify as primary beneficiaries for those entities. We have not consolidated our investments in those entities for the periods ending December 31, 2025 and 2024.</w:t>
      </w:r>
    </w:p>
    <w:p>
      <w:pPr>
        <w:spacing w:after="0" w:line="56" w:lineRule="exact"/>
        <w:rPr>
          <w:sz w:val="20"/>
          <w:szCs w:val="20"/>
          <w:color w:val="auto"/>
        </w:rPr>
      </w:pPr>
    </w:p>
    <w:p>
      <w:pPr>
        <w:ind w:right="60" w:firstLine="382"/>
        <w:spacing w:after="0" w:line="264" w:lineRule="auto"/>
        <w:rPr>
          <w:sz w:val="20"/>
          <w:szCs w:val="20"/>
          <w:color w:val="auto"/>
        </w:rPr>
      </w:pPr>
      <w:r>
        <w:rPr>
          <w:rFonts w:ascii="Times New Roman" w:cs="Times New Roman" w:eastAsia="Times New Roman" w:hAnsi="Times New Roman"/>
          <w:sz w:val="14"/>
          <w:szCs w:val="14"/>
          <w:color w:val="auto"/>
        </w:rPr>
        <w:t>Based on our analyses, we determined the Westwood Funds®, InvestCloud, Vista, Zarvona Energy Fund GP and TXSE (i) have sufficient equity at risk to finance the entities' activities independently, (ii) have the obligation to absorb losses, the right to receive residual returns and the right to direct the activities of the entities that most significantly impact the entities' economic performance and (iii) are not structured with disproportionate voting rights and are VOEs. As we do not own controlling financial interests in those entities, we have not consolidated our investments in those entities for the periods ending December 31, 2025 and 2024.</w:t>
      </w:r>
    </w:p>
    <w:p>
      <w:pPr>
        <w:spacing w:after="0" w:line="54"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b w:val="1"/>
          <w:bCs w:val="1"/>
          <w:color w:val="auto"/>
        </w:rPr>
        <w:t>Use of Estimates</w:t>
      </w:r>
    </w:p>
    <w:p>
      <w:pPr>
        <w:spacing w:after="0" w:line="96" w:lineRule="exact"/>
        <w:rPr>
          <w:sz w:val="20"/>
          <w:szCs w:val="20"/>
          <w:color w:val="auto"/>
        </w:rPr>
      </w:pPr>
    </w:p>
    <w:p>
      <w:pPr>
        <w:ind w:right="80" w:firstLine="382"/>
        <w:spacing w:after="0" w:line="270" w:lineRule="auto"/>
        <w:rPr>
          <w:sz w:val="20"/>
          <w:szCs w:val="20"/>
          <w:color w:val="auto"/>
        </w:rPr>
      </w:pPr>
      <w:r>
        <w:rPr>
          <w:rFonts w:ascii="Times New Roman" w:cs="Times New Roman" w:eastAsia="Times New Roman" w:hAnsi="Times New Roman"/>
          <w:sz w:val="14"/>
          <w:szCs w:val="14"/>
          <w:color w:val="auto"/>
        </w:rPr>
        <w:t>The preparation of Consolidated Financial Statements in conformity with GAAP requires management to make estimates and assumptions that affect the reported amounts of assets, liabilities, revenues and expenses in the financial statements. Such estimates include, but are not limited to, the Company's estimates in connection with values of long lived assets, provision for income tax, goodwill, intangible assets, contingent consideration and accrued expenses. Actual results could differ significantly from those estimates.</w:t>
      </w:r>
    </w:p>
    <w:p>
      <w:pPr>
        <w:spacing w:after="0" w:line="49"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b w:val="1"/>
          <w:bCs w:val="1"/>
          <w:color w:val="auto"/>
        </w:rPr>
        <w:t>Cash and Cash Equivalents</w:t>
      </w:r>
    </w:p>
    <w:p>
      <w:pPr>
        <w:spacing w:after="0" w:line="96" w:lineRule="exact"/>
        <w:rPr>
          <w:sz w:val="20"/>
          <w:szCs w:val="20"/>
          <w:color w:val="auto"/>
        </w:rPr>
      </w:pPr>
    </w:p>
    <w:p>
      <w:pPr>
        <w:ind w:right="20" w:firstLine="382"/>
        <w:spacing w:after="0" w:line="270" w:lineRule="auto"/>
        <w:rPr>
          <w:sz w:val="20"/>
          <w:szCs w:val="20"/>
          <w:color w:val="auto"/>
        </w:rPr>
      </w:pPr>
      <w:r>
        <w:rPr>
          <w:rFonts w:ascii="Times New Roman" w:cs="Times New Roman" w:eastAsia="Times New Roman" w:hAnsi="Times New Roman"/>
          <w:sz w:val="14"/>
          <w:szCs w:val="14"/>
          <w:color w:val="auto"/>
        </w:rPr>
        <w:t>Cash and cash equivalents consist of money market accounts and other short-term, highly liquid investments with original maturities of three months or less, other than pooled investment vehicles that are considered investments. We maintain some cash and cash equivalents balances with financial institutions that are in excess of Federal Deposit Insurance Corporation insurance limits. The Company has not experienced losses on uninsured cash accounts, which are held at large, well-capitalized financial institutions.</w:t>
      </w:r>
    </w:p>
    <w:p>
      <w:pPr>
        <w:spacing w:after="0" w:line="49"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b w:val="1"/>
          <w:bCs w:val="1"/>
          <w:color w:val="auto"/>
        </w:rPr>
        <w:t>Accounts Receivable</w:t>
      </w:r>
    </w:p>
    <w:p>
      <w:pPr>
        <w:spacing w:after="0" w:line="96" w:lineRule="exact"/>
        <w:rPr>
          <w:sz w:val="20"/>
          <w:szCs w:val="20"/>
          <w:color w:val="auto"/>
        </w:rPr>
      </w:pPr>
    </w:p>
    <w:p>
      <w:pPr>
        <w:ind w:right="140" w:firstLine="382"/>
        <w:spacing w:after="0" w:line="264" w:lineRule="auto"/>
        <w:rPr>
          <w:sz w:val="20"/>
          <w:szCs w:val="20"/>
          <w:color w:val="auto"/>
        </w:rPr>
      </w:pPr>
      <w:r>
        <w:rPr>
          <w:rFonts w:ascii="Times New Roman" w:cs="Times New Roman" w:eastAsia="Times New Roman" w:hAnsi="Times New Roman"/>
          <w:sz w:val="14"/>
          <w:szCs w:val="14"/>
          <w:color w:val="auto"/>
        </w:rPr>
        <w:t>Accounts receivable represents balances arising from services provided to customers and are recorded on an accrual basis, net of any allowance for credit losses. Accounts receivable are written off when they are determined to be uncollectible. Any allowance for credit losses is estimated based on the Company’s historical amounts written off, existing conditions in the industry, and the financial stability of the customer. The majority of our accounts receivable balances consist of advisory and trust fees receivable from customers that we believe are, and have experienced to be, fully collectible. Accordingly, our Consolidated Financial Statements include neither an allowance for credit losses, nor provision for credit losses.</w:t>
      </w:r>
    </w:p>
    <w:p>
      <w:pPr>
        <w:spacing w:after="0" w:line="54"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b w:val="1"/>
          <w:bCs w:val="1"/>
          <w:color w:val="auto"/>
        </w:rPr>
        <w:t>Investments</w:t>
      </w:r>
    </w:p>
    <w:p>
      <w:pPr>
        <w:spacing w:after="0" w:line="96" w:lineRule="exact"/>
        <w:rPr>
          <w:sz w:val="20"/>
          <w:szCs w:val="20"/>
          <w:color w:val="auto"/>
        </w:rPr>
      </w:pPr>
    </w:p>
    <w:p>
      <w:pPr>
        <w:ind w:right="100" w:firstLine="382"/>
        <w:spacing w:after="0" w:line="270" w:lineRule="auto"/>
        <w:rPr>
          <w:sz w:val="20"/>
          <w:szCs w:val="20"/>
          <w:color w:val="auto"/>
        </w:rPr>
      </w:pPr>
      <w:r>
        <w:rPr>
          <w:rFonts w:ascii="Times New Roman" w:cs="Times New Roman" w:eastAsia="Times New Roman" w:hAnsi="Times New Roman"/>
          <w:sz w:val="14"/>
          <w:szCs w:val="14"/>
          <w:color w:val="auto"/>
        </w:rPr>
        <w:t>Investments that are measured at fair market value are classified as "Investments at fair value" and are carried at quoted market values on the accompanying Consolidated Balance Sheets. Net unrealized holding gains or losses on equity and seed investments are reflected as a component of other revenues. We measure realized gains and losses on investments using the specific identification method.</w:t>
      </w:r>
    </w:p>
    <w:p>
      <w:pPr>
        <w:spacing w:after="0" w:line="51" w:lineRule="exact"/>
        <w:rPr>
          <w:sz w:val="20"/>
          <w:szCs w:val="20"/>
          <w:color w:val="auto"/>
        </w:rPr>
      </w:pPr>
    </w:p>
    <w:p>
      <w:pPr>
        <w:ind w:right="100" w:firstLine="382"/>
        <w:spacing w:after="0" w:line="287" w:lineRule="auto"/>
        <w:rPr>
          <w:sz w:val="20"/>
          <w:szCs w:val="20"/>
          <w:color w:val="auto"/>
        </w:rPr>
      </w:pPr>
      <w:r>
        <w:rPr>
          <w:rFonts w:ascii="Times New Roman" w:cs="Times New Roman" w:eastAsia="Times New Roman" w:hAnsi="Times New Roman"/>
          <w:sz w:val="14"/>
          <w:szCs w:val="14"/>
          <w:color w:val="auto"/>
        </w:rPr>
        <w:t>For an investment without a readily determinable fair value, the Company has elected to apply the measurement alternative of cost minus impairment, if any, adjusted for any observable price changes in orderly transactions for these investments. The Company will reassess whether such an investment qualifies for the measurement alternative at each reporting</w:t>
      </w:r>
    </w:p>
    <w:p>
      <w:pPr>
        <w:spacing w:after="0" w:line="389"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4"/>
          <w:szCs w:val="14"/>
          <w:color w:val="auto"/>
        </w:rPr>
        <w:t>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-8890</wp:posOffset>
            </wp:positionH>
            <wp:positionV relativeFrom="paragraph">
              <wp:posOffset>55880</wp:posOffset>
            </wp:positionV>
            <wp:extent cx="7186930" cy="38735"/>
            <wp:wrapNone/>
            <wp:docPr id="83" name="Picture 8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3"/>
                    <pic:cNvPicPr>
                      <a:picLocks noChangeAspect="1" noChangeArrowheads="1"/>
                    </pic:cNvPicPr>
                  </pic:nvPicPr>
                  <pic:blipFill>
                    <a:blip r:embed="rId90">
                      <a:extLst>
                        <a:ext uri="{28A0092B-C50C-407E-A947-70E740481C1C}"/>
                      </a:extLst>
                    </a:blip>
                    <a:srcRect/>
                    <a:stretch>
                      <a:fillRect/>
                    </a:stretch>
                  </pic:blipFill>
                  <pic:spPr bwMode="auto">
                    <a:xfrm>
                      <a:off x="0" y="0"/>
                      <a:ext cx="7186930" cy="38735"/>
                    </a:xfrm>
                    <a:prstGeom prst="rect">
                      <a:avLst/>
                    </a:prstGeom>
                    <a:noFill/>
                  </pic:spPr>
                </pic:pic>
              </a:graphicData>
            </a:graphic>
          </wp:anchor>
        </w:drawing>
      </w:r>
    </w:p>
    <w:p>
      <w:pPr>
        <w:sectPr>
          <w:pgSz w:w="11900" w:h="16838" w:orient="portrait"/>
          <w:cols w:equalWidth="0" w:num="1">
            <w:col w:w="11280"/>
          </w:cols>
          <w:pgMar w:left="300" w:top="123" w:right="319" w:bottom="1440" w:gutter="0" w:footer="0" w:header="0"/>
        </w:sectPr>
      </w:pPr>
    </w:p>
    <w:bookmarkStart w:id="51" w:name="page52"/>
    <w:bookmarkEnd w:id="51"/>
    <w:p>
      <w:pPr>
        <w:jc w:val="center"/>
        <w:ind w:right="-19"/>
        <w:spacing w:after="0"/>
        <w:rPr>
          <w:sz w:val="20"/>
          <w:szCs w:val="20"/>
          <w:color w:val="auto"/>
        </w:rPr>
      </w:pPr>
      <w:r>
        <w:rPr>
          <w:rFonts w:ascii="Times New Roman" w:cs="Times New Roman" w:eastAsia="Times New Roman" w:hAnsi="Times New Roman"/>
          <w:sz w:val="14"/>
          <w:szCs w:val="14"/>
          <w:b w:val="1"/>
          <w:bCs w:val="1"/>
          <w:color w:val="auto"/>
        </w:rPr>
        <w:t>WESTWOOD HOLDINGS GROUP, INC.</w:t>
      </w:r>
    </w:p>
    <w:p>
      <w:pPr>
        <w:spacing w:after="0" w:line="51"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4"/>
          <w:szCs w:val="14"/>
          <w:b w:val="1"/>
          <w:bCs w:val="1"/>
          <w:color w:val="auto"/>
        </w:rPr>
        <w:t>NOTES TO CONSOLIDATED FINANCIAL STATEMENTS — (Continued)</w:t>
      </w:r>
    </w:p>
    <w:p>
      <w:pPr>
        <w:spacing w:after="0" w:line="318" w:lineRule="exact"/>
        <w:rPr>
          <w:sz w:val="20"/>
          <w:szCs w:val="20"/>
          <w:color w:val="auto"/>
        </w:rPr>
      </w:pPr>
    </w:p>
    <w:p>
      <w:pPr>
        <w:ind w:right="200"/>
        <w:spacing w:after="0" w:line="287" w:lineRule="auto"/>
        <w:rPr>
          <w:sz w:val="20"/>
          <w:szCs w:val="20"/>
          <w:color w:val="auto"/>
        </w:rPr>
      </w:pPr>
      <w:r>
        <w:rPr>
          <w:rFonts w:ascii="Times New Roman" w:cs="Times New Roman" w:eastAsia="Times New Roman" w:hAnsi="Times New Roman"/>
          <w:sz w:val="14"/>
          <w:szCs w:val="14"/>
          <w:color w:val="auto"/>
        </w:rPr>
        <w:t>period. In evaluating an investment for impairment or observable price changes, we will use inputs including recent financing events, as well as other available information regarding the investee's historical and forecasted performance.</w:t>
      </w:r>
    </w:p>
    <w:p>
      <w:pPr>
        <w:spacing w:after="0" w:line="37"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b w:val="1"/>
          <w:bCs w:val="1"/>
          <w:color w:val="auto"/>
        </w:rPr>
        <w:t>Fair Value of Financial Instruments</w:t>
      </w:r>
    </w:p>
    <w:p>
      <w:pPr>
        <w:spacing w:after="0" w:line="96" w:lineRule="exact"/>
        <w:rPr>
          <w:sz w:val="20"/>
          <w:szCs w:val="20"/>
          <w:color w:val="auto"/>
        </w:rPr>
      </w:pPr>
    </w:p>
    <w:p>
      <w:pPr>
        <w:ind w:right="60" w:firstLine="382"/>
        <w:spacing w:after="0" w:line="259" w:lineRule="auto"/>
        <w:rPr>
          <w:sz w:val="20"/>
          <w:szCs w:val="20"/>
          <w:color w:val="auto"/>
        </w:rPr>
      </w:pPr>
      <w:r>
        <w:rPr>
          <w:rFonts w:ascii="Times New Roman" w:cs="Times New Roman" w:eastAsia="Times New Roman" w:hAnsi="Times New Roman"/>
          <w:sz w:val="14"/>
          <w:szCs w:val="14"/>
          <w:color w:val="auto"/>
        </w:rPr>
        <w:t>Fair value is the price that would be received to sell an asset or paid to transfer a liability in an orderly transaction between market participants at the measurement date. We determined the fair values of our financial instruments using available information. The fair value amounts discussed in Notes 6 “Investments” and 7 “Fair Value Measurements” are not necessarily indicative of either the amounts realizable upon disposition of these instruments or of our intent or ability to dispose of these assets. The fair value of cash and cash equivalents, included in Level 1 of the fair value hierarchy as discussed in Note 7 "Fair Value Measurements", approximates their carrying value due to their short-term maturities. The carrying amount of investments designated as "equity investments", primarily U.S. Government securities, money market funds, equity funds, equities and exchange-traded bond funds, equals fair value based on prices quoted in active markets and, with respect to funds, the reported net asset value (“NAV”) of the shares held. Market values of our money market holdings generally do not fluctuate.</w:t>
      </w:r>
    </w:p>
    <w:p>
      <w:pPr>
        <w:spacing w:after="0" w:line="61" w:lineRule="exact"/>
        <w:rPr>
          <w:sz w:val="20"/>
          <w:szCs w:val="20"/>
          <w:color w:val="auto"/>
        </w:rPr>
      </w:pPr>
    </w:p>
    <w:p>
      <w:pPr>
        <w:ind w:right="600" w:firstLine="382"/>
        <w:spacing w:after="0" w:line="287" w:lineRule="auto"/>
        <w:rPr>
          <w:sz w:val="20"/>
          <w:szCs w:val="20"/>
          <w:color w:val="auto"/>
        </w:rPr>
      </w:pPr>
      <w:r>
        <w:rPr>
          <w:rFonts w:ascii="Times New Roman" w:cs="Times New Roman" w:eastAsia="Times New Roman" w:hAnsi="Times New Roman"/>
          <w:sz w:val="14"/>
          <w:szCs w:val="14"/>
          <w:color w:val="auto"/>
        </w:rPr>
        <w:t>Our equity interests in private companies without readily determinable fair values are measured at cost minus impairment, if any, adjusted for any observable price changes in orderly transactions for these investments. Our private investment fund investments are measured at fair value using NAV as a practical expedient.</w:t>
      </w:r>
    </w:p>
    <w:p>
      <w:pPr>
        <w:spacing w:after="0" w:line="37"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b w:val="1"/>
          <w:bCs w:val="1"/>
          <w:color w:val="auto"/>
        </w:rPr>
        <w:t>Goodwill and Other Intangible Assets</w:t>
      </w:r>
    </w:p>
    <w:p>
      <w:pPr>
        <w:spacing w:after="0" w:line="96" w:lineRule="exact"/>
        <w:rPr>
          <w:sz w:val="20"/>
          <w:szCs w:val="20"/>
          <w:color w:val="auto"/>
        </w:rPr>
      </w:pPr>
    </w:p>
    <w:p>
      <w:pPr>
        <w:ind w:right="640" w:firstLine="382"/>
        <w:spacing w:after="0" w:line="287" w:lineRule="auto"/>
        <w:rPr>
          <w:sz w:val="20"/>
          <w:szCs w:val="20"/>
          <w:color w:val="auto"/>
        </w:rPr>
      </w:pPr>
      <w:r>
        <w:rPr>
          <w:rFonts w:ascii="Times New Roman" w:cs="Times New Roman" w:eastAsia="Times New Roman" w:hAnsi="Times New Roman"/>
          <w:sz w:val="14"/>
          <w:szCs w:val="14"/>
          <w:color w:val="auto"/>
        </w:rPr>
        <w:t>Goodwill represents the excess of the cost of acquired assets over the fair value of the underlying liabilities assumed at the date of acquisition. Goodwill is tested at least annually for impairment.</w:t>
      </w:r>
    </w:p>
    <w:p>
      <w:pPr>
        <w:spacing w:after="0" w:line="39" w:lineRule="exact"/>
        <w:rPr>
          <w:sz w:val="20"/>
          <w:szCs w:val="20"/>
          <w:color w:val="auto"/>
        </w:rPr>
      </w:pPr>
    </w:p>
    <w:p>
      <w:pPr>
        <w:ind w:firstLine="382"/>
        <w:spacing w:after="0" w:line="257" w:lineRule="auto"/>
        <w:rPr>
          <w:sz w:val="20"/>
          <w:szCs w:val="20"/>
          <w:color w:val="auto"/>
        </w:rPr>
      </w:pPr>
      <w:r>
        <w:rPr>
          <w:rFonts w:ascii="Times New Roman" w:cs="Times New Roman" w:eastAsia="Times New Roman" w:hAnsi="Times New Roman"/>
          <w:sz w:val="14"/>
          <w:szCs w:val="14"/>
          <w:color w:val="auto"/>
        </w:rPr>
        <w:t>We test more frequently if indicators are present or changes in circumstances suggest that impairment may exist. These indicators include declines in revenues, earnings or cash flows, or the development of a material adverse change in the business climate. We assess goodwill for impairment at the reporting unit level, which is defined as an operating segment or one level below an operating segment, which is referred to as a component. We have identified two reporting units, which are consistent with our reporting segments: Advisory and Trust. The Company is not required to calculate the fair value of a reporting unit unless we determine that it is more likely than not that its fair value is less than the carrying amount. We assess goodwill for impairment using either a qualitative or quantitative assessment. The qualitative assessment includes consideration of the current trends in the industry in which we operate, macroeconomic conditions and recent financial performance of our reporting units. The quantitative analysis requires a comparison of each reporting unit’s carrying value to the fair value of the respective unit. An impairment charge would be recognized for the amount by which the carrying amount exceeds the reporting unit’s fair value; however, the loss recognized should not exceed the total amount of goodwill allocated to that reporting unit. The fair value of each reporting unit is estimated using a market multiple approach and an income approach.</w:t>
      </w:r>
    </w:p>
    <w:p>
      <w:pPr>
        <w:spacing w:after="0" w:line="64" w:lineRule="exact"/>
        <w:rPr>
          <w:sz w:val="20"/>
          <w:szCs w:val="20"/>
          <w:color w:val="auto"/>
        </w:rPr>
      </w:pPr>
    </w:p>
    <w:p>
      <w:pPr>
        <w:ind w:right="540" w:firstLine="382"/>
        <w:spacing w:after="0" w:line="287" w:lineRule="auto"/>
        <w:rPr>
          <w:sz w:val="20"/>
          <w:szCs w:val="20"/>
          <w:color w:val="auto"/>
        </w:rPr>
      </w:pPr>
      <w:r>
        <w:rPr>
          <w:rFonts w:ascii="Times New Roman" w:cs="Times New Roman" w:eastAsia="Times New Roman" w:hAnsi="Times New Roman"/>
          <w:sz w:val="14"/>
          <w:szCs w:val="14"/>
          <w:color w:val="auto"/>
        </w:rPr>
        <w:t>We completed our most recent annual goodwill impairment assessment during the third quarter of 2025, and determined that no goodwill impairment related to the Advisory and Trust reporting units was required. There was no goodwill impairment in either reporting unit during the years ended December 31, 2025, 2024 or 2023.</w:t>
      </w:r>
    </w:p>
    <w:p>
      <w:pPr>
        <w:spacing w:after="0" w:line="39" w:lineRule="exact"/>
        <w:rPr>
          <w:sz w:val="20"/>
          <w:szCs w:val="20"/>
          <w:color w:val="auto"/>
        </w:rPr>
      </w:pPr>
    </w:p>
    <w:p>
      <w:pPr>
        <w:ind w:right="140" w:firstLine="382"/>
        <w:spacing w:after="0" w:line="270" w:lineRule="auto"/>
        <w:rPr>
          <w:sz w:val="20"/>
          <w:szCs w:val="20"/>
          <w:color w:val="auto"/>
        </w:rPr>
      </w:pPr>
      <w:r>
        <w:rPr>
          <w:rFonts w:ascii="Times New Roman" w:cs="Times New Roman" w:eastAsia="Times New Roman" w:hAnsi="Times New Roman"/>
          <w:sz w:val="14"/>
          <w:szCs w:val="14"/>
          <w:color w:val="auto"/>
        </w:rPr>
        <w:t>Our intangible assets represent the acquisition date fair value of the acquired client relationships, trade names, non-compete agreements and the cost of internally-developed software, each of which is reflected net of amortization. In valuing these assets, we made significant estimates regarding their useful lives, growth rates and potential attrition. We periodically review our intangible assets for events or circumstances that would indicate impairment. See Note 11 “Goodwill and Other Intangible Assets.”</w:t>
      </w:r>
    </w:p>
    <w:p>
      <w:pPr>
        <w:spacing w:after="0" w:line="49"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b w:val="1"/>
          <w:bCs w:val="1"/>
          <w:color w:val="auto"/>
        </w:rPr>
        <w:t>Property and Equipment</w:t>
      </w:r>
    </w:p>
    <w:p>
      <w:pPr>
        <w:spacing w:after="0" w:line="96" w:lineRule="exact"/>
        <w:rPr>
          <w:sz w:val="20"/>
          <w:szCs w:val="20"/>
          <w:color w:val="auto"/>
        </w:rPr>
      </w:pPr>
    </w:p>
    <w:p>
      <w:pPr>
        <w:jc w:val="both"/>
        <w:ind w:right="140" w:firstLine="382"/>
        <w:spacing w:after="0" w:line="270" w:lineRule="auto"/>
        <w:rPr>
          <w:sz w:val="20"/>
          <w:szCs w:val="20"/>
          <w:color w:val="auto"/>
        </w:rPr>
      </w:pPr>
      <w:r>
        <w:rPr>
          <w:rFonts w:ascii="Times New Roman" w:cs="Times New Roman" w:eastAsia="Times New Roman" w:hAnsi="Times New Roman"/>
          <w:sz w:val="14"/>
          <w:szCs w:val="14"/>
          <w:color w:val="auto"/>
        </w:rPr>
        <w:t>Property and equipment are stated at cost less accumulated depreciation. Depreciation of furniture and equipment is provided over the estimated useful lives of the assets (from 3 to 7 years), and depreciation on leasehold improvements is provided over the lesser of the estimated useful life or lease term using the straight-line method. We capitalize leasehold improvements, furniture and fixtures, computer hardware and most office equipment purchases. We include depreciation in the “General and administrative” line on our Consolidated Statements of Operations.</w:t>
      </w:r>
    </w:p>
    <w:p>
      <w:pPr>
        <w:spacing w:after="0" w:line="49"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b w:val="1"/>
          <w:bCs w:val="1"/>
          <w:color w:val="auto"/>
        </w:rPr>
        <w:t>Revenue Recognition</w:t>
      </w:r>
    </w:p>
    <w:p>
      <w:pPr>
        <w:spacing w:after="0" w:line="96" w:lineRule="exact"/>
        <w:rPr>
          <w:sz w:val="20"/>
          <w:szCs w:val="20"/>
          <w:color w:val="auto"/>
        </w:rPr>
      </w:pPr>
    </w:p>
    <w:p>
      <w:pPr>
        <w:ind w:right="320" w:firstLine="382"/>
        <w:spacing w:after="0" w:line="261" w:lineRule="auto"/>
        <w:rPr>
          <w:sz w:val="20"/>
          <w:szCs w:val="20"/>
          <w:color w:val="auto"/>
        </w:rPr>
      </w:pPr>
      <w:r>
        <w:rPr>
          <w:rFonts w:ascii="Times New Roman" w:cs="Times New Roman" w:eastAsia="Times New Roman" w:hAnsi="Times New Roman"/>
          <w:sz w:val="14"/>
          <w:szCs w:val="14"/>
          <w:color w:val="auto"/>
        </w:rPr>
        <w:t>Revenues are recognized when the performance obligation (the investment management and advisory or trust services provided to the client) defined by the investment advisory or sub-advisory agreement is satisfied. For each performance obligation, we determine at contract inception whether the revenue is satisfied over time or at a point in time. We derive our revenues from investment advisory fees, trust fees and other sources of revenues such as gains and losses from our seed money investments into net investment strategies. The "Other, net” revenues on our Consolidated Statements of Operations are the unrealized gains and losses on our seed money investments, and our seed money investments are included in "Investments at fair value" on our Consolidated Balance Sheets. Our seed money investments were $4.7 million and $3.0 million at December</w:t>
      </w:r>
    </w:p>
    <w:p>
      <w:pPr>
        <w:spacing w:after="0" w:line="200" w:lineRule="exact"/>
        <w:rPr>
          <w:sz w:val="20"/>
          <w:szCs w:val="20"/>
          <w:color w:val="auto"/>
        </w:rPr>
      </w:pPr>
    </w:p>
    <w:p>
      <w:pPr>
        <w:spacing w:after="0" w:line="208"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4"/>
          <w:szCs w:val="14"/>
          <w:color w:val="auto"/>
        </w:rPr>
        <w:t>10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-8890</wp:posOffset>
            </wp:positionH>
            <wp:positionV relativeFrom="paragraph">
              <wp:posOffset>55880</wp:posOffset>
            </wp:positionV>
            <wp:extent cx="7186930" cy="38735"/>
            <wp:wrapNone/>
            <wp:docPr id="84" name="Picture 8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4"/>
                    <pic:cNvPicPr>
                      <a:picLocks noChangeAspect="1" noChangeArrowheads="1"/>
                    </pic:cNvPicPr>
                  </pic:nvPicPr>
                  <pic:blipFill>
                    <a:blip r:embed="rId91">
                      <a:extLst>
                        <a:ext uri="{28A0092B-C50C-407E-A947-70E740481C1C}"/>
                      </a:extLst>
                    </a:blip>
                    <a:srcRect/>
                    <a:stretch>
                      <a:fillRect/>
                    </a:stretch>
                  </pic:blipFill>
                  <pic:spPr bwMode="auto">
                    <a:xfrm>
                      <a:off x="0" y="0"/>
                      <a:ext cx="7186930" cy="38735"/>
                    </a:xfrm>
                    <a:prstGeom prst="rect">
                      <a:avLst/>
                    </a:prstGeom>
                    <a:noFill/>
                  </pic:spPr>
                </pic:pic>
              </a:graphicData>
            </a:graphic>
          </wp:anchor>
        </w:drawing>
      </w:r>
    </w:p>
    <w:p>
      <w:pPr>
        <w:sectPr>
          <w:pgSz w:w="11900" w:h="16838" w:orient="portrait"/>
          <w:cols w:equalWidth="0" w:num="1">
            <w:col w:w="11280"/>
          </w:cols>
          <w:pgMar w:left="300" w:top="123" w:right="319" w:bottom="1440" w:gutter="0" w:footer="0" w:header="0"/>
        </w:sectPr>
      </w:pPr>
    </w:p>
    <w:bookmarkStart w:id="52" w:name="page53"/>
    <w:bookmarkEnd w:id="52"/>
    <w:p>
      <w:pPr>
        <w:jc w:val="center"/>
        <w:spacing w:after="0"/>
        <w:rPr>
          <w:sz w:val="20"/>
          <w:szCs w:val="20"/>
          <w:color w:val="auto"/>
        </w:rPr>
      </w:pPr>
      <w:r>
        <w:rPr>
          <w:rFonts w:ascii="Times New Roman" w:cs="Times New Roman" w:eastAsia="Times New Roman" w:hAnsi="Times New Roman"/>
          <w:sz w:val="14"/>
          <w:szCs w:val="14"/>
          <w:b w:val="1"/>
          <w:bCs w:val="1"/>
          <w:color w:val="auto"/>
        </w:rPr>
        <w:t>WESTWOOD HOLDINGS GROUP, INC.</w:t>
      </w:r>
    </w:p>
    <w:p>
      <w:pPr>
        <w:spacing w:after="0" w:line="5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4"/>
          <w:szCs w:val="14"/>
          <w:b w:val="1"/>
          <w:bCs w:val="1"/>
          <w:color w:val="auto"/>
        </w:rPr>
        <w:t>NOTES TO CONSOLIDATED FINANCIAL STATEMENTS — (Continued)</w:t>
      </w:r>
    </w:p>
    <w:p>
      <w:pPr>
        <w:spacing w:after="0" w:line="318"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color w:val="auto"/>
        </w:rPr>
        <w:t>31, 2025 and 2024, respectively. Advisory and Trust fees are calculated based on a percentage of AUM and AUA, and the performance obligation is realized over the then-current calendar quarter.</w:t>
      </w:r>
    </w:p>
    <w:p>
      <w:pPr>
        <w:spacing w:after="0" w:line="23"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color w:val="auto"/>
        </w:rPr>
        <w:t>Once clients receive our investment advisory services we have an enforceable right to payment.</w:t>
      </w:r>
    </w:p>
    <w:p>
      <w:pPr>
        <w:spacing w:after="0" w:line="79" w:lineRule="exact"/>
        <w:rPr>
          <w:sz w:val="20"/>
          <w:szCs w:val="20"/>
          <w:color w:val="auto"/>
        </w:rPr>
      </w:pPr>
    </w:p>
    <w:p>
      <w:pPr>
        <w:ind w:firstLine="382"/>
        <w:spacing w:after="0" w:line="264" w:lineRule="auto"/>
        <w:rPr>
          <w:sz w:val="20"/>
          <w:szCs w:val="20"/>
          <w:color w:val="auto"/>
        </w:rPr>
      </w:pPr>
      <w:r>
        <w:rPr>
          <w:rFonts w:ascii="Times New Roman" w:cs="Times New Roman" w:eastAsia="Times New Roman" w:hAnsi="Times New Roman"/>
          <w:sz w:val="14"/>
          <w:szCs w:val="14"/>
          <w:color w:val="auto"/>
        </w:rPr>
        <w:t>Incremental costs to obtain a contract are eligible to be capitalized if the costs are expected to be recovered over the service period. We incur certain incremental costs in obtaining new business and continually evaluate whether costs should be capitalized and amortized over the expected period of benefit of the asset. Our capitalized incremental costs were $2.0 million and $1.3 million at December 31, 2025 and 2024, respectively, and are included in "Other assets" on our Consolidated Balance Sheets. Certain costs used to fulfill a contract such as the distribution services utilized to sell our Westwood Funds® are expensed as incurred.</w:t>
      </w:r>
    </w:p>
    <w:p>
      <w:pPr>
        <w:spacing w:after="0" w:line="56" w:lineRule="exact"/>
        <w:rPr>
          <w:sz w:val="20"/>
          <w:szCs w:val="20"/>
          <w:color w:val="auto"/>
        </w:rPr>
      </w:pPr>
    </w:p>
    <w:p>
      <w:pPr>
        <w:ind w:right="120" w:firstLine="382"/>
        <w:spacing w:after="0" w:line="270" w:lineRule="auto"/>
        <w:rPr>
          <w:sz w:val="20"/>
          <w:szCs w:val="20"/>
          <w:color w:val="auto"/>
        </w:rPr>
      </w:pPr>
      <w:r>
        <w:rPr>
          <w:rFonts w:ascii="Times New Roman" w:cs="Times New Roman" w:eastAsia="Times New Roman" w:hAnsi="Times New Roman"/>
          <w:sz w:val="14"/>
          <w:szCs w:val="14"/>
          <w:color w:val="auto"/>
        </w:rPr>
        <w:t>We recorded incremental cost amortization expense of $0.4 million for the year ended December 31, 2025 and $0.3 million for each of the years ended December 31, 2024 and 2023, respectively, included in "General and administrative" on our Consolidated Statements of Operations. The amortization periods are based on estimated client retention. We recognize the incremental costs of obtaining a contract as an expense when incurred if the amortization period of the asset that the entity otherwise would have recognized is one year or less.</w:t>
      </w:r>
    </w:p>
    <w:p>
      <w:pPr>
        <w:spacing w:after="0" w:line="49"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b w:val="1"/>
          <w:bCs w:val="1"/>
          <w:color w:val="auto"/>
        </w:rPr>
        <w:t>Stock-Based Compensation</w:t>
      </w:r>
    </w:p>
    <w:p>
      <w:pPr>
        <w:spacing w:after="0" w:line="96" w:lineRule="exact"/>
        <w:rPr>
          <w:sz w:val="20"/>
          <w:szCs w:val="20"/>
          <w:color w:val="auto"/>
        </w:rPr>
      </w:pPr>
    </w:p>
    <w:p>
      <w:pPr>
        <w:ind w:right="180" w:firstLine="382"/>
        <w:spacing w:after="0" w:line="287" w:lineRule="auto"/>
        <w:rPr>
          <w:sz w:val="20"/>
          <w:szCs w:val="20"/>
          <w:color w:val="auto"/>
        </w:rPr>
      </w:pPr>
      <w:r>
        <w:rPr>
          <w:rFonts w:ascii="Times New Roman" w:cs="Times New Roman" w:eastAsia="Times New Roman" w:hAnsi="Times New Roman"/>
          <w:sz w:val="14"/>
          <w:szCs w:val="14"/>
          <w:color w:val="auto"/>
        </w:rPr>
        <w:t>We have issued restricted stock to certain U.S. employees and members of our Board of Directors (the "Board") in accordance with our Eleventh Amended and Restated Westwood Holdings Group, Inc. Stock Incentive Plan (the “Plan”).</w:t>
      </w:r>
    </w:p>
    <w:p>
      <w:pPr>
        <w:spacing w:after="0" w:line="39" w:lineRule="exact"/>
        <w:rPr>
          <w:sz w:val="20"/>
          <w:szCs w:val="20"/>
          <w:color w:val="auto"/>
        </w:rPr>
      </w:pPr>
    </w:p>
    <w:p>
      <w:pPr>
        <w:ind w:right="120" w:firstLine="382"/>
        <w:spacing w:after="0" w:line="259" w:lineRule="auto"/>
        <w:rPr>
          <w:sz w:val="20"/>
          <w:szCs w:val="20"/>
          <w:color w:val="auto"/>
        </w:rPr>
      </w:pPr>
      <w:r>
        <w:rPr>
          <w:rFonts w:ascii="Times New Roman" w:cs="Times New Roman" w:eastAsia="Times New Roman" w:hAnsi="Times New Roman"/>
          <w:sz w:val="14"/>
          <w:szCs w:val="14"/>
          <w:color w:val="auto"/>
        </w:rPr>
        <w:t>Stock-based compensation expense reflects the fair value of stock-based awards measured at grant date and is recognized over the relevant service period. We expense the fair value of stock-based compensation awards granted to our employees and directors in our Consolidated Financial Statements on a straight-line basis over the period that services are required to be provided in exchange for the award (“requisite service period”), which is typically the period over which the award vests. Stock-based compensation is recognized only for awards that vest. We measure the fair value of compensation cost related to restricted stock awards based on the closing market price of our common stock on the grant date. For performance-based share awards, we assess actual performance versus the predetermined performance goals and record compensation expense once we conclude it is probable that we will meet the performance goals required to vest the applicable performance-based awards. We account for restricted stock forfeitures as they occur.</w:t>
      </w:r>
    </w:p>
    <w:p>
      <w:pPr>
        <w:spacing w:after="0" w:line="59"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b w:val="1"/>
          <w:bCs w:val="1"/>
          <w:color w:val="auto"/>
        </w:rPr>
        <w:t>Income Taxes</w:t>
      </w:r>
    </w:p>
    <w:p>
      <w:pPr>
        <w:spacing w:after="0" w:line="96" w:lineRule="exact"/>
        <w:rPr>
          <w:sz w:val="20"/>
          <w:szCs w:val="20"/>
          <w:color w:val="auto"/>
        </w:rPr>
      </w:pPr>
    </w:p>
    <w:p>
      <w:pPr>
        <w:ind w:right="380" w:firstLine="382"/>
        <w:spacing w:after="0" w:line="287" w:lineRule="auto"/>
        <w:rPr>
          <w:sz w:val="20"/>
          <w:szCs w:val="20"/>
          <w:color w:val="auto"/>
        </w:rPr>
      </w:pPr>
      <w:r>
        <w:rPr>
          <w:rFonts w:ascii="Times New Roman" w:cs="Times New Roman" w:eastAsia="Times New Roman" w:hAnsi="Times New Roman"/>
          <w:sz w:val="14"/>
          <w:szCs w:val="14"/>
          <w:color w:val="auto"/>
        </w:rPr>
        <w:t>We file a U. S. federal income tax return as a consolidated group for Westwood and its subsidiaries, all of which are U.S.-based subsidiaries. Deferred income tax assets and liabilities are determined based on temporary differences between the financial statements and income tax bases of assets and liabilities as measured at enacted income tax rates.</w:t>
      </w:r>
    </w:p>
    <w:p>
      <w:pPr>
        <w:spacing w:after="0" w:line="39" w:lineRule="exact"/>
        <w:rPr>
          <w:sz w:val="20"/>
          <w:szCs w:val="20"/>
          <w:color w:val="auto"/>
        </w:rPr>
      </w:pPr>
    </w:p>
    <w:p>
      <w:pPr>
        <w:ind w:right="180" w:firstLine="382"/>
        <w:spacing w:after="0" w:line="261" w:lineRule="auto"/>
        <w:rPr>
          <w:sz w:val="20"/>
          <w:szCs w:val="20"/>
          <w:color w:val="auto"/>
        </w:rPr>
      </w:pPr>
      <w:r>
        <w:rPr>
          <w:rFonts w:ascii="Times New Roman" w:cs="Times New Roman" w:eastAsia="Times New Roman" w:hAnsi="Times New Roman"/>
          <w:sz w:val="14"/>
          <w:szCs w:val="14"/>
          <w:color w:val="auto"/>
        </w:rPr>
        <w:t>Deferred income tax expense is generally the result of changes in deferred tax assets and liabilities. Deferred taxes relate primarily to incentive compensation and stock-based compensation expense. We record net deferred tax assets to the extent we believe such assets will more likely than not be realized. In making such a determination, we consider all available positive and negative evidence, including future reversals of existing taxable temporary differences, projected future taxable income, tax-planning strategies, and results of recent operations. In the event we were to determine that we would not be able to realize our deferred income tax assets in the future, we would record a valuation allowance. No such valuation allowance has been recorded in our Consolidated Financial Statements.</w:t>
      </w:r>
    </w:p>
    <w:p>
      <w:pPr>
        <w:spacing w:after="0" w:line="58" w:lineRule="exact"/>
        <w:rPr>
          <w:sz w:val="20"/>
          <w:szCs w:val="20"/>
          <w:color w:val="auto"/>
        </w:rPr>
      </w:pPr>
    </w:p>
    <w:p>
      <w:pPr>
        <w:jc w:val="both"/>
        <w:ind w:right="300" w:firstLine="382"/>
        <w:spacing w:after="0" w:line="270" w:lineRule="auto"/>
        <w:rPr>
          <w:sz w:val="20"/>
          <w:szCs w:val="20"/>
          <w:color w:val="auto"/>
        </w:rPr>
      </w:pPr>
      <w:r>
        <w:rPr>
          <w:rFonts w:ascii="Times New Roman" w:cs="Times New Roman" w:eastAsia="Times New Roman" w:hAnsi="Times New Roman"/>
          <w:sz w:val="14"/>
          <w:szCs w:val="14"/>
          <w:color w:val="auto"/>
        </w:rPr>
        <w:t>We account for uncertain tax positions by recognizing the impact of a tax position in our Consolidated Financial Statements when we believe it is more likely than not that the tax position would not be sustained upon examination by the appropriate tax authority based on the merits of the position. We include penalties and interest on income-based taxes, if any, in the “General and administrative” line on our Consolidated Statements of Operations. See Note 9 “Income Taxes.”</w:t>
      </w:r>
    </w:p>
    <w:p>
      <w:pPr>
        <w:spacing w:after="0" w:line="49"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b w:val="1"/>
          <w:bCs w:val="1"/>
          <w:color w:val="auto"/>
        </w:rPr>
        <w:t>Lease</w:t>
      </w:r>
      <w:r>
        <w:rPr>
          <w:rFonts w:ascii="Times New Roman" w:cs="Times New Roman" w:eastAsia="Times New Roman" w:hAnsi="Times New Roman"/>
          <w:sz w:val="14"/>
          <w:szCs w:val="14"/>
          <w:color w:val="auto"/>
        </w:rPr>
        <w:t>s</w:t>
      </w:r>
    </w:p>
    <w:p>
      <w:pPr>
        <w:spacing w:after="0" w:line="96" w:lineRule="exact"/>
        <w:rPr>
          <w:sz w:val="20"/>
          <w:szCs w:val="20"/>
          <w:color w:val="auto"/>
        </w:rPr>
      </w:pPr>
    </w:p>
    <w:p>
      <w:pPr>
        <w:ind w:right="80" w:firstLine="382"/>
        <w:spacing w:after="0" w:line="287" w:lineRule="auto"/>
        <w:rPr>
          <w:sz w:val="20"/>
          <w:szCs w:val="20"/>
          <w:color w:val="auto"/>
        </w:rPr>
      </w:pPr>
      <w:r>
        <w:rPr>
          <w:rFonts w:ascii="Times New Roman" w:cs="Times New Roman" w:eastAsia="Times New Roman" w:hAnsi="Times New Roman"/>
          <w:sz w:val="14"/>
          <w:szCs w:val="14"/>
          <w:color w:val="auto"/>
        </w:rPr>
        <w:t>We determine if an arrangement contains a lease at inception, and leases are classified as either operating or finance leases at the lease commencement date. An arrangement contains a lease if it implicitly or explicitly identifies an asset to be used and conveys the right to control the use of the identified asset in exchange for consideration.</w:t>
      </w:r>
    </w:p>
    <w:p>
      <w:pPr>
        <w:spacing w:after="0" w:line="39" w:lineRule="exact"/>
        <w:rPr>
          <w:sz w:val="20"/>
          <w:szCs w:val="20"/>
          <w:color w:val="auto"/>
        </w:rPr>
      </w:pPr>
    </w:p>
    <w:p>
      <w:pPr>
        <w:ind w:right="160" w:firstLine="382"/>
        <w:spacing w:after="0" w:line="264" w:lineRule="auto"/>
        <w:rPr>
          <w:sz w:val="20"/>
          <w:szCs w:val="20"/>
          <w:color w:val="auto"/>
        </w:rPr>
      </w:pPr>
      <w:r>
        <w:rPr>
          <w:rFonts w:ascii="Times New Roman" w:cs="Times New Roman" w:eastAsia="Times New Roman" w:hAnsi="Times New Roman"/>
          <w:sz w:val="14"/>
          <w:szCs w:val="14"/>
          <w:color w:val="auto"/>
        </w:rPr>
        <w:t>Right-of-use ("ROU") assets represent our right to use an underlying asset for the lease term and lease liabilities represent our obligation to make lease payments arising from the lease. ROU assets and lease liabilities are recognized upon commencement of the lease based on the present value of the lease payments over the lease term. As most of our leases do not provide an implicit interest rate, we generally use our estimated incremental borrowing rate, which is the rate for a fully-collateralized, fully-amortizing loan with a maturity that is the same as the lease at commencement date to determine the present value of lease payments. When readily determinable, we use the rate implicit in the lease.</w:t>
      </w:r>
    </w:p>
    <w:p>
      <w:pPr>
        <w:spacing w:after="0" w:line="200" w:lineRule="exact"/>
        <w:rPr>
          <w:sz w:val="20"/>
          <w:szCs w:val="20"/>
          <w:color w:val="auto"/>
        </w:rPr>
      </w:pPr>
    </w:p>
    <w:p>
      <w:pPr>
        <w:spacing w:after="0" w:line="20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4"/>
          <w:szCs w:val="14"/>
          <w:color w:val="auto"/>
        </w:rPr>
        <w:t>11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-8890</wp:posOffset>
            </wp:positionH>
            <wp:positionV relativeFrom="paragraph">
              <wp:posOffset>55880</wp:posOffset>
            </wp:positionV>
            <wp:extent cx="7186930" cy="38735"/>
            <wp:wrapNone/>
            <wp:docPr id="85" name="Picture 8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5"/>
                    <pic:cNvPicPr>
                      <a:picLocks noChangeAspect="1" noChangeArrowheads="1"/>
                    </pic:cNvPicPr>
                  </pic:nvPicPr>
                  <pic:blipFill>
                    <a:blip r:embed="rId92">
                      <a:extLst>
                        <a:ext uri="{28A0092B-C50C-407E-A947-70E740481C1C}"/>
                      </a:extLst>
                    </a:blip>
                    <a:srcRect/>
                    <a:stretch>
                      <a:fillRect/>
                    </a:stretch>
                  </pic:blipFill>
                  <pic:spPr bwMode="auto">
                    <a:xfrm>
                      <a:off x="0" y="0"/>
                      <a:ext cx="7186930" cy="38735"/>
                    </a:xfrm>
                    <a:prstGeom prst="rect">
                      <a:avLst/>
                    </a:prstGeom>
                    <a:noFill/>
                  </pic:spPr>
                </pic:pic>
              </a:graphicData>
            </a:graphic>
          </wp:anchor>
        </w:drawing>
      </w:r>
    </w:p>
    <w:p>
      <w:pPr>
        <w:sectPr>
          <w:pgSz w:w="11900" w:h="16838" w:orient="portrait"/>
          <w:cols w:equalWidth="0" w:num="1">
            <w:col w:w="11280"/>
          </w:cols>
          <w:pgMar w:left="300" w:top="123" w:right="319" w:bottom="1440" w:gutter="0" w:footer="0" w:header="0"/>
        </w:sectPr>
      </w:pPr>
    </w:p>
    <w:bookmarkStart w:id="53" w:name="page54"/>
    <w:bookmarkEnd w:id="53"/>
    <w:p>
      <w:pPr>
        <w:jc w:val="center"/>
        <w:spacing w:after="0"/>
        <w:rPr>
          <w:sz w:val="20"/>
          <w:szCs w:val="20"/>
          <w:color w:val="auto"/>
        </w:rPr>
      </w:pPr>
      <w:r>
        <w:rPr>
          <w:rFonts w:ascii="Times New Roman" w:cs="Times New Roman" w:eastAsia="Times New Roman" w:hAnsi="Times New Roman"/>
          <w:sz w:val="14"/>
          <w:szCs w:val="14"/>
          <w:b w:val="1"/>
          <w:bCs w:val="1"/>
          <w:color w:val="auto"/>
        </w:rPr>
        <w:t>WESTWOOD HOLDINGS GROUP, INC.</w:t>
      </w:r>
    </w:p>
    <w:p>
      <w:pPr>
        <w:spacing w:after="0" w:line="5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4"/>
          <w:szCs w:val="14"/>
          <w:b w:val="1"/>
          <w:bCs w:val="1"/>
          <w:color w:val="auto"/>
        </w:rPr>
        <w:t>NOTES TO CONSOLIDATED FINANCIAL STATEMENTS — (Continued)</w:t>
      </w:r>
    </w:p>
    <w:p>
      <w:pPr>
        <w:spacing w:after="0" w:line="318" w:lineRule="exact"/>
        <w:rPr>
          <w:sz w:val="20"/>
          <w:szCs w:val="20"/>
          <w:color w:val="auto"/>
        </w:rPr>
      </w:pPr>
    </w:p>
    <w:p>
      <w:pPr>
        <w:ind w:left="380"/>
        <w:spacing w:after="0"/>
        <w:rPr>
          <w:sz w:val="20"/>
          <w:szCs w:val="20"/>
          <w:color w:val="auto"/>
        </w:rPr>
      </w:pPr>
      <w:r>
        <w:rPr>
          <w:rFonts w:ascii="Times New Roman" w:cs="Times New Roman" w:eastAsia="Times New Roman" w:hAnsi="Times New Roman"/>
          <w:sz w:val="14"/>
          <w:szCs w:val="14"/>
          <w:color w:val="auto"/>
        </w:rPr>
        <w:t>Our lease terms may include options to extend or terminate the lease when it is reasonably certain that we will exercise that option.</w:t>
      </w:r>
    </w:p>
    <w:p>
      <w:pPr>
        <w:spacing w:after="0" w:line="94" w:lineRule="exact"/>
        <w:rPr>
          <w:sz w:val="20"/>
          <w:szCs w:val="20"/>
          <w:color w:val="auto"/>
        </w:rPr>
      </w:pPr>
    </w:p>
    <w:p>
      <w:pPr>
        <w:ind w:right="380" w:firstLine="382"/>
        <w:spacing w:after="0" w:line="287" w:lineRule="auto"/>
        <w:rPr>
          <w:sz w:val="20"/>
          <w:szCs w:val="20"/>
          <w:color w:val="auto"/>
        </w:rPr>
      </w:pPr>
      <w:r>
        <w:rPr>
          <w:rFonts w:ascii="Times New Roman" w:cs="Times New Roman" w:eastAsia="Times New Roman" w:hAnsi="Times New Roman"/>
          <w:sz w:val="14"/>
          <w:szCs w:val="14"/>
          <w:color w:val="auto"/>
        </w:rPr>
        <w:t>Lease expense for operating leases and short-term leases is recognized on a straight-line basis over the lease term. Expenses associated with operating leases are recorded in “General and administrative” expenses on our Consolidated Statements of Operations. Short-term leases with a term of 12 months or less are not capitalized.</w:t>
      </w:r>
    </w:p>
    <w:p>
      <w:pPr>
        <w:spacing w:after="0" w:line="37"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b w:val="1"/>
          <w:bCs w:val="1"/>
          <w:color w:val="auto"/>
        </w:rPr>
        <w:t>Business Combinations</w:t>
      </w:r>
    </w:p>
    <w:p>
      <w:pPr>
        <w:spacing w:after="0" w:line="96" w:lineRule="exact"/>
        <w:rPr>
          <w:sz w:val="20"/>
          <w:szCs w:val="20"/>
          <w:color w:val="auto"/>
        </w:rPr>
      </w:pPr>
    </w:p>
    <w:p>
      <w:pPr>
        <w:ind w:firstLine="382"/>
        <w:spacing w:after="0" w:line="258" w:lineRule="auto"/>
        <w:rPr>
          <w:sz w:val="20"/>
          <w:szCs w:val="20"/>
          <w:color w:val="auto"/>
        </w:rPr>
      </w:pPr>
      <w:r>
        <w:rPr>
          <w:rFonts w:ascii="Times New Roman" w:cs="Times New Roman" w:eastAsia="Times New Roman" w:hAnsi="Times New Roman"/>
          <w:sz w:val="14"/>
          <w:szCs w:val="14"/>
          <w:color w:val="auto"/>
        </w:rPr>
        <w:t>In allocating the purchase price of a business combination, the Company records all assets acquired and liabilities assumed at fair value, with the excess of the purchase price over the aggregate fair values recorded as goodwill. The purchase price of an acquisition is allocated to the underlying assets acquired and liabilities assumed based upon their estimated fair values as of the date of acquisition. To the extent the purchase price exceeds the fair value of the net identifiable tangible and intangible assets acquired and liabilities assumed, such excess is allocated to goodwill. The Company determines the estimated fair values after review and consideration of relevant information, including discounted cash flows, quoted market prices and estimates made by management. The fair value assigned to identifiable intangible assets acquired is based on estimates and assumptions made by management at the time of the acquisition. The Company adjusts the preliminary purchase price allocation, as necessary, during the measurement period of up to one year after the acquisition closing date as it obtains more information as to facts and circumstances existing as of the acquisition date. Acquisition-related costs are recognized separately from the acquisition and are expensed as incurred.</w:t>
      </w:r>
    </w:p>
    <w:p>
      <w:pPr>
        <w:spacing w:after="0" w:line="62" w:lineRule="exact"/>
        <w:rPr>
          <w:sz w:val="20"/>
          <w:szCs w:val="20"/>
          <w:color w:val="auto"/>
        </w:rPr>
      </w:pPr>
    </w:p>
    <w:p>
      <w:pPr>
        <w:ind w:firstLine="382"/>
        <w:spacing w:after="0" w:line="259" w:lineRule="auto"/>
        <w:rPr>
          <w:sz w:val="20"/>
          <w:szCs w:val="20"/>
          <w:color w:val="auto"/>
        </w:rPr>
      </w:pPr>
      <w:r>
        <w:rPr>
          <w:rFonts w:ascii="Times New Roman" w:cs="Times New Roman" w:eastAsia="Times New Roman" w:hAnsi="Times New Roman"/>
          <w:sz w:val="14"/>
          <w:szCs w:val="14"/>
          <w:color w:val="auto"/>
        </w:rPr>
        <w:t>The acquired client relationships, trade names and non-compete agreements are subject to fair value measurements based primarily on significant inputs not observable in the market and thus represent level 3 measurements. The valuation of an acquired client relationship utilizes an income approach, which provides an estimate of the fair value of an asset based on discounted cash flows and management estimates, including the estimated growth associated with existing clients, market growth and client attrition. The valuation of acquired trade names uses a relief from royalty method in which the fair value of the intangible asset is estimated to be the present value of royalties saved because the Company owns the intangible asset. Revenue projections and estimated useful lives are used in estimating the fair value of the trade names. The non-compete agreements are calculated using the differential cash flow method (with-or-without method), which utilizes the probability of certain employees competing with the Company and revenue projections to calculate the valuation of non-competition agreements.</w:t>
      </w:r>
    </w:p>
    <w:p>
      <w:pPr>
        <w:spacing w:after="0" w:line="61" w:lineRule="exact"/>
        <w:rPr>
          <w:sz w:val="20"/>
          <w:szCs w:val="20"/>
          <w:color w:val="auto"/>
        </w:rPr>
      </w:pPr>
    </w:p>
    <w:p>
      <w:pPr>
        <w:ind w:right="20" w:firstLine="382"/>
        <w:spacing w:after="0" w:line="257" w:lineRule="auto"/>
        <w:rPr>
          <w:sz w:val="20"/>
          <w:szCs w:val="20"/>
          <w:color w:val="auto"/>
        </w:rPr>
      </w:pPr>
      <w:r>
        <w:rPr>
          <w:rFonts w:ascii="Times New Roman" w:cs="Times New Roman" w:eastAsia="Times New Roman" w:hAnsi="Times New Roman"/>
          <w:sz w:val="14"/>
          <w:szCs w:val="14"/>
          <w:color w:val="auto"/>
        </w:rPr>
        <w:t>When an acquisition includes future contingent consideration on achieving certain milestones, the Company estimates the earn-out fair value using Monte Carlo simulation models. The Monte Carlo simulations considered assumptions including revenue volatility, risk free rates, discount rates and payment discount rates. The projected contingent payment is discounted back to the current period using a discounted cash flow model. Increases or decreases in projected revenues, probabilities of payment, discount rates or projected payment dates may result in higher or lower fair value measurements. Fluctuations in any of the inputs may result in a significantly lower or higher fair value measurement. A liability is recorded for the estimated fair value of the contingent consideration on the acquisition date, and the fair value of the contingent consideration is remeasured at each subsequent reporting period with any change in fair value recognized as income or expense within the Consolidated Statements of Operations. Contingent consideration payments, to the extent they relate to the estimated contingent consideration as of the date of acquisition, are classified within financing activities in the Consolidated Statements of Cash Flows. Contingent consideration payments in excess of the acquisition date contingent consideration liability are classified within operating activities.</w:t>
      </w:r>
    </w:p>
    <w:p>
      <w:pPr>
        <w:spacing w:after="0" w:line="62"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b w:val="1"/>
          <w:bCs w:val="1"/>
          <w:color w:val="auto"/>
        </w:rPr>
        <w:t>Equity Method Investments</w:t>
      </w:r>
    </w:p>
    <w:p>
      <w:pPr>
        <w:spacing w:after="0" w:line="96" w:lineRule="exact"/>
        <w:rPr>
          <w:sz w:val="20"/>
          <w:szCs w:val="20"/>
          <w:color w:val="auto"/>
        </w:rPr>
      </w:pPr>
    </w:p>
    <w:p>
      <w:pPr>
        <w:ind w:right="360" w:firstLine="382"/>
        <w:spacing w:after="0" w:line="264" w:lineRule="auto"/>
        <w:rPr>
          <w:sz w:val="20"/>
          <w:szCs w:val="20"/>
          <w:color w:val="auto"/>
        </w:rPr>
      </w:pPr>
      <w:r>
        <w:rPr>
          <w:rFonts w:ascii="Times New Roman" w:cs="Times New Roman" w:eastAsia="Times New Roman" w:hAnsi="Times New Roman"/>
          <w:sz w:val="14"/>
          <w:szCs w:val="14"/>
          <w:color w:val="auto"/>
        </w:rPr>
        <w:t>Investments in entities where we have the ability to exercise significant influence, but do not control, are accounted for under the equity method of accounting and are included in "Equity method investments" on our Consolidated Balance Sheets. Significant influence typically exists if we have a 20% to 50% ownership interest in the investee. We evaluate our equity method investments for impairment whenever events or changes in circumstances indicate that the carrying amounts of such investments may be impaired. If a decline in the value of an equity method investment is determined to be other than temporary, a loss is recorded in earnings in the current period.</w:t>
      </w:r>
    </w:p>
    <w:p>
      <w:pPr>
        <w:spacing w:after="0" w:line="56" w:lineRule="exact"/>
        <w:rPr>
          <w:sz w:val="20"/>
          <w:szCs w:val="20"/>
          <w:color w:val="auto"/>
        </w:rPr>
      </w:pPr>
    </w:p>
    <w:p>
      <w:pPr>
        <w:ind w:right="260" w:firstLine="382"/>
        <w:spacing w:after="0" w:line="287" w:lineRule="auto"/>
        <w:rPr>
          <w:sz w:val="20"/>
          <w:szCs w:val="20"/>
          <w:color w:val="auto"/>
        </w:rPr>
      </w:pPr>
      <w:r>
        <w:rPr>
          <w:rFonts w:ascii="Times New Roman" w:cs="Times New Roman" w:eastAsia="Times New Roman" w:hAnsi="Times New Roman"/>
          <w:sz w:val="14"/>
          <w:szCs w:val="14"/>
          <w:color w:val="auto"/>
        </w:rPr>
        <w:t>The Company’s proportionate share of the net income or loss of equity method investments is included in "Other income" on the Consolidated Statements of Operations, and any dividends received reduce the carrying value of the investment.</w:t>
      </w:r>
    </w:p>
    <w:p>
      <w:pPr>
        <w:spacing w:after="0" w:line="37"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b w:val="1"/>
          <w:bCs w:val="1"/>
          <w:color w:val="auto"/>
        </w:rPr>
        <w:t>Recently Adopted Accounting Pronouncements</w:t>
      </w:r>
    </w:p>
    <w:p>
      <w:pPr>
        <w:spacing w:after="0" w:line="96"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color w:val="auto"/>
        </w:rPr>
        <w:t>Income Taxes</w:t>
      </w:r>
    </w:p>
    <w:p>
      <w:pPr>
        <w:spacing w:after="0" w:line="92" w:lineRule="exact"/>
        <w:rPr>
          <w:sz w:val="20"/>
          <w:szCs w:val="20"/>
          <w:color w:val="auto"/>
        </w:rPr>
      </w:pPr>
    </w:p>
    <w:p>
      <w:pPr>
        <w:ind w:right="20" w:firstLine="382"/>
        <w:spacing w:after="0" w:line="290" w:lineRule="auto"/>
        <w:rPr>
          <w:sz w:val="20"/>
          <w:szCs w:val="20"/>
          <w:color w:val="auto"/>
        </w:rPr>
      </w:pPr>
      <w:r>
        <w:rPr>
          <w:rFonts w:ascii="Times New Roman" w:cs="Times New Roman" w:eastAsia="Times New Roman" w:hAnsi="Times New Roman"/>
          <w:sz w:val="14"/>
          <w:szCs w:val="14"/>
          <w:color w:val="auto"/>
        </w:rPr>
        <w:t xml:space="preserve">On January 1, 2025, the Company adopted Accounting Standards Update ("ASU") ASU 2023-09, </w:t>
      </w:r>
      <w:r>
        <w:rPr>
          <w:rFonts w:ascii="Times New Roman" w:cs="Times New Roman" w:eastAsia="Times New Roman" w:hAnsi="Times New Roman"/>
          <w:sz w:val="14"/>
          <w:szCs w:val="14"/>
          <w:i w:val="1"/>
          <w:iCs w:val="1"/>
          <w:color w:val="auto"/>
        </w:rPr>
        <w:t>Income Taxes (Topic 740): Improvements to Income Tax Disclosures</w:t>
      </w:r>
      <w:r>
        <w:rPr>
          <w:rFonts w:ascii="Times New Roman" w:cs="Times New Roman" w:eastAsia="Times New Roman" w:hAnsi="Times New Roman"/>
          <w:sz w:val="14"/>
          <w:szCs w:val="14"/>
          <w:color w:val="auto"/>
        </w:rPr>
        <w:t>, on a retrospective basis. This ASU enhances the disclosure requirements</w:t>
      </w:r>
    </w:p>
    <w:p>
      <w:pPr>
        <w:spacing w:after="0" w:line="38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4"/>
          <w:szCs w:val="14"/>
          <w:color w:val="auto"/>
        </w:rPr>
        <w:t>12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-8890</wp:posOffset>
            </wp:positionH>
            <wp:positionV relativeFrom="paragraph">
              <wp:posOffset>55880</wp:posOffset>
            </wp:positionV>
            <wp:extent cx="7186930" cy="38735"/>
            <wp:wrapNone/>
            <wp:docPr id="86" name="Picture 8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6"/>
                    <pic:cNvPicPr>
                      <a:picLocks noChangeAspect="1" noChangeArrowheads="1"/>
                    </pic:cNvPicPr>
                  </pic:nvPicPr>
                  <pic:blipFill>
                    <a:blip r:embed="rId93">
                      <a:extLst>
                        <a:ext uri="{28A0092B-C50C-407E-A947-70E740481C1C}"/>
                      </a:extLst>
                    </a:blip>
                    <a:srcRect/>
                    <a:stretch>
                      <a:fillRect/>
                    </a:stretch>
                  </pic:blipFill>
                  <pic:spPr bwMode="auto">
                    <a:xfrm>
                      <a:off x="0" y="0"/>
                      <a:ext cx="7186930" cy="38735"/>
                    </a:xfrm>
                    <a:prstGeom prst="rect">
                      <a:avLst/>
                    </a:prstGeom>
                    <a:noFill/>
                  </pic:spPr>
                </pic:pic>
              </a:graphicData>
            </a:graphic>
          </wp:anchor>
        </w:drawing>
      </w:r>
    </w:p>
    <w:p>
      <w:pPr>
        <w:sectPr>
          <w:pgSz w:w="11900" w:h="16838" w:orient="portrait"/>
          <w:cols w:equalWidth="0" w:num="1">
            <w:col w:w="11280"/>
          </w:cols>
          <w:pgMar w:left="300" w:top="123" w:right="319" w:bottom="1440" w:gutter="0" w:footer="0" w:header="0"/>
        </w:sectPr>
      </w:pPr>
    </w:p>
    <w:bookmarkStart w:id="54" w:name="page55"/>
    <w:bookmarkEnd w:id="54"/>
    <w:p>
      <w:pPr>
        <w:jc w:val="center"/>
        <w:ind w:right="-19"/>
        <w:spacing w:after="0"/>
        <w:rPr>
          <w:sz w:val="20"/>
          <w:szCs w:val="20"/>
          <w:color w:val="auto"/>
        </w:rPr>
      </w:pPr>
      <w:r>
        <w:rPr>
          <w:rFonts w:ascii="Times New Roman" w:cs="Times New Roman" w:eastAsia="Times New Roman" w:hAnsi="Times New Roman"/>
          <w:sz w:val="14"/>
          <w:szCs w:val="14"/>
          <w:b w:val="1"/>
          <w:bCs w:val="1"/>
          <w:color w:val="auto"/>
        </w:rPr>
        <w:t>WESTWOOD HOLDINGS GROUP, INC.</w:t>
      </w:r>
    </w:p>
    <w:p>
      <w:pPr>
        <w:spacing w:after="0" w:line="51"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4"/>
          <w:szCs w:val="14"/>
          <w:b w:val="1"/>
          <w:bCs w:val="1"/>
          <w:color w:val="auto"/>
        </w:rPr>
        <w:t>NOTES TO CONSOLIDATED FINANCIAL STATEMENTS — (Continued)</w:t>
      </w:r>
    </w:p>
    <w:p>
      <w:pPr>
        <w:spacing w:after="0" w:line="318" w:lineRule="exact"/>
        <w:rPr>
          <w:sz w:val="20"/>
          <w:szCs w:val="20"/>
          <w:color w:val="auto"/>
        </w:rPr>
      </w:pPr>
    </w:p>
    <w:p>
      <w:pPr>
        <w:ind w:right="60"/>
        <w:spacing w:after="0" w:line="287" w:lineRule="auto"/>
        <w:rPr>
          <w:sz w:val="20"/>
          <w:szCs w:val="20"/>
          <w:color w:val="auto"/>
        </w:rPr>
      </w:pPr>
      <w:r>
        <w:rPr>
          <w:rFonts w:ascii="Times New Roman" w:cs="Times New Roman" w:eastAsia="Times New Roman" w:hAnsi="Times New Roman"/>
          <w:sz w:val="14"/>
          <w:szCs w:val="14"/>
          <w:color w:val="auto"/>
        </w:rPr>
        <w:t>related to tax rate reconciliations and income taxes paid and did not have an effect on the Company’s consolidated statements of operations or consolidated balance sheets See Note 9 "Income Taxes" for our updated presentation.</w:t>
      </w:r>
    </w:p>
    <w:p>
      <w:pPr>
        <w:spacing w:after="0" w:line="37"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b w:val="1"/>
          <w:bCs w:val="1"/>
          <w:color w:val="auto"/>
        </w:rPr>
        <w:t>Recently Issued Accounting Pronouncements</w:t>
      </w:r>
    </w:p>
    <w:p>
      <w:pPr>
        <w:spacing w:after="0" w:line="96"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color w:val="auto"/>
        </w:rPr>
        <w:t>Income Statement Reporting</w:t>
      </w:r>
    </w:p>
    <w:p>
      <w:pPr>
        <w:spacing w:after="0" w:line="92" w:lineRule="exact"/>
        <w:rPr>
          <w:sz w:val="20"/>
          <w:szCs w:val="20"/>
          <w:color w:val="auto"/>
        </w:rPr>
      </w:pPr>
    </w:p>
    <w:p>
      <w:pPr>
        <w:ind w:right="40" w:firstLine="382"/>
        <w:spacing w:after="0" w:line="260" w:lineRule="auto"/>
        <w:rPr>
          <w:sz w:val="20"/>
          <w:szCs w:val="20"/>
          <w:color w:val="auto"/>
        </w:rPr>
      </w:pPr>
      <w:r>
        <w:rPr>
          <w:rFonts w:ascii="Times New Roman" w:cs="Times New Roman" w:eastAsia="Times New Roman" w:hAnsi="Times New Roman"/>
          <w:sz w:val="14"/>
          <w:szCs w:val="14"/>
          <w:color w:val="auto"/>
        </w:rPr>
        <w:t xml:space="preserve">In November 2024, the FASB issued ASU 2024-03, </w:t>
      </w:r>
      <w:r>
        <w:rPr>
          <w:rFonts w:ascii="Times New Roman" w:cs="Times New Roman" w:eastAsia="Times New Roman" w:hAnsi="Times New Roman"/>
          <w:sz w:val="14"/>
          <w:szCs w:val="14"/>
          <w:i w:val="1"/>
          <w:iCs w:val="1"/>
          <w:color w:val="auto"/>
        </w:rPr>
        <w:t>Income Statement-Reporting Comprehensive Income-Expense Disaggregation Disclosures (Subtopic 220-40): Disaggregation of Income</w:t>
      </w:r>
      <w:r>
        <w:rPr>
          <w:rFonts w:ascii="Times New Roman" w:cs="Times New Roman" w:eastAsia="Times New Roman" w:hAnsi="Times New Roman"/>
          <w:sz w:val="14"/>
          <w:szCs w:val="14"/>
          <w:color w:val="auto"/>
        </w:rPr>
        <w:t xml:space="preserve"> </w:t>
      </w:r>
      <w:r>
        <w:rPr>
          <w:rFonts w:ascii="Times New Roman" w:cs="Times New Roman" w:eastAsia="Times New Roman" w:hAnsi="Times New Roman"/>
          <w:sz w:val="14"/>
          <w:szCs w:val="14"/>
          <w:i w:val="1"/>
          <w:iCs w:val="1"/>
          <w:color w:val="auto"/>
        </w:rPr>
        <w:t xml:space="preserve">Statement Expenses </w:t>
      </w:r>
      <w:r>
        <w:rPr>
          <w:rFonts w:ascii="Times New Roman" w:cs="Times New Roman" w:eastAsia="Times New Roman" w:hAnsi="Times New Roman"/>
          <w:sz w:val="14"/>
          <w:szCs w:val="14"/>
          <w:color w:val="auto"/>
        </w:rPr>
        <w:t>("ASU 2024-03"). ASU 2024-03 requires public companies to disclose, in the notes to financial statements, specified information about certain costs and expenses at each interim</w:t>
      </w:r>
      <w:r>
        <w:rPr>
          <w:rFonts w:ascii="Times New Roman" w:cs="Times New Roman" w:eastAsia="Times New Roman" w:hAnsi="Times New Roman"/>
          <w:sz w:val="14"/>
          <w:szCs w:val="14"/>
          <w:i w:val="1"/>
          <w:iCs w:val="1"/>
          <w:color w:val="auto"/>
        </w:rPr>
        <w:t xml:space="preserve"> </w:t>
      </w:r>
      <w:r>
        <w:rPr>
          <w:rFonts w:ascii="Times New Roman" w:cs="Times New Roman" w:eastAsia="Times New Roman" w:hAnsi="Times New Roman"/>
          <w:sz w:val="14"/>
          <w:szCs w:val="14"/>
          <w:color w:val="auto"/>
        </w:rPr>
        <w:t xml:space="preserve">and annual reporting period. The FASB further clarified the effective date in January 2025 with the issuance of ASU 2025-01, </w:t>
      </w:r>
      <w:r>
        <w:rPr>
          <w:rFonts w:ascii="Times New Roman" w:cs="Times New Roman" w:eastAsia="Times New Roman" w:hAnsi="Times New Roman"/>
          <w:sz w:val="14"/>
          <w:szCs w:val="14"/>
          <w:i w:val="1"/>
          <w:iCs w:val="1"/>
          <w:color w:val="auto"/>
        </w:rPr>
        <w:t>Income Statement - Reporting Comprehensive Income - Expense</w:t>
      </w:r>
      <w:r>
        <w:rPr>
          <w:rFonts w:ascii="Times New Roman" w:cs="Times New Roman" w:eastAsia="Times New Roman" w:hAnsi="Times New Roman"/>
          <w:sz w:val="14"/>
          <w:szCs w:val="14"/>
          <w:color w:val="auto"/>
        </w:rPr>
        <w:t xml:space="preserve"> </w:t>
      </w:r>
      <w:r>
        <w:rPr>
          <w:rFonts w:ascii="Times New Roman" w:cs="Times New Roman" w:eastAsia="Times New Roman" w:hAnsi="Times New Roman"/>
          <w:sz w:val="14"/>
          <w:szCs w:val="14"/>
          <w:i w:val="1"/>
          <w:iCs w:val="1"/>
          <w:color w:val="auto"/>
        </w:rPr>
        <w:t xml:space="preserve">Disaggregation Disclosures (Subtopic 220-40): Clarifying the Effective Date </w:t>
      </w:r>
      <w:r>
        <w:rPr>
          <w:rFonts w:ascii="Times New Roman" w:cs="Times New Roman" w:eastAsia="Times New Roman" w:hAnsi="Times New Roman"/>
          <w:sz w:val="14"/>
          <w:szCs w:val="14"/>
          <w:color w:val="auto"/>
        </w:rPr>
        <w:t>("ASU 2025-01"). ASU 2024-03 is effective for annual periods beginning after December 15, 2026, and interim periods</w:t>
      </w:r>
      <w:r>
        <w:rPr>
          <w:rFonts w:ascii="Times New Roman" w:cs="Times New Roman" w:eastAsia="Times New Roman" w:hAnsi="Times New Roman"/>
          <w:sz w:val="14"/>
          <w:szCs w:val="14"/>
          <w:i w:val="1"/>
          <w:iCs w:val="1"/>
          <w:color w:val="auto"/>
        </w:rPr>
        <w:t xml:space="preserve"> </w:t>
      </w:r>
      <w:r>
        <w:rPr>
          <w:rFonts w:ascii="Times New Roman" w:cs="Times New Roman" w:eastAsia="Times New Roman" w:hAnsi="Times New Roman"/>
          <w:sz w:val="14"/>
          <w:szCs w:val="14"/>
          <w:color w:val="auto"/>
        </w:rPr>
        <w:t>within annual reporting periods beginning after December 15, 2027, with early adoption permitted. The requirements should be applied on a prospective basis while retrospective application is permitted. We are in the process of analyzing the impact of this ASU on our consolidated financial statements.</w:t>
      </w:r>
    </w:p>
    <w:p>
      <w:pPr>
        <w:spacing w:after="0" w:line="59"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color w:val="auto"/>
        </w:rPr>
        <w:t>Internal-Use Software</w:t>
      </w:r>
    </w:p>
    <w:p>
      <w:pPr>
        <w:spacing w:after="0" w:line="92" w:lineRule="exact"/>
        <w:rPr>
          <w:sz w:val="20"/>
          <w:szCs w:val="20"/>
          <w:color w:val="auto"/>
        </w:rPr>
      </w:pPr>
    </w:p>
    <w:p>
      <w:pPr>
        <w:ind w:right="80" w:firstLine="382"/>
        <w:spacing w:after="0" w:line="262" w:lineRule="auto"/>
        <w:rPr>
          <w:sz w:val="20"/>
          <w:szCs w:val="20"/>
          <w:color w:val="auto"/>
        </w:rPr>
      </w:pPr>
      <w:r>
        <w:rPr>
          <w:rFonts w:ascii="Times New Roman" w:cs="Times New Roman" w:eastAsia="Times New Roman" w:hAnsi="Times New Roman"/>
          <w:sz w:val="14"/>
          <w:szCs w:val="14"/>
          <w:color w:val="auto"/>
        </w:rPr>
        <w:t xml:space="preserve">In September 2025, the FASB issued ASU 2025-06, </w:t>
      </w:r>
      <w:r>
        <w:rPr>
          <w:rFonts w:ascii="Times New Roman" w:cs="Times New Roman" w:eastAsia="Times New Roman" w:hAnsi="Times New Roman"/>
          <w:sz w:val="14"/>
          <w:szCs w:val="14"/>
          <w:i w:val="1"/>
          <w:iCs w:val="1"/>
          <w:color w:val="auto"/>
        </w:rPr>
        <w:t>Intangibles - Goodwill and Other - Internal-Use Software (Subtopic 350-40): Targeted Improvements to the Accounting for Internal-Use</w:t>
      </w:r>
      <w:r>
        <w:rPr>
          <w:rFonts w:ascii="Times New Roman" w:cs="Times New Roman" w:eastAsia="Times New Roman" w:hAnsi="Times New Roman"/>
          <w:sz w:val="14"/>
          <w:szCs w:val="14"/>
          <w:color w:val="auto"/>
        </w:rPr>
        <w:t xml:space="preserve"> </w:t>
      </w:r>
      <w:r>
        <w:rPr>
          <w:rFonts w:ascii="Times New Roman" w:cs="Times New Roman" w:eastAsia="Times New Roman" w:hAnsi="Times New Roman"/>
          <w:sz w:val="14"/>
          <w:szCs w:val="14"/>
          <w:i w:val="1"/>
          <w:iCs w:val="1"/>
          <w:color w:val="auto"/>
        </w:rPr>
        <w:t xml:space="preserve">Software </w:t>
      </w:r>
      <w:r>
        <w:rPr>
          <w:rFonts w:ascii="Times New Roman" w:cs="Times New Roman" w:eastAsia="Times New Roman" w:hAnsi="Times New Roman"/>
          <w:sz w:val="14"/>
          <w:szCs w:val="14"/>
          <w:color w:val="auto"/>
        </w:rPr>
        <w:t>("ASU 2025-06"). ASU 2025-06 is intended to simplify the capitalization guidance by removing all references to software development project stages so that the guidance is neutral to</w:t>
      </w:r>
      <w:r>
        <w:rPr>
          <w:rFonts w:ascii="Times New Roman" w:cs="Times New Roman" w:eastAsia="Times New Roman" w:hAnsi="Times New Roman"/>
          <w:sz w:val="14"/>
          <w:szCs w:val="14"/>
          <w:i w:val="1"/>
          <w:iCs w:val="1"/>
          <w:color w:val="auto"/>
        </w:rPr>
        <w:t xml:space="preserve"> </w:t>
      </w:r>
      <w:r>
        <w:rPr>
          <w:rFonts w:ascii="Times New Roman" w:cs="Times New Roman" w:eastAsia="Times New Roman" w:hAnsi="Times New Roman"/>
          <w:sz w:val="14"/>
          <w:szCs w:val="14"/>
          <w:color w:val="auto"/>
        </w:rPr>
        <w:t>different software development methods. The amendments in this ASU are effective for annual reporting periods beginning after December 15, 2027, and interim reporting periods within those annual reporting periods, with early adoption permitted. The amendments in this update permit an entity to apply the new guidance using a prospective, retrospective or modified transition approach. We are in the process of analyzing the impact of this ASU on our condensed consolidated financial statements.</w:t>
      </w:r>
    </w:p>
    <w:p>
      <w:pPr>
        <w:spacing w:after="0" w:line="57"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color w:val="auto"/>
        </w:rPr>
        <w:t>Interim Reporting</w:t>
      </w:r>
    </w:p>
    <w:p>
      <w:pPr>
        <w:spacing w:after="0" w:line="92" w:lineRule="exact"/>
        <w:rPr>
          <w:sz w:val="20"/>
          <w:szCs w:val="20"/>
          <w:color w:val="auto"/>
        </w:rPr>
      </w:pPr>
    </w:p>
    <w:p>
      <w:pPr>
        <w:ind w:firstLine="382"/>
        <w:spacing w:after="0" w:line="271" w:lineRule="auto"/>
        <w:rPr>
          <w:sz w:val="20"/>
          <w:szCs w:val="20"/>
          <w:color w:val="auto"/>
        </w:rPr>
      </w:pPr>
      <w:r>
        <w:rPr>
          <w:rFonts w:ascii="Times New Roman" w:cs="Times New Roman" w:eastAsia="Times New Roman" w:hAnsi="Times New Roman"/>
          <w:sz w:val="14"/>
          <w:szCs w:val="14"/>
          <w:color w:val="auto"/>
        </w:rPr>
        <w:t xml:space="preserve">In December 2025, the FASB issued ASU 2025-11, </w:t>
      </w:r>
      <w:r>
        <w:rPr>
          <w:rFonts w:ascii="Times New Roman" w:cs="Times New Roman" w:eastAsia="Times New Roman" w:hAnsi="Times New Roman"/>
          <w:sz w:val="14"/>
          <w:szCs w:val="14"/>
          <w:i w:val="1"/>
          <w:iCs w:val="1"/>
          <w:color w:val="auto"/>
        </w:rPr>
        <w:t>Interim Reporting</w:t>
      </w:r>
      <w:r>
        <w:rPr>
          <w:rFonts w:ascii="Times New Roman" w:cs="Times New Roman" w:eastAsia="Times New Roman" w:hAnsi="Times New Roman"/>
          <w:sz w:val="14"/>
          <w:szCs w:val="14"/>
          <w:color w:val="auto"/>
        </w:rPr>
        <w:t xml:space="preserve"> ("ASU 2025-11"). ASU 2025-11 is intended to clarify the application of interim reporting guidance and to reorganize existing disclosure requirements. The amendments in this ASU are effective for interim periods within annual periods beginning after December 15, 2027, with early adoption permitted. We are in the process of analyzing the impact of this ASU on our condensed consolidated financial statements.</w:t>
      </w:r>
    </w:p>
    <w:p>
      <w:pPr>
        <w:spacing w:after="0" w:line="49" w:lineRule="exact"/>
        <w:rPr>
          <w:sz w:val="20"/>
          <w:szCs w:val="20"/>
          <w:color w:val="auto"/>
        </w:rPr>
      </w:pPr>
    </w:p>
    <w:p>
      <w:pPr>
        <w:ind w:right="9280" w:firstLine="5"/>
        <w:spacing w:after="0" w:line="381" w:lineRule="auto"/>
        <w:tabs>
          <w:tab w:leader="none" w:pos="141" w:val="left"/>
        </w:tabs>
        <w:numPr>
          <w:ilvl w:val="0"/>
          <w:numId w:val="19"/>
        </w:numPr>
        <w:rPr>
          <w:rFonts w:ascii="Times New Roman" w:cs="Times New Roman" w:eastAsia="Times New Roman" w:hAnsi="Times New Roman"/>
          <w:sz w:val="14"/>
          <w:szCs w:val="14"/>
          <w:b w:val="1"/>
          <w:bCs w:val="1"/>
          <w:color w:val="auto"/>
        </w:rPr>
      </w:pPr>
      <w:r>
        <w:rPr>
          <w:rFonts w:ascii="Times New Roman" w:cs="Times New Roman" w:eastAsia="Times New Roman" w:hAnsi="Times New Roman"/>
          <w:sz w:val="14"/>
          <w:szCs w:val="14"/>
          <w:b w:val="1"/>
          <w:bCs w:val="1"/>
          <w:color w:val="auto"/>
        </w:rPr>
        <w:t>BUSINESS COMBINATIONS Broadmark</w:t>
      </w:r>
    </w:p>
    <w:p>
      <w:pPr>
        <w:ind w:right="120" w:firstLine="382"/>
        <w:spacing w:after="0" w:line="287" w:lineRule="auto"/>
        <w:rPr>
          <w:sz w:val="20"/>
          <w:szCs w:val="20"/>
          <w:color w:val="auto"/>
        </w:rPr>
      </w:pPr>
      <w:r>
        <w:rPr>
          <w:rFonts w:ascii="Times New Roman" w:cs="Times New Roman" w:eastAsia="Times New Roman" w:hAnsi="Times New Roman"/>
          <w:sz w:val="14"/>
          <w:szCs w:val="14"/>
          <w:color w:val="auto"/>
        </w:rPr>
        <w:t>Westwood completed the Broadmark Acquisition in January 2023, increasing the Company's investment by approximately 32%, to 80%, giving Westwood a controlling interest and requiring an allocation of the Broadmark Acquisition purchase price. The total consideration recorded for accounting purposes consisted of $1.2 million in cash (net of cash acquired).</w:t>
      </w:r>
    </w:p>
    <w:p>
      <w:pPr>
        <w:spacing w:after="0" w:line="39" w:lineRule="exact"/>
        <w:rPr>
          <w:sz w:val="20"/>
          <w:szCs w:val="20"/>
          <w:color w:val="auto"/>
        </w:rPr>
      </w:pPr>
    </w:p>
    <w:p>
      <w:pPr>
        <w:jc w:val="both"/>
        <w:ind w:right="200" w:firstLine="382"/>
        <w:spacing w:after="0" w:line="270" w:lineRule="auto"/>
        <w:rPr>
          <w:sz w:val="20"/>
          <w:szCs w:val="20"/>
          <w:color w:val="auto"/>
        </w:rPr>
      </w:pPr>
      <w:r>
        <w:rPr>
          <w:rFonts w:ascii="Times New Roman" w:cs="Times New Roman" w:eastAsia="Times New Roman" w:hAnsi="Times New Roman"/>
          <w:sz w:val="14"/>
          <w:szCs w:val="14"/>
          <w:color w:val="auto"/>
        </w:rPr>
        <w:t>The Broadmark Acquisition was accounted for using the acquisition method of accounting. Accordingly, the purchase price was allocated to tangible assets acquired and liabilities assumed based on their estimated fair values as of the acquisition date. The total consideration of $1.6 million has been allocated based on valuations of acquired assets and assumed liabilities in connection with the acquisition.</w:t>
      </w:r>
    </w:p>
    <w:p>
      <w:pPr>
        <w:spacing w:after="0" w:line="51" w:lineRule="exact"/>
        <w:rPr>
          <w:sz w:val="20"/>
          <w:szCs w:val="20"/>
          <w:color w:val="auto"/>
        </w:rPr>
      </w:pPr>
    </w:p>
    <w:p>
      <w:pPr>
        <w:ind w:left="380"/>
        <w:spacing w:after="0"/>
        <w:rPr>
          <w:sz w:val="20"/>
          <w:szCs w:val="20"/>
          <w:color w:val="auto"/>
        </w:rPr>
      </w:pPr>
      <w:r>
        <w:rPr>
          <w:rFonts w:ascii="Times New Roman" w:cs="Times New Roman" w:eastAsia="Times New Roman" w:hAnsi="Times New Roman"/>
          <w:sz w:val="14"/>
          <w:szCs w:val="14"/>
          <w:color w:val="auto"/>
        </w:rPr>
        <w:t>The allocation of the Broadmark Acquisition purchase price was as follows (in thousands):</w:t>
      </w:r>
    </w:p>
    <w:p>
      <w:pPr>
        <w:spacing w:after="0" w:line="200" w:lineRule="exact"/>
        <w:rPr>
          <w:sz w:val="20"/>
          <w:szCs w:val="20"/>
          <w:color w:val="auto"/>
        </w:rPr>
      </w:pPr>
    </w:p>
    <w:p>
      <w:pPr>
        <w:spacing w:after="0" w:line="244"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4"/>
          <w:szCs w:val="14"/>
          <w:color w:val="auto"/>
        </w:rPr>
        <w:t>13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-8890</wp:posOffset>
            </wp:positionH>
            <wp:positionV relativeFrom="paragraph">
              <wp:posOffset>55880</wp:posOffset>
            </wp:positionV>
            <wp:extent cx="7186930" cy="38735"/>
            <wp:wrapNone/>
            <wp:docPr id="87" name="Picture 8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7"/>
                    <pic:cNvPicPr>
                      <a:picLocks noChangeAspect="1" noChangeArrowheads="1"/>
                    </pic:cNvPicPr>
                  </pic:nvPicPr>
                  <pic:blipFill>
                    <a:blip r:embed="rId94">
                      <a:extLst>
                        <a:ext uri="{28A0092B-C50C-407E-A947-70E740481C1C}"/>
                      </a:extLst>
                    </a:blip>
                    <a:srcRect/>
                    <a:stretch>
                      <a:fillRect/>
                    </a:stretch>
                  </pic:blipFill>
                  <pic:spPr bwMode="auto">
                    <a:xfrm>
                      <a:off x="0" y="0"/>
                      <a:ext cx="7186930" cy="38735"/>
                    </a:xfrm>
                    <a:prstGeom prst="rect">
                      <a:avLst/>
                    </a:prstGeom>
                    <a:noFill/>
                  </pic:spPr>
                </pic:pic>
              </a:graphicData>
            </a:graphic>
          </wp:anchor>
        </w:drawing>
      </w:r>
    </w:p>
    <w:p>
      <w:pPr>
        <w:sectPr>
          <w:pgSz w:w="11900" w:h="16838" w:orient="portrait"/>
          <w:cols w:equalWidth="0" w:num="1">
            <w:col w:w="11280"/>
          </w:cols>
          <w:pgMar w:left="300" w:top="123" w:right="319" w:bottom="1440" w:gutter="0" w:footer="0" w:header="0"/>
        </w:sectPr>
      </w:pPr>
    </w:p>
    <w:bookmarkStart w:id="55" w:name="page56"/>
    <w:bookmarkEnd w:id="55"/>
    <w:p>
      <w:pPr>
        <w:jc w:val="center"/>
        <w:spacing w:after="0"/>
        <w:rPr>
          <w:sz w:val="20"/>
          <w:szCs w:val="20"/>
          <w:color w:val="auto"/>
        </w:rPr>
      </w:pPr>
      <w:r>
        <w:rPr>
          <w:rFonts w:ascii="Times New Roman" w:cs="Times New Roman" w:eastAsia="Times New Roman" w:hAnsi="Times New Roman"/>
          <w:sz w:val="14"/>
          <w:szCs w:val="14"/>
          <w:b w:val="1"/>
          <w:bCs w:val="1"/>
          <w:color w:val="auto"/>
        </w:rPr>
        <w:t>WESTWOOD HOLDINGS GROUP, INC.</w:t>
      </w:r>
    </w:p>
    <w:p>
      <w:pPr>
        <w:spacing w:after="0" w:line="5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4"/>
          <w:szCs w:val="14"/>
          <w:b w:val="1"/>
          <w:bCs w:val="1"/>
          <w:color w:val="auto"/>
        </w:rPr>
        <w:t>NOTES TO CONSOLIDATED FINANCIAL STATEMENTS — (Continued)</w:t>
      </w:r>
    </w:p>
    <w:p>
      <w:pPr>
        <w:spacing w:after="0" w:line="267" w:lineRule="exact"/>
        <w:rPr>
          <w:sz w:val="20"/>
          <w:szCs w:val="20"/>
          <w:color w:val="auto"/>
        </w:rPr>
      </w:pPr>
    </w:p>
    <w:tbl>
      <w:tblPr>
        <w:tblLayout w:type="fixed"/>
        <w:tblInd w:w="0" w:type="dxa"/>
        <w:tblCellMar>
          <w:top w:w="0" w:type="dxa"/>
          <w:left w:w="0" w:type="dxa"/>
          <w:bottom w:w="0" w:type="dxa"/>
          <w:right w:w="0" w:type="dxa"/>
        </w:tblCellMar>
      </w:tblPr>
      <w:tr>
        <w:trPr>
          <w:trHeight w:val="170"/>
        </w:trPr>
        <w:tc>
          <w:tcPr>
            <w:tcW w:w="9360" w:type="dxa"/>
            <w:vAlign w:val="bottom"/>
            <w:tcBorders>
              <w:bottom w:val="single" w:sz="8" w:color="CCEEFF"/>
            </w:tcBorders>
          </w:tcPr>
          <w:p>
            <w:pPr>
              <w:spacing w:after="0"/>
              <w:rPr>
                <w:sz w:val="14"/>
                <w:szCs w:val="14"/>
                <w:color w:val="auto"/>
              </w:rPr>
            </w:pPr>
          </w:p>
        </w:tc>
        <w:tc>
          <w:tcPr>
            <w:tcW w:w="320" w:type="dxa"/>
            <w:vAlign w:val="bottom"/>
            <w:tcBorders>
              <w:bottom w:val="single" w:sz="8" w:color="auto"/>
            </w:tcBorders>
          </w:tcPr>
          <w:p>
            <w:pPr>
              <w:spacing w:after="0"/>
              <w:rPr>
                <w:sz w:val="14"/>
                <w:szCs w:val="14"/>
                <w:color w:val="auto"/>
              </w:rPr>
            </w:pPr>
          </w:p>
        </w:tc>
        <w:tc>
          <w:tcPr>
            <w:tcW w:w="1600" w:type="dxa"/>
            <w:vAlign w:val="bottom"/>
            <w:tcBorders>
              <w:bottom w:val="single" w:sz="8" w:color="auto"/>
            </w:tcBorders>
          </w:tcPr>
          <w:p>
            <w:pPr>
              <w:jc w:val="right"/>
              <w:ind w:right="516"/>
              <w:spacing w:after="0"/>
              <w:rPr>
                <w:sz w:val="20"/>
                <w:szCs w:val="20"/>
                <w:color w:val="auto"/>
              </w:rPr>
            </w:pPr>
            <w:r>
              <w:rPr>
                <w:rFonts w:ascii="Times New Roman" w:cs="Times New Roman" w:eastAsia="Times New Roman" w:hAnsi="Times New Roman"/>
                <w:sz w:val="13"/>
                <w:szCs w:val="13"/>
                <w:b w:val="1"/>
                <w:bCs w:val="1"/>
                <w:color w:val="auto"/>
              </w:rPr>
              <w:t>(in thousands)</w:t>
            </w:r>
          </w:p>
        </w:tc>
      </w:tr>
      <w:tr>
        <w:trPr>
          <w:trHeight w:val="163"/>
        </w:trPr>
        <w:tc>
          <w:tcPr>
            <w:tcW w:w="936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3"/>
                <w:szCs w:val="13"/>
                <w:color w:val="auto"/>
              </w:rPr>
              <w:t>Cash consideration</w:t>
            </w:r>
          </w:p>
        </w:tc>
        <w:tc>
          <w:tcPr>
            <w:tcW w:w="320" w:type="dxa"/>
            <w:vAlign w:val="bottom"/>
            <w:shd w:val="clear" w:color="auto" w:fill="CCEEFF"/>
          </w:tcPr>
          <w:p>
            <w:pPr>
              <w:jc w:val="right"/>
              <w:ind w:right="207"/>
              <w:spacing w:after="0"/>
              <w:rPr>
                <w:sz w:val="20"/>
                <w:szCs w:val="20"/>
                <w:color w:val="auto"/>
              </w:rPr>
            </w:pPr>
            <w:r>
              <w:rPr>
                <w:rFonts w:ascii="Times New Roman" w:cs="Times New Roman" w:eastAsia="Times New Roman" w:hAnsi="Times New Roman"/>
                <w:sz w:val="11"/>
                <w:szCs w:val="11"/>
                <w:color w:val="auto"/>
                <w:w w:val="71"/>
              </w:rPr>
              <w:t>$</w:t>
            </w:r>
          </w:p>
        </w:tc>
        <w:tc>
          <w:tcPr>
            <w:tcW w:w="16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1,570</w:t>
            </w:r>
          </w:p>
        </w:tc>
      </w:tr>
      <w:tr>
        <w:trPr>
          <w:trHeight w:val="168"/>
        </w:trPr>
        <w:tc>
          <w:tcPr>
            <w:tcW w:w="9360" w:type="dxa"/>
            <w:vAlign w:val="bottom"/>
            <w:tcBorders>
              <w:bottom w:val="single" w:sz="8" w:color="CCEEFF"/>
            </w:tcBorders>
          </w:tcPr>
          <w:p>
            <w:pPr>
              <w:ind w:left="20"/>
              <w:spacing w:after="0"/>
              <w:rPr>
                <w:sz w:val="20"/>
                <w:szCs w:val="20"/>
                <w:color w:val="auto"/>
              </w:rPr>
            </w:pPr>
            <w:r>
              <w:rPr>
                <w:rFonts w:ascii="Times New Roman" w:cs="Times New Roman" w:eastAsia="Times New Roman" w:hAnsi="Times New Roman"/>
                <w:sz w:val="13"/>
                <w:szCs w:val="13"/>
                <w:color w:val="auto"/>
              </w:rPr>
              <w:t>Cash acquired</w:t>
            </w:r>
          </w:p>
        </w:tc>
        <w:tc>
          <w:tcPr>
            <w:tcW w:w="320" w:type="dxa"/>
            <w:vAlign w:val="bottom"/>
            <w:tcBorders>
              <w:bottom w:val="single" w:sz="8" w:color="auto"/>
            </w:tcBorders>
          </w:tcPr>
          <w:p>
            <w:pPr>
              <w:spacing w:after="0"/>
              <w:rPr>
                <w:sz w:val="14"/>
                <w:szCs w:val="14"/>
                <w:color w:val="auto"/>
              </w:rPr>
            </w:pPr>
          </w:p>
        </w:tc>
        <w:tc>
          <w:tcPr>
            <w:tcW w:w="16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3"/>
                <w:szCs w:val="13"/>
                <w:color w:val="auto"/>
              </w:rPr>
              <w:t>(402)</w:t>
            </w:r>
          </w:p>
        </w:tc>
      </w:tr>
      <w:tr>
        <w:trPr>
          <w:trHeight w:val="163"/>
        </w:trPr>
        <w:tc>
          <w:tcPr>
            <w:tcW w:w="9360" w:type="dxa"/>
            <w:vAlign w:val="bottom"/>
            <w:shd w:val="clear" w:color="auto" w:fill="CCEEFF"/>
          </w:tcPr>
          <w:p>
            <w:pPr>
              <w:ind w:left="100"/>
              <w:spacing w:after="0"/>
              <w:rPr>
                <w:sz w:val="20"/>
                <w:szCs w:val="20"/>
                <w:color w:val="auto"/>
              </w:rPr>
            </w:pPr>
            <w:r>
              <w:rPr>
                <w:rFonts w:ascii="Times New Roman" w:cs="Times New Roman" w:eastAsia="Times New Roman" w:hAnsi="Times New Roman"/>
                <w:sz w:val="13"/>
                <w:szCs w:val="13"/>
                <w:b w:val="1"/>
                <w:bCs w:val="1"/>
                <w:color w:val="auto"/>
              </w:rPr>
              <w:t>Total consideration, net of cash acquired</w:t>
            </w:r>
          </w:p>
        </w:tc>
        <w:tc>
          <w:tcPr>
            <w:tcW w:w="320" w:type="dxa"/>
            <w:vAlign w:val="bottom"/>
            <w:shd w:val="clear" w:color="auto" w:fill="CCEEFF"/>
          </w:tcPr>
          <w:p>
            <w:pPr>
              <w:jc w:val="right"/>
              <w:ind w:right="207"/>
              <w:spacing w:after="0"/>
              <w:rPr>
                <w:sz w:val="20"/>
                <w:szCs w:val="20"/>
                <w:color w:val="auto"/>
              </w:rPr>
            </w:pPr>
            <w:r>
              <w:rPr>
                <w:rFonts w:ascii="Times New Roman" w:cs="Times New Roman" w:eastAsia="Times New Roman" w:hAnsi="Times New Roman"/>
                <w:sz w:val="11"/>
                <w:szCs w:val="11"/>
                <w:color w:val="auto"/>
                <w:w w:val="71"/>
              </w:rPr>
              <w:t>$</w:t>
            </w:r>
          </w:p>
        </w:tc>
        <w:tc>
          <w:tcPr>
            <w:tcW w:w="16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1,168</w:t>
            </w:r>
          </w:p>
        </w:tc>
      </w:tr>
      <w:tr>
        <w:trPr>
          <w:trHeight w:val="202"/>
        </w:trPr>
        <w:tc>
          <w:tcPr>
            <w:tcW w:w="9360" w:type="dxa"/>
            <w:vAlign w:val="bottom"/>
          </w:tcPr>
          <w:p>
            <w:pPr>
              <w:spacing w:after="0"/>
              <w:rPr>
                <w:sz w:val="17"/>
                <w:szCs w:val="17"/>
                <w:color w:val="auto"/>
              </w:rPr>
            </w:pPr>
          </w:p>
        </w:tc>
        <w:tc>
          <w:tcPr>
            <w:tcW w:w="320" w:type="dxa"/>
            <w:vAlign w:val="bottom"/>
          </w:tcPr>
          <w:p>
            <w:pPr>
              <w:spacing w:after="0"/>
              <w:rPr>
                <w:sz w:val="17"/>
                <w:szCs w:val="17"/>
                <w:color w:val="auto"/>
              </w:rPr>
            </w:pPr>
          </w:p>
        </w:tc>
        <w:tc>
          <w:tcPr>
            <w:tcW w:w="1600" w:type="dxa"/>
            <w:vAlign w:val="bottom"/>
          </w:tcPr>
          <w:p>
            <w:pPr>
              <w:spacing w:after="0"/>
              <w:rPr>
                <w:sz w:val="17"/>
                <w:szCs w:val="17"/>
                <w:color w:val="auto"/>
              </w:rPr>
            </w:pPr>
          </w:p>
        </w:tc>
      </w:tr>
      <w:tr>
        <w:trPr>
          <w:trHeight w:val="170"/>
        </w:trPr>
        <w:tc>
          <w:tcPr>
            <w:tcW w:w="936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3"/>
                <w:szCs w:val="13"/>
                <w:color w:val="auto"/>
              </w:rPr>
              <w:t>Fair value of Westwood's investment in Broadmark before the business combination</w:t>
            </w:r>
          </w:p>
        </w:tc>
        <w:tc>
          <w:tcPr>
            <w:tcW w:w="320" w:type="dxa"/>
            <w:vAlign w:val="bottom"/>
            <w:shd w:val="clear" w:color="auto" w:fill="CCEEFF"/>
          </w:tcPr>
          <w:p>
            <w:pPr>
              <w:spacing w:after="0"/>
              <w:rPr>
                <w:sz w:val="14"/>
                <w:szCs w:val="14"/>
                <w:color w:val="auto"/>
              </w:rPr>
            </w:pPr>
          </w:p>
        </w:tc>
        <w:tc>
          <w:tcPr>
            <w:tcW w:w="16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2,417</w:t>
            </w:r>
          </w:p>
        </w:tc>
      </w:tr>
      <w:tr>
        <w:trPr>
          <w:trHeight w:val="168"/>
        </w:trPr>
        <w:tc>
          <w:tcPr>
            <w:tcW w:w="9360" w:type="dxa"/>
            <w:vAlign w:val="bottom"/>
          </w:tcPr>
          <w:p>
            <w:pPr>
              <w:ind w:left="20"/>
              <w:spacing w:after="0"/>
              <w:rPr>
                <w:sz w:val="20"/>
                <w:szCs w:val="20"/>
                <w:color w:val="auto"/>
              </w:rPr>
            </w:pPr>
            <w:r>
              <w:rPr>
                <w:rFonts w:ascii="Times New Roman" w:cs="Times New Roman" w:eastAsia="Times New Roman" w:hAnsi="Times New Roman"/>
                <w:sz w:val="13"/>
                <w:szCs w:val="13"/>
                <w:color w:val="auto"/>
              </w:rPr>
              <w:t>Fair value of noncontrolling interest in Broadmark</w:t>
            </w:r>
          </w:p>
        </w:tc>
        <w:tc>
          <w:tcPr>
            <w:tcW w:w="320" w:type="dxa"/>
            <w:vAlign w:val="bottom"/>
          </w:tcPr>
          <w:p>
            <w:pPr>
              <w:spacing w:after="0"/>
              <w:rPr>
                <w:sz w:val="14"/>
                <w:szCs w:val="14"/>
                <w:color w:val="auto"/>
              </w:rPr>
            </w:pPr>
          </w:p>
        </w:tc>
        <w:tc>
          <w:tcPr>
            <w:tcW w:w="160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994</w:t>
            </w:r>
          </w:p>
        </w:tc>
      </w:tr>
      <w:tr>
        <w:trPr>
          <w:trHeight w:val="204"/>
        </w:trPr>
        <w:tc>
          <w:tcPr>
            <w:tcW w:w="9360" w:type="dxa"/>
            <w:vAlign w:val="bottom"/>
            <w:shd w:val="clear" w:color="auto" w:fill="CCEEFF"/>
          </w:tcPr>
          <w:p>
            <w:pPr>
              <w:spacing w:after="0"/>
              <w:rPr>
                <w:sz w:val="17"/>
                <w:szCs w:val="17"/>
                <w:color w:val="auto"/>
              </w:rPr>
            </w:pPr>
          </w:p>
        </w:tc>
        <w:tc>
          <w:tcPr>
            <w:tcW w:w="320" w:type="dxa"/>
            <w:vAlign w:val="bottom"/>
            <w:shd w:val="clear" w:color="auto" w:fill="CCEEFF"/>
          </w:tcPr>
          <w:p>
            <w:pPr>
              <w:spacing w:after="0"/>
              <w:rPr>
                <w:sz w:val="17"/>
                <w:szCs w:val="17"/>
                <w:color w:val="auto"/>
              </w:rPr>
            </w:pPr>
          </w:p>
        </w:tc>
        <w:tc>
          <w:tcPr>
            <w:tcW w:w="1600" w:type="dxa"/>
            <w:vAlign w:val="bottom"/>
            <w:shd w:val="clear" w:color="auto" w:fill="CCEEFF"/>
          </w:tcPr>
          <w:p>
            <w:pPr>
              <w:spacing w:after="0"/>
              <w:rPr>
                <w:sz w:val="17"/>
                <w:szCs w:val="17"/>
                <w:color w:val="auto"/>
              </w:rPr>
            </w:pPr>
          </w:p>
        </w:tc>
      </w:tr>
      <w:tr>
        <w:trPr>
          <w:trHeight w:val="169"/>
        </w:trPr>
        <w:tc>
          <w:tcPr>
            <w:tcW w:w="9360" w:type="dxa"/>
            <w:vAlign w:val="bottom"/>
          </w:tcPr>
          <w:p>
            <w:pPr>
              <w:ind w:left="20"/>
              <w:spacing w:after="0"/>
              <w:rPr>
                <w:sz w:val="20"/>
                <w:szCs w:val="20"/>
                <w:color w:val="auto"/>
              </w:rPr>
            </w:pPr>
            <w:r>
              <w:rPr>
                <w:rFonts w:ascii="Times New Roman" w:cs="Times New Roman" w:eastAsia="Times New Roman" w:hAnsi="Times New Roman"/>
                <w:sz w:val="13"/>
                <w:szCs w:val="13"/>
                <w:b w:val="1"/>
                <w:bCs w:val="1"/>
                <w:color w:val="auto"/>
              </w:rPr>
              <w:t>Assets</w:t>
            </w:r>
          </w:p>
        </w:tc>
        <w:tc>
          <w:tcPr>
            <w:tcW w:w="320" w:type="dxa"/>
            <w:vAlign w:val="bottom"/>
          </w:tcPr>
          <w:p>
            <w:pPr>
              <w:spacing w:after="0"/>
              <w:rPr>
                <w:sz w:val="14"/>
                <w:szCs w:val="14"/>
                <w:color w:val="auto"/>
              </w:rPr>
            </w:pPr>
          </w:p>
        </w:tc>
        <w:tc>
          <w:tcPr>
            <w:tcW w:w="1600" w:type="dxa"/>
            <w:vAlign w:val="bottom"/>
          </w:tcPr>
          <w:p>
            <w:pPr>
              <w:spacing w:after="0"/>
              <w:rPr>
                <w:sz w:val="14"/>
                <w:szCs w:val="14"/>
                <w:color w:val="auto"/>
              </w:rPr>
            </w:pPr>
          </w:p>
        </w:tc>
      </w:tr>
      <w:tr>
        <w:trPr>
          <w:trHeight w:val="171"/>
        </w:trPr>
        <w:tc>
          <w:tcPr>
            <w:tcW w:w="936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3"/>
                <w:szCs w:val="13"/>
                <w:color w:val="auto"/>
              </w:rPr>
              <w:t>Accounts receivable</w:t>
            </w:r>
          </w:p>
        </w:tc>
        <w:tc>
          <w:tcPr>
            <w:tcW w:w="320" w:type="dxa"/>
            <w:vAlign w:val="bottom"/>
            <w:shd w:val="clear" w:color="auto" w:fill="CCEEFF"/>
          </w:tcPr>
          <w:p>
            <w:pPr>
              <w:jc w:val="right"/>
              <w:ind w:right="207"/>
              <w:spacing w:after="0"/>
              <w:rPr>
                <w:sz w:val="20"/>
                <w:szCs w:val="20"/>
                <w:color w:val="auto"/>
              </w:rPr>
            </w:pPr>
            <w:r>
              <w:rPr>
                <w:rFonts w:ascii="Times New Roman" w:cs="Times New Roman" w:eastAsia="Times New Roman" w:hAnsi="Times New Roman"/>
                <w:sz w:val="11"/>
                <w:szCs w:val="11"/>
                <w:color w:val="auto"/>
                <w:w w:val="71"/>
              </w:rPr>
              <w:t>$</w:t>
            </w:r>
          </w:p>
        </w:tc>
        <w:tc>
          <w:tcPr>
            <w:tcW w:w="16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629</w:t>
            </w:r>
          </w:p>
        </w:tc>
      </w:tr>
      <w:tr>
        <w:trPr>
          <w:trHeight w:val="168"/>
        </w:trPr>
        <w:tc>
          <w:tcPr>
            <w:tcW w:w="9360" w:type="dxa"/>
            <w:vAlign w:val="bottom"/>
          </w:tcPr>
          <w:p>
            <w:pPr>
              <w:ind w:left="20"/>
              <w:spacing w:after="0"/>
              <w:rPr>
                <w:sz w:val="20"/>
                <w:szCs w:val="20"/>
                <w:color w:val="auto"/>
              </w:rPr>
            </w:pPr>
            <w:r>
              <w:rPr>
                <w:rFonts w:ascii="Times New Roman" w:cs="Times New Roman" w:eastAsia="Times New Roman" w:hAnsi="Times New Roman"/>
                <w:sz w:val="13"/>
                <w:szCs w:val="13"/>
                <w:color w:val="auto"/>
              </w:rPr>
              <w:t>Other current assets</w:t>
            </w:r>
          </w:p>
        </w:tc>
        <w:tc>
          <w:tcPr>
            <w:tcW w:w="320" w:type="dxa"/>
            <w:vAlign w:val="bottom"/>
          </w:tcPr>
          <w:p>
            <w:pPr>
              <w:spacing w:after="0"/>
              <w:rPr>
                <w:sz w:val="14"/>
                <w:szCs w:val="14"/>
                <w:color w:val="auto"/>
              </w:rPr>
            </w:pPr>
          </w:p>
        </w:tc>
        <w:tc>
          <w:tcPr>
            <w:tcW w:w="160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150</w:t>
            </w:r>
          </w:p>
        </w:tc>
      </w:tr>
      <w:tr>
        <w:trPr>
          <w:trHeight w:val="172"/>
        </w:trPr>
        <w:tc>
          <w:tcPr>
            <w:tcW w:w="936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3"/>
                <w:szCs w:val="13"/>
                <w:color w:val="auto"/>
              </w:rPr>
              <w:t>Property and equipment</w:t>
            </w:r>
          </w:p>
        </w:tc>
        <w:tc>
          <w:tcPr>
            <w:tcW w:w="320" w:type="dxa"/>
            <w:vAlign w:val="bottom"/>
            <w:shd w:val="clear" w:color="auto" w:fill="CCEEFF"/>
          </w:tcPr>
          <w:p>
            <w:pPr>
              <w:spacing w:after="0"/>
              <w:rPr>
                <w:sz w:val="14"/>
                <w:szCs w:val="14"/>
                <w:color w:val="auto"/>
              </w:rPr>
            </w:pPr>
          </w:p>
        </w:tc>
        <w:tc>
          <w:tcPr>
            <w:tcW w:w="16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11</w:t>
            </w:r>
          </w:p>
        </w:tc>
      </w:tr>
      <w:tr>
        <w:trPr>
          <w:trHeight w:val="168"/>
        </w:trPr>
        <w:tc>
          <w:tcPr>
            <w:tcW w:w="9360" w:type="dxa"/>
            <w:vAlign w:val="bottom"/>
          </w:tcPr>
          <w:p>
            <w:pPr>
              <w:ind w:left="20"/>
              <w:spacing w:after="0"/>
              <w:rPr>
                <w:sz w:val="20"/>
                <w:szCs w:val="20"/>
                <w:color w:val="auto"/>
              </w:rPr>
            </w:pPr>
            <w:r>
              <w:rPr>
                <w:rFonts w:ascii="Times New Roman" w:cs="Times New Roman" w:eastAsia="Times New Roman" w:hAnsi="Times New Roman"/>
                <w:sz w:val="13"/>
                <w:szCs w:val="13"/>
                <w:color w:val="auto"/>
              </w:rPr>
              <w:t>Other long-term assets</w:t>
            </w:r>
          </w:p>
        </w:tc>
        <w:tc>
          <w:tcPr>
            <w:tcW w:w="320" w:type="dxa"/>
            <w:vAlign w:val="bottom"/>
          </w:tcPr>
          <w:p>
            <w:pPr>
              <w:spacing w:after="0"/>
              <w:rPr>
                <w:sz w:val="14"/>
                <w:szCs w:val="14"/>
                <w:color w:val="auto"/>
              </w:rPr>
            </w:pPr>
          </w:p>
        </w:tc>
        <w:tc>
          <w:tcPr>
            <w:tcW w:w="160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511</w:t>
            </w:r>
          </w:p>
        </w:tc>
      </w:tr>
      <w:tr>
        <w:trPr>
          <w:trHeight w:val="172"/>
        </w:trPr>
        <w:tc>
          <w:tcPr>
            <w:tcW w:w="936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3"/>
                <w:szCs w:val="13"/>
                <w:b w:val="1"/>
                <w:bCs w:val="1"/>
                <w:color w:val="auto"/>
              </w:rPr>
              <w:t>Liabilities</w:t>
            </w:r>
          </w:p>
        </w:tc>
        <w:tc>
          <w:tcPr>
            <w:tcW w:w="320" w:type="dxa"/>
            <w:vAlign w:val="bottom"/>
            <w:shd w:val="clear" w:color="auto" w:fill="CCEEFF"/>
          </w:tcPr>
          <w:p>
            <w:pPr>
              <w:spacing w:after="0"/>
              <w:rPr>
                <w:sz w:val="14"/>
                <w:szCs w:val="14"/>
                <w:color w:val="auto"/>
              </w:rPr>
            </w:pPr>
          </w:p>
        </w:tc>
        <w:tc>
          <w:tcPr>
            <w:tcW w:w="1600" w:type="dxa"/>
            <w:vAlign w:val="bottom"/>
            <w:shd w:val="clear" w:color="auto" w:fill="CCEEFF"/>
          </w:tcPr>
          <w:p>
            <w:pPr>
              <w:spacing w:after="0"/>
              <w:rPr>
                <w:sz w:val="14"/>
                <w:szCs w:val="14"/>
                <w:color w:val="auto"/>
              </w:rPr>
            </w:pPr>
          </w:p>
        </w:tc>
      </w:tr>
      <w:tr>
        <w:trPr>
          <w:trHeight w:val="168"/>
        </w:trPr>
        <w:tc>
          <w:tcPr>
            <w:tcW w:w="9360" w:type="dxa"/>
            <w:vAlign w:val="bottom"/>
            <w:tcBorders>
              <w:bottom w:val="single" w:sz="8" w:color="CCEEFF"/>
            </w:tcBorders>
          </w:tcPr>
          <w:p>
            <w:pPr>
              <w:ind w:left="20"/>
              <w:spacing w:after="0"/>
              <w:rPr>
                <w:sz w:val="20"/>
                <w:szCs w:val="20"/>
                <w:color w:val="auto"/>
              </w:rPr>
            </w:pPr>
            <w:r>
              <w:rPr>
                <w:rFonts w:ascii="Times New Roman" w:cs="Times New Roman" w:eastAsia="Times New Roman" w:hAnsi="Times New Roman"/>
                <w:sz w:val="13"/>
                <w:szCs w:val="13"/>
                <w:color w:val="auto"/>
              </w:rPr>
              <w:t>Accounts payable and accrued liabilities</w:t>
            </w:r>
          </w:p>
        </w:tc>
        <w:tc>
          <w:tcPr>
            <w:tcW w:w="320" w:type="dxa"/>
            <w:vAlign w:val="bottom"/>
            <w:tcBorders>
              <w:bottom w:val="single" w:sz="8" w:color="auto"/>
            </w:tcBorders>
          </w:tcPr>
          <w:p>
            <w:pPr>
              <w:spacing w:after="0"/>
              <w:rPr>
                <w:sz w:val="14"/>
                <w:szCs w:val="14"/>
                <w:color w:val="auto"/>
              </w:rPr>
            </w:pPr>
          </w:p>
        </w:tc>
        <w:tc>
          <w:tcPr>
            <w:tcW w:w="16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3"/>
                <w:szCs w:val="13"/>
                <w:color w:val="auto"/>
              </w:rPr>
              <w:t>919</w:t>
            </w:r>
          </w:p>
        </w:tc>
      </w:tr>
      <w:tr>
        <w:trPr>
          <w:trHeight w:val="160"/>
        </w:trPr>
        <w:tc>
          <w:tcPr>
            <w:tcW w:w="9360" w:type="dxa"/>
            <w:vAlign w:val="bottom"/>
            <w:shd w:val="clear" w:color="auto" w:fill="CCEEFF"/>
          </w:tcPr>
          <w:p>
            <w:pPr>
              <w:ind w:left="100"/>
              <w:spacing w:after="0"/>
              <w:rPr>
                <w:sz w:val="20"/>
                <w:szCs w:val="20"/>
                <w:color w:val="auto"/>
              </w:rPr>
            </w:pPr>
            <w:r>
              <w:rPr>
                <w:rFonts w:ascii="Times New Roman" w:cs="Times New Roman" w:eastAsia="Times New Roman" w:hAnsi="Times New Roman"/>
                <w:sz w:val="13"/>
                <w:szCs w:val="13"/>
                <w:b w:val="1"/>
                <w:bCs w:val="1"/>
                <w:color w:val="auto"/>
              </w:rPr>
              <w:t>Total Identifiable Net Assets</w:t>
            </w:r>
          </w:p>
        </w:tc>
        <w:tc>
          <w:tcPr>
            <w:tcW w:w="320" w:type="dxa"/>
            <w:vAlign w:val="bottom"/>
            <w:tcBorders>
              <w:bottom w:val="single" w:sz="8" w:color="auto"/>
            </w:tcBorders>
            <w:shd w:val="clear" w:color="auto" w:fill="CCEEFF"/>
          </w:tcPr>
          <w:p>
            <w:pPr>
              <w:jc w:val="right"/>
              <w:ind w:right="207"/>
              <w:spacing w:after="0"/>
              <w:rPr>
                <w:sz w:val="20"/>
                <w:szCs w:val="20"/>
                <w:color w:val="auto"/>
              </w:rPr>
            </w:pPr>
            <w:r>
              <w:rPr>
                <w:rFonts w:ascii="Times New Roman" w:cs="Times New Roman" w:eastAsia="Times New Roman" w:hAnsi="Times New Roman"/>
                <w:sz w:val="11"/>
                <w:szCs w:val="11"/>
                <w:color w:val="auto"/>
                <w:w w:val="71"/>
              </w:rPr>
              <w:t>$</w:t>
            </w:r>
          </w:p>
        </w:tc>
        <w:tc>
          <w:tcPr>
            <w:tcW w:w="16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382</w:t>
            </w:r>
          </w:p>
        </w:tc>
      </w:tr>
      <w:tr>
        <w:trPr>
          <w:trHeight w:val="184"/>
        </w:trPr>
        <w:tc>
          <w:tcPr>
            <w:tcW w:w="9360" w:type="dxa"/>
            <w:vAlign w:val="bottom"/>
          </w:tcPr>
          <w:p>
            <w:pPr>
              <w:spacing w:after="0"/>
              <w:rPr>
                <w:sz w:val="15"/>
                <w:szCs w:val="15"/>
                <w:color w:val="auto"/>
              </w:rPr>
            </w:pPr>
          </w:p>
        </w:tc>
        <w:tc>
          <w:tcPr>
            <w:tcW w:w="320" w:type="dxa"/>
            <w:vAlign w:val="bottom"/>
          </w:tcPr>
          <w:p>
            <w:pPr>
              <w:spacing w:after="0"/>
              <w:rPr>
                <w:sz w:val="15"/>
                <w:szCs w:val="15"/>
                <w:color w:val="auto"/>
              </w:rPr>
            </w:pPr>
          </w:p>
        </w:tc>
        <w:tc>
          <w:tcPr>
            <w:tcW w:w="1600" w:type="dxa"/>
            <w:vAlign w:val="bottom"/>
          </w:tcPr>
          <w:p>
            <w:pPr>
              <w:spacing w:after="0"/>
              <w:rPr>
                <w:sz w:val="15"/>
                <w:szCs w:val="15"/>
                <w:color w:val="auto"/>
              </w:rPr>
            </w:pPr>
          </w:p>
        </w:tc>
      </w:tr>
      <w:tr>
        <w:trPr>
          <w:trHeight w:val="170"/>
        </w:trPr>
        <w:tc>
          <w:tcPr>
            <w:tcW w:w="936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3"/>
                <w:szCs w:val="13"/>
                <w:b w:val="1"/>
                <w:bCs w:val="1"/>
                <w:color w:val="auto"/>
              </w:rPr>
              <w:t>Goodwill</w:t>
            </w:r>
          </w:p>
        </w:tc>
        <w:tc>
          <w:tcPr>
            <w:tcW w:w="320" w:type="dxa"/>
            <w:vAlign w:val="bottom"/>
            <w:shd w:val="clear" w:color="auto" w:fill="CCEEFF"/>
          </w:tcPr>
          <w:p>
            <w:pPr>
              <w:jc w:val="right"/>
              <w:ind w:right="207"/>
              <w:spacing w:after="0"/>
              <w:rPr>
                <w:sz w:val="20"/>
                <w:szCs w:val="20"/>
                <w:color w:val="auto"/>
              </w:rPr>
            </w:pPr>
            <w:r>
              <w:rPr>
                <w:rFonts w:ascii="Times New Roman" w:cs="Times New Roman" w:eastAsia="Times New Roman" w:hAnsi="Times New Roman"/>
                <w:sz w:val="11"/>
                <w:szCs w:val="11"/>
                <w:color w:val="auto"/>
                <w:w w:val="71"/>
              </w:rPr>
              <w:t>$</w:t>
            </w:r>
          </w:p>
        </w:tc>
        <w:tc>
          <w:tcPr>
            <w:tcW w:w="16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4,197</w:t>
            </w:r>
          </w:p>
        </w:tc>
      </w:tr>
    </w:tbl>
    <w:p>
      <w:pPr>
        <w:spacing w:after="0" w:line="144" w:lineRule="exact"/>
        <w:rPr>
          <w:sz w:val="20"/>
          <w:szCs w:val="20"/>
          <w:color w:val="auto"/>
        </w:rPr>
      </w:pPr>
    </w:p>
    <w:p>
      <w:pPr>
        <w:ind w:right="140" w:firstLine="382"/>
        <w:spacing w:after="0" w:line="287" w:lineRule="auto"/>
        <w:rPr>
          <w:sz w:val="20"/>
          <w:szCs w:val="20"/>
          <w:color w:val="auto"/>
        </w:rPr>
      </w:pPr>
      <w:r>
        <w:rPr>
          <w:rFonts w:ascii="Times New Roman" w:cs="Times New Roman" w:eastAsia="Times New Roman" w:hAnsi="Times New Roman"/>
          <w:sz w:val="14"/>
          <w:szCs w:val="14"/>
          <w:color w:val="auto"/>
        </w:rPr>
        <w:t>Westwood recognized approximately $1.0 million of a noncontrolling interest in a consolidated subsidiary at the acquisition date. Fair value of this interest was estimated using recent market transactions.</w:t>
      </w:r>
    </w:p>
    <w:p>
      <w:pPr>
        <w:spacing w:after="0" w:line="39" w:lineRule="exact"/>
        <w:rPr>
          <w:sz w:val="20"/>
          <w:szCs w:val="20"/>
          <w:color w:val="auto"/>
        </w:rPr>
      </w:pPr>
    </w:p>
    <w:p>
      <w:pPr>
        <w:jc w:val="both"/>
        <w:ind w:firstLine="382"/>
        <w:spacing w:after="0" w:line="280" w:lineRule="auto"/>
        <w:rPr>
          <w:sz w:val="20"/>
          <w:szCs w:val="20"/>
          <w:color w:val="auto"/>
        </w:rPr>
      </w:pPr>
      <w:r>
        <w:rPr>
          <w:rFonts w:ascii="Times New Roman" w:cs="Times New Roman" w:eastAsia="Times New Roman" w:hAnsi="Times New Roman"/>
          <w:sz w:val="14"/>
          <w:szCs w:val="14"/>
          <w:color w:val="auto"/>
        </w:rPr>
        <w:t>At the time of the Broadmark Acquisition, the Company believed that its expanded operational opportunities, enhanced range of investment strategies and expected realization of synergies were the primary factors that contributed to a total purchase price that resulted in the recognition of goodwill. Goodwill arising from the Broadmark Acquisition will not be deductible for tax purposes.</w:t>
      </w:r>
    </w:p>
    <w:p>
      <w:pPr>
        <w:spacing w:after="0" w:line="219" w:lineRule="exact"/>
        <w:rPr>
          <w:sz w:val="20"/>
          <w:szCs w:val="20"/>
          <w:color w:val="auto"/>
        </w:rPr>
      </w:pPr>
    </w:p>
    <w:p>
      <w:pPr>
        <w:ind w:right="360" w:firstLine="382"/>
        <w:spacing w:after="0" w:line="379" w:lineRule="auto"/>
        <w:rPr>
          <w:sz w:val="20"/>
          <w:szCs w:val="20"/>
          <w:color w:val="auto"/>
        </w:rPr>
      </w:pPr>
      <w:r>
        <w:rPr>
          <w:rFonts w:ascii="Times New Roman" w:cs="Times New Roman" w:eastAsia="Times New Roman" w:hAnsi="Times New Roman"/>
          <w:sz w:val="14"/>
          <w:szCs w:val="14"/>
          <w:color w:val="auto"/>
        </w:rPr>
        <w:t xml:space="preserve">For the year ended December 31, 2023, the Company included $4.4 million of revenue and $4.1 million of net income related to Broadmark in its Consolidated Statements of Operations. </w:t>
      </w:r>
      <w:r>
        <w:rPr>
          <w:rFonts w:ascii="Times New Roman" w:cs="Times New Roman" w:eastAsia="Times New Roman" w:hAnsi="Times New Roman"/>
          <w:sz w:val="14"/>
          <w:szCs w:val="14"/>
          <w:b w:val="1"/>
          <w:bCs w:val="1"/>
          <w:color w:val="auto"/>
        </w:rPr>
        <w:t>Pro Forma Financial Information</w:t>
      </w:r>
    </w:p>
    <w:p>
      <w:pPr>
        <w:spacing w:after="0" w:line="1" w:lineRule="exact"/>
        <w:rPr>
          <w:sz w:val="20"/>
          <w:szCs w:val="20"/>
          <w:color w:val="auto"/>
        </w:rPr>
      </w:pPr>
    </w:p>
    <w:p>
      <w:pPr>
        <w:ind w:right="180" w:firstLine="382"/>
        <w:spacing w:after="0" w:line="270" w:lineRule="auto"/>
        <w:rPr>
          <w:sz w:val="20"/>
          <w:szCs w:val="20"/>
          <w:color w:val="auto"/>
        </w:rPr>
      </w:pPr>
      <w:r>
        <w:rPr>
          <w:rFonts w:ascii="Times New Roman" w:cs="Times New Roman" w:eastAsia="Times New Roman" w:hAnsi="Times New Roman"/>
          <w:sz w:val="14"/>
          <w:szCs w:val="14"/>
          <w:color w:val="auto"/>
        </w:rPr>
        <w:t>The following unaudited pro forma results of operations for the year ended December 31, 2023 assume the Broadmark Acquisition had occurred as of January 1, 2022. This unaudited pro forma information should not be relied upon as being necessarily indicative of historical results that would have been obtained had the Broadmark Acquisition actually occurred on that date, nor of results that may be obtained in the future.</w:t>
      </w:r>
    </w:p>
    <w:p>
      <w:pPr>
        <w:spacing w:after="0" w:line="85" w:lineRule="exact"/>
        <w:rPr>
          <w:sz w:val="20"/>
          <w:szCs w:val="20"/>
          <w:color w:val="auto"/>
        </w:rPr>
      </w:pPr>
    </w:p>
    <w:tbl>
      <w:tblPr>
        <w:tblLayout w:type="fixed"/>
        <w:tblInd w:w="0" w:type="dxa"/>
        <w:tblCellMar>
          <w:top w:w="0" w:type="dxa"/>
          <w:left w:w="0" w:type="dxa"/>
          <w:bottom w:w="0" w:type="dxa"/>
          <w:right w:w="0" w:type="dxa"/>
        </w:tblCellMar>
      </w:tblPr>
      <w:tr>
        <w:trPr>
          <w:trHeight w:val="167"/>
        </w:trPr>
        <w:tc>
          <w:tcPr>
            <w:tcW w:w="8640" w:type="dxa"/>
            <w:vAlign w:val="bottom"/>
          </w:tcPr>
          <w:p>
            <w:pPr>
              <w:spacing w:after="0"/>
              <w:rPr>
                <w:sz w:val="14"/>
                <w:szCs w:val="14"/>
                <w:color w:val="auto"/>
              </w:rPr>
            </w:pPr>
          </w:p>
        </w:tc>
        <w:tc>
          <w:tcPr>
            <w:tcW w:w="340" w:type="dxa"/>
            <w:vAlign w:val="bottom"/>
            <w:tcBorders>
              <w:bottom w:val="single" w:sz="8" w:color="auto"/>
            </w:tcBorders>
          </w:tcPr>
          <w:p>
            <w:pPr>
              <w:spacing w:after="0"/>
              <w:rPr>
                <w:sz w:val="14"/>
                <w:szCs w:val="14"/>
                <w:color w:val="auto"/>
              </w:rPr>
            </w:pPr>
          </w:p>
        </w:tc>
        <w:tc>
          <w:tcPr>
            <w:tcW w:w="2300" w:type="dxa"/>
            <w:vAlign w:val="bottom"/>
            <w:tcBorders>
              <w:bottom w:val="single" w:sz="8" w:color="auto"/>
            </w:tcBorders>
          </w:tcPr>
          <w:p>
            <w:pPr>
              <w:jc w:val="right"/>
              <w:ind w:right="556"/>
              <w:spacing w:after="0"/>
              <w:rPr>
                <w:sz w:val="20"/>
                <w:szCs w:val="20"/>
                <w:color w:val="auto"/>
              </w:rPr>
            </w:pPr>
            <w:r>
              <w:rPr>
                <w:rFonts w:ascii="Times New Roman" w:cs="Times New Roman" w:eastAsia="Times New Roman" w:hAnsi="Times New Roman"/>
                <w:sz w:val="13"/>
                <w:szCs w:val="13"/>
                <w:b w:val="1"/>
                <w:bCs w:val="1"/>
                <w:color w:val="auto"/>
              </w:rPr>
              <w:t>Year Ended December 31,</w:t>
            </w:r>
          </w:p>
        </w:tc>
      </w:tr>
      <w:tr>
        <w:trPr>
          <w:trHeight w:val="164"/>
        </w:trPr>
        <w:tc>
          <w:tcPr>
            <w:tcW w:w="8640" w:type="dxa"/>
            <w:vAlign w:val="bottom"/>
            <w:tcBorders>
              <w:bottom w:val="single" w:sz="8" w:color="CCEEFF"/>
            </w:tcBorders>
          </w:tcPr>
          <w:p>
            <w:pPr>
              <w:ind w:left="20"/>
              <w:spacing w:after="0"/>
              <w:rPr>
                <w:sz w:val="20"/>
                <w:szCs w:val="20"/>
                <w:color w:val="auto"/>
              </w:rPr>
            </w:pPr>
            <w:r>
              <w:rPr>
                <w:rFonts w:ascii="Times New Roman" w:cs="Times New Roman" w:eastAsia="Times New Roman" w:hAnsi="Times New Roman"/>
                <w:sz w:val="13"/>
                <w:szCs w:val="13"/>
                <w:color w:val="auto"/>
              </w:rPr>
              <w:t>(in thousands)</w:t>
            </w:r>
          </w:p>
        </w:tc>
        <w:tc>
          <w:tcPr>
            <w:tcW w:w="340" w:type="dxa"/>
            <w:vAlign w:val="bottom"/>
            <w:tcBorders>
              <w:bottom w:val="single" w:sz="8" w:color="auto"/>
            </w:tcBorders>
          </w:tcPr>
          <w:p>
            <w:pPr>
              <w:spacing w:after="0"/>
              <w:rPr>
                <w:sz w:val="14"/>
                <w:szCs w:val="14"/>
                <w:color w:val="auto"/>
              </w:rPr>
            </w:pPr>
          </w:p>
        </w:tc>
        <w:tc>
          <w:tcPr>
            <w:tcW w:w="2300" w:type="dxa"/>
            <w:vAlign w:val="bottom"/>
            <w:tcBorders>
              <w:bottom w:val="single" w:sz="8" w:color="auto"/>
            </w:tcBorders>
          </w:tcPr>
          <w:p>
            <w:pPr>
              <w:jc w:val="right"/>
              <w:ind w:right="1136"/>
              <w:spacing w:after="0"/>
              <w:rPr>
                <w:sz w:val="20"/>
                <w:szCs w:val="20"/>
                <w:color w:val="auto"/>
              </w:rPr>
            </w:pPr>
            <w:r>
              <w:rPr>
                <w:rFonts w:ascii="Times New Roman" w:cs="Times New Roman" w:eastAsia="Times New Roman" w:hAnsi="Times New Roman"/>
                <w:sz w:val="13"/>
                <w:szCs w:val="13"/>
                <w:b w:val="1"/>
                <w:bCs w:val="1"/>
                <w:color w:val="auto"/>
              </w:rPr>
              <w:t>2023</w:t>
            </w:r>
          </w:p>
        </w:tc>
      </w:tr>
      <w:tr>
        <w:trPr>
          <w:trHeight w:val="162"/>
        </w:trPr>
        <w:tc>
          <w:tcPr>
            <w:tcW w:w="864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3"/>
                <w:szCs w:val="13"/>
                <w:color w:val="auto"/>
              </w:rPr>
              <w:t>Total revenues</w:t>
            </w:r>
          </w:p>
        </w:tc>
        <w:tc>
          <w:tcPr>
            <w:tcW w:w="340" w:type="dxa"/>
            <w:vAlign w:val="bottom"/>
            <w:shd w:val="clear" w:color="auto" w:fill="CCEEFF"/>
          </w:tcPr>
          <w:p>
            <w:pPr>
              <w:jc w:val="right"/>
              <w:ind w:right="227"/>
              <w:spacing w:after="0"/>
              <w:rPr>
                <w:sz w:val="20"/>
                <w:szCs w:val="20"/>
                <w:color w:val="auto"/>
              </w:rPr>
            </w:pPr>
            <w:r>
              <w:rPr>
                <w:rFonts w:ascii="Times New Roman" w:cs="Times New Roman" w:eastAsia="Times New Roman" w:hAnsi="Times New Roman"/>
                <w:sz w:val="11"/>
                <w:szCs w:val="11"/>
                <w:color w:val="auto"/>
                <w:w w:val="71"/>
              </w:rPr>
              <w:t>$</w:t>
            </w:r>
          </w:p>
        </w:tc>
        <w:tc>
          <w:tcPr>
            <w:tcW w:w="23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89,781</w:t>
            </w:r>
          </w:p>
        </w:tc>
      </w:tr>
      <w:tr>
        <w:trPr>
          <w:trHeight w:val="165"/>
        </w:trPr>
        <w:tc>
          <w:tcPr>
            <w:tcW w:w="8640" w:type="dxa"/>
            <w:vAlign w:val="bottom"/>
          </w:tcPr>
          <w:p>
            <w:pPr>
              <w:ind w:left="20"/>
              <w:spacing w:after="0"/>
              <w:rPr>
                <w:sz w:val="20"/>
                <w:szCs w:val="20"/>
                <w:color w:val="auto"/>
              </w:rPr>
            </w:pPr>
            <w:r>
              <w:rPr>
                <w:rFonts w:ascii="Times New Roman" w:cs="Times New Roman" w:eastAsia="Times New Roman" w:hAnsi="Times New Roman"/>
                <w:sz w:val="13"/>
                <w:szCs w:val="13"/>
                <w:color w:val="auto"/>
              </w:rPr>
              <w:t>Net income</w:t>
            </w:r>
          </w:p>
        </w:tc>
        <w:tc>
          <w:tcPr>
            <w:tcW w:w="340" w:type="dxa"/>
            <w:vAlign w:val="bottom"/>
          </w:tcPr>
          <w:p>
            <w:pPr>
              <w:jc w:val="right"/>
              <w:ind w:right="227"/>
              <w:spacing w:after="0"/>
              <w:rPr>
                <w:sz w:val="20"/>
                <w:szCs w:val="20"/>
                <w:color w:val="auto"/>
              </w:rPr>
            </w:pPr>
            <w:r>
              <w:rPr>
                <w:rFonts w:ascii="Times New Roman" w:cs="Times New Roman" w:eastAsia="Times New Roman" w:hAnsi="Times New Roman"/>
                <w:sz w:val="11"/>
                <w:szCs w:val="11"/>
                <w:color w:val="auto"/>
                <w:w w:val="71"/>
              </w:rPr>
              <w:t>$</w:t>
            </w:r>
          </w:p>
        </w:tc>
        <w:tc>
          <w:tcPr>
            <w:tcW w:w="230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10,571</w:t>
            </w:r>
          </w:p>
        </w:tc>
      </w:tr>
    </w:tbl>
    <w:p>
      <w:pPr>
        <w:spacing w:after="0" w:line="327" w:lineRule="exact"/>
        <w:rPr>
          <w:sz w:val="20"/>
          <w:szCs w:val="20"/>
          <w:color w:val="auto"/>
        </w:rPr>
      </w:pPr>
    </w:p>
    <w:p>
      <w:pPr>
        <w:ind w:right="9860" w:firstLine="5"/>
        <w:spacing w:after="0" w:line="381" w:lineRule="auto"/>
        <w:tabs>
          <w:tab w:leader="none" w:pos="141" w:val="left"/>
        </w:tabs>
        <w:numPr>
          <w:ilvl w:val="0"/>
          <w:numId w:val="20"/>
        </w:numPr>
        <w:rPr>
          <w:rFonts w:ascii="Times New Roman" w:cs="Times New Roman" w:eastAsia="Times New Roman" w:hAnsi="Times New Roman"/>
          <w:sz w:val="14"/>
          <w:szCs w:val="14"/>
          <w:b w:val="1"/>
          <w:bCs w:val="1"/>
          <w:color w:val="auto"/>
        </w:rPr>
      </w:pPr>
      <w:r>
        <w:rPr>
          <w:rFonts w:ascii="Times New Roman" w:cs="Times New Roman" w:eastAsia="Times New Roman" w:hAnsi="Times New Roman"/>
          <w:sz w:val="14"/>
          <w:szCs w:val="14"/>
          <w:b w:val="1"/>
          <w:bCs w:val="1"/>
          <w:color w:val="auto"/>
        </w:rPr>
        <w:t>REVENUE Advisory Fee Revenues</w:t>
      </w:r>
    </w:p>
    <w:p>
      <w:pPr>
        <w:ind w:right="60" w:firstLine="382"/>
        <w:spacing w:after="0" w:line="259" w:lineRule="auto"/>
        <w:rPr>
          <w:sz w:val="20"/>
          <w:szCs w:val="20"/>
          <w:color w:val="auto"/>
        </w:rPr>
      </w:pPr>
      <w:r>
        <w:rPr>
          <w:rFonts w:ascii="Times New Roman" w:cs="Times New Roman" w:eastAsia="Times New Roman" w:hAnsi="Times New Roman"/>
          <w:sz w:val="14"/>
          <w:szCs w:val="14"/>
          <w:color w:val="auto"/>
        </w:rPr>
        <w:t>Our advisory fees are generated by Westwood Management for managing client accounts under investment advisory and sub-advisory agreements. Advisory fees are typically calculated based on a percentage of AUM and AUA and are paid in accordance with the terms of the agreements. Advisory fees are paid quarterly in advance based on AUM on the last day of the preceding quarter, quarterly in arrears based on AUM on the last day of the quarter just ended, based on a daily or monthly analysis of AUM for the stated period, or based on committed or invested capital with respect to private capital funds. We recognize advisory fee revenues as services are rendered. Since our advance paying clients' billing periods coincide with the calendar quarter to which such payments relate, revenue is recognized within the quarter and our Consolidated Financial Statements contain no deferred advisory fee revenues. Advisory clients typically consist of institutional investors, mutual funds, ETFs, intermediary separately managed accounts ("SMA"), model-delivery SMA and private capital funds.</w:t>
      </w:r>
    </w:p>
    <w:p>
      <w:pPr>
        <w:spacing w:after="0" w:line="61" w:lineRule="exact"/>
        <w:rPr>
          <w:sz w:val="20"/>
          <w:szCs w:val="20"/>
          <w:color w:val="auto"/>
        </w:rPr>
      </w:pPr>
    </w:p>
    <w:p>
      <w:pPr>
        <w:ind w:right="600" w:firstLine="382"/>
        <w:spacing w:after="0" w:line="287" w:lineRule="auto"/>
        <w:rPr>
          <w:sz w:val="20"/>
          <w:szCs w:val="20"/>
          <w:color w:val="auto"/>
        </w:rPr>
      </w:pPr>
      <w:r>
        <w:rPr>
          <w:rFonts w:ascii="Times New Roman" w:cs="Times New Roman" w:eastAsia="Times New Roman" w:hAnsi="Times New Roman"/>
          <w:sz w:val="14"/>
          <w:szCs w:val="14"/>
          <w:color w:val="auto"/>
        </w:rPr>
        <w:t>Institutional investors include separate accounts of (i) corporate pension and profit sharing plans, public employee retirement funds, Taft-Hartley plans, endowments, foundations and individuals; (ii) sub-advisory relationships where Westwood provides investment management services for funds offered by other financial institutions; (iii) pooled investment</w:t>
      </w:r>
    </w:p>
    <w:p>
      <w:pPr>
        <w:spacing w:after="0" w:line="38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4"/>
          <w:szCs w:val="14"/>
          <w:color w:val="auto"/>
        </w:rPr>
        <w:t>14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-8890</wp:posOffset>
            </wp:positionH>
            <wp:positionV relativeFrom="paragraph">
              <wp:posOffset>55880</wp:posOffset>
            </wp:positionV>
            <wp:extent cx="7186930" cy="38735"/>
            <wp:wrapNone/>
            <wp:docPr id="88" name="Picture 8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8"/>
                    <pic:cNvPicPr>
                      <a:picLocks noChangeAspect="1" noChangeArrowheads="1"/>
                    </pic:cNvPicPr>
                  </pic:nvPicPr>
                  <pic:blipFill>
                    <a:blip r:embed="rId95">
                      <a:extLst>
                        <a:ext uri="{28A0092B-C50C-407E-A947-70E740481C1C}"/>
                      </a:extLst>
                    </a:blip>
                    <a:srcRect/>
                    <a:stretch>
                      <a:fillRect/>
                    </a:stretch>
                  </pic:blipFill>
                  <pic:spPr bwMode="auto">
                    <a:xfrm>
                      <a:off x="0" y="0"/>
                      <a:ext cx="7186930" cy="38735"/>
                    </a:xfrm>
                    <a:prstGeom prst="rect">
                      <a:avLst/>
                    </a:prstGeom>
                    <a:noFill/>
                  </pic:spPr>
                </pic:pic>
              </a:graphicData>
            </a:graphic>
          </wp:anchor>
        </w:drawing>
      </w:r>
    </w:p>
    <w:p>
      <w:pPr>
        <w:sectPr>
          <w:pgSz w:w="11900" w:h="16838" w:orient="portrait"/>
          <w:cols w:equalWidth="0" w:num="1">
            <w:col w:w="11280"/>
          </w:cols>
          <w:pgMar w:left="300" w:top="123" w:right="319" w:bottom="1440" w:gutter="0" w:footer="0" w:header="0"/>
        </w:sectPr>
      </w:pPr>
    </w:p>
    <w:bookmarkStart w:id="56" w:name="page57"/>
    <w:bookmarkEnd w:id="56"/>
    <w:p>
      <w:pPr>
        <w:jc w:val="center"/>
        <w:spacing w:after="0"/>
        <w:rPr>
          <w:sz w:val="20"/>
          <w:szCs w:val="20"/>
          <w:color w:val="auto"/>
        </w:rPr>
      </w:pPr>
      <w:r>
        <w:rPr>
          <w:rFonts w:ascii="Times New Roman" w:cs="Times New Roman" w:eastAsia="Times New Roman" w:hAnsi="Times New Roman"/>
          <w:sz w:val="14"/>
          <w:szCs w:val="14"/>
          <w:b w:val="1"/>
          <w:bCs w:val="1"/>
          <w:color w:val="auto"/>
        </w:rPr>
        <w:t>WESTWOOD HOLDINGS GROUP, INC.</w:t>
      </w:r>
    </w:p>
    <w:p>
      <w:pPr>
        <w:spacing w:after="0" w:line="5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4"/>
          <w:szCs w:val="14"/>
          <w:b w:val="1"/>
          <w:bCs w:val="1"/>
          <w:color w:val="auto"/>
        </w:rPr>
        <w:t>NOTES TO CONSOLIDATED FINANCIAL STATEMENTS — (Continued)</w:t>
      </w:r>
    </w:p>
    <w:p>
      <w:pPr>
        <w:spacing w:after="0" w:line="318" w:lineRule="exact"/>
        <w:rPr>
          <w:sz w:val="20"/>
          <w:szCs w:val="20"/>
          <w:color w:val="auto"/>
        </w:rPr>
      </w:pPr>
    </w:p>
    <w:p>
      <w:pPr>
        <w:ind w:right="640"/>
        <w:spacing w:after="0" w:line="287" w:lineRule="auto"/>
        <w:rPr>
          <w:sz w:val="20"/>
          <w:szCs w:val="20"/>
          <w:color w:val="auto"/>
        </w:rPr>
      </w:pPr>
      <w:r>
        <w:rPr>
          <w:rFonts w:ascii="Times New Roman" w:cs="Times New Roman" w:eastAsia="Times New Roman" w:hAnsi="Times New Roman"/>
          <w:sz w:val="14"/>
          <w:szCs w:val="14"/>
          <w:color w:val="auto"/>
        </w:rPr>
        <w:t>vehicles, including collective investment trusts; and (iv) managed account relationships with brokerage firms and other registered investment advisors that offer Westwood products to their customers.</w:t>
      </w:r>
    </w:p>
    <w:p>
      <w:pPr>
        <w:spacing w:after="0" w:line="39" w:lineRule="exact"/>
        <w:rPr>
          <w:sz w:val="20"/>
          <w:szCs w:val="20"/>
          <w:color w:val="auto"/>
        </w:rPr>
      </w:pPr>
    </w:p>
    <w:p>
      <w:pPr>
        <w:ind w:right="40" w:firstLine="382"/>
        <w:spacing w:after="0" w:line="287" w:lineRule="auto"/>
        <w:rPr>
          <w:sz w:val="20"/>
          <w:szCs w:val="20"/>
          <w:color w:val="auto"/>
        </w:rPr>
      </w:pPr>
      <w:r>
        <w:rPr>
          <w:rFonts w:ascii="Times New Roman" w:cs="Times New Roman" w:eastAsia="Times New Roman" w:hAnsi="Times New Roman"/>
          <w:sz w:val="14"/>
          <w:szCs w:val="14"/>
          <w:color w:val="auto"/>
        </w:rPr>
        <w:t>Mutual funds include the Westwood Funds®, a family of mutual funds for which Westwood Management serves as advisor. These funds are available to individual investors, as well as offered as part of our suite of investment strategies for institutional investors and wealth management accounts.</w:t>
      </w:r>
    </w:p>
    <w:p>
      <w:pPr>
        <w:spacing w:after="0" w:line="37"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b w:val="1"/>
          <w:bCs w:val="1"/>
          <w:color w:val="auto"/>
        </w:rPr>
        <w:t>Arrangements with Performance-Based Obligations</w:t>
      </w:r>
    </w:p>
    <w:p>
      <w:pPr>
        <w:spacing w:after="0" w:line="96" w:lineRule="exact"/>
        <w:rPr>
          <w:sz w:val="20"/>
          <w:szCs w:val="20"/>
          <w:color w:val="auto"/>
        </w:rPr>
      </w:pPr>
    </w:p>
    <w:p>
      <w:pPr>
        <w:ind w:right="40" w:firstLine="382"/>
        <w:spacing w:after="0" w:line="270" w:lineRule="auto"/>
        <w:rPr>
          <w:sz w:val="20"/>
          <w:szCs w:val="20"/>
          <w:color w:val="auto"/>
        </w:rPr>
      </w:pPr>
      <w:r>
        <w:rPr>
          <w:rFonts w:ascii="Times New Roman" w:cs="Times New Roman" w:eastAsia="Times New Roman" w:hAnsi="Times New Roman"/>
          <w:sz w:val="14"/>
          <w:szCs w:val="14"/>
          <w:color w:val="auto"/>
        </w:rPr>
        <w:t>A limited number of our advisory clients have a contractual performance-based fee component in their contracts, which generates additional revenues if we outperform a specified index over a specific period of time, and a limited number of our mutual fund offerings have fees that generate additional revenues if we outperform specified indices over specific periods of time. Performance-based fees are paid after the performance obligation has been satisfied.</w:t>
      </w:r>
    </w:p>
    <w:p>
      <w:pPr>
        <w:spacing w:after="0" w:line="51" w:lineRule="exact"/>
        <w:rPr>
          <w:sz w:val="20"/>
          <w:szCs w:val="20"/>
          <w:color w:val="auto"/>
        </w:rPr>
      </w:pPr>
    </w:p>
    <w:p>
      <w:pPr>
        <w:ind w:right="360" w:firstLine="382"/>
        <w:spacing w:after="0" w:line="287" w:lineRule="auto"/>
        <w:rPr>
          <w:sz w:val="20"/>
          <w:szCs w:val="20"/>
          <w:color w:val="auto"/>
        </w:rPr>
      </w:pPr>
      <w:r>
        <w:rPr>
          <w:rFonts w:ascii="Times New Roman" w:cs="Times New Roman" w:eastAsia="Times New Roman" w:hAnsi="Times New Roman"/>
          <w:sz w:val="14"/>
          <w:szCs w:val="14"/>
          <w:color w:val="auto"/>
        </w:rPr>
        <w:t>The revenue is based on future market performance and is subject to many factors outside our control. We cannot conclude that a significant reversal in the cumulative amount of revenue recognized will not occur during the measurement period, and therefore the revenue is recorded at the end of the measurement period when the performance obligation has been satisfied.</w:t>
      </w:r>
    </w:p>
    <w:p>
      <w:pPr>
        <w:spacing w:after="0" w:line="37"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b w:val="1"/>
          <w:bCs w:val="1"/>
          <w:color w:val="auto"/>
        </w:rPr>
        <w:t>Trust Fee Revenues</w:t>
      </w:r>
    </w:p>
    <w:p>
      <w:pPr>
        <w:spacing w:after="0" w:line="96" w:lineRule="exact"/>
        <w:rPr>
          <w:sz w:val="20"/>
          <w:szCs w:val="20"/>
          <w:color w:val="auto"/>
        </w:rPr>
      </w:pPr>
    </w:p>
    <w:p>
      <w:pPr>
        <w:ind w:right="20" w:firstLine="382"/>
        <w:spacing w:after="0" w:line="264" w:lineRule="auto"/>
        <w:rPr>
          <w:sz w:val="20"/>
          <w:szCs w:val="20"/>
          <w:color w:val="auto"/>
        </w:rPr>
      </w:pPr>
      <w:r>
        <w:rPr>
          <w:rFonts w:ascii="Times New Roman" w:cs="Times New Roman" w:eastAsia="Times New Roman" w:hAnsi="Times New Roman"/>
          <w:sz w:val="14"/>
          <w:szCs w:val="14"/>
          <w:color w:val="auto"/>
        </w:rPr>
        <w:t>Our trust fees are generated by Westwood Trust pursuant to trust or custodial agreements. Trust fees are separately negotiated with each client and are generally based on a percentage of AUM. Westwood Trust also provides trust services to a small number of clients on a fixed fee basis. The fees for most of our trust clients are calculated quarterly in arrears, based on a daily average of AUM for the quarter, or monthly, based on the month-end value of AUM, and are paid monthly and quarterly in arrears. We recognize trust fee revenues as services are rendered. Since billing periods for most of Westwood Trust’s clients coincide with the calendar quarter, revenue is fully recognized within the quarter and our Consolidated Financial Statements contain no deferred fee revenues.</w:t>
      </w:r>
    </w:p>
    <w:p>
      <w:pPr>
        <w:spacing w:after="0" w:line="54"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b w:val="1"/>
          <w:bCs w:val="1"/>
          <w:color w:val="auto"/>
        </w:rPr>
        <w:t>Revenue Disaggregated</w:t>
      </w:r>
    </w:p>
    <w:p>
      <w:pPr>
        <w:spacing w:after="0" w:line="96" w:lineRule="exact"/>
        <w:rPr>
          <w:sz w:val="20"/>
          <w:szCs w:val="20"/>
          <w:color w:val="auto"/>
        </w:rPr>
      </w:pPr>
    </w:p>
    <w:p>
      <w:pPr>
        <w:ind w:left="380"/>
        <w:spacing w:after="0"/>
        <w:rPr>
          <w:sz w:val="20"/>
          <w:szCs w:val="20"/>
          <w:color w:val="auto"/>
        </w:rPr>
      </w:pPr>
      <w:r>
        <w:rPr>
          <w:rFonts w:ascii="Times New Roman" w:cs="Times New Roman" w:eastAsia="Times New Roman" w:hAnsi="Times New Roman"/>
          <w:sz w:val="14"/>
          <w:szCs w:val="14"/>
          <w:color w:val="auto"/>
        </w:rPr>
        <w:t>The following table presents our revenue disaggregated by account type (in thousands).</w:t>
      </w:r>
    </w:p>
    <w:p>
      <w:pPr>
        <w:spacing w:after="0" w:line="43" w:lineRule="exact"/>
        <w:rPr>
          <w:sz w:val="20"/>
          <w:szCs w:val="20"/>
          <w:color w:val="auto"/>
        </w:rPr>
      </w:pPr>
    </w:p>
    <w:tbl>
      <w:tblPr>
        <w:tblLayout w:type="fixed"/>
        <w:tblInd w:w="0" w:type="dxa"/>
        <w:tblCellMar>
          <w:top w:w="0" w:type="dxa"/>
          <w:left w:w="0" w:type="dxa"/>
          <w:bottom w:w="0" w:type="dxa"/>
          <w:right w:w="0" w:type="dxa"/>
        </w:tblCellMar>
      </w:tblPr>
      <w:tr>
        <w:trPr>
          <w:trHeight w:val="170"/>
        </w:trPr>
        <w:tc>
          <w:tcPr>
            <w:tcW w:w="414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100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1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440" w:type="dxa"/>
            <w:vAlign w:val="bottom"/>
          </w:tcPr>
          <w:p>
            <w:pPr>
              <w:spacing w:after="0"/>
              <w:rPr>
                <w:sz w:val="14"/>
                <w:szCs w:val="14"/>
                <w:color w:val="auto"/>
              </w:rPr>
            </w:pPr>
          </w:p>
        </w:tc>
        <w:tc>
          <w:tcPr>
            <w:tcW w:w="260" w:type="dxa"/>
            <w:vAlign w:val="bottom"/>
            <w:tcBorders>
              <w:bottom w:val="single" w:sz="8" w:color="auto"/>
            </w:tcBorders>
          </w:tcPr>
          <w:p>
            <w:pPr>
              <w:spacing w:after="0"/>
              <w:rPr>
                <w:sz w:val="14"/>
                <w:szCs w:val="14"/>
                <w:color w:val="auto"/>
              </w:rPr>
            </w:pPr>
          </w:p>
        </w:tc>
        <w:tc>
          <w:tcPr>
            <w:tcW w:w="920" w:type="dxa"/>
            <w:vAlign w:val="bottom"/>
            <w:tcBorders>
              <w:bottom w:val="single" w:sz="8" w:color="auto"/>
            </w:tcBorders>
          </w:tcPr>
          <w:p>
            <w:pPr>
              <w:spacing w:after="0"/>
              <w:rPr>
                <w:sz w:val="14"/>
                <w:szCs w:val="14"/>
                <w:color w:val="auto"/>
              </w:rPr>
            </w:pPr>
          </w:p>
        </w:tc>
        <w:tc>
          <w:tcPr>
            <w:tcW w:w="1420" w:type="dxa"/>
            <w:vAlign w:val="bottom"/>
            <w:tcBorders>
              <w:bottom w:val="single" w:sz="8" w:color="auto"/>
            </w:tcBorders>
            <w:gridSpan w:val="8"/>
          </w:tcPr>
          <w:p>
            <w:pPr>
              <w:jc w:val="center"/>
              <w:spacing w:after="0"/>
              <w:rPr>
                <w:sz w:val="20"/>
                <w:szCs w:val="20"/>
                <w:color w:val="auto"/>
              </w:rPr>
            </w:pPr>
            <w:r>
              <w:rPr>
                <w:rFonts w:ascii="Times New Roman" w:cs="Times New Roman" w:eastAsia="Times New Roman" w:hAnsi="Times New Roman"/>
                <w:sz w:val="13"/>
                <w:szCs w:val="13"/>
                <w:b w:val="1"/>
                <w:bCs w:val="1"/>
                <w:color w:val="auto"/>
                <w:w w:val="97"/>
              </w:rPr>
              <w:t>Year Ended December 31,</w:t>
            </w:r>
          </w:p>
        </w:tc>
        <w:tc>
          <w:tcPr>
            <w:tcW w:w="260" w:type="dxa"/>
            <w:vAlign w:val="bottom"/>
            <w:tcBorders>
              <w:bottom w:val="single" w:sz="8" w:color="auto"/>
            </w:tcBorders>
          </w:tcPr>
          <w:p>
            <w:pPr>
              <w:spacing w:after="0"/>
              <w:rPr>
                <w:sz w:val="14"/>
                <w:szCs w:val="14"/>
                <w:color w:val="auto"/>
              </w:rPr>
            </w:pPr>
          </w:p>
        </w:tc>
        <w:tc>
          <w:tcPr>
            <w:tcW w:w="920" w:type="dxa"/>
            <w:vAlign w:val="bottom"/>
            <w:tcBorders>
              <w:bottom w:val="single" w:sz="8" w:color="auto"/>
            </w:tcBorders>
          </w:tcPr>
          <w:p>
            <w:pPr>
              <w:spacing w:after="0"/>
              <w:rPr>
                <w:sz w:val="14"/>
                <w:szCs w:val="14"/>
                <w:color w:val="auto"/>
              </w:rPr>
            </w:pPr>
          </w:p>
        </w:tc>
        <w:tc>
          <w:tcPr>
            <w:tcW w:w="4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61"/>
        </w:trPr>
        <w:tc>
          <w:tcPr>
            <w:tcW w:w="4140" w:type="dxa"/>
            <w:vAlign w:val="bottom"/>
            <w:tcBorders>
              <w:bottom w:val="single" w:sz="8" w:color="CCEEFF"/>
            </w:tcBorders>
          </w:tcPr>
          <w:p>
            <w:pPr>
              <w:spacing w:after="0"/>
              <w:rPr>
                <w:sz w:val="14"/>
                <w:szCs w:val="14"/>
                <w:color w:val="auto"/>
              </w:rPr>
            </w:pPr>
          </w:p>
        </w:tc>
        <w:tc>
          <w:tcPr>
            <w:tcW w:w="220" w:type="dxa"/>
            <w:vAlign w:val="bottom"/>
            <w:tcBorders>
              <w:bottom w:val="single" w:sz="8" w:color="CCEEFF"/>
            </w:tcBorders>
          </w:tcPr>
          <w:p>
            <w:pPr>
              <w:spacing w:after="0"/>
              <w:rPr>
                <w:sz w:val="14"/>
                <w:szCs w:val="14"/>
                <w:color w:val="auto"/>
              </w:rPr>
            </w:pPr>
          </w:p>
        </w:tc>
        <w:tc>
          <w:tcPr>
            <w:tcW w:w="1000" w:type="dxa"/>
            <w:vAlign w:val="bottom"/>
            <w:tcBorders>
              <w:bottom w:val="single" w:sz="8" w:color="CCEEFF"/>
            </w:tcBorders>
          </w:tcPr>
          <w:p>
            <w:pPr>
              <w:spacing w:after="0"/>
              <w:rPr>
                <w:sz w:val="14"/>
                <w:szCs w:val="14"/>
                <w:color w:val="auto"/>
              </w:rPr>
            </w:pPr>
          </w:p>
        </w:tc>
        <w:tc>
          <w:tcPr>
            <w:tcW w:w="100" w:type="dxa"/>
            <w:vAlign w:val="bottom"/>
            <w:tcBorders>
              <w:bottom w:val="single" w:sz="8" w:color="CCEEFF"/>
            </w:tcBorders>
          </w:tcPr>
          <w:p>
            <w:pPr>
              <w:spacing w:after="0"/>
              <w:rPr>
                <w:sz w:val="14"/>
                <w:szCs w:val="14"/>
                <w:color w:val="auto"/>
              </w:rPr>
            </w:pPr>
          </w:p>
        </w:tc>
        <w:tc>
          <w:tcPr>
            <w:tcW w:w="100" w:type="dxa"/>
            <w:vAlign w:val="bottom"/>
            <w:tcBorders>
              <w:bottom w:val="single" w:sz="8" w:color="CCEEFF"/>
            </w:tcBorders>
          </w:tcPr>
          <w:p>
            <w:pPr>
              <w:spacing w:after="0"/>
              <w:rPr>
                <w:sz w:val="14"/>
                <w:szCs w:val="14"/>
                <w:color w:val="auto"/>
              </w:rPr>
            </w:pPr>
          </w:p>
        </w:tc>
        <w:tc>
          <w:tcPr>
            <w:tcW w:w="1120" w:type="dxa"/>
            <w:vAlign w:val="bottom"/>
            <w:tcBorders>
              <w:bottom w:val="single" w:sz="8" w:color="CCEEFF"/>
            </w:tcBorders>
          </w:tcPr>
          <w:p>
            <w:pPr>
              <w:spacing w:after="0"/>
              <w:rPr>
                <w:sz w:val="14"/>
                <w:szCs w:val="14"/>
                <w:color w:val="auto"/>
              </w:rPr>
            </w:pPr>
          </w:p>
        </w:tc>
        <w:tc>
          <w:tcPr>
            <w:tcW w:w="100" w:type="dxa"/>
            <w:vAlign w:val="bottom"/>
            <w:tcBorders>
              <w:bottom w:val="single" w:sz="8" w:color="CCEEFF"/>
            </w:tcBorders>
          </w:tcPr>
          <w:p>
            <w:pPr>
              <w:spacing w:after="0"/>
              <w:rPr>
                <w:sz w:val="14"/>
                <w:szCs w:val="14"/>
                <w:color w:val="auto"/>
              </w:rPr>
            </w:pPr>
          </w:p>
        </w:tc>
        <w:tc>
          <w:tcPr>
            <w:tcW w:w="240" w:type="dxa"/>
            <w:vAlign w:val="bottom"/>
            <w:tcBorders>
              <w:bottom w:val="single" w:sz="8" w:color="CCEEFF"/>
            </w:tcBorders>
          </w:tcPr>
          <w:p>
            <w:pPr>
              <w:spacing w:after="0"/>
              <w:rPr>
                <w:sz w:val="14"/>
                <w:szCs w:val="14"/>
                <w:color w:val="auto"/>
              </w:rPr>
            </w:pPr>
          </w:p>
        </w:tc>
        <w:tc>
          <w:tcPr>
            <w:tcW w:w="440" w:type="dxa"/>
            <w:vAlign w:val="bottom"/>
            <w:tcBorders>
              <w:bottom w:val="single" w:sz="8" w:color="CCEEFF"/>
            </w:tcBorders>
          </w:tcPr>
          <w:p>
            <w:pPr>
              <w:spacing w:after="0"/>
              <w:rPr>
                <w:sz w:val="14"/>
                <w:szCs w:val="14"/>
                <w:color w:val="auto"/>
              </w:rPr>
            </w:pPr>
          </w:p>
        </w:tc>
        <w:tc>
          <w:tcPr>
            <w:tcW w:w="260" w:type="dxa"/>
            <w:vAlign w:val="bottom"/>
            <w:tcBorders>
              <w:bottom w:val="single" w:sz="8" w:color="auto"/>
            </w:tcBorders>
          </w:tcPr>
          <w:p>
            <w:pPr>
              <w:spacing w:after="0"/>
              <w:rPr>
                <w:sz w:val="14"/>
                <w:szCs w:val="14"/>
                <w:color w:val="auto"/>
              </w:rPr>
            </w:pPr>
          </w:p>
        </w:tc>
        <w:tc>
          <w:tcPr>
            <w:tcW w:w="920" w:type="dxa"/>
            <w:vAlign w:val="bottom"/>
            <w:tcBorders>
              <w:bottom w:val="single" w:sz="8" w:color="auto"/>
            </w:tcBorders>
          </w:tcPr>
          <w:p>
            <w:pPr>
              <w:jc w:val="right"/>
              <w:ind w:right="393"/>
              <w:spacing w:after="0"/>
              <w:rPr>
                <w:sz w:val="20"/>
                <w:szCs w:val="20"/>
                <w:color w:val="auto"/>
              </w:rPr>
            </w:pPr>
            <w:r>
              <w:rPr>
                <w:rFonts w:ascii="Times New Roman" w:cs="Times New Roman" w:eastAsia="Times New Roman" w:hAnsi="Times New Roman"/>
                <w:sz w:val="13"/>
                <w:szCs w:val="13"/>
                <w:b w:val="1"/>
                <w:bCs w:val="1"/>
                <w:color w:val="auto"/>
              </w:rPr>
              <w:t>2025</w:t>
            </w:r>
          </w:p>
        </w:tc>
        <w:tc>
          <w:tcPr>
            <w:tcW w:w="20" w:type="dxa"/>
            <w:vAlign w:val="bottom"/>
            <w:tcBorders>
              <w:bottom w:val="single" w:sz="8" w:color="auto"/>
            </w:tcBorders>
          </w:tcPr>
          <w:p>
            <w:pPr>
              <w:spacing w:after="0"/>
              <w:rPr>
                <w:sz w:val="14"/>
                <w:szCs w:val="14"/>
                <w:color w:val="auto"/>
              </w:rPr>
            </w:pPr>
          </w:p>
        </w:tc>
        <w:tc>
          <w:tcPr>
            <w:tcW w:w="60" w:type="dxa"/>
            <w:vAlign w:val="bottom"/>
            <w:tcBorders>
              <w:bottom w:val="single" w:sz="8" w:color="CCEEFF"/>
            </w:tcBorders>
          </w:tcPr>
          <w:p>
            <w:pPr>
              <w:spacing w:after="0"/>
              <w:rPr>
                <w:sz w:val="14"/>
                <w:szCs w:val="14"/>
                <w:color w:val="auto"/>
              </w:rPr>
            </w:pPr>
          </w:p>
        </w:tc>
        <w:tc>
          <w:tcPr>
            <w:tcW w:w="20" w:type="dxa"/>
            <w:vAlign w:val="bottom"/>
            <w:tcBorders>
              <w:bottom w:val="single" w:sz="8" w:color="CCEEFF"/>
            </w:tcBorders>
          </w:tcPr>
          <w:p>
            <w:pPr>
              <w:spacing w:after="0"/>
              <w:rPr>
                <w:sz w:val="14"/>
                <w:szCs w:val="14"/>
                <w:color w:val="auto"/>
              </w:rPr>
            </w:pPr>
          </w:p>
        </w:tc>
        <w:tc>
          <w:tcPr>
            <w:tcW w:w="260" w:type="dxa"/>
            <w:vAlign w:val="bottom"/>
            <w:tcBorders>
              <w:bottom w:val="single" w:sz="8" w:color="auto"/>
            </w:tcBorders>
          </w:tcPr>
          <w:p>
            <w:pPr>
              <w:spacing w:after="0"/>
              <w:rPr>
                <w:sz w:val="14"/>
                <w:szCs w:val="14"/>
                <w:color w:val="auto"/>
              </w:rPr>
            </w:pPr>
          </w:p>
        </w:tc>
        <w:tc>
          <w:tcPr>
            <w:tcW w:w="940" w:type="dxa"/>
            <w:vAlign w:val="bottom"/>
            <w:tcBorders>
              <w:bottom w:val="single" w:sz="8" w:color="auto"/>
            </w:tcBorders>
          </w:tcPr>
          <w:p>
            <w:pPr>
              <w:jc w:val="center"/>
              <w:ind w:right="174"/>
              <w:spacing w:after="0"/>
              <w:rPr>
                <w:sz w:val="20"/>
                <w:szCs w:val="20"/>
                <w:color w:val="auto"/>
              </w:rPr>
            </w:pPr>
            <w:r>
              <w:rPr>
                <w:rFonts w:ascii="Times New Roman" w:cs="Times New Roman" w:eastAsia="Times New Roman" w:hAnsi="Times New Roman"/>
                <w:sz w:val="13"/>
                <w:szCs w:val="13"/>
                <w:b w:val="1"/>
                <w:bCs w:val="1"/>
                <w:color w:val="auto"/>
                <w:w w:val="99"/>
              </w:rPr>
              <w:t>2024</w:t>
            </w:r>
          </w:p>
        </w:tc>
        <w:tc>
          <w:tcPr>
            <w:tcW w:w="20" w:type="dxa"/>
            <w:vAlign w:val="bottom"/>
            <w:tcBorders>
              <w:bottom w:val="single" w:sz="8" w:color="CCEEFF"/>
            </w:tcBorders>
          </w:tcPr>
          <w:p>
            <w:pPr>
              <w:spacing w:after="0"/>
              <w:rPr>
                <w:sz w:val="14"/>
                <w:szCs w:val="14"/>
                <w:color w:val="auto"/>
              </w:rPr>
            </w:pPr>
          </w:p>
        </w:tc>
        <w:tc>
          <w:tcPr>
            <w:tcW w:w="80" w:type="dxa"/>
            <w:vAlign w:val="bottom"/>
            <w:tcBorders>
              <w:bottom w:val="single" w:sz="8" w:color="CCEEFF"/>
            </w:tcBorders>
          </w:tcPr>
          <w:p>
            <w:pPr>
              <w:spacing w:after="0"/>
              <w:rPr>
                <w:sz w:val="14"/>
                <w:szCs w:val="14"/>
                <w:color w:val="auto"/>
              </w:rPr>
            </w:pPr>
          </w:p>
        </w:tc>
        <w:tc>
          <w:tcPr>
            <w:tcW w:w="20" w:type="dxa"/>
            <w:vAlign w:val="bottom"/>
            <w:tcBorders>
              <w:bottom w:val="single" w:sz="8" w:color="auto"/>
            </w:tcBorders>
          </w:tcPr>
          <w:p>
            <w:pPr>
              <w:spacing w:after="0"/>
              <w:rPr>
                <w:sz w:val="14"/>
                <w:szCs w:val="14"/>
                <w:color w:val="auto"/>
              </w:rPr>
            </w:pPr>
          </w:p>
        </w:tc>
        <w:tc>
          <w:tcPr>
            <w:tcW w:w="260" w:type="dxa"/>
            <w:vAlign w:val="bottom"/>
            <w:tcBorders>
              <w:bottom w:val="single" w:sz="8" w:color="auto"/>
            </w:tcBorders>
          </w:tcPr>
          <w:p>
            <w:pPr>
              <w:spacing w:after="0"/>
              <w:rPr>
                <w:sz w:val="14"/>
                <w:szCs w:val="14"/>
                <w:color w:val="auto"/>
              </w:rPr>
            </w:pPr>
          </w:p>
        </w:tc>
        <w:tc>
          <w:tcPr>
            <w:tcW w:w="920" w:type="dxa"/>
            <w:vAlign w:val="bottom"/>
            <w:tcBorders>
              <w:bottom w:val="single" w:sz="8" w:color="auto"/>
            </w:tcBorders>
          </w:tcPr>
          <w:p>
            <w:pPr>
              <w:ind w:left="200"/>
              <w:spacing w:after="0"/>
              <w:rPr>
                <w:sz w:val="20"/>
                <w:szCs w:val="20"/>
                <w:color w:val="auto"/>
              </w:rPr>
            </w:pPr>
            <w:r>
              <w:rPr>
                <w:rFonts w:ascii="Times New Roman" w:cs="Times New Roman" w:eastAsia="Times New Roman" w:hAnsi="Times New Roman"/>
                <w:sz w:val="13"/>
                <w:szCs w:val="13"/>
                <w:b w:val="1"/>
                <w:bCs w:val="1"/>
                <w:color w:val="auto"/>
              </w:rPr>
              <w:t>2023</w:t>
            </w:r>
          </w:p>
        </w:tc>
        <w:tc>
          <w:tcPr>
            <w:tcW w:w="4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62"/>
        </w:trPr>
        <w:tc>
          <w:tcPr>
            <w:tcW w:w="414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4"/>
                <w:szCs w:val="14"/>
                <w:color w:val="auto"/>
              </w:rPr>
              <w:t>Advisory Fees:</w:t>
            </w:r>
          </w:p>
        </w:tc>
        <w:tc>
          <w:tcPr>
            <w:tcW w:w="220" w:type="dxa"/>
            <w:vAlign w:val="bottom"/>
            <w:shd w:val="clear" w:color="auto" w:fill="CCEEFF"/>
          </w:tcPr>
          <w:p>
            <w:pPr>
              <w:spacing w:after="0"/>
              <w:rPr>
                <w:sz w:val="14"/>
                <w:szCs w:val="14"/>
                <w:color w:val="auto"/>
              </w:rPr>
            </w:pPr>
          </w:p>
        </w:tc>
        <w:tc>
          <w:tcPr>
            <w:tcW w:w="100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112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240" w:type="dxa"/>
            <w:vAlign w:val="bottom"/>
            <w:shd w:val="clear" w:color="auto" w:fill="CCEEFF"/>
          </w:tcPr>
          <w:p>
            <w:pPr>
              <w:spacing w:after="0"/>
              <w:rPr>
                <w:sz w:val="14"/>
                <w:szCs w:val="14"/>
                <w:color w:val="auto"/>
              </w:rPr>
            </w:pPr>
          </w:p>
        </w:tc>
        <w:tc>
          <w:tcPr>
            <w:tcW w:w="440" w:type="dxa"/>
            <w:vAlign w:val="bottom"/>
            <w:shd w:val="clear" w:color="auto" w:fill="CCEEFF"/>
          </w:tcPr>
          <w:p>
            <w:pPr>
              <w:spacing w:after="0"/>
              <w:rPr>
                <w:sz w:val="14"/>
                <w:szCs w:val="14"/>
                <w:color w:val="auto"/>
              </w:rPr>
            </w:pPr>
          </w:p>
        </w:tc>
        <w:tc>
          <w:tcPr>
            <w:tcW w:w="260" w:type="dxa"/>
            <w:vAlign w:val="bottom"/>
            <w:shd w:val="clear" w:color="auto" w:fill="CCEEFF"/>
          </w:tcPr>
          <w:p>
            <w:pPr>
              <w:spacing w:after="0"/>
              <w:rPr>
                <w:sz w:val="14"/>
                <w:szCs w:val="14"/>
                <w:color w:val="auto"/>
              </w:rPr>
            </w:pPr>
          </w:p>
        </w:tc>
        <w:tc>
          <w:tcPr>
            <w:tcW w:w="920" w:type="dxa"/>
            <w:vAlign w:val="bottom"/>
            <w:shd w:val="clear" w:color="auto" w:fill="CCEEFF"/>
          </w:tcPr>
          <w:p>
            <w:pPr>
              <w:spacing w:after="0"/>
              <w:rPr>
                <w:sz w:val="14"/>
                <w:szCs w:val="14"/>
                <w:color w:val="auto"/>
              </w:rPr>
            </w:pPr>
          </w:p>
        </w:tc>
        <w:tc>
          <w:tcPr>
            <w:tcW w:w="20" w:type="dxa"/>
            <w:vAlign w:val="bottom"/>
            <w:shd w:val="clear" w:color="auto" w:fill="CCEEFF"/>
          </w:tcPr>
          <w:p>
            <w:pPr>
              <w:spacing w:after="0"/>
              <w:rPr>
                <w:sz w:val="14"/>
                <w:szCs w:val="14"/>
                <w:color w:val="auto"/>
              </w:rPr>
            </w:pPr>
          </w:p>
        </w:tc>
        <w:tc>
          <w:tcPr>
            <w:tcW w:w="60" w:type="dxa"/>
            <w:vAlign w:val="bottom"/>
            <w:shd w:val="clear" w:color="auto" w:fill="CCEEFF"/>
          </w:tcPr>
          <w:p>
            <w:pPr>
              <w:spacing w:after="0"/>
              <w:rPr>
                <w:sz w:val="14"/>
                <w:szCs w:val="14"/>
                <w:color w:val="auto"/>
              </w:rPr>
            </w:pPr>
          </w:p>
        </w:tc>
        <w:tc>
          <w:tcPr>
            <w:tcW w:w="20" w:type="dxa"/>
            <w:vAlign w:val="bottom"/>
            <w:shd w:val="clear" w:color="auto" w:fill="CCEEFF"/>
          </w:tcPr>
          <w:p>
            <w:pPr>
              <w:spacing w:after="0"/>
              <w:rPr>
                <w:sz w:val="14"/>
                <w:szCs w:val="14"/>
                <w:color w:val="auto"/>
              </w:rPr>
            </w:pPr>
          </w:p>
        </w:tc>
        <w:tc>
          <w:tcPr>
            <w:tcW w:w="260" w:type="dxa"/>
            <w:vAlign w:val="bottom"/>
            <w:shd w:val="clear" w:color="auto" w:fill="CCEEFF"/>
          </w:tcPr>
          <w:p>
            <w:pPr>
              <w:spacing w:after="0"/>
              <w:rPr>
                <w:sz w:val="14"/>
                <w:szCs w:val="14"/>
                <w:color w:val="auto"/>
              </w:rPr>
            </w:pPr>
          </w:p>
        </w:tc>
        <w:tc>
          <w:tcPr>
            <w:tcW w:w="940" w:type="dxa"/>
            <w:vAlign w:val="bottom"/>
            <w:shd w:val="clear" w:color="auto" w:fill="CCEEFF"/>
          </w:tcPr>
          <w:p>
            <w:pPr>
              <w:spacing w:after="0"/>
              <w:rPr>
                <w:sz w:val="14"/>
                <w:szCs w:val="14"/>
                <w:color w:val="auto"/>
              </w:rPr>
            </w:pPr>
          </w:p>
        </w:tc>
        <w:tc>
          <w:tcPr>
            <w:tcW w:w="20" w:type="dxa"/>
            <w:vAlign w:val="bottom"/>
            <w:shd w:val="clear" w:color="auto" w:fill="CCEEFF"/>
          </w:tcPr>
          <w:p>
            <w:pPr>
              <w:spacing w:after="0"/>
              <w:rPr>
                <w:sz w:val="14"/>
                <w:szCs w:val="14"/>
                <w:color w:val="auto"/>
              </w:rPr>
            </w:pPr>
          </w:p>
        </w:tc>
        <w:tc>
          <w:tcPr>
            <w:tcW w:w="80" w:type="dxa"/>
            <w:vAlign w:val="bottom"/>
            <w:shd w:val="clear" w:color="auto" w:fill="CCEEFF"/>
          </w:tcPr>
          <w:p>
            <w:pPr>
              <w:spacing w:after="0"/>
              <w:rPr>
                <w:sz w:val="14"/>
                <w:szCs w:val="14"/>
                <w:color w:val="auto"/>
              </w:rPr>
            </w:pPr>
          </w:p>
        </w:tc>
        <w:tc>
          <w:tcPr>
            <w:tcW w:w="20" w:type="dxa"/>
            <w:vAlign w:val="bottom"/>
            <w:shd w:val="clear" w:color="auto" w:fill="CCEEFF"/>
          </w:tcPr>
          <w:p>
            <w:pPr>
              <w:spacing w:after="0"/>
              <w:rPr>
                <w:sz w:val="14"/>
                <w:szCs w:val="14"/>
                <w:color w:val="auto"/>
              </w:rPr>
            </w:pPr>
          </w:p>
        </w:tc>
        <w:tc>
          <w:tcPr>
            <w:tcW w:w="260" w:type="dxa"/>
            <w:vAlign w:val="bottom"/>
            <w:shd w:val="clear" w:color="auto" w:fill="CCEEFF"/>
          </w:tcPr>
          <w:p>
            <w:pPr>
              <w:spacing w:after="0"/>
              <w:rPr>
                <w:sz w:val="14"/>
                <w:szCs w:val="14"/>
                <w:color w:val="auto"/>
              </w:rPr>
            </w:pPr>
          </w:p>
        </w:tc>
        <w:tc>
          <w:tcPr>
            <w:tcW w:w="920" w:type="dxa"/>
            <w:vAlign w:val="bottom"/>
            <w:shd w:val="clear" w:color="auto" w:fill="CCEEFF"/>
          </w:tcPr>
          <w:p>
            <w:pPr>
              <w:spacing w:after="0"/>
              <w:rPr>
                <w:sz w:val="14"/>
                <w:szCs w:val="14"/>
                <w:color w:val="auto"/>
              </w:rPr>
            </w:pPr>
          </w:p>
        </w:tc>
        <w:tc>
          <w:tcPr>
            <w:tcW w:w="4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80"/>
        </w:trPr>
        <w:tc>
          <w:tcPr>
            <w:tcW w:w="4140" w:type="dxa"/>
            <w:vAlign w:val="bottom"/>
          </w:tcPr>
          <w:p>
            <w:pPr>
              <w:ind w:left="280"/>
              <w:spacing w:after="0"/>
              <w:rPr>
                <w:sz w:val="20"/>
                <w:szCs w:val="20"/>
                <w:color w:val="auto"/>
              </w:rPr>
            </w:pPr>
            <w:r>
              <w:rPr>
                <w:rFonts w:ascii="Times New Roman" w:cs="Times New Roman" w:eastAsia="Times New Roman" w:hAnsi="Times New Roman"/>
                <w:sz w:val="14"/>
                <w:szCs w:val="14"/>
                <w:color w:val="auto"/>
              </w:rPr>
              <w:t>Institutional</w:t>
            </w:r>
          </w:p>
        </w:tc>
        <w:tc>
          <w:tcPr>
            <w:tcW w:w="220" w:type="dxa"/>
            <w:vAlign w:val="bottom"/>
          </w:tcPr>
          <w:p>
            <w:pPr>
              <w:spacing w:after="0"/>
              <w:rPr>
                <w:sz w:val="15"/>
                <w:szCs w:val="15"/>
                <w:color w:val="auto"/>
              </w:rPr>
            </w:pPr>
          </w:p>
        </w:tc>
        <w:tc>
          <w:tcPr>
            <w:tcW w:w="100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12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240" w:type="dxa"/>
            <w:vAlign w:val="bottom"/>
          </w:tcPr>
          <w:p>
            <w:pPr>
              <w:spacing w:after="0"/>
              <w:rPr>
                <w:sz w:val="15"/>
                <w:szCs w:val="15"/>
                <w:color w:val="auto"/>
              </w:rPr>
            </w:pPr>
          </w:p>
        </w:tc>
        <w:tc>
          <w:tcPr>
            <w:tcW w:w="700" w:type="dxa"/>
            <w:vAlign w:val="bottom"/>
            <w:gridSpan w:val="2"/>
          </w:tcPr>
          <w:p>
            <w:pPr>
              <w:jc w:val="right"/>
              <w:ind w:right="113"/>
              <w:spacing w:after="0"/>
              <w:rPr>
                <w:sz w:val="20"/>
                <w:szCs w:val="20"/>
                <w:color w:val="auto"/>
              </w:rPr>
            </w:pPr>
            <w:r>
              <w:rPr>
                <w:rFonts w:ascii="Times New Roman" w:cs="Times New Roman" w:eastAsia="Times New Roman" w:hAnsi="Times New Roman"/>
                <w:sz w:val="13"/>
                <w:szCs w:val="13"/>
                <w:color w:val="auto"/>
              </w:rPr>
              <w:t>$</w:t>
            </w:r>
          </w:p>
        </w:tc>
        <w:tc>
          <w:tcPr>
            <w:tcW w:w="92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42,173</w:t>
            </w:r>
          </w:p>
        </w:tc>
        <w:tc>
          <w:tcPr>
            <w:tcW w:w="360" w:type="dxa"/>
            <w:vAlign w:val="bottom"/>
            <w:gridSpan w:val="4"/>
          </w:tcPr>
          <w:p>
            <w:pPr>
              <w:jc w:val="right"/>
              <w:ind w:right="113"/>
              <w:spacing w:after="0"/>
              <w:rPr>
                <w:sz w:val="20"/>
                <w:szCs w:val="20"/>
                <w:color w:val="auto"/>
              </w:rPr>
            </w:pPr>
            <w:r>
              <w:rPr>
                <w:rFonts w:ascii="Times New Roman" w:cs="Times New Roman" w:eastAsia="Times New Roman" w:hAnsi="Times New Roman"/>
                <w:sz w:val="13"/>
                <w:szCs w:val="13"/>
                <w:color w:val="auto"/>
              </w:rPr>
              <w:t>$</w:t>
            </w:r>
          </w:p>
        </w:tc>
        <w:tc>
          <w:tcPr>
            <w:tcW w:w="94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39,967</w:t>
            </w:r>
          </w:p>
        </w:tc>
        <w:tc>
          <w:tcPr>
            <w:tcW w:w="2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260" w:type="dxa"/>
            <w:vAlign w:val="bottom"/>
          </w:tcPr>
          <w:p>
            <w:pPr>
              <w:spacing w:after="0"/>
              <w:rPr>
                <w:sz w:val="20"/>
                <w:szCs w:val="20"/>
                <w:color w:val="auto"/>
              </w:rPr>
            </w:pPr>
            <w:r>
              <w:rPr>
                <w:rFonts w:ascii="Times New Roman" w:cs="Times New Roman" w:eastAsia="Times New Roman" w:hAnsi="Times New Roman"/>
                <w:sz w:val="13"/>
                <w:szCs w:val="13"/>
                <w:color w:val="auto"/>
              </w:rPr>
              <w:t>$</w:t>
            </w:r>
          </w:p>
        </w:tc>
        <w:tc>
          <w:tcPr>
            <w:tcW w:w="92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37,738</w:t>
            </w:r>
          </w:p>
        </w:tc>
        <w:tc>
          <w:tcPr>
            <w:tcW w:w="4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80"/>
        </w:trPr>
        <w:tc>
          <w:tcPr>
            <w:tcW w:w="4140" w:type="dxa"/>
            <w:vAlign w:val="bottom"/>
            <w:shd w:val="clear" w:color="auto" w:fill="CCEEFF"/>
          </w:tcPr>
          <w:p>
            <w:pPr>
              <w:ind w:left="280"/>
              <w:spacing w:after="0"/>
              <w:rPr>
                <w:sz w:val="20"/>
                <w:szCs w:val="20"/>
                <w:color w:val="auto"/>
              </w:rPr>
            </w:pPr>
            <w:r>
              <w:rPr>
                <w:rFonts w:ascii="Times New Roman" w:cs="Times New Roman" w:eastAsia="Times New Roman" w:hAnsi="Times New Roman"/>
                <w:sz w:val="14"/>
                <w:szCs w:val="14"/>
                <w:color w:val="auto"/>
              </w:rPr>
              <w:t>Mutual Funds &amp; ETFs</w:t>
            </w:r>
          </w:p>
        </w:tc>
        <w:tc>
          <w:tcPr>
            <w:tcW w:w="220" w:type="dxa"/>
            <w:vAlign w:val="bottom"/>
            <w:shd w:val="clear" w:color="auto" w:fill="CCEEFF"/>
          </w:tcPr>
          <w:p>
            <w:pPr>
              <w:spacing w:after="0"/>
              <w:rPr>
                <w:sz w:val="15"/>
                <w:szCs w:val="15"/>
                <w:color w:val="auto"/>
              </w:rPr>
            </w:pPr>
          </w:p>
        </w:tc>
        <w:tc>
          <w:tcPr>
            <w:tcW w:w="100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112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240" w:type="dxa"/>
            <w:vAlign w:val="bottom"/>
            <w:shd w:val="clear" w:color="auto" w:fill="CCEEFF"/>
          </w:tcPr>
          <w:p>
            <w:pPr>
              <w:spacing w:after="0"/>
              <w:rPr>
                <w:sz w:val="15"/>
                <w:szCs w:val="15"/>
                <w:color w:val="auto"/>
              </w:rPr>
            </w:pPr>
          </w:p>
        </w:tc>
        <w:tc>
          <w:tcPr>
            <w:tcW w:w="440" w:type="dxa"/>
            <w:vAlign w:val="bottom"/>
            <w:shd w:val="clear" w:color="auto" w:fill="CCEEFF"/>
          </w:tcPr>
          <w:p>
            <w:pPr>
              <w:spacing w:after="0"/>
              <w:rPr>
                <w:sz w:val="15"/>
                <w:szCs w:val="15"/>
                <w:color w:val="auto"/>
              </w:rPr>
            </w:pPr>
          </w:p>
        </w:tc>
        <w:tc>
          <w:tcPr>
            <w:tcW w:w="260" w:type="dxa"/>
            <w:vAlign w:val="bottom"/>
            <w:shd w:val="clear" w:color="auto" w:fill="CCEEFF"/>
          </w:tcPr>
          <w:p>
            <w:pPr>
              <w:spacing w:after="0"/>
              <w:rPr>
                <w:sz w:val="15"/>
                <w:szCs w:val="15"/>
                <w:color w:val="auto"/>
              </w:rPr>
            </w:pPr>
          </w:p>
        </w:tc>
        <w:tc>
          <w:tcPr>
            <w:tcW w:w="9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28,703</w:t>
            </w:r>
          </w:p>
        </w:tc>
        <w:tc>
          <w:tcPr>
            <w:tcW w:w="20" w:type="dxa"/>
            <w:vAlign w:val="bottom"/>
            <w:shd w:val="clear" w:color="auto" w:fill="CCEEFF"/>
          </w:tcPr>
          <w:p>
            <w:pPr>
              <w:spacing w:after="0"/>
              <w:rPr>
                <w:sz w:val="15"/>
                <w:szCs w:val="15"/>
                <w:color w:val="auto"/>
              </w:rPr>
            </w:pPr>
          </w:p>
        </w:tc>
        <w:tc>
          <w:tcPr>
            <w:tcW w:w="60" w:type="dxa"/>
            <w:vAlign w:val="bottom"/>
            <w:shd w:val="clear" w:color="auto" w:fill="CCEEFF"/>
          </w:tcPr>
          <w:p>
            <w:pPr>
              <w:spacing w:after="0"/>
              <w:rPr>
                <w:sz w:val="15"/>
                <w:szCs w:val="15"/>
                <w:color w:val="auto"/>
              </w:rPr>
            </w:pPr>
          </w:p>
        </w:tc>
        <w:tc>
          <w:tcPr>
            <w:tcW w:w="20" w:type="dxa"/>
            <w:vAlign w:val="bottom"/>
            <w:shd w:val="clear" w:color="auto" w:fill="CCEEFF"/>
          </w:tcPr>
          <w:p>
            <w:pPr>
              <w:spacing w:after="0"/>
              <w:rPr>
                <w:sz w:val="15"/>
                <w:szCs w:val="15"/>
                <w:color w:val="auto"/>
              </w:rPr>
            </w:pPr>
          </w:p>
        </w:tc>
        <w:tc>
          <w:tcPr>
            <w:tcW w:w="260" w:type="dxa"/>
            <w:vAlign w:val="bottom"/>
            <w:shd w:val="clear" w:color="auto" w:fill="CCEEFF"/>
          </w:tcPr>
          <w:p>
            <w:pPr>
              <w:spacing w:after="0"/>
              <w:rPr>
                <w:sz w:val="15"/>
                <w:szCs w:val="15"/>
                <w:color w:val="auto"/>
              </w:rPr>
            </w:pPr>
          </w:p>
        </w:tc>
        <w:tc>
          <w:tcPr>
            <w:tcW w:w="9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28,980</w:t>
            </w:r>
          </w:p>
        </w:tc>
        <w:tc>
          <w:tcPr>
            <w:tcW w:w="20" w:type="dxa"/>
            <w:vAlign w:val="bottom"/>
            <w:shd w:val="clear" w:color="auto" w:fill="CCEEFF"/>
          </w:tcPr>
          <w:p>
            <w:pPr>
              <w:spacing w:after="0"/>
              <w:rPr>
                <w:sz w:val="15"/>
                <w:szCs w:val="15"/>
                <w:color w:val="auto"/>
              </w:rPr>
            </w:pPr>
          </w:p>
        </w:tc>
        <w:tc>
          <w:tcPr>
            <w:tcW w:w="80" w:type="dxa"/>
            <w:vAlign w:val="bottom"/>
            <w:shd w:val="clear" w:color="auto" w:fill="CCEEFF"/>
          </w:tcPr>
          <w:p>
            <w:pPr>
              <w:spacing w:after="0"/>
              <w:rPr>
                <w:sz w:val="15"/>
                <w:szCs w:val="15"/>
                <w:color w:val="auto"/>
              </w:rPr>
            </w:pPr>
          </w:p>
        </w:tc>
        <w:tc>
          <w:tcPr>
            <w:tcW w:w="20" w:type="dxa"/>
            <w:vAlign w:val="bottom"/>
            <w:shd w:val="clear" w:color="auto" w:fill="CCEEFF"/>
          </w:tcPr>
          <w:p>
            <w:pPr>
              <w:spacing w:after="0"/>
              <w:rPr>
                <w:sz w:val="15"/>
                <w:szCs w:val="15"/>
                <w:color w:val="auto"/>
              </w:rPr>
            </w:pPr>
          </w:p>
        </w:tc>
        <w:tc>
          <w:tcPr>
            <w:tcW w:w="260" w:type="dxa"/>
            <w:vAlign w:val="bottom"/>
            <w:shd w:val="clear" w:color="auto" w:fill="CCEEFF"/>
          </w:tcPr>
          <w:p>
            <w:pPr>
              <w:spacing w:after="0"/>
              <w:rPr>
                <w:sz w:val="15"/>
                <w:szCs w:val="15"/>
                <w:color w:val="auto"/>
              </w:rPr>
            </w:pPr>
          </w:p>
        </w:tc>
        <w:tc>
          <w:tcPr>
            <w:tcW w:w="9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29,745</w:t>
            </w:r>
          </w:p>
        </w:tc>
        <w:tc>
          <w:tcPr>
            <w:tcW w:w="4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80"/>
        </w:trPr>
        <w:tc>
          <w:tcPr>
            <w:tcW w:w="4140" w:type="dxa"/>
            <w:vAlign w:val="bottom"/>
          </w:tcPr>
          <w:p>
            <w:pPr>
              <w:ind w:left="280"/>
              <w:spacing w:after="0"/>
              <w:rPr>
                <w:sz w:val="20"/>
                <w:szCs w:val="20"/>
                <w:color w:val="auto"/>
              </w:rPr>
            </w:pPr>
            <w:r>
              <w:rPr>
                <w:rFonts w:ascii="Times New Roman" w:cs="Times New Roman" w:eastAsia="Times New Roman" w:hAnsi="Times New Roman"/>
                <w:sz w:val="14"/>
                <w:szCs w:val="14"/>
                <w:color w:val="auto"/>
              </w:rPr>
              <w:t>Wealth Management</w:t>
            </w:r>
          </w:p>
        </w:tc>
        <w:tc>
          <w:tcPr>
            <w:tcW w:w="220" w:type="dxa"/>
            <w:vAlign w:val="bottom"/>
          </w:tcPr>
          <w:p>
            <w:pPr>
              <w:spacing w:after="0"/>
              <w:rPr>
                <w:sz w:val="15"/>
                <w:szCs w:val="15"/>
                <w:color w:val="auto"/>
              </w:rPr>
            </w:pPr>
          </w:p>
        </w:tc>
        <w:tc>
          <w:tcPr>
            <w:tcW w:w="100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12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240" w:type="dxa"/>
            <w:vAlign w:val="bottom"/>
          </w:tcPr>
          <w:p>
            <w:pPr>
              <w:spacing w:after="0"/>
              <w:rPr>
                <w:sz w:val="15"/>
                <w:szCs w:val="15"/>
                <w:color w:val="auto"/>
              </w:rPr>
            </w:pPr>
          </w:p>
        </w:tc>
        <w:tc>
          <w:tcPr>
            <w:tcW w:w="440" w:type="dxa"/>
            <w:vAlign w:val="bottom"/>
          </w:tcPr>
          <w:p>
            <w:pPr>
              <w:spacing w:after="0"/>
              <w:rPr>
                <w:sz w:val="15"/>
                <w:szCs w:val="15"/>
                <w:color w:val="auto"/>
              </w:rPr>
            </w:pPr>
          </w:p>
        </w:tc>
        <w:tc>
          <w:tcPr>
            <w:tcW w:w="260" w:type="dxa"/>
            <w:vAlign w:val="bottom"/>
          </w:tcPr>
          <w:p>
            <w:pPr>
              <w:spacing w:after="0"/>
              <w:rPr>
                <w:sz w:val="15"/>
                <w:szCs w:val="15"/>
                <w:color w:val="auto"/>
              </w:rPr>
            </w:pPr>
          </w:p>
        </w:tc>
        <w:tc>
          <w:tcPr>
            <w:tcW w:w="92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4,720</w:t>
            </w:r>
          </w:p>
        </w:tc>
        <w:tc>
          <w:tcPr>
            <w:tcW w:w="20" w:type="dxa"/>
            <w:vAlign w:val="bottom"/>
          </w:tcPr>
          <w:p>
            <w:pPr>
              <w:spacing w:after="0"/>
              <w:rPr>
                <w:sz w:val="15"/>
                <w:szCs w:val="15"/>
                <w:color w:val="auto"/>
              </w:rPr>
            </w:pPr>
          </w:p>
        </w:tc>
        <w:tc>
          <w:tcPr>
            <w:tcW w:w="6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260" w:type="dxa"/>
            <w:vAlign w:val="bottom"/>
          </w:tcPr>
          <w:p>
            <w:pPr>
              <w:spacing w:after="0"/>
              <w:rPr>
                <w:sz w:val="15"/>
                <w:szCs w:val="15"/>
                <w:color w:val="auto"/>
              </w:rPr>
            </w:pPr>
          </w:p>
        </w:tc>
        <w:tc>
          <w:tcPr>
            <w:tcW w:w="94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2,201</w:t>
            </w:r>
          </w:p>
        </w:tc>
        <w:tc>
          <w:tcPr>
            <w:tcW w:w="2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260" w:type="dxa"/>
            <w:vAlign w:val="bottom"/>
          </w:tcPr>
          <w:p>
            <w:pPr>
              <w:spacing w:after="0"/>
              <w:rPr>
                <w:sz w:val="15"/>
                <w:szCs w:val="15"/>
                <w:color w:val="auto"/>
              </w:rPr>
            </w:pPr>
          </w:p>
        </w:tc>
        <w:tc>
          <w:tcPr>
            <w:tcW w:w="92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1,172</w:t>
            </w:r>
          </w:p>
        </w:tc>
        <w:tc>
          <w:tcPr>
            <w:tcW w:w="4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80"/>
        </w:trPr>
        <w:tc>
          <w:tcPr>
            <w:tcW w:w="414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4"/>
                <w:szCs w:val="14"/>
                <w:color w:val="auto"/>
              </w:rPr>
              <w:t>Trust Fees</w:t>
            </w:r>
          </w:p>
        </w:tc>
        <w:tc>
          <w:tcPr>
            <w:tcW w:w="220" w:type="dxa"/>
            <w:vAlign w:val="bottom"/>
            <w:shd w:val="clear" w:color="auto" w:fill="CCEEFF"/>
          </w:tcPr>
          <w:p>
            <w:pPr>
              <w:spacing w:after="0"/>
              <w:rPr>
                <w:sz w:val="15"/>
                <w:szCs w:val="15"/>
                <w:color w:val="auto"/>
              </w:rPr>
            </w:pPr>
          </w:p>
        </w:tc>
        <w:tc>
          <w:tcPr>
            <w:tcW w:w="100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112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240" w:type="dxa"/>
            <w:vAlign w:val="bottom"/>
            <w:shd w:val="clear" w:color="auto" w:fill="CCEEFF"/>
          </w:tcPr>
          <w:p>
            <w:pPr>
              <w:spacing w:after="0"/>
              <w:rPr>
                <w:sz w:val="15"/>
                <w:szCs w:val="15"/>
                <w:color w:val="auto"/>
              </w:rPr>
            </w:pPr>
          </w:p>
        </w:tc>
        <w:tc>
          <w:tcPr>
            <w:tcW w:w="440" w:type="dxa"/>
            <w:vAlign w:val="bottom"/>
            <w:shd w:val="clear" w:color="auto" w:fill="CCEEFF"/>
          </w:tcPr>
          <w:p>
            <w:pPr>
              <w:spacing w:after="0"/>
              <w:rPr>
                <w:sz w:val="15"/>
                <w:szCs w:val="15"/>
                <w:color w:val="auto"/>
              </w:rPr>
            </w:pPr>
          </w:p>
        </w:tc>
        <w:tc>
          <w:tcPr>
            <w:tcW w:w="260" w:type="dxa"/>
            <w:vAlign w:val="bottom"/>
            <w:shd w:val="clear" w:color="auto" w:fill="CCEEFF"/>
          </w:tcPr>
          <w:p>
            <w:pPr>
              <w:spacing w:after="0"/>
              <w:rPr>
                <w:sz w:val="15"/>
                <w:szCs w:val="15"/>
                <w:color w:val="auto"/>
              </w:rPr>
            </w:pPr>
          </w:p>
        </w:tc>
        <w:tc>
          <w:tcPr>
            <w:tcW w:w="9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21,820</w:t>
            </w:r>
          </w:p>
        </w:tc>
        <w:tc>
          <w:tcPr>
            <w:tcW w:w="20" w:type="dxa"/>
            <w:vAlign w:val="bottom"/>
            <w:shd w:val="clear" w:color="auto" w:fill="CCEEFF"/>
          </w:tcPr>
          <w:p>
            <w:pPr>
              <w:spacing w:after="0"/>
              <w:rPr>
                <w:sz w:val="15"/>
                <w:szCs w:val="15"/>
                <w:color w:val="auto"/>
              </w:rPr>
            </w:pPr>
          </w:p>
        </w:tc>
        <w:tc>
          <w:tcPr>
            <w:tcW w:w="60" w:type="dxa"/>
            <w:vAlign w:val="bottom"/>
            <w:shd w:val="clear" w:color="auto" w:fill="CCEEFF"/>
          </w:tcPr>
          <w:p>
            <w:pPr>
              <w:spacing w:after="0"/>
              <w:rPr>
                <w:sz w:val="15"/>
                <w:szCs w:val="15"/>
                <w:color w:val="auto"/>
              </w:rPr>
            </w:pPr>
          </w:p>
        </w:tc>
        <w:tc>
          <w:tcPr>
            <w:tcW w:w="20" w:type="dxa"/>
            <w:vAlign w:val="bottom"/>
            <w:shd w:val="clear" w:color="auto" w:fill="CCEEFF"/>
          </w:tcPr>
          <w:p>
            <w:pPr>
              <w:spacing w:after="0"/>
              <w:rPr>
                <w:sz w:val="15"/>
                <w:szCs w:val="15"/>
                <w:color w:val="auto"/>
              </w:rPr>
            </w:pPr>
          </w:p>
        </w:tc>
        <w:tc>
          <w:tcPr>
            <w:tcW w:w="260" w:type="dxa"/>
            <w:vAlign w:val="bottom"/>
            <w:shd w:val="clear" w:color="auto" w:fill="CCEEFF"/>
          </w:tcPr>
          <w:p>
            <w:pPr>
              <w:spacing w:after="0"/>
              <w:rPr>
                <w:sz w:val="15"/>
                <w:szCs w:val="15"/>
                <w:color w:val="auto"/>
              </w:rPr>
            </w:pPr>
          </w:p>
        </w:tc>
        <w:tc>
          <w:tcPr>
            <w:tcW w:w="9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21,904</w:t>
            </w:r>
          </w:p>
        </w:tc>
        <w:tc>
          <w:tcPr>
            <w:tcW w:w="20" w:type="dxa"/>
            <w:vAlign w:val="bottom"/>
            <w:shd w:val="clear" w:color="auto" w:fill="CCEEFF"/>
          </w:tcPr>
          <w:p>
            <w:pPr>
              <w:spacing w:after="0"/>
              <w:rPr>
                <w:sz w:val="15"/>
                <w:szCs w:val="15"/>
                <w:color w:val="auto"/>
              </w:rPr>
            </w:pPr>
          </w:p>
        </w:tc>
        <w:tc>
          <w:tcPr>
            <w:tcW w:w="80" w:type="dxa"/>
            <w:vAlign w:val="bottom"/>
            <w:shd w:val="clear" w:color="auto" w:fill="CCEEFF"/>
          </w:tcPr>
          <w:p>
            <w:pPr>
              <w:spacing w:after="0"/>
              <w:rPr>
                <w:sz w:val="15"/>
                <w:szCs w:val="15"/>
                <w:color w:val="auto"/>
              </w:rPr>
            </w:pPr>
          </w:p>
        </w:tc>
        <w:tc>
          <w:tcPr>
            <w:tcW w:w="20" w:type="dxa"/>
            <w:vAlign w:val="bottom"/>
            <w:shd w:val="clear" w:color="auto" w:fill="CCEEFF"/>
          </w:tcPr>
          <w:p>
            <w:pPr>
              <w:spacing w:after="0"/>
              <w:rPr>
                <w:sz w:val="15"/>
                <w:szCs w:val="15"/>
                <w:color w:val="auto"/>
              </w:rPr>
            </w:pPr>
          </w:p>
        </w:tc>
        <w:tc>
          <w:tcPr>
            <w:tcW w:w="260" w:type="dxa"/>
            <w:vAlign w:val="bottom"/>
            <w:shd w:val="clear" w:color="auto" w:fill="CCEEFF"/>
          </w:tcPr>
          <w:p>
            <w:pPr>
              <w:spacing w:after="0"/>
              <w:rPr>
                <w:sz w:val="15"/>
                <w:szCs w:val="15"/>
                <w:color w:val="auto"/>
              </w:rPr>
            </w:pPr>
          </w:p>
        </w:tc>
        <w:tc>
          <w:tcPr>
            <w:tcW w:w="9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20,592</w:t>
            </w:r>
          </w:p>
        </w:tc>
        <w:tc>
          <w:tcPr>
            <w:tcW w:w="4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80"/>
        </w:trPr>
        <w:tc>
          <w:tcPr>
            <w:tcW w:w="4140" w:type="dxa"/>
            <w:vAlign w:val="bottom"/>
            <w:tcBorders>
              <w:bottom w:val="single" w:sz="8" w:color="CCEEFF"/>
            </w:tcBorders>
          </w:tcPr>
          <w:p>
            <w:pPr>
              <w:ind w:left="20"/>
              <w:spacing w:after="0"/>
              <w:rPr>
                <w:sz w:val="20"/>
                <w:szCs w:val="20"/>
                <w:color w:val="auto"/>
              </w:rPr>
            </w:pPr>
            <w:r>
              <w:rPr>
                <w:rFonts w:ascii="Times New Roman" w:cs="Times New Roman" w:eastAsia="Times New Roman" w:hAnsi="Times New Roman"/>
                <w:sz w:val="14"/>
                <w:szCs w:val="14"/>
                <w:color w:val="auto"/>
              </w:rPr>
              <w:t>Other</w:t>
            </w:r>
          </w:p>
        </w:tc>
        <w:tc>
          <w:tcPr>
            <w:tcW w:w="220" w:type="dxa"/>
            <w:vAlign w:val="bottom"/>
            <w:tcBorders>
              <w:bottom w:val="single" w:sz="8" w:color="CCEEFF"/>
            </w:tcBorders>
          </w:tcPr>
          <w:p>
            <w:pPr>
              <w:spacing w:after="0"/>
              <w:rPr>
                <w:sz w:val="15"/>
                <w:szCs w:val="15"/>
                <w:color w:val="auto"/>
              </w:rPr>
            </w:pPr>
          </w:p>
        </w:tc>
        <w:tc>
          <w:tcPr>
            <w:tcW w:w="1000" w:type="dxa"/>
            <w:vAlign w:val="bottom"/>
            <w:tcBorders>
              <w:bottom w:val="single" w:sz="8" w:color="CCEEFF"/>
            </w:tcBorders>
          </w:tcPr>
          <w:p>
            <w:pPr>
              <w:spacing w:after="0"/>
              <w:rPr>
                <w:sz w:val="15"/>
                <w:szCs w:val="15"/>
                <w:color w:val="auto"/>
              </w:rPr>
            </w:pPr>
          </w:p>
        </w:tc>
        <w:tc>
          <w:tcPr>
            <w:tcW w:w="100" w:type="dxa"/>
            <w:vAlign w:val="bottom"/>
            <w:tcBorders>
              <w:bottom w:val="single" w:sz="8" w:color="CCEEFF"/>
            </w:tcBorders>
          </w:tcPr>
          <w:p>
            <w:pPr>
              <w:spacing w:after="0"/>
              <w:rPr>
                <w:sz w:val="15"/>
                <w:szCs w:val="15"/>
                <w:color w:val="auto"/>
              </w:rPr>
            </w:pPr>
          </w:p>
        </w:tc>
        <w:tc>
          <w:tcPr>
            <w:tcW w:w="100" w:type="dxa"/>
            <w:vAlign w:val="bottom"/>
            <w:tcBorders>
              <w:bottom w:val="single" w:sz="8" w:color="CCEEFF"/>
            </w:tcBorders>
          </w:tcPr>
          <w:p>
            <w:pPr>
              <w:spacing w:after="0"/>
              <w:rPr>
                <w:sz w:val="15"/>
                <w:szCs w:val="15"/>
                <w:color w:val="auto"/>
              </w:rPr>
            </w:pPr>
          </w:p>
        </w:tc>
        <w:tc>
          <w:tcPr>
            <w:tcW w:w="1120" w:type="dxa"/>
            <w:vAlign w:val="bottom"/>
            <w:tcBorders>
              <w:bottom w:val="single" w:sz="8" w:color="CCEEFF"/>
            </w:tcBorders>
          </w:tcPr>
          <w:p>
            <w:pPr>
              <w:spacing w:after="0"/>
              <w:rPr>
                <w:sz w:val="15"/>
                <w:szCs w:val="15"/>
                <w:color w:val="auto"/>
              </w:rPr>
            </w:pPr>
          </w:p>
        </w:tc>
        <w:tc>
          <w:tcPr>
            <w:tcW w:w="100" w:type="dxa"/>
            <w:vAlign w:val="bottom"/>
            <w:tcBorders>
              <w:bottom w:val="single" w:sz="8" w:color="CCEEFF"/>
            </w:tcBorders>
          </w:tcPr>
          <w:p>
            <w:pPr>
              <w:spacing w:after="0"/>
              <w:rPr>
                <w:sz w:val="15"/>
                <w:szCs w:val="15"/>
                <w:color w:val="auto"/>
              </w:rPr>
            </w:pPr>
          </w:p>
        </w:tc>
        <w:tc>
          <w:tcPr>
            <w:tcW w:w="240" w:type="dxa"/>
            <w:vAlign w:val="bottom"/>
            <w:tcBorders>
              <w:bottom w:val="single" w:sz="8" w:color="CCEEFF"/>
            </w:tcBorders>
          </w:tcPr>
          <w:p>
            <w:pPr>
              <w:spacing w:after="0"/>
              <w:rPr>
                <w:sz w:val="15"/>
                <w:szCs w:val="15"/>
                <w:color w:val="auto"/>
              </w:rPr>
            </w:pPr>
          </w:p>
        </w:tc>
        <w:tc>
          <w:tcPr>
            <w:tcW w:w="440" w:type="dxa"/>
            <w:vAlign w:val="bottom"/>
            <w:tcBorders>
              <w:bottom w:val="single" w:sz="8" w:color="CCEEFF"/>
            </w:tcBorders>
          </w:tcPr>
          <w:p>
            <w:pPr>
              <w:spacing w:after="0"/>
              <w:rPr>
                <w:sz w:val="15"/>
                <w:szCs w:val="15"/>
                <w:color w:val="auto"/>
              </w:rPr>
            </w:pPr>
          </w:p>
        </w:tc>
        <w:tc>
          <w:tcPr>
            <w:tcW w:w="260" w:type="dxa"/>
            <w:vAlign w:val="bottom"/>
            <w:tcBorders>
              <w:bottom w:val="single" w:sz="8" w:color="auto"/>
            </w:tcBorders>
          </w:tcPr>
          <w:p>
            <w:pPr>
              <w:spacing w:after="0"/>
              <w:rPr>
                <w:sz w:val="15"/>
                <w:szCs w:val="15"/>
                <w:color w:val="auto"/>
              </w:rPr>
            </w:pPr>
          </w:p>
        </w:tc>
        <w:tc>
          <w:tcPr>
            <w:tcW w:w="9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3"/>
                <w:szCs w:val="13"/>
                <w:color w:val="auto"/>
              </w:rPr>
              <w:t>346</w:t>
            </w:r>
          </w:p>
        </w:tc>
        <w:tc>
          <w:tcPr>
            <w:tcW w:w="20" w:type="dxa"/>
            <w:vAlign w:val="bottom"/>
            <w:tcBorders>
              <w:bottom w:val="single" w:sz="8" w:color="auto"/>
            </w:tcBorders>
          </w:tcPr>
          <w:p>
            <w:pPr>
              <w:spacing w:after="0"/>
              <w:rPr>
                <w:sz w:val="15"/>
                <w:szCs w:val="15"/>
                <w:color w:val="auto"/>
              </w:rPr>
            </w:pPr>
          </w:p>
        </w:tc>
        <w:tc>
          <w:tcPr>
            <w:tcW w:w="60" w:type="dxa"/>
            <w:vAlign w:val="bottom"/>
            <w:tcBorders>
              <w:bottom w:val="single" w:sz="8" w:color="CCEEFF"/>
            </w:tcBorders>
          </w:tcPr>
          <w:p>
            <w:pPr>
              <w:spacing w:after="0"/>
              <w:rPr>
                <w:sz w:val="15"/>
                <w:szCs w:val="15"/>
                <w:color w:val="auto"/>
              </w:rPr>
            </w:pPr>
          </w:p>
        </w:tc>
        <w:tc>
          <w:tcPr>
            <w:tcW w:w="20" w:type="dxa"/>
            <w:vAlign w:val="bottom"/>
            <w:tcBorders>
              <w:bottom w:val="single" w:sz="8" w:color="CCEEFF"/>
            </w:tcBorders>
          </w:tcPr>
          <w:p>
            <w:pPr>
              <w:spacing w:after="0"/>
              <w:rPr>
                <w:sz w:val="15"/>
                <w:szCs w:val="15"/>
                <w:color w:val="auto"/>
              </w:rPr>
            </w:pPr>
          </w:p>
        </w:tc>
        <w:tc>
          <w:tcPr>
            <w:tcW w:w="260" w:type="dxa"/>
            <w:vAlign w:val="bottom"/>
            <w:tcBorders>
              <w:bottom w:val="single" w:sz="8" w:color="auto"/>
            </w:tcBorders>
          </w:tcPr>
          <w:p>
            <w:pPr>
              <w:spacing w:after="0"/>
              <w:rPr>
                <w:sz w:val="15"/>
                <w:szCs w:val="15"/>
                <w:color w:val="auto"/>
              </w:rPr>
            </w:pPr>
          </w:p>
        </w:tc>
        <w:tc>
          <w:tcPr>
            <w:tcW w:w="9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3"/>
                <w:szCs w:val="13"/>
                <w:color w:val="auto"/>
              </w:rPr>
              <w:t>1,669</w:t>
            </w:r>
          </w:p>
        </w:tc>
        <w:tc>
          <w:tcPr>
            <w:tcW w:w="20" w:type="dxa"/>
            <w:vAlign w:val="bottom"/>
            <w:tcBorders>
              <w:bottom w:val="single" w:sz="8" w:color="CCEEFF"/>
            </w:tcBorders>
          </w:tcPr>
          <w:p>
            <w:pPr>
              <w:spacing w:after="0"/>
              <w:rPr>
                <w:sz w:val="15"/>
                <w:szCs w:val="15"/>
                <w:color w:val="auto"/>
              </w:rPr>
            </w:pPr>
          </w:p>
        </w:tc>
        <w:tc>
          <w:tcPr>
            <w:tcW w:w="80" w:type="dxa"/>
            <w:vAlign w:val="bottom"/>
            <w:tcBorders>
              <w:bottom w:val="single" w:sz="8" w:color="CCEEFF"/>
            </w:tcBorders>
          </w:tcPr>
          <w:p>
            <w:pPr>
              <w:spacing w:after="0"/>
              <w:rPr>
                <w:sz w:val="15"/>
                <w:szCs w:val="15"/>
                <w:color w:val="auto"/>
              </w:rPr>
            </w:pPr>
          </w:p>
        </w:tc>
        <w:tc>
          <w:tcPr>
            <w:tcW w:w="20" w:type="dxa"/>
            <w:vAlign w:val="bottom"/>
            <w:tcBorders>
              <w:bottom w:val="single" w:sz="8" w:color="auto"/>
            </w:tcBorders>
          </w:tcPr>
          <w:p>
            <w:pPr>
              <w:spacing w:after="0"/>
              <w:rPr>
                <w:sz w:val="15"/>
                <w:szCs w:val="15"/>
                <w:color w:val="auto"/>
              </w:rPr>
            </w:pPr>
          </w:p>
        </w:tc>
        <w:tc>
          <w:tcPr>
            <w:tcW w:w="260" w:type="dxa"/>
            <w:vAlign w:val="bottom"/>
            <w:tcBorders>
              <w:bottom w:val="single" w:sz="8" w:color="auto"/>
            </w:tcBorders>
          </w:tcPr>
          <w:p>
            <w:pPr>
              <w:spacing w:after="0"/>
              <w:rPr>
                <w:sz w:val="15"/>
                <w:szCs w:val="15"/>
                <w:color w:val="auto"/>
              </w:rPr>
            </w:pPr>
          </w:p>
        </w:tc>
        <w:tc>
          <w:tcPr>
            <w:tcW w:w="9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3"/>
                <w:szCs w:val="13"/>
                <w:color w:val="auto"/>
              </w:rPr>
              <w:t>534</w:t>
            </w:r>
          </w:p>
        </w:tc>
        <w:tc>
          <w:tcPr>
            <w:tcW w:w="4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96"/>
        </w:trPr>
        <w:tc>
          <w:tcPr>
            <w:tcW w:w="4140" w:type="dxa"/>
            <w:vAlign w:val="bottom"/>
            <w:tcBorders>
              <w:bottom w:val="single" w:sz="8" w:color="CCEEFF"/>
            </w:tcBorders>
            <w:shd w:val="clear" w:color="auto" w:fill="CCEEFF"/>
          </w:tcPr>
          <w:p>
            <w:pPr>
              <w:ind w:left="280"/>
              <w:spacing w:after="0"/>
              <w:rPr>
                <w:sz w:val="20"/>
                <w:szCs w:val="20"/>
                <w:color w:val="auto"/>
              </w:rPr>
            </w:pPr>
            <w:r>
              <w:rPr>
                <w:rFonts w:ascii="Times New Roman" w:cs="Times New Roman" w:eastAsia="Times New Roman" w:hAnsi="Times New Roman"/>
                <w:sz w:val="14"/>
                <w:szCs w:val="14"/>
                <w:color w:val="auto"/>
              </w:rPr>
              <w:t>Total revenues</w:t>
            </w:r>
          </w:p>
        </w:tc>
        <w:tc>
          <w:tcPr>
            <w:tcW w:w="220" w:type="dxa"/>
            <w:vAlign w:val="bottom"/>
            <w:tcBorders>
              <w:bottom w:val="single" w:sz="8" w:color="CCEEFF"/>
            </w:tcBorders>
            <w:shd w:val="clear" w:color="auto" w:fill="CCEEFF"/>
          </w:tcPr>
          <w:p>
            <w:pPr>
              <w:spacing w:after="0"/>
              <w:rPr>
                <w:sz w:val="16"/>
                <w:szCs w:val="16"/>
                <w:color w:val="auto"/>
              </w:rPr>
            </w:pPr>
          </w:p>
        </w:tc>
        <w:tc>
          <w:tcPr>
            <w:tcW w:w="1000" w:type="dxa"/>
            <w:vAlign w:val="bottom"/>
            <w:tcBorders>
              <w:bottom w:val="single" w:sz="8" w:color="CCEEFF"/>
            </w:tcBorders>
            <w:shd w:val="clear" w:color="auto" w:fill="CCEEFF"/>
          </w:tcPr>
          <w:p>
            <w:pPr>
              <w:spacing w:after="0"/>
              <w:rPr>
                <w:sz w:val="16"/>
                <w:szCs w:val="16"/>
                <w:color w:val="auto"/>
              </w:rPr>
            </w:pPr>
          </w:p>
        </w:tc>
        <w:tc>
          <w:tcPr>
            <w:tcW w:w="100" w:type="dxa"/>
            <w:vAlign w:val="bottom"/>
            <w:tcBorders>
              <w:bottom w:val="single" w:sz="8" w:color="CCEEFF"/>
            </w:tcBorders>
            <w:shd w:val="clear" w:color="auto" w:fill="CCEEFF"/>
          </w:tcPr>
          <w:p>
            <w:pPr>
              <w:spacing w:after="0"/>
              <w:rPr>
                <w:sz w:val="16"/>
                <w:szCs w:val="16"/>
                <w:color w:val="auto"/>
              </w:rPr>
            </w:pPr>
          </w:p>
        </w:tc>
        <w:tc>
          <w:tcPr>
            <w:tcW w:w="100" w:type="dxa"/>
            <w:vAlign w:val="bottom"/>
            <w:tcBorders>
              <w:bottom w:val="single" w:sz="8" w:color="CCEEFF"/>
            </w:tcBorders>
            <w:shd w:val="clear" w:color="auto" w:fill="CCEEFF"/>
          </w:tcPr>
          <w:p>
            <w:pPr>
              <w:spacing w:after="0"/>
              <w:rPr>
                <w:sz w:val="16"/>
                <w:szCs w:val="16"/>
                <w:color w:val="auto"/>
              </w:rPr>
            </w:pPr>
          </w:p>
        </w:tc>
        <w:tc>
          <w:tcPr>
            <w:tcW w:w="1120" w:type="dxa"/>
            <w:vAlign w:val="bottom"/>
            <w:tcBorders>
              <w:bottom w:val="single" w:sz="8" w:color="CCEEFF"/>
            </w:tcBorders>
            <w:shd w:val="clear" w:color="auto" w:fill="CCEEFF"/>
          </w:tcPr>
          <w:p>
            <w:pPr>
              <w:spacing w:after="0"/>
              <w:rPr>
                <w:sz w:val="16"/>
                <w:szCs w:val="16"/>
                <w:color w:val="auto"/>
              </w:rPr>
            </w:pPr>
          </w:p>
        </w:tc>
        <w:tc>
          <w:tcPr>
            <w:tcW w:w="100" w:type="dxa"/>
            <w:vAlign w:val="bottom"/>
            <w:tcBorders>
              <w:bottom w:val="single" w:sz="8" w:color="CCEEFF"/>
            </w:tcBorders>
            <w:shd w:val="clear" w:color="auto" w:fill="CCEEFF"/>
          </w:tcPr>
          <w:p>
            <w:pPr>
              <w:spacing w:after="0"/>
              <w:rPr>
                <w:sz w:val="16"/>
                <w:szCs w:val="16"/>
                <w:color w:val="auto"/>
              </w:rPr>
            </w:pPr>
          </w:p>
        </w:tc>
        <w:tc>
          <w:tcPr>
            <w:tcW w:w="240" w:type="dxa"/>
            <w:vAlign w:val="bottom"/>
            <w:tcBorders>
              <w:bottom w:val="single" w:sz="8" w:color="CCEEFF"/>
            </w:tcBorders>
            <w:shd w:val="clear" w:color="auto" w:fill="CCEEFF"/>
          </w:tcPr>
          <w:p>
            <w:pPr>
              <w:spacing w:after="0"/>
              <w:rPr>
                <w:sz w:val="16"/>
                <w:szCs w:val="16"/>
                <w:color w:val="auto"/>
              </w:rPr>
            </w:pPr>
          </w:p>
        </w:tc>
        <w:tc>
          <w:tcPr>
            <w:tcW w:w="440" w:type="dxa"/>
            <w:vAlign w:val="bottom"/>
            <w:tcBorders>
              <w:bottom w:val="single" w:sz="8" w:color="CCEEFF"/>
            </w:tcBorders>
            <w:shd w:val="clear" w:color="auto" w:fill="CCEEFF"/>
          </w:tcPr>
          <w:p>
            <w:pPr>
              <w:spacing w:after="0"/>
              <w:rPr>
                <w:sz w:val="16"/>
                <w:szCs w:val="16"/>
                <w:color w:val="auto"/>
              </w:rPr>
            </w:pPr>
          </w:p>
        </w:tc>
        <w:tc>
          <w:tcPr>
            <w:tcW w:w="260" w:type="dxa"/>
            <w:vAlign w:val="bottom"/>
            <w:tcBorders>
              <w:bottom w:val="single" w:sz="8" w:color="auto"/>
            </w:tcBorders>
            <w:shd w:val="clear" w:color="auto" w:fill="CCEEFF"/>
          </w:tcPr>
          <w:p>
            <w:pPr>
              <w:jc w:val="right"/>
              <w:ind w:right="113"/>
              <w:spacing w:after="0"/>
              <w:rPr>
                <w:sz w:val="20"/>
                <w:szCs w:val="20"/>
                <w:color w:val="auto"/>
              </w:rPr>
            </w:pPr>
            <w:r>
              <w:rPr>
                <w:rFonts w:ascii="Times New Roman" w:cs="Times New Roman" w:eastAsia="Times New Roman" w:hAnsi="Times New Roman"/>
                <w:sz w:val="13"/>
                <w:szCs w:val="13"/>
                <w:color w:val="auto"/>
                <w:w w:val="91"/>
              </w:rPr>
              <w:t>$</w:t>
            </w:r>
          </w:p>
        </w:tc>
        <w:tc>
          <w:tcPr>
            <w:tcW w:w="9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97,762</w:t>
            </w:r>
          </w:p>
        </w:tc>
        <w:tc>
          <w:tcPr>
            <w:tcW w:w="20" w:type="dxa"/>
            <w:vAlign w:val="bottom"/>
            <w:tcBorders>
              <w:bottom w:val="single" w:sz="8" w:color="auto"/>
            </w:tcBorders>
            <w:shd w:val="clear" w:color="auto" w:fill="CCEEFF"/>
          </w:tcPr>
          <w:p>
            <w:pPr>
              <w:spacing w:after="0"/>
              <w:rPr>
                <w:sz w:val="16"/>
                <w:szCs w:val="16"/>
                <w:color w:val="auto"/>
              </w:rPr>
            </w:pPr>
          </w:p>
        </w:tc>
        <w:tc>
          <w:tcPr>
            <w:tcW w:w="60" w:type="dxa"/>
            <w:vAlign w:val="bottom"/>
            <w:tcBorders>
              <w:bottom w:val="single" w:sz="8" w:color="CCEEFF"/>
            </w:tcBorders>
            <w:shd w:val="clear" w:color="auto" w:fill="CCEEFF"/>
          </w:tcPr>
          <w:p>
            <w:pPr>
              <w:spacing w:after="0"/>
              <w:rPr>
                <w:sz w:val="16"/>
                <w:szCs w:val="16"/>
                <w:color w:val="auto"/>
              </w:rPr>
            </w:pPr>
          </w:p>
        </w:tc>
        <w:tc>
          <w:tcPr>
            <w:tcW w:w="20" w:type="dxa"/>
            <w:vAlign w:val="bottom"/>
            <w:tcBorders>
              <w:bottom w:val="single" w:sz="8" w:color="CCEEFF"/>
            </w:tcBorders>
            <w:shd w:val="clear" w:color="auto" w:fill="CCEEFF"/>
          </w:tcPr>
          <w:p>
            <w:pPr>
              <w:spacing w:after="0"/>
              <w:rPr>
                <w:sz w:val="16"/>
                <w:szCs w:val="16"/>
                <w:color w:val="auto"/>
              </w:rPr>
            </w:pPr>
          </w:p>
        </w:tc>
        <w:tc>
          <w:tcPr>
            <w:tcW w:w="260" w:type="dxa"/>
            <w:vAlign w:val="bottom"/>
            <w:tcBorders>
              <w:bottom w:val="single" w:sz="8" w:color="auto"/>
            </w:tcBorders>
            <w:shd w:val="clear" w:color="auto" w:fill="CCEEFF"/>
          </w:tcPr>
          <w:p>
            <w:pPr>
              <w:jc w:val="right"/>
              <w:ind w:right="113"/>
              <w:spacing w:after="0"/>
              <w:rPr>
                <w:sz w:val="20"/>
                <w:szCs w:val="20"/>
                <w:color w:val="auto"/>
              </w:rPr>
            </w:pPr>
            <w:r>
              <w:rPr>
                <w:rFonts w:ascii="Times New Roman" w:cs="Times New Roman" w:eastAsia="Times New Roman" w:hAnsi="Times New Roman"/>
                <w:sz w:val="13"/>
                <w:szCs w:val="13"/>
                <w:color w:val="auto"/>
                <w:w w:val="91"/>
              </w:rPr>
              <w:t>$</w:t>
            </w:r>
          </w:p>
        </w:tc>
        <w:tc>
          <w:tcPr>
            <w:tcW w:w="9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94,721</w:t>
            </w:r>
          </w:p>
        </w:tc>
        <w:tc>
          <w:tcPr>
            <w:tcW w:w="20" w:type="dxa"/>
            <w:vAlign w:val="bottom"/>
            <w:tcBorders>
              <w:bottom w:val="single" w:sz="8" w:color="CCEEFF"/>
            </w:tcBorders>
            <w:shd w:val="clear" w:color="auto" w:fill="CCEEFF"/>
          </w:tcPr>
          <w:p>
            <w:pPr>
              <w:spacing w:after="0"/>
              <w:rPr>
                <w:sz w:val="16"/>
                <w:szCs w:val="16"/>
                <w:color w:val="auto"/>
              </w:rPr>
            </w:pPr>
          </w:p>
        </w:tc>
        <w:tc>
          <w:tcPr>
            <w:tcW w:w="80" w:type="dxa"/>
            <w:vAlign w:val="bottom"/>
            <w:tcBorders>
              <w:bottom w:val="single" w:sz="8" w:color="CCEEFF"/>
            </w:tcBorders>
            <w:shd w:val="clear" w:color="auto" w:fill="CCEEFF"/>
          </w:tcPr>
          <w:p>
            <w:pPr>
              <w:spacing w:after="0"/>
              <w:rPr>
                <w:sz w:val="16"/>
                <w:szCs w:val="16"/>
                <w:color w:val="auto"/>
              </w:rPr>
            </w:pPr>
          </w:p>
        </w:tc>
        <w:tc>
          <w:tcPr>
            <w:tcW w:w="20" w:type="dxa"/>
            <w:vAlign w:val="bottom"/>
            <w:tcBorders>
              <w:bottom w:val="single" w:sz="8" w:color="auto"/>
            </w:tcBorders>
            <w:shd w:val="clear" w:color="auto" w:fill="CCEEFF"/>
          </w:tcPr>
          <w:p>
            <w:pPr>
              <w:spacing w:after="0"/>
              <w:rPr>
                <w:sz w:val="16"/>
                <w:szCs w:val="16"/>
                <w:color w:val="auto"/>
              </w:rPr>
            </w:pPr>
          </w:p>
        </w:tc>
        <w:tc>
          <w:tcPr>
            <w:tcW w:w="260" w:type="dxa"/>
            <w:vAlign w:val="bottom"/>
            <w:tcBorders>
              <w:bottom w:val="single" w:sz="8" w:color="auto"/>
            </w:tcBorders>
            <w:shd w:val="clear" w:color="auto" w:fill="CCEEFF"/>
          </w:tcPr>
          <w:p>
            <w:pPr>
              <w:spacing w:after="0"/>
              <w:rPr>
                <w:sz w:val="20"/>
                <w:szCs w:val="20"/>
                <w:color w:val="auto"/>
              </w:rPr>
            </w:pPr>
            <w:r>
              <w:rPr>
                <w:rFonts w:ascii="Times New Roman" w:cs="Times New Roman" w:eastAsia="Times New Roman" w:hAnsi="Times New Roman"/>
                <w:sz w:val="13"/>
                <w:szCs w:val="13"/>
                <w:color w:val="auto"/>
              </w:rPr>
              <w:t>$</w:t>
            </w:r>
          </w:p>
        </w:tc>
        <w:tc>
          <w:tcPr>
            <w:tcW w:w="9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89,781</w:t>
            </w:r>
          </w:p>
        </w:tc>
        <w:tc>
          <w:tcPr>
            <w:tcW w:w="4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0"/>
        </w:trPr>
        <w:tc>
          <w:tcPr>
            <w:tcW w:w="6780" w:type="dxa"/>
            <w:vAlign w:val="bottom"/>
            <w:tcBorders>
              <w:top w:val="single" w:sz="8" w:color="CCEEFF"/>
              <w:bottom w:val="single" w:sz="8" w:color="CCEEFF"/>
            </w:tcBorders>
            <w:gridSpan w:val="7"/>
            <w:vMerge w:val="restart"/>
          </w:tcPr>
          <w:p>
            <w:pPr>
              <w:ind w:left="380"/>
              <w:spacing w:after="0"/>
              <w:rPr>
                <w:sz w:val="20"/>
                <w:szCs w:val="20"/>
                <w:color w:val="auto"/>
              </w:rPr>
            </w:pPr>
            <w:r>
              <w:rPr>
                <w:rFonts w:ascii="Times New Roman" w:cs="Times New Roman" w:eastAsia="Times New Roman" w:hAnsi="Times New Roman"/>
                <w:sz w:val="14"/>
                <w:szCs w:val="14"/>
                <w:color w:val="auto"/>
              </w:rPr>
              <w:t>The following table presents our revenue disaggregated by our clients' geographical locations (in thousands):</w:t>
            </w:r>
          </w:p>
        </w:tc>
        <w:tc>
          <w:tcPr>
            <w:tcW w:w="240" w:type="dxa"/>
            <w:vAlign w:val="bottom"/>
            <w:tcBorders>
              <w:top w:val="single" w:sz="8" w:color="CCEEFF"/>
            </w:tcBorders>
          </w:tcPr>
          <w:p>
            <w:pPr>
              <w:spacing w:after="0" w:line="20" w:lineRule="exact"/>
              <w:rPr>
                <w:sz w:val="1"/>
                <w:szCs w:val="1"/>
                <w:color w:val="auto"/>
              </w:rPr>
            </w:pPr>
          </w:p>
        </w:tc>
        <w:tc>
          <w:tcPr>
            <w:tcW w:w="440" w:type="dxa"/>
            <w:vAlign w:val="bottom"/>
            <w:tcBorders>
              <w:top w:val="single" w:sz="8" w:color="CCEEFF"/>
            </w:tcBorders>
          </w:tcPr>
          <w:p>
            <w:pPr>
              <w:spacing w:after="0" w:line="20" w:lineRule="exact"/>
              <w:rPr>
                <w:sz w:val="1"/>
                <w:szCs w:val="1"/>
                <w:color w:val="auto"/>
              </w:rPr>
            </w:pPr>
          </w:p>
        </w:tc>
        <w:tc>
          <w:tcPr>
            <w:tcW w:w="260" w:type="dxa"/>
            <w:vAlign w:val="bottom"/>
            <w:tcBorders>
              <w:top w:val="single" w:sz="8" w:color="CCEEFF"/>
              <w:bottom w:val="single" w:sz="8" w:color="auto"/>
            </w:tcBorders>
          </w:tcPr>
          <w:p>
            <w:pPr>
              <w:spacing w:after="0" w:line="20" w:lineRule="exact"/>
              <w:rPr>
                <w:sz w:val="1"/>
                <w:szCs w:val="1"/>
                <w:color w:val="auto"/>
              </w:rPr>
            </w:pPr>
          </w:p>
        </w:tc>
        <w:tc>
          <w:tcPr>
            <w:tcW w:w="920" w:type="dxa"/>
            <w:vAlign w:val="bottom"/>
            <w:tcBorders>
              <w:top w:val="single" w:sz="8" w:color="CCEEFF"/>
              <w:bottom w:val="single" w:sz="8" w:color="auto"/>
            </w:tcBorders>
          </w:tcPr>
          <w:p>
            <w:pPr>
              <w:spacing w:after="0" w:line="20" w:lineRule="exact"/>
              <w:rPr>
                <w:sz w:val="1"/>
                <w:szCs w:val="1"/>
                <w:color w:val="auto"/>
              </w:rPr>
            </w:pPr>
          </w:p>
        </w:tc>
        <w:tc>
          <w:tcPr>
            <w:tcW w:w="20" w:type="dxa"/>
            <w:vAlign w:val="bottom"/>
            <w:tcBorders>
              <w:top w:val="single" w:sz="8" w:color="CCEEFF"/>
              <w:bottom w:val="single" w:sz="8" w:color="auto"/>
            </w:tcBorders>
          </w:tcPr>
          <w:p>
            <w:pPr>
              <w:spacing w:after="0" w:line="20" w:lineRule="exact"/>
              <w:rPr>
                <w:sz w:val="1"/>
                <w:szCs w:val="1"/>
                <w:color w:val="auto"/>
              </w:rPr>
            </w:pPr>
          </w:p>
        </w:tc>
        <w:tc>
          <w:tcPr>
            <w:tcW w:w="60" w:type="dxa"/>
            <w:vAlign w:val="bottom"/>
            <w:tcBorders>
              <w:top w:val="single" w:sz="8" w:color="CCEEFF"/>
            </w:tcBorders>
          </w:tcPr>
          <w:p>
            <w:pPr>
              <w:spacing w:after="0" w:line="20" w:lineRule="exact"/>
              <w:rPr>
                <w:sz w:val="1"/>
                <w:szCs w:val="1"/>
                <w:color w:val="auto"/>
              </w:rPr>
            </w:pPr>
          </w:p>
        </w:tc>
        <w:tc>
          <w:tcPr>
            <w:tcW w:w="20" w:type="dxa"/>
            <w:vAlign w:val="bottom"/>
            <w:tcBorders>
              <w:top w:val="single" w:sz="8" w:color="CCEEFF"/>
            </w:tcBorders>
          </w:tcPr>
          <w:p>
            <w:pPr>
              <w:spacing w:after="0" w:line="20" w:lineRule="exact"/>
              <w:rPr>
                <w:sz w:val="1"/>
                <w:szCs w:val="1"/>
                <w:color w:val="auto"/>
              </w:rPr>
            </w:pPr>
          </w:p>
        </w:tc>
        <w:tc>
          <w:tcPr>
            <w:tcW w:w="260" w:type="dxa"/>
            <w:vAlign w:val="bottom"/>
            <w:tcBorders>
              <w:top w:val="single" w:sz="8" w:color="CCEEFF"/>
              <w:bottom w:val="single" w:sz="8" w:color="auto"/>
            </w:tcBorders>
          </w:tcPr>
          <w:p>
            <w:pPr>
              <w:spacing w:after="0" w:line="20" w:lineRule="exact"/>
              <w:rPr>
                <w:sz w:val="1"/>
                <w:szCs w:val="1"/>
                <w:color w:val="auto"/>
              </w:rPr>
            </w:pPr>
          </w:p>
        </w:tc>
        <w:tc>
          <w:tcPr>
            <w:tcW w:w="940" w:type="dxa"/>
            <w:vAlign w:val="bottom"/>
            <w:tcBorders>
              <w:top w:val="single" w:sz="8" w:color="CCEEFF"/>
              <w:bottom w:val="single" w:sz="8" w:color="auto"/>
            </w:tcBorders>
          </w:tcPr>
          <w:p>
            <w:pPr>
              <w:spacing w:after="0" w:line="20" w:lineRule="exact"/>
              <w:rPr>
                <w:sz w:val="1"/>
                <w:szCs w:val="1"/>
                <w:color w:val="auto"/>
              </w:rPr>
            </w:pPr>
          </w:p>
        </w:tc>
        <w:tc>
          <w:tcPr>
            <w:tcW w:w="20" w:type="dxa"/>
            <w:vAlign w:val="bottom"/>
            <w:tcBorders>
              <w:top w:val="single" w:sz="8" w:color="CCEEFF"/>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20" w:type="dxa"/>
            <w:vAlign w:val="bottom"/>
            <w:tcBorders>
              <w:top w:val="single" w:sz="8" w:color="CCEEFF"/>
              <w:bottom w:val="single" w:sz="8" w:color="auto"/>
            </w:tcBorders>
          </w:tcPr>
          <w:p>
            <w:pPr>
              <w:spacing w:after="0" w:line="20" w:lineRule="exact"/>
              <w:rPr>
                <w:sz w:val="1"/>
                <w:szCs w:val="1"/>
                <w:color w:val="auto"/>
              </w:rPr>
            </w:pPr>
          </w:p>
        </w:tc>
        <w:tc>
          <w:tcPr>
            <w:tcW w:w="260" w:type="dxa"/>
            <w:vAlign w:val="bottom"/>
            <w:tcBorders>
              <w:top w:val="single" w:sz="8" w:color="CCEEFF"/>
              <w:bottom w:val="single" w:sz="8" w:color="auto"/>
            </w:tcBorders>
          </w:tcPr>
          <w:p>
            <w:pPr>
              <w:spacing w:after="0" w:line="20" w:lineRule="exact"/>
              <w:rPr>
                <w:sz w:val="1"/>
                <w:szCs w:val="1"/>
                <w:color w:val="auto"/>
              </w:rPr>
            </w:pPr>
          </w:p>
        </w:tc>
        <w:tc>
          <w:tcPr>
            <w:tcW w:w="920" w:type="dxa"/>
            <w:vAlign w:val="bottom"/>
            <w:tcBorders>
              <w:top w:val="single" w:sz="8" w:color="CCEEFF"/>
              <w:bottom w:val="single" w:sz="8" w:color="auto"/>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397"/>
        </w:trPr>
        <w:tc>
          <w:tcPr>
            <w:tcW w:w="6780" w:type="dxa"/>
            <w:vAlign w:val="bottom"/>
            <w:gridSpan w:val="7"/>
            <w:vMerge w:val="continue"/>
          </w:tcPr>
          <w:p>
            <w:pPr>
              <w:spacing w:after="0"/>
              <w:rPr>
                <w:sz w:val="24"/>
                <w:szCs w:val="24"/>
                <w:color w:val="auto"/>
              </w:rPr>
            </w:pPr>
          </w:p>
        </w:tc>
        <w:tc>
          <w:tcPr>
            <w:tcW w:w="240" w:type="dxa"/>
            <w:vAlign w:val="bottom"/>
          </w:tcPr>
          <w:p>
            <w:pPr>
              <w:spacing w:after="0"/>
              <w:rPr>
                <w:sz w:val="24"/>
                <w:szCs w:val="24"/>
                <w:color w:val="auto"/>
              </w:rPr>
            </w:pPr>
          </w:p>
        </w:tc>
        <w:tc>
          <w:tcPr>
            <w:tcW w:w="44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9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94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92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89"/>
        </w:trPr>
        <w:tc>
          <w:tcPr>
            <w:tcW w:w="4140" w:type="dxa"/>
            <w:vAlign w:val="bottom"/>
          </w:tcPr>
          <w:p>
            <w:pPr>
              <w:ind w:left="20"/>
              <w:spacing w:after="0"/>
              <w:rPr>
                <w:sz w:val="20"/>
                <w:szCs w:val="20"/>
                <w:color w:val="auto"/>
              </w:rPr>
            </w:pPr>
            <w:r>
              <w:rPr>
                <w:rFonts w:ascii="Times New Roman" w:cs="Times New Roman" w:eastAsia="Times New Roman" w:hAnsi="Times New Roman"/>
                <w:sz w:val="13"/>
                <w:szCs w:val="13"/>
                <w:b w:val="1"/>
                <w:bCs w:val="1"/>
                <w:color w:val="auto"/>
              </w:rPr>
              <w:t>Year Ended December 31, 2025</w:t>
            </w:r>
          </w:p>
        </w:tc>
        <w:tc>
          <w:tcPr>
            <w:tcW w:w="220" w:type="dxa"/>
            <w:vAlign w:val="bottom"/>
          </w:tcPr>
          <w:p>
            <w:pPr>
              <w:spacing w:after="0"/>
              <w:rPr>
                <w:sz w:val="16"/>
                <w:szCs w:val="16"/>
                <w:color w:val="auto"/>
              </w:rPr>
            </w:pPr>
          </w:p>
        </w:tc>
        <w:tc>
          <w:tcPr>
            <w:tcW w:w="1100" w:type="dxa"/>
            <w:vAlign w:val="bottom"/>
            <w:gridSpan w:val="2"/>
          </w:tcPr>
          <w:p>
            <w:pPr>
              <w:ind w:left="140"/>
              <w:spacing w:after="0"/>
              <w:rPr>
                <w:sz w:val="20"/>
                <w:szCs w:val="20"/>
                <w:color w:val="auto"/>
              </w:rPr>
            </w:pPr>
            <w:r>
              <w:rPr>
                <w:rFonts w:ascii="Times New Roman" w:cs="Times New Roman" w:eastAsia="Times New Roman" w:hAnsi="Times New Roman"/>
                <w:sz w:val="13"/>
                <w:szCs w:val="13"/>
                <w:b w:val="1"/>
                <w:bCs w:val="1"/>
                <w:color w:val="auto"/>
              </w:rPr>
              <w:t>Advisory</w:t>
            </w:r>
          </w:p>
        </w:tc>
        <w:tc>
          <w:tcPr>
            <w:tcW w:w="100" w:type="dxa"/>
            <w:vAlign w:val="bottom"/>
          </w:tcPr>
          <w:p>
            <w:pPr>
              <w:spacing w:after="0"/>
              <w:rPr>
                <w:sz w:val="16"/>
                <w:szCs w:val="16"/>
                <w:color w:val="auto"/>
              </w:rPr>
            </w:pPr>
          </w:p>
        </w:tc>
        <w:tc>
          <w:tcPr>
            <w:tcW w:w="1220" w:type="dxa"/>
            <w:vAlign w:val="bottom"/>
            <w:gridSpan w:val="2"/>
          </w:tcPr>
          <w:p>
            <w:pPr>
              <w:ind w:left="360"/>
              <w:spacing w:after="0"/>
              <w:rPr>
                <w:sz w:val="20"/>
                <w:szCs w:val="20"/>
                <w:color w:val="auto"/>
              </w:rPr>
            </w:pPr>
            <w:r>
              <w:rPr>
                <w:rFonts w:ascii="Times New Roman" w:cs="Times New Roman" w:eastAsia="Times New Roman" w:hAnsi="Times New Roman"/>
                <w:sz w:val="13"/>
                <w:szCs w:val="13"/>
                <w:b w:val="1"/>
                <w:bCs w:val="1"/>
                <w:color w:val="auto"/>
              </w:rPr>
              <w:t>Trust</w:t>
            </w:r>
          </w:p>
        </w:tc>
        <w:tc>
          <w:tcPr>
            <w:tcW w:w="240" w:type="dxa"/>
            <w:vAlign w:val="bottom"/>
          </w:tcPr>
          <w:p>
            <w:pPr>
              <w:spacing w:after="0"/>
              <w:rPr>
                <w:sz w:val="16"/>
                <w:szCs w:val="16"/>
                <w:color w:val="auto"/>
              </w:rPr>
            </w:pPr>
          </w:p>
        </w:tc>
        <w:tc>
          <w:tcPr>
            <w:tcW w:w="1620" w:type="dxa"/>
            <w:vAlign w:val="bottom"/>
            <w:gridSpan w:val="3"/>
          </w:tcPr>
          <w:p>
            <w:pPr>
              <w:jc w:val="right"/>
              <w:ind w:right="333"/>
              <w:spacing w:after="0"/>
              <w:rPr>
                <w:sz w:val="20"/>
                <w:szCs w:val="20"/>
                <w:color w:val="auto"/>
              </w:rPr>
            </w:pPr>
            <w:r>
              <w:rPr>
                <w:rFonts w:ascii="Times New Roman" w:cs="Times New Roman" w:eastAsia="Times New Roman" w:hAnsi="Times New Roman"/>
                <w:sz w:val="13"/>
                <w:szCs w:val="13"/>
                <w:b w:val="1"/>
                <w:bCs w:val="1"/>
                <w:color w:val="auto"/>
              </w:rPr>
              <w:t>Performance-based</w:t>
            </w:r>
          </w:p>
        </w:tc>
        <w:tc>
          <w:tcPr>
            <w:tcW w:w="20" w:type="dxa"/>
            <w:vAlign w:val="bottom"/>
          </w:tcPr>
          <w:p>
            <w:pPr>
              <w:spacing w:after="0"/>
              <w:rPr>
                <w:sz w:val="16"/>
                <w:szCs w:val="16"/>
                <w:color w:val="auto"/>
              </w:rPr>
            </w:pPr>
          </w:p>
        </w:tc>
        <w:tc>
          <w:tcPr>
            <w:tcW w:w="6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260" w:type="dxa"/>
            <w:vAlign w:val="bottom"/>
          </w:tcPr>
          <w:p>
            <w:pPr>
              <w:spacing w:after="0"/>
              <w:rPr>
                <w:sz w:val="16"/>
                <w:szCs w:val="16"/>
                <w:color w:val="auto"/>
              </w:rPr>
            </w:pPr>
          </w:p>
        </w:tc>
        <w:tc>
          <w:tcPr>
            <w:tcW w:w="1060" w:type="dxa"/>
            <w:vAlign w:val="bottom"/>
            <w:gridSpan w:val="4"/>
          </w:tcPr>
          <w:p>
            <w:pPr>
              <w:jc w:val="center"/>
              <w:ind w:right="380"/>
              <w:spacing w:after="0"/>
              <w:rPr>
                <w:sz w:val="20"/>
                <w:szCs w:val="20"/>
                <w:color w:val="auto"/>
              </w:rPr>
            </w:pPr>
            <w:r>
              <w:rPr>
                <w:rFonts w:ascii="Times New Roman" w:cs="Times New Roman" w:eastAsia="Times New Roman" w:hAnsi="Times New Roman"/>
                <w:sz w:val="13"/>
                <w:szCs w:val="13"/>
                <w:b w:val="1"/>
                <w:bCs w:val="1"/>
                <w:color w:val="auto"/>
                <w:w w:val="96"/>
              </w:rPr>
              <w:t>Other</w:t>
            </w:r>
          </w:p>
        </w:tc>
        <w:tc>
          <w:tcPr>
            <w:tcW w:w="260" w:type="dxa"/>
            <w:vAlign w:val="bottom"/>
          </w:tcPr>
          <w:p>
            <w:pPr>
              <w:spacing w:after="0"/>
              <w:rPr>
                <w:sz w:val="16"/>
                <w:szCs w:val="16"/>
                <w:color w:val="auto"/>
              </w:rPr>
            </w:pPr>
          </w:p>
        </w:tc>
        <w:tc>
          <w:tcPr>
            <w:tcW w:w="960" w:type="dxa"/>
            <w:vAlign w:val="bottom"/>
            <w:gridSpan w:val="2"/>
          </w:tcPr>
          <w:p>
            <w:pPr>
              <w:ind w:left="200"/>
              <w:spacing w:after="0"/>
              <w:rPr>
                <w:sz w:val="20"/>
                <w:szCs w:val="20"/>
                <w:color w:val="auto"/>
              </w:rPr>
            </w:pPr>
            <w:r>
              <w:rPr>
                <w:rFonts w:ascii="Times New Roman" w:cs="Times New Roman" w:eastAsia="Times New Roman" w:hAnsi="Times New Roman"/>
                <w:sz w:val="13"/>
                <w:szCs w:val="13"/>
                <w:b w:val="1"/>
                <w:bCs w:val="1"/>
                <w:color w:val="auto"/>
              </w:rPr>
              <w:t>Total</w:t>
            </w:r>
          </w:p>
        </w:tc>
        <w:tc>
          <w:tcPr>
            <w:tcW w:w="0" w:type="dxa"/>
            <w:vAlign w:val="bottom"/>
          </w:tcPr>
          <w:p>
            <w:pPr>
              <w:spacing w:after="0"/>
              <w:rPr>
                <w:sz w:val="1"/>
                <w:szCs w:val="1"/>
                <w:color w:val="auto"/>
              </w:rPr>
            </w:pPr>
          </w:p>
        </w:tc>
      </w:tr>
      <w:tr>
        <w:trPr>
          <w:trHeight w:val="173"/>
        </w:trPr>
        <w:tc>
          <w:tcPr>
            <w:tcW w:w="4140" w:type="dxa"/>
            <w:vAlign w:val="bottom"/>
            <w:tcBorders>
              <w:top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4"/>
                <w:szCs w:val="14"/>
                <w:color w:val="auto"/>
              </w:rPr>
              <w:t>Canada</w:t>
            </w:r>
          </w:p>
        </w:tc>
        <w:tc>
          <w:tcPr>
            <w:tcW w:w="220" w:type="dxa"/>
            <w:vAlign w:val="bottom"/>
            <w:tcBorders>
              <w:top w:val="single" w:sz="8" w:color="auto"/>
            </w:tcBorders>
            <w:shd w:val="clear" w:color="auto" w:fill="CCEEFF"/>
          </w:tcPr>
          <w:p>
            <w:pPr>
              <w:jc w:val="right"/>
              <w:ind w:right="73"/>
              <w:spacing w:after="0"/>
              <w:rPr>
                <w:sz w:val="20"/>
                <w:szCs w:val="20"/>
                <w:color w:val="auto"/>
              </w:rPr>
            </w:pPr>
            <w:r>
              <w:rPr>
                <w:rFonts w:ascii="Times New Roman" w:cs="Times New Roman" w:eastAsia="Times New Roman" w:hAnsi="Times New Roman"/>
                <w:sz w:val="13"/>
                <w:szCs w:val="13"/>
                <w:color w:val="auto"/>
                <w:w w:val="91"/>
              </w:rPr>
              <w:t>$</w:t>
            </w:r>
          </w:p>
        </w:tc>
        <w:tc>
          <w:tcPr>
            <w:tcW w:w="100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791</w:t>
            </w:r>
          </w:p>
        </w:tc>
        <w:tc>
          <w:tcPr>
            <w:tcW w:w="100" w:type="dxa"/>
            <w:vAlign w:val="bottom"/>
            <w:tcBorders>
              <w:top w:val="single" w:sz="8" w:color="CCEEFF"/>
            </w:tcBorders>
            <w:shd w:val="clear" w:color="auto" w:fill="CCEEFF"/>
          </w:tcPr>
          <w:p>
            <w:pPr>
              <w:spacing w:after="0"/>
              <w:rPr>
                <w:sz w:val="15"/>
                <w:szCs w:val="15"/>
                <w:color w:val="auto"/>
              </w:rPr>
            </w:pPr>
          </w:p>
        </w:tc>
        <w:tc>
          <w:tcPr>
            <w:tcW w:w="10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w w:val="91"/>
              </w:rPr>
              <w:t>$</w:t>
            </w:r>
          </w:p>
        </w:tc>
        <w:tc>
          <w:tcPr>
            <w:tcW w:w="112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w:t>
            </w:r>
          </w:p>
        </w:tc>
        <w:tc>
          <w:tcPr>
            <w:tcW w:w="100" w:type="dxa"/>
            <w:vAlign w:val="bottom"/>
            <w:tcBorders>
              <w:top w:val="single" w:sz="8" w:color="CCEEFF"/>
            </w:tcBorders>
            <w:shd w:val="clear" w:color="auto" w:fill="CCEEFF"/>
          </w:tcPr>
          <w:p>
            <w:pPr>
              <w:spacing w:after="0"/>
              <w:rPr>
                <w:sz w:val="15"/>
                <w:szCs w:val="15"/>
                <w:color w:val="auto"/>
              </w:rPr>
            </w:pPr>
          </w:p>
        </w:tc>
        <w:tc>
          <w:tcPr>
            <w:tcW w:w="240" w:type="dxa"/>
            <w:vAlign w:val="bottom"/>
            <w:tcBorders>
              <w:top w:val="single" w:sz="8" w:color="auto"/>
            </w:tcBorders>
            <w:shd w:val="clear" w:color="auto" w:fill="CCEEFF"/>
          </w:tcPr>
          <w:p>
            <w:pPr>
              <w:jc w:val="right"/>
              <w:ind w:right="93"/>
              <w:spacing w:after="0"/>
              <w:rPr>
                <w:sz w:val="20"/>
                <w:szCs w:val="20"/>
                <w:color w:val="auto"/>
              </w:rPr>
            </w:pPr>
            <w:r>
              <w:rPr>
                <w:rFonts w:ascii="Times New Roman" w:cs="Times New Roman" w:eastAsia="Times New Roman" w:hAnsi="Times New Roman"/>
                <w:sz w:val="13"/>
                <w:szCs w:val="13"/>
                <w:color w:val="auto"/>
                <w:w w:val="91"/>
              </w:rPr>
              <w:t>$</w:t>
            </w:r>
          </w:p>
        </w:tc>
        <w:tc>
          <w:tcPr>
            <w:tcW w:w="440" w:type="dxa"/>
            <w:vAlign w:val="bottom"/>
            <w:tcBorders>
              <w:top w:val="single" w:sz="8" w:color="auto"/>
            </w:tcBorders>
            <w:shd w:val="clear" w:color="auto" w:fill="CCEEFF"/>
          </w:tcPr>
          <w:p>
            <w:pPr>
              <w:spacing w:after="0"/>
              <w:rPr>
                <w:sz w:val="15"/>
                <w:szCs w:val="15"/>
                <w:color w:val="auto"/>
              </w:rPr>
            </w:pPr>
          </w:p>
        </w:tc>
        <w:tc>
          <w:tcPr>
            <w:tcW w:w="260" w:type="dxa"/>
            <w:vAlign w:val="bottom"/>
            <w:tcBorders>
              <w:top w:val="single" w:sz="8" w:color="auto"/>
            </w:tcBorders>
            <w:shd w:val="clear" w:color="auto" w:fill="CCEEFF"/>
          </w:tcPr>
          <w:p>
            <w:pPr>
              <w:spacing w:after="0"/>
              <w:rPr>
                <w:sz w:val="15"/>
                <w:szCs w:val="15"/>
                <w:color w:val="auto"/>
              </w:rPr>
            </w:pPr>
          </w:p>
        </w:tc>
        <w:tc>
          <w:tcPr>
            <w:tcW w:w="92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w:t>
            </w:r>
          </w:p>
        </w:tc>
        <w:tc>
          <w:tcPr>
            <w:tcW w:w="80" w:type="dxa"/>
            <w:vAlign w:val="bottom"/>
            <w:tcBorders>
              <w:top w:val="single" w:sz="8" w:color="CCEEFF"/>
            </w:tcBorders>
            <w:gridSpan w:val="2"/>
            <w:shd w:val="clear" w:color="auto" w:fill="CCEEFF"/>
          </w:tcPr>
          <w:p>
            <w:pPr>
              <w:spacing w:after="0"/>
              <w:rPr>
                <w:sz w:val="15"/>
                <w:szCs w:val="15"/>
                <w:color w:val="auto"/>
              </w:rPr>
            </w:pPr>
          </w:p>
        </w:tc>
        <w:tc>
          <w:tcPr>
            <w:tcW w:w="280" w:type="dxa"/>
            <w:vAlign w:val="bottom"/>
            <w:tcBorders>
              <w:top w:val="single" w:sz="8" w:color="auto"/>
            </w:tcBorders>
            <w:gridSpan w:val="2"/>
            <w:shd w:val="clear" w:color="auto" w:fill="CCEEFF"/>
          </w:tcPr>
          <w:p>
            <w:pPr>
              <w:jc w:val="right"/>
              <w:ind w:right="133"/>
              <w:spacing w:after="0"/>
              <w:rPr>
                <w:sz w:val="20"/>
                <w:szCs w:val="20"/>
                <w:color w:val="auto"/>
              </w:rPr>
            </w:pPr>
            <w:r>
              <w:rPr>
                <w:rFonts w:ascii="Times New Roman" w:cs="Times New Roman" w:eastAsia="Times New Roman" w:hAnsi="Times New Roman"/>
                <w:sz w:val="13"/>
                <w:szCs w:val="13"/>
                <w:color w:val="auto"/>
                <w:w w:val="91"/>
              </w:rPr>
              <w:t>$</w:t>
            </w:r>
          </w:p>
        </w:tc>
        <w:tc>
          <w:tcPr>
            <w:tcW w:w="960" w:type="dxa"/>
            <w:vAlign w:val="bottom"/>
            <w:tcBorders>
              <w:top w:val="single" w:sz="8" w:color="auto"/>
            </w:tcBorders>
            <w:gridSpan w:val="2"/>
            <w:shd w:val="clear" w:color="auto" w:fill="CCEEFF"/>
          </w:tcPr>
          <w:p>
            <w:pPr>
              <w:jc w:val="right"/>
              <w:ind w:right="60"/>
              <w:spacing w:after="0"/>
              <w:rPr>
                <w:sz w:val="20"/>
                <w:szCs w:val="20"/>
                <w:color w:val="auto"/>
              </w:rPr>
            </w:pPr>
            <w:r>
              <w:rPr>
                <w:rFonts w:ascii="Times New Roman" w:cs="Times New Roman" w:eastAsia="Times New Roman" w:hAnsi="Times New Roman"/>
                <w:sz w:val="13"/>
                <w:szCs w:val="13"/>
                <w:color w:val="auto"/>
              </w:rPr>
              <w:t>—</w:t>
            </w:r>
          </w:p>
        </w:tc>
        <w:tc>
          <w:tcPr>
            <w:tcW w:w="100" w:type="dxa"/>
            <w:vAlign w:val="bottom"/>
            <w:tcBorders>
              <w:top w:val="single" w:sz="8" w:color="CCEEFF"/>
            </w:tcBorders>
            <w:gridSpan w:val="2"/>
            <w:shd w:val="clear" w:color="auto" w:fill="CCEEFF"/>
          </w:tcPr>
          <w:p>
            <w:pPr>
              <w:spacing w:after="0"/>
              <w:rPr>
                <w:sz w:val="15"/>
                <w:szCs w:val="15"/>
                <w:color w:val="auto"/>
              </w:rPr>
            </w:pPr>
          </w:p>
        </w:tc>
        <w:tc>
          <w:tcPr>
            <w:tcW w:w="260" w:type="dxa"/>
            <w:vAlign w:val="bottom"/>
            <w:tcBorders>
              <w:top w:val="single" w:sz="8" w:color="auto"/>
            </w:tcBorders>
            <w:shd w:val="clear" w:color="auto" w:fill="CCEEFF"/>
          </w:tcPr>
          <w:p>
            <w:pPr>
              <w:spacing w:after="0"/>
              <w:rPr>
                <w:sz w:val="20"/>
                <w:szCs w:val="20"/>
                <w:color w:val="auto"/>
              </w:rPr>
            </w:pPr>
            <w:r>
              <w:rPr>
                <w:rFonts w:ascii="Times New Roman" w:cs="Times New Roman" w:eastAsia="Times New Roman" w:hAnsi="Times New Roman"/>
                <w:sz w:val="13"/>
                <w:szCs w:val="13"/>
                <w:color w:val="auto"/>
              </w:rPr>
              <w:t>$</w:t>
            </w:r>
          </w:p>
        </w:tc>
        <w:tc>
          <w:tcPr>
            <w:tcW w:w="92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791</w:t>
            </w:r>
          </w:p>
        </w:tc>
        <w:tc>
          <w:tcPr>
            <w:tcW w:w="40" w:type="dxa"/>
            <w:vAlign w:val="bottom"/>
            <w:tcBorders>
              <w:top w:val="single" w:sz="8" w:color="auto"/>
            </w:tcBorders>
            <w:shd w:val="clear" w:color="auto" w:fill="CCEEFF"/>
          </w:tcPr>
          <w:p>
            <w:pPr>
              <w:spacing w:after="0"/>
              <w:rPr>
                <w:sz w:val="15"/>
                <w:szCs w:val="15"/>
                <w:color w:val="auto"/>
              </w:rPr>
            </w:pPr>
          </w:p>
        </w:tc>
        <w:tc>
          <w:tcPr>
            <w:tcW w:w="0" w:type="dxa"/>
            <w:vAlign w:val="bottom"/>
          </w:tcPr>
          <w:p>
            <w:pPr>
              <w:spacing w:after="0"/>
              <w:rPr>
                <w:sz w:val="1"/>
                <w:szCs w:val="1"/>
                <w:color w:val="auto"/>
              </w:rPr>
            </w:pPr>
          </w:p>
        </w:tc>
      </w:tr>
      <w:tr>
        <w:trPr>
          <w:trHeight w:val="180"/>
        </w:trPr>
        <w:tc>
          <w:tcPr>
            <w:tcW w:w="4140" w:type="dxa"/>
            <w:vAlign w:val="bottom"/>
            <w:tcBorders>
              <w:bottom w:val="single" w:sz="8" w:color="CCEEFF"/>
            </w:tcBorders>
          </w:tcPr>
          <w:p>
            <w:pPr>
              <w:ind w:left="20"/>
              <w:spacing w:after="0"/>
              <w:rPr>
                <w:sz w:val="20"/>
                <w:szCs w:val="20"/>
                <w:color w:val="auto"/>
              </w:rPr>
            </w:pPr>
            <w:r>
              <w:rPr>
                <w:rFonts w:ascii="Times New Roman" w:cs="Times New Roman" w:eastAsia="Times New Roman" w:hAnsi="Times New Roman"/>
                <w:sz w:val="14"/>
                <w:szCs w:val="14"/>
                <w:color w:val="auto"/>
              </w:rPr>
              <w:t>U.S.</w:t>
            </w:r>
          </w:p>
        </w:tc>
        <w:tc>
          <w:tcPr>
            <w:tcW w:w="220" w:type="dxa"/>
            <w:vAlign w:val="bottom"/>
            <w:tcBorders>
              <w:bottom w:val="single" w:sz="8" w:color="auto"/>
            </w:tcBorders>
          </w:tcPr>
          <w:p>
            <w:pPr>
              <w:spacing w:after="0"/>
              <w:rPr>
                <w:sz w:val="15"/>
                <w:szCs w:val="15"/>
                <w:color w:val="auto"/>
              </w:rPr>
            </w:pPr>
          </w:p>
        </w:tc>
        <w:tc>
          <w:tcPr>
            <w:tcW w:w="10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3"/>
                <w:szCs w:val="13"/>
                <w:color w:val="auto"/>
              </w:rPr>
              <w:t>73,931</w:t>
            </w:r>
          </w:p>
        </w:tc>
        <w:tc>
          <w:tcPr>
            <w:tcW w:w="100" w:type="dxa"/>
            <w:vAlign w:val="bottom"/>
            <w:tcBorders>
              <w:bottom w:val="single" w:sz="8" w:color="CCEEFF"/>
            </w:tcBorders>
          </w:tcPr>
          <w:p>
            <w:pPr>
              <w:spacing w:after="0"/>
              <w:rPr>
                <w:sz w:val="15"/>
                <w:szCs w:val="15"/>
                <w:color w:val="auto"/>
              </w:rPr>
            </w:pPr>
          </w:p>
        </w:tc>
        <w:tc>
          <w:tcPr>
            <w:tcW w:w="100" w:type="dxa"/>
            <w:vAlign w:val="bottom"/>
            <w:tcBorders>
              <w:bottom w:val="single" w:sz="8" w:color="auto"/>
            </w:tcBorders>
          </w:tcPr>
          <w:p>
            <w:pPr>
              <w:spacing w:after="0"/>
              <w:rPr>
                <w:sz w:val="15"/>
                <w:szCs w:val="15"/>
                <w:color w:val="auto"/>
              </w:rPr>
            </w:pPr>
          </w:p>
        </w:tc>
        <w:tc>
          <w:tcPr>
            <w:tcW w:w="11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3"/>
                <w:szCs w:val="13"/>
                <w:color w:val="auto"/>
              </w:rPr>
              <w:t>21,560</w:t>
            </w:r>
          </w:p>
        </w:tc>
        <w:tc>
          <w:tcPr>
            <w:tcW w:w="100" w:type="dxa"/>
            <w:vAlign w:val="bottom"/>
            <w:tcBorders>
              <w:bottom w:val="single" w:sz="8" w:color="CCEEFF"/>
            </w:tcBorders>
          </w:tcPr>
          <w:p>
            <w:pPr>
              <w:spacing w:after="0"/>
              <w:rPr>
                <w:sz w:val="15"/>
                <w:szCs w:val="15"/>
                <w:color w:val="auto"/>
              </w:rPr>
            </w:pPr>
          </w:p>
        </w:tc>
        <w:tc>
          <w:tcPr>
            <w:tcW w:w="240" w:type="dxa"/>
            <w:vAlign w:val="bottom"/>
            <w:tcBorders>
              <w:bottom w:val="single" w:sz="8" w:color="auto"/>
            </w:tcBorders>
          </w:tcPr>
          <w:p>
            <w:pPr>
              <w:spacing w:after="0"/>
              <w:rPr>
                <w:sz w:val="15"/>
                <w:szCs w:val="15"/>
                <w:color w:val="auto"/>
              </w:rPr>
            </w:pPr>
          </w:p>
        </w:tc>
        <w:tc>
          <w:tcPr>
            <w:tcW w:w="440" w:type="dxa"/>
            <w:vAlign w:val="bottom"/>
            <w:tcBorders>
              <w:bottom w:val="single" w:sz="8" w:color="auto"/>
            </w:tcBorders>
          </w:tcPr>
          <w:p>
            <w:pPr>
              <w:spacing w:after="0"/>
              <w:rPr>
                <w:sz w:val="15"/>
                <w:szCs w:val="15"/>
                <w:color w:val="auto"/>
              </w:rPr>
            </w:pPr>
          </w:p>
        </w:tc>
        <w:tc>
          <w:tcPr>
            <w:tcW w:w="260" w:type="dxa"/>
            <w:vAlign w:val="bottom"/>
            <w:tcBorders>
              <w:bottom w:val="single" w:sz="8" w:color="auto"/>
            </w:tcBorders>
          </w:tcPr>
          <w:p>
            <w:pPr>
              <w:spacing w:after="0"/>
              <w:rPr>
                <w:sz w:val="15"/>
                <w:szCs w:val="15"/>
                <w:color w:val="auto"/>
              </w:rPr>
            </w:pPr>
          </w:p>
        </w:tc>
        <w:tc>
          <w:tcPr>
            <w:tcW w:w="9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3"/>
                <w:szCs w:val="13"/>
                <w:color w:val="auto"/>
              </w:rPr>
              <w:t>1,134</w:t>
            </w:r>
          </w:p>
        </w:tc>
        <w:tc>
          <w:tcPr>
            <w:tcW w:w="20" w:type="dxa"/>
            <w:vAlign w:val="bottom"/>
            <w:tcBorders>
              <w:bottom w:val="single" w:sz="8" w:color="CCEEFF"/>
            </w:tcBorders>
          </w:tcPr>
          <w:p>
            <w:pPr>
              <w:spacing w:after="0"/>
              <w:rPr>
                <w:sz w:val="15"/>
                <w:szCs w:val="15"/>
                <w:color w:val="auto"/>
              </w:rPr>
            </w:pPr>
          </w:p>
        </w:tc>
        <w:tc>
          <w:tcPr>
            <w:tcW w:w="60" w:type="dxa"/>
            <w:vAlign w:val="bottom"/>
            <w:tcBorders>
              <w:bottom w:val="single" w:sz="8" w:color="CCEEFF"/>
            </w:tcBorders>
          </w:tcPr>
          <w:p>
            <w:pPr>
              <w:spacing w:after="0"/>
              <w:rPr>
                <w:sz w:val="15"/>
                <w:szCs w:val="15"/>
                <w:color w:val="auto"/>
              </w:rPr>
            </w:pPr>
          </w:p>
        </w:tc>
        <w:tc>
          <w:tcPr>
            <w:tcW w:w="20" w:type="dxa"/>
            <w:vAlign w:val="bottom"/>
            <w:tcBorders>
              <w:bottom w:val="single" w:sz="8" w:color="auto"/>
            </w:tcBorders>
          </w:tcPr>
          <w:p>
            <w:pPr>
              <w:spacing w:after="0"/>
              <w:rPr>
                <w:sz w:val="15"/>
                <w:szCs w:val="15"/>
                <w:color w:val="auto"/>
              </w:rPr>
            </w:pPr>
          </w:p>
        </w:tc>
        <w:tc>
          <w:tcPr>
            <w:tcW w:w="260" w:type="dxa"/>
            <w:vAlign w:val="bottom"/>
            <w:tcBorders>
              <w:bottom w:val="single" w:sz="8" w:color="auto"/>
            </w:tcBorders>
          </w:tcPr>
          <w:p>
            <w:pPr>
              <w:spacing w:after="0"/>
              <w:rPr>
                <w:sz w:val="15"/>
                <w:szCs w:val="15"/>
                <w:color w:val="auto"/>
              </w:rPr>
            </w:pPr>
          </w:p>
        </w:tc>
        <w:tc>
          <w:tcPr>
            <w:tcW w:w="9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3"/>
                <w:szCs w:val="13"/>
                <w:color w:val="auto"/>
              </w:rPr>
              <w:t>346</w:t>
            </w:r>
          </w:p>
        </w:tc>
        <w:tc>
          <w:tcPr>
            <w:tcW w:w="20" w:type="dxa"/>
            <w:vAlign w:val="bottom"/>
            <w:tcBorders>
              <w:bottom w:val="single" w:sz="8" w:color="auto"/>
            </w:tcBorders>
          </w:tcPr>
          <w:p>
            <w:pPr>
              <w:spacing w:after="0"/>
              <w:rPr>
                <w:sz w:val="15"/>
                <w:szCs w:val="15"/>
                <w:color w:val="auto"/>
              </w:rPr>
            </w:pPr>
          </w:p>
        </w:tc>
        <w:tc>
          <w:tcPr>
            <w:tcW w:w="80" w:type="dxa"/>
            <w:vAlign w:val="bottom"/>
            <w:tcBorders>
              <w:bottom w:val="single" w:sz="8" w:color="CCEEFF"/>
            </w:tcBorders>
          </w:tcPr>
          <w:p>
            <w:pPr>
              <w:spacing w:after="0"/>
              <w:rPr>
                <w:sz w:val="15"/>
                <w:szCs w:val="15"/>
                <w:color w:val="auto"/>
              </w:rPr>
            </w:pPr>
          </w:p>
        </w:tc>
        <w:tc>
          <w:tcPr>
            <w:tcW w:w="20" w:type="dxa"/>
            <w:vAlign w:val="bottom"/>
            <w:tcBorders>
              <w:bottom w:val="single" w:sz="8" w:color="CCEEFF"/>
            </w:tcBorders>
          </w:tcPr>
          <w:p>
            <w:pPr>
              <w:spacing w:after="0"/>
              <w:rPr>
                <w:sz w:val="15"/>
                <w:szCs w:val="15"/>
                <w:color w:val="auto"/>
              </w:rPr>
            </w:pPr>
          </w:p>
        </w:tc>
        <w:tc>
          <w:tcPr>
            <w:tcW w:w="260" w:type="dxa"/>
            <w:vAlign w:val="bottom"/>
            <w:tcBorders>
              <w:bottom w:val="single" w:sz="8" w:color="auto"/>
            </w:tcBorders>
          </w:tcPr>
          <w:p>
            <w:pPr>
              <w:spacing w:after="0"/>
              <w:rPr>
                <w:sz w:val="15"/>
                <w:szCs w:val="15"/>
                <w:color w:val="auto"/>
              </w:rPr>
            </w:pPr>
          </w:p>
        </w:tc>
        <w:tc>
          <w:tcPr>
            <w:tcW w:w="9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3"/>
                <w:szCs w:val="13"/>
                <w:color w:val="auto"/>
              </w:rPr>
              <w:t>96,971</w:t>
            </w:r>
          </w:p>
        </w:tc>
        <w:tc>
          <w:tcPr>
            <w:tcW w:w="40" w:type="dxa"/>
            <w:vAlign w:val="bottom"/>
            <w:tcBorders>
              <w:bottom w:val="single" w:sz="8" w:color="auto"/>
            </w:tcBorders>
          </w:tcPr>
          <w:p>
            <w:pPr>
              <w:spacing w:after="0"/>
              <w:rPr>
                <w:sz w:val="15"/>
                <w:szCs w:val="15"/>
                <w:color w:val="auto"/>
              </w:rPr>
            </w:pPr>
          </w:p>
        </w:tc>
        <w:tc>
          <w:tcPr>
            <w:tcW w:w="0" w:type="dxa"/>
            <w:vAlign w:val="bottom"/>
          </w:tcPr>
          <w:p>
            <w:pPr>
              <w:spacing w:after="0"/>
              <w:rPr>
                <w:sz w:val="1"/>
                <w:szCs w:val="1"/>
                <w:color w:val="auto"/>
              </w:rPr>
            </w:pPr>
          </w:p>
        </w:tc>
      </w:tr>
      <w:tr>
        <w:trPr>
          <w:trHeight w:val="196"/>
        </w:trPr>
        <w:tc>
          <w:tcPr>
            <w:tcW w:w="414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4"/>
                <w:szCs w:val="14"/>
                <w:color w:val="auto"/>
              </w:rPr>
              <w:t>Total</w:t>
            </w:r>
          </w:p>
        </w:tc>
        <w:tc>
          <w:tcPr>
            <w:tcW w:w="220" w:type="dxa"/>
            <w:vAlign w:val="bottom"/>
            <w:tcBorders>
              <w:bottom w:val="single" w:sz="8" w:color="auto"/>
            </w:tcBorders>
            <w:shd w:val="clear" w:color="auto" w:fill="CCEEFF"/>
          </w:tcPr>
          <w:p>
            <w:pPr>
              <w:jc w:val="right"/>
              <w:ind w:right="73"/>
              <w:spacing w:after="0"/>
              <w:rPr>
                <w:sz w:val="20"/>
                <w:szCs w:val="20"/>
                <w:color w:val="auto"/>
              </w:rPr>
            </w:pPr>
            <w:r>
              <w:rPr>
                <w:rFonts w:ascii="Times New Roman" w:cs="Times New Roman" w:eastAsia="Times New Roman" w:hAnsi="Times New Roman"/>
                <w:sz w:val="13"/>
                <w:szCs w:val="13"/>
                <w:color w:val="auto"/>
                <w:w w:val="91"/>
              </w:rPr>
              <w:t>$</w:t>
            </w:r>
          </w:p>
        </w:tc>
        <w:tc>
          <w:tcPr>
            <w:tcW w:w="10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74,722</w:t>
            </w:r>
          </w:p>
        </w:tc>
        <w:tc>
          <w:tcPr>
            <w:tcW w:w="100" w:type="dxa"/>
            <w:vAlign w:val="bottom"/>
            <w:tcBorders>
              <w:bottom w:val="single" w:sz="8" w:color="CCEEFF"/>
            </w:tcBorders>
            <w:shd w:val="clear" w:color="auto" w:fill="CCEEFF"/>
          </w:tcPr>
          <w:p>
            <w:pPr>
              <w:spacing w:after="0"/>
              <w:rPr>
                <w:sz w:val="16"/>
                <w:szCs w:val="16"/>
                <w:color w:val="auto"/>
              </w:rPr>
            </w:pPr>
          </w:p>
        </w:tc>
        <w:tc>
          <w:tcPr>
            <w:tcW w:w="1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w w:val="91"/>
              </w:rPr>
              <w:t>$</w:t>
            </w:r>
          </w:p>
        </w:tc>
        <w:tc>
          <w:tcPr>
            <w:tcW w:w="11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21,560</w:t>
            </w:r>
          </w:p>
        </w:tc>
        <w:tc>
          <w:tcPr>
            <w:tcW w:w="100" w:type="dxa"/>
            <w:vAlign w:val="bottom"/>
            <w:tcBorders>
              <w:bottom w:val="single" w:sz="8" w:color="CCEEFF"/>
            </w:tcBorders>
            <w:shd w:val="clear" w:color="auto" w:fill="CCEEFF"/>
          </w:tcPr>
          <w:p>
            <w:pPr>
              <w:spacing w:after="0"/>
              <w:rPr>
                <w:sz w:val="16"/>
                <w:szCs w:val="16"/>
                <w:color w:val="auto"/>
              </w:rPr>
            </w:pPr>
          </w:p>
        </w:tc>
        <w:tc>
          <w:tcPr>
            <w:tcW w:w="240" w:type="dxa"/>
            <w:vAlign w:val="bottom"/>
            <w:tcBorders>
              <w:bottom w:val="single" w:sz="8" w:color="auto"/>
            </w:tcBorders>
            <w:shd w:val="clear" w:color="auto" w:fill="CCEEFF"/>
          </w:tcPr>
          <w:p>
            <w:pPr>
              <w:jc w:val="right"/>
              <w:ind w:right="93"/>
              <w:spacing w:after="0"/>
              <w:rPr>
                <w:sz w:val="20"/>
                <w:szCs w:val="20"/>
                <w:color w:val="auto"/>
              </w:rPr>
            </w:pPr>
            <w:r>
              <w:rPr>
                <w:rFonts w:ascii="Times New Roman" w:cs="Times New Roman" w:eastAsia="Times New Roman" w:hAnsi="Times New Roman"/>
                <w:sz w:val="13"/>
                <w:szCs w:val="13"/>
                <w:color w:val="auto"/>
                <w:w w:val="91"/>
              </w:rPr>
              <w:t>$</w:t>
            </w:r>
          </w:p>
        </w:tc>
        <w:tc>
          <w:tcPr>
            <w:tcW w:w="440" w:type="dxa"/>
            <w:vAlign w:val="bottom"/>
            <w:tcBorders>
              <w:bottom w:val="single" w:sz="8" w:color="auto"/>
            </w:tcBorders>
            <w:shd w:val="clear" w:color="auto" w:fill="CCEEFF"/>
          </w:tcPr>
          <w:p>
            <w:pPr>
              <w:spacing w:after="0"/>
              <w:rPr>
                <w:sz w:val="16"/>
                <w:szCs w:val="16"/>
                <w:color w:val="auto"/>
              </w:rPr>
            </w:pPr>
          </w:p>
        </w:tc>
        <w:tc>
          <w:tcPr>
            <w:tcW w:w="260" w:type="dxa"/>
            <w:vAlign w:val="bottom"/>
            <w:tcBorders>
              <w:bottom w:val="single" w:sz="8" w:color="auto"/>
            </w:tcBorders>
            <w:shd w:val="clear" w:color="auto" w:fill="CCEEFF"/>
          </w:tcPr>
          <w:p>
            <w:pPr>
              <w:spacing w:after="0"/>
              <w:rPr>
                <w:sz w:val="16"/>
                <w:szCs w:val="16"/>
                <w:color w:val="auto"/>
              </w:rPr>
            </w:pPr>
          </w:p>
        </w:tc>
        <w:tc>
          <w:tcPr>
            <w:tcW w:w="9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1,134</w:t>
            </w:r>
          </w:p>
        </w:tc>
        <w:tc>
          <w:tcPr>
            <w:tcW w:w="80" w:type="dxa"/>
            <w:vAlign w:val="bottom"/>
            <w:tcBorders>
              <w:bottom w:val="single" w:sz="8" w:color="CCEEFF"/>
            </w:tcBorders>
            <w:gridSpan w:val="2"/>
            <w:shd w:val="clear" w:color="auto" w:fill="CCEEFF"/>
          </w:tcPr>
          <w:p>
            <w:pPr>
              <w:spacing w:after="0"/>
              <w:rPr>
                <w:sz w:val="16"/>
                <w:szCs w:val="16"/>
                <w:color w:val="auto"/>
              </w:rPr>
            </w:pPr>
          </w:p>
        </w:tc>
        <w:tc>
          <w:tcPr>
            <w:tcW w:w="280" w:type="dxa"/>
            <w:vAlign w:val="bottom"/>
            <w:tcBorders>
              <w:bottom w:val="single" w:sz="8" w:color="auto"/>
            </w:tcBorders>
            <w:gridSpan w:val="2"/>
            <w:shd w:val="clear" w:color="auto" w:fill="CCEEFF"/>
          </w:tcPr>
          <w:p>
            <w:pPr>
              <w:jc w:val="right"/>
              <w:ind w:right="133"/>
              <w:spacing w:after="0"/>
              <w:rPr>
                <w:sz w:val="20"/>
                <w:szCs w:val="20"/>
                <w:color w:val="auto"/>
              </w:rPr>
            </w:pPr>
            <w:r>
              <w:rPr>
                <w:rFonts w:ascii="Times New Roman" w:cs="Times New Roman" w:eastAsia="Times New Roman" w:hAnsi="Times New Roman"/>
                <w:sz w:val="13"/>
                <w:szCs w:val="13"/>
                <w:color w:val="auto"/>
                <w:w w:val="91"/>
              </w:rPr>
              <w:t>$</w:t>
            </w:r>
          </w:p>
        </w:tc>
        <w:tc>
          <w:tcPr>
            <w:tcW w:w="9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346</w:t>
            </w:r>
          </w:p>
        </w:tc>
        <w:tc>
          <w:tcPr>
            <w:tcW w:w="20" w:type="dxa"/>
            <w:vAlign w:val="bottom"/>
            <w:tcBorders>
              <w:bottom w:val="single" w:sz="8" w:color="auto"/>
            </w:tcBorders>
            <w:shd w:val="clear" w:color="auto" w:fill="CCEEFF"/>
          </w:tcPr>
          <w:p>
            <w:pPr>
              <w:spacing w:after="0"/>
              <w:rPr>
                <w:sz w:val="16"/>
                <w:szCs w:val="16"/>
                <w:color w:val="auto"/>
              </w:rPr>
            </w:pPr>
          </w:p>
        </w:tc>
        <w:tc>
          <w:tcPr>
            <w:tcW w:w="80" w:type="dxa"/>
            <w:vAlign w:val="bottom"/>
            <w:tcBorders>
              <w:bottom w:val="single" w:sz="8" w:color="CCEEFF"/>
            </w:tcBorders>
            <w:shd w:val="clear" w:color="auto" w:fill="CCEEFF"/>
          </w:tcPr>
          <w:p>
            <w:pPr>
              <w:spacing w:after="0"/>
              <w:rPr>
                <w:sz w:val="16"/>
                <w:szCs w:val="16"/>
                <w:color w:val="auto"/>
              </w:rPr>
            </w:pPr>
          </w:p>
        </w:tc>
        <w:tc>
          <w:tcPr>
            <w:tcW w:w="20" w:type="dxa"/>
            <w:vAlign w:val="bottom"/>
            <w:tcBorders>
              <w:bottom w:val="single" w:sz="8" w:color="CCEEFF"/>
            </w:tcBorders>
            <w:shd w:val="clear" w:color="auto" w:fill="CCEEFF"/>
          </w:tcPr>
          <w:p>
            <w:pPr>
              <w:spacing w:after="0"/>
              <w:rPr>
                <w:sz w:val="16"/>
                <w:szCs w:val="16"/>
                <w:color w:val="auto"/>
              </w:rPr>
            </w:pPr>
          </w:p>
        </w:tc>
        <w:tc>
          <w:tcPr>
            <w:tcW w:w="260" w:type="dxa"/>
            <w:vAlign w:val="bottom"/>
            <w:tcBorders>
              <w:bottom w:val="single" w:sz="8" w:color="auto"/>
            </w:tcBorders>
            <w:shd w:val="clear" w:color="auto" w:fill="CCEEFF"/>
          </w:tcPr>
          <w:p>
            <w:pPr>
              <w:spacing w:after="0"/>
              <w:rPr>
                <w:sz w:val="20"/>
                <w:szCs w:val="20"/>
                <w:color w:val="auto"/>
              </w:rPr>
            </w:pPr>
            <w:r>
              <w:rPr>
                <w:rFonts w:ascii="Times New Roman" w:cs="Times New Roman" w:eastAsia="Times New Roman" w:hAnsi="Times New Roman"/>
                <w:sz w:val="13"/>
                <w:szCs w:val="13"/>
                <w:color w:val="auto"/>
              </w:rPr>
              <w:t>$</w:t>
            </w:r>
          </w:p>
        </w:tc>
        <w:tc>
          <w:tcPr>
            <w:tcW w:w="9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97,762</w:t>
            </w:r>
          </w:p>
        </w:tc>
        <w:tc>
          <w:tcPr>
            <w:tcW w:w="40" w:type="dxa"/>
            <w:vAlign w:val="bottom"/>
            <w:tcBorders>
              <w:bottom w:val="single" w:sz="8" w:color="auto"/>
            </w:tcBorders>
            <w:shd w:val="clear" w:color="auto" w:fill="CCEEFF"/>
          </w:tcPr>
          <w:p>
            <w:pPr>
              <w:spacing w:after="0"/>
              <w:rPr>
                <w:sz w:val="16"/>
                <w:szCs w:val="16"/>
                <w:color w:val="auto"/>
              </w:rPr>
            </w:pPr>
          </w:p>
        </w:tc>
        <w:tc>
          <w:tcPr>
            <w:tcW w:w="0" w:type="dxa"/>
            <w:vAlign w:val="bottom"/>
          </w:tcPr>
          <w:p>
            <w:pPr>
              <w:spacing w:after="0"/>
              <w:rPr>
                <w:sz w:val="1"/>
                <w:szCs w:val="1"/>
                <w:color w:val="auto"/>
              </w:rPr>
            </w:pPr>
          </w:p>
        </w:tc>
      </w:tr>
      <w:tr>
        <w:trPr>
          <w:trHeight w:val="20"/>
        </w:trPr>
        <w:tc>
          <w:tcPr>
            <w:tcW w:w="4140" w:type="dxa"/>
            <w:vAlign w:val="bottom"/>
            <w:tcBorders>
              <w:top w:val="single" w:sz="8" w:color="CCEEFF"/>
            </w:tcBorders>
          </w:tcPr>
          <w:p>
            <w:pPr>
              <w:spacing w:after="0" w:line="20" w:lineRule="exact"/>
              <w:rPr>
                <w:sz w:val="1"/>
                <w:szCs w:val="1"/>
                <w:color w:val="auto"/>
              </w:rPr>
            </w:pPr>
          </w:p>
        </w:tc>
        <w:tc>
          <w:tcPr>
            <w:tcW w:w="220" w:type="dxa"/>
            <w:vAlign w:val="bottom"/>
            <w:tcBorders>
              <w:top w:val="single" w:sz="8" w:color="CCEEFF"/>
              <w:bottom w:val="single" w:sz="8" w:color="auto"/>
            </w:tcBorders>
          </w:tcPr>
          <w:p>
            <w:pPr>
              <w:spacing w:after="0" w:line="20" w:lineRule="exact"/>
              <w:rPr>
                <w:sz w:val="1"/>
                <w:szCs w:val="1"/>
                <w:color w:val="auto"/>
              </w:rPr>
            </w:pPr>
          </w:p>
        </w:tc>
        <w:tc>
          <w:tcPr>
            <w:tcW w:w="100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00" w:type="dxa"/>
            <w:vAlign w:val="bottom"/>
            <w:tcBorders>
              <w:top w:val="single" w:sz="8" w:color="CCEEFF"/>
              <w:bottom w:val="single" w:sz="8" w:color="auto"/>
            </w:tcBorders>
          </w:tcPr>
          <w:p>
            <w:pPr>
              <w:spacing w:after="0" w:line="20" w:lineRule="exact"/>
              <w:rPr>
                <w:sz w:val="1"/>
                <w:szCs w:val="1"/>
                <w:color w:val="auto"/>
              </w:rPr>
            </w:pPr>
          </w:p>
        </w:tc>
        <w:tc>
          <w:tcPr>
            <w:tcW w:w="112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240" w:type="dxa"/>
            <w:vAlign w:val="bottom"/>
            <w:tcBorders>
              <w:top w:val="single" w:sz="8" w:color="CCEEFF"/>
              <w:bottom w:val="single" w:sz="8" w:color="auto"/>
            </w:tcBorders>
          </w:tcPr>
          <w:p>
            <w:pPr>
              <w:spacing w:after="0" w:line="20" w:lineRule="exact"/>
              <w:rPr>
                <w:sz w:val="1"/>
                <w:szCs w:val="1"/>
                <w:color w:val="auto"/>
              </w:rPr>
            </w:pPr>
          </w:p>
        </w:tc>
        <w:tc>
          <w:tcPr>
            <w:tcW w:w="1620" w:type="dxa"/>
            <w:vAlign w:val="bottom"/>
            <w:tcBorders>
              <w:top w:val="single" w:sz="8" w:color="CCEEFF"/>
              <w:bottom w:val="single" w:sz="8" w:color="auto"/>
            </w:tcBorders>
            <w:gridSpan w:val="3"/>
          </w:tcPr>
          <w:p>
            <w:pPr>
              <w:spacing w:after="0" w:line="20" w:lineRule="exact"/>
              <w:rPr>
                <w:sz w:val="1"/>
                <w:szCs w:val="1"/>
                <w:color w:val="auto"/>
              </w:rPr>
            </w:pPr>
          </w:p>
        </w:tc>
        <w:tc>
          <w:tcPr>
            <w:tcW w:w="20" w:type="dxa"/>
            <w:vAlign w:val="bottom"/>
            <w:tcBorders>
              <w:top w:val="single" w:sz="8" w:color="CCEEFF"/>
            </w:tcBorders>
          </w:tcPr>
          <w:p>
            <w:pPr>
              <w:spacing w:after="0" w:line="20" w:lineRule="exact"/>
              <w:rPr>
                <w:sz w:val="1"/>
                <w:szCs w:val="1"/>
                <w:color w:val="auto"/>
              </w:rPr>
            </w:pPr>
          </w:p>
        </w:tc>
        <w:tc>
          <w:tcPr>
            <w:tcW w:w="60" w:type="dxa"/>
            <w:vAlign w:val="bottom"/>
            <w:tcBorders>
              <w:top w:val="single" w:sz="8" w:color="CCEEFF"/>
            </w:tcBorders>
          </w:tcPr>
          <w:p>
            <w:pPr>
              <w:spacing w:after="0" w:line="20" w:lineRule="exact"/>
              <w:rPr>
                <w:sz w:val="1"/>
                <w:szCs w:val="1"/>
                <w:color w:val="auto"/>
              </w:rPr>
            </w:pPr>
          </w:p>
        </w:tc>
        <w:tc>
          <w:tcPr>
            <w:tcW w:w="20" w:type="dxa"/>
            <w:vAlign w:val="bottom"/>
            <w:tcBorders>
              <w:top w:val="single" w:sz="8" w:color="CCEEFF"/>
              <w:bottom w:val="single" w:sz="8" w:color="auto"/>
            </w:tcBorders>
          </w:tcPr>
          <w:p>
            <w:pPr>
              <w:spacing w:after="0" w:line="20" w:lineRule="exact"/>
              <w:rPr>
                <w:sz w:val="1"/>
                <w:szCs w:val="1"/>
                <w:color w:val="auto"/>
              </w:rPr>
            </w:pPr>
          </w:p>
        </w:tc>
        <w:tc>
          <w:tcPr>
            <w:tcW w:w="260" w:type="dxa"/>
            <w:vAlign w:val="bottom"/>
            <w:tcBorders>
              <w:top w:val="single" w:sz="8" w:color="CCEEFF"/>
              <w:bottom w:val="single" w:sz="8" w:color="auto"/>
            </w:tcBorders>
          </w:tcPr>
          <w:p>
            <w:pPr>
              <w:spacing w:after="0" w:line="20" w:lineRule="exact"/>
              <w:rPr>
                <w:sz w:val="1"/>
                <w:szCs w:val="1"/>
                <w:color w:val="auto"/>
              </w:rPr>
            </w:pPr>
          </w:p>
        </w:tc>
        <w:tc>
          <w:tcPr>
            <w:tcW w:w="960" w:type="dxa"/>
            <w:vAlign w:val="bottom"/>
            <w:tcBorders>
              <w:top w:val="single" w:sz="8" w:color="CCEEFF"/>
              <w:bottom w:val="single" w:sz="8" w:color="auto"/>
            </w:tcBorders>
            <w:gridSpan w:val="2"/>
          </w:tcPr>
          <w:p>
            <w:pPr>
              <w:spacing w:after="0" w:line="20" w:lineRule="exact"/>
              <w:rPr>
                <w:sz w:val="1"/>
                <w:szCs w:val="1"/>
                <w:color w:val="auto"/>
              </w:rPr>
            </w:pPr>
          </w:p>
        </w:tc>
        <w:tc>
          <w:tcPr>
            <w:tcW w:w="100" w:type="dxa"/>
            <w:vAlign w:val="bottom"/>
            <w:tcBorders>
              <w:top w:val="single" w:sz="8" w:color="CCEEFF"/>
            </w:tcBorders>
            <w:gridSpan w:val="2"/>
          </w:tcPr>
          <w:p>
            <w:pPr>
              <w:spacing w:after="0" w:line="20" w:lineRule="exact"/>
              <w:rPr>
                <w:sz w:val="1"/>
                <w:szCs w:val="1"/>
                <w:color w:val="auto"/>
              </w:rPr>
            </w:pPr>
          </w:p>
        </w:tc>
        <w:tc>
          <w:tcPr>
            <w:tcW w:w="260" w:type="dxa"/>
            <w:vAlign w:val="bottom"/>
            <w:tcBorders>
              <w:top w:val="single" w:sz="8" w:color="CCEEFF"/>
              <w:bottom w:val="single" w:sz="8" w:color="auto"/>
            </w:tcBorders>
          </w:tcPr>
          <w:p>
            <w:pPr>
              <w:spacing w:after="0" w:line="20" w:lineRule="exact"/>
              <w:rPr>
                <w:sz w:val="1"/>
                <w:szCs w:val="1"/>
                <w:color w:val="auto"/>
              </w:rPr>
            </w:pPr>
          </w:p>
        </w:tc>
        <w:tc>
          <w:tcPr>
            <w:tcW w:w="960" w:type="dxa"/>
            <w:vAlign w:val="bottom"/>
            <w:tcBorders>
              <w:top w:val="single" w:sz="8" w:color="CCEEFF"/>
              <w:bottom w:val="single" w:sz="8" w:color="auto"/>
            </w:tcBorders>
            <w:gridSpan w:val="2"/>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321"/>
        </w:trPr>
        <w:tc>
          <w:tcPr>
            <w:tcW w:w="4140" w:type="dxa"/>
            <w:vAlign w:val="bottom"/>
          </w:tcPr>
          <w:p>
            <w:pPr>
              <w:ind w:left="20"/>
              <w:spacing w:after="0"/>
              <w:rPr>
                <w:sz w:val="20"/>
                <w:szCs w:val="20"/>
                <w:color w:val="auto"/>
              </w:rPr>
            </w:pPr>
            <w:r>
              <w:rPr>
                <w:rFonts w:ascii="Times New Roman" w:cs="Times New Roman" w:eastAsia="Times New Roman" w:hAnsi="Times New Roman"/>
                <w:sz w:val="13"/>
                <w:szCs w:val="13"/>
                <w:b w:val="1"/>
                <w:bCs w:val="1"/>
                <w:color w:val="auto"/>
              </w:rPr>
              <w:t>Year Ended December 31, 2024</w:t>
            </w:r>
          </w:p>
        </w:tc>
        <w:tc>
          <w:tcPr>
            <w:tcW w:w="220" w:type="dxa"/>
            <w:vAlign w:val="bottom"/>
          </w:tcPr>
          <w:p>
            <w:pPr>
              <w:spacing w:after="0"/>
              <w:rPr>
                <w:sz w:val="24"/>
                <w:szCs w:val="24"/>
                <w:color w:val="auto"/>
              </w:rPr>
            </w:pPr>
          </w:p>
        </w:tc>
        <w:tc>
          <w:tcPr>
            <w:tcW w:w="1100" w:type="dxa"/>
            <w:vAlign w:val="bottom"/>
            <w:gridSpan w:val="2"/>
          </w:tcPr>
          <w:p>
            <w:pPr>
              <w:ind w:left="140"/>
              <w:spacing w:after="0"/>
              <w:rPr>
                <w:sz w:val="20"/>
                <w:szCs w:val="20"/>
                <w:color w:val="auto"/>
              </w:rPr>
            </w:pPr>
            <w:r>
              <w:rPr>
                <w:rFonts w:ascii="Times New Roman" w:cs="Times New Roman" w:eastAsia="Times New Roman" w:hAnsi="Times New Roman"/>
                <w:sz w:val="13"/>
                <w:szCs w:val="13"/>
                <w:b w:val="1"/>
                <w:bCs w:val="1"/>
                <w:color w:val="auto"/>
              </w:rPr>
              <w:t>Advisory</w:t>
            </w:r>
          </w:p>
        </w:tc>
        <w:tc>
          <w:tcPr>
            <w:tcW w:w="100" w:type="dxa"/>
            <w:vAlign w:val="bottom"/>
          </w:tcPr>
          <w:p>
            <w:pPr>
              <w:spacing w:after="0"/>
              <w:rPr>
                <w:sz w:val="24"/>
                <w:szCs w:val="24"/>
                <w:color w:val="auto"/>
              </w:rPr>
            </w:pPr>
          </w:p>
        </w:tc>
        <w:tc>
          <w:tcPr>
            <w:tcW w:w="1220" w:type="dxa"/>
            <w:vAlign w:val="bottom"/>
            <w:gridSpan w:val="2"/>
          </w:tcPr>
          <w:p>
            <w:pPr>
              <w:ind w:left="360"/>
              <w:spacing w:after="0"/>
              <w:rPr>
                <w:sz w:val="20"/>
                <w:szCs w:val="20"/>
                <w:color w:val="auto"/>
              </w:rPr>
            </w:pPr>
            <w:r>
              <w:rPr>
                <w:rFonts w:ascii="Times New Roman" w:cs="Times New Roman" w:eastAsia="Times New Roman" w:hAnsi="Times New Roman"/>
                <w:sz w:val="13"/>
                <w:szCs w:val="13"/>
                <w:b w:val="1"/>
                <w:bCs w:val="1"/>
                <w:color w:val="auto"/>
              </w:rPr>
              <w:t>Trust</w:t>
            </w:r>
          </w:p>
        </w:tc>
        <w:tc>
          <w:tcPr>
            <w:tcW w:w="240" w:type="dxa"/>
            <w:vAlign w:val="bottom"/>
          </w:tcPr>
          <w:p>
            <w:pPr>
              <w:spacing w:after="0"/>
              <w:rPr>
                <w:sz w:val="24"/>
                <w:szCs w:val="24"/>
                <w:color w:val="auto"/>
              </w:rPr>
            </w:pPr>
          </w:p>
        </w:tc>
        <w:tc>
          <w:tcPr>
            <w:tcW w:w="1620" w:type="dxa"/>
            <w:vAlign w:val="bottom"/>
            <w:gridSpan w:val="3"/>
          </w:tcPr>
          <w:p>
            <w:pPr>
              <w:jc w:val="right"/>
              <w:ind w:right="333"/>
              <w:spacing w:after="0"/>
              <w:rPr>
                <w:sz w:val="20"/>
                <w:szCs w:val="20"/>
                <w:color w:val="auto"/>
              </w:rPr>
            </w:pPr>
            <w:r>
              <w:rPr>
                <w:rFonts w:ascii="Times New Roman" w:cs="Times New Roman" w:eastAsia="Times New Roman" w:hAnsi="Times New Roman"/>
                <w:sz w:val="13"/>
                <w:szCs w:val="13"/>
                <w:b w:val="1"/>
                <w:bCs w:val="1"/>
                <w:color w:val="auto"/>
              </w:rPr>
              <w:t>Performance-based</w:t>
            </w:r>
          </w:p>
        </w:tc>
        <w:tc>
          <w:tcPr>
            <w:tcW w:w="2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1060" w:type="dxa"/>
            <w:vAlign w:val="bottom"/>
            <w:gridSpan w:val="4"/>
          </w:tcPr>
          <w:p>
            <w:pPr>
              <w:jc w:val="center"/>
              <w:ind w:right="380"/>
              <w:spacing w:after="0"/>
              <w:rPr>
                <w:sz w:val="20"/>
                <w:szCs w:val="20"/>
                <w:color w:val="auto"/>
              </w:rPr>
            </w:pPr>
            <w:r>
              <w:rPr>
                <w:rFonts w:ascii="Times New Roman" w:cs="Times New Roman" w:eastAsia="Times New Roman" w:hAnsi="Times New Roman"/>
                <w:sz w:val="13"/>
                <w:szCs w:val="13"/>
                <w:b w:val="1"/>
                <w:bCs w:val="1"/>
                <w:color w:val="auto"/>
                <w:w w:val="96"/>
              </w:rPr>
              <w:t>Other</w:t>
            </w:r>
          </w:p>
        </w:tc>
        <w:tc>
          <w:tcPr>
            <w:tcW w:w="260" w:type="dxa"/>
            <w:vAlign w:val="bottom"/>
          </w:tcPr>
          <w:p>
            <w:pPr>
              <w:spacing w:after="0"/>
              <w:rPr>
                <w:sz w:val="24"/>
                <w:szCs w:val="24"/>
                <w:color w:val="auto"/>
              </w:rPr>
            </w:pPr>
          </w:p>
        </w:tc>
        <w:tc>
          <w:tcPr>
            <w:tcW w:w="960" w:type="dxa"/>
            <w:vAlign w:val="bottom"/>
            <w:gridSpan w:val="2"/>
          </w:tcPr>
          <w:p>
            <w:pPr>
              <w:ind w:left="200"/>
              <w:spacing w:after="0"/>
              <w:rPr>
                <w:sz w:val="20"/>
                <w:szCs w:val="20"/>
                <w:color w:val="auto"/>
              </w:rPr>
            </w:pPr>
            <w:r>
              <w:rPr>
                <w:rFonts w:ascii="Times New Roman" w:cs="Times New Roman" w:eastAsia="Times New Roman" w:hAnsi="Times New Roman"/>
                <w:sz w:val="13"/>
                <w:szCs w:val="13"/>
                <w:b w:val="1"/>
                <w:bCs w:val="1"/>
                <w:color w:val="auto"/>
              </w:rPr>
              <w:t>Total</w:t>
            </w:r>
          </w:p>
        </w:tc>
        <w:tc>
          <w:tcPr>
            <w:tcW w:w="0" w:type="dxa"/>
            <w:vAlign w:val="bottom"/>
          </w:tcPr>
          <w:p>
            <w:pPr>
              <w:spacing w:after="0"/>
              <w:rPr>
                <w:sz w:val="1"/>
                <w:szCs w:val="1"/>
                <w:color w:val="auto"/>
              </w:rPr>
            </w:pPr>
          </w:p>
        </w:tc>
      </w:tr>
      <w:tr>
        <w:trPr>
          <w:trHeight w:val="173"/>
        </w:trPr>
        <w:tc>
          <w:tcPr>
            <w:tcW w:w="4140" w:type="dxa"/>
            <w:vAlign w:val="bottom"/>
            <w:tcBorders>
              <w:top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4"/>
                <w:szCs w:val="14"/>
                <w:color w:val="auto"/>
              </w:rPr>
              <w:t>Canada</w:t>
            </w:r>
          </w:p>
        </w:tc>
        <w:tc>
          <w:tcPr>
            <w:tcW w:w="220" w:type="dxa"/>
            <w:vAlign w:val="bottom"/>
            <w:tcBorders>
              <w:top w:val="single" w:sz="8" w:color="auto"/>
            </w:tcBorders>
            <w:shd w:val="clear" w:color="auto" w:fill="CCEEFF"/>
          </w:tcPr>
          <w:p>
            <w:pPr>
              <w:jc w:val="right"/>
              <w:ind w:right="73"/>
              <w:spacing w:after="0"/>
              <w:rPr>
                <w:sz w:val="20"/>
                <w:szCs w:val="20"/>
                <w:color w:val="auto"/>
              </w:rPr>
            </w:pPr>
            <w:r>
              <w:rPr>
                <w:rFonts w:ascii="Times New Roman" w:cs="Times New Roman" w:eastAsia="Times New Roman" w:hAnsi="Times New Roman"/>
                <w:sz w:val="13"/>
                <w:szCs w:val="13"/>
                <w:color w:val="auto"/>
                <w:w w:val="91"/>
              </w:rPr>
              <w:t>$</w:t>
            </w:r>
          </w:p>
        </w:tc>
        <w:tc>
          <w:tcPr>
            <w:tcW w:w="100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1,017</w:t>
            </w:r>
          </w:p>
        </w:tc>
        <w:tc>
          <w:tcPr>
            <w:tcW w:w="100" w:type="dxa"/>
            <w:vAlign w:val="bottom"/>
            <w:tcBorders>
              <w:top w:val="single" w:sz="8" w:color="CCEEFF"/>
            </w:tcBorders>
            <w:shd w:val="clear" w:color="auto" w:fill="CCEEFF"/>
          </w:tcPr>
          <w:p>
            <w:pPr>
              <w:spacing w:after="0"/>
              <w:rPr>
                <w:sz w:val="15"/>
                <w:szCs w:val="15"/>
                <w:color w:val="auto"/>
              </w:rPr>
            </w:pPr>
          </w:p>
        </w:tc>
        <w:tc>
          <w:tcPr>
            <w:tcW w:w="10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w w:val="91"/>
              </w:rPr>
              <w:t>$</w:t>
            </w:r>
          </w:p>
        </w:tc>
        <w:tc>
          <w:tcPr>
            <w:tcW w:w="112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w:t>
            </w:r>
          </w:p>
        </w:tc>
        <w:tc>
          <w:tcPr>
            <w:tcW w:w="100" w:type="dxa"/>
            <w:vAlign w:val="bottom"/>
            <w:tcBorders>
              <w:top w:val="single" w:sz="8" w:color="CCEEFF"/>
            </w:tcBorders>
            <w:shd w:val="clear" w:color="auto" w:fill="CCEEFF"/>
          </w:tcPr>
          <w:p>
            <w:pPr>
              <w:spacing w:after="0"/>
              <w:rPr>
                <w:sz w:val="15"/>
                <w:szCs w:val="15"/>
                <w:color w:val="auto"/>
              </w:rPr>
            </w:pPr>
          </w:p>
        </w:tc>
        <w:tc>
          <w:tcPr>
            <w:tcW w:w="240" w:type="dxa"/>
            <w:vAlign w:val="bottom"/>
            <w:tcBorders>
              <w:top w:val="single" w:sz="8" w:color="auto"/>
            </w:tcBorders>
            <w:shd w:val="clear" w:color="auto" w:fill="CCEEFF"/>
          </w:tcPr>
          <w:p>
            <w:pPr>
              <w:jc w:val="right"/>
              <w:ind w:right="93"/>
              <w:spacing w:after="0"/>
              <w:rPr>
                <w:sz w:val="20"/>
                <w:szCs w:val="20"/>
                <w:color w:val="auto"/>
              </w:rPr>
            </w:pPr>
            <w:r>
              <w:rPr>
                <w:rFonts w:ascii="Times New Roman" w:cs="Times New Roman" w:eastAsia="Times New Roman" w:hAnsi="Times New Roman"/>
                <w:sz w:val="13"/>
                <w:szCs w:val="13"/>
                <w:color w:val="auto"/>
                <w:w w:val="91"/>
              </w:rPr>
              <w:t>$</w:t>
            </w:r>
          </w:p>
        </w:tc>
        <w:tc>
          <w:tcPr>
            <w:tcW w:w="440" w:type="dxa"/>
            <w:vAlign w:val="bottom"/>
            <w:tcBorders>
              <w:top w:val="single" w:sz="8" w:color="auto"/>
            </w:tcBorders>
            <w:shd w:val="clear" w:color="auto" w:fill="CCEEFF"/>
          </w:tcPr>
          <w:p>
            <w:pPr>
              <w:spacing w:after="0"/>
              <w:rPr>
                <w:sz w:val="15"/>
                <w:szCs w:val="15"/>
                <w:color w:val="auto"/>
              </w:rPr>
            </w:pPr>
          </w:p>
        </w:tc>
        <w:tc>
          <w:tcPr>
            <w:tcW w:w="260" w:type="dxa"/>
            <w:vAlign w:val="bottom"/>
            <w:tcBorders>
              <w:top w:val="single" w:sz="8" w:color="auto"/>
            </w:tcBorders>
            <w:shd w:val="clear" w:color="auto" w:fill="CCEEFF"/>
          </w:tcPr>
          <w:p>
            <w:pPr>
              <w:spacing w:after="0"/>
              <w:rPr>
                <w:sz w:val="15"/>
                <w:szCs w:val="15"/>
                <w:color w:val="auto"/>
              </w:rPr>
            </w:pPr>
          </w:p>
        </w:tc>
        <w:tc>
          <w:tcPr>
            <w:tcW w:w="92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w:t>
            </w:r>
          </w:p>
        </w:tc>
        <w:tc>
          <w:tcPr>
            <w:tcW w:w="80" w:type="dxa"/>
            <w:vAlign w:val="bottom"/>
            <w:tcBorders>
              <w:top w:val="single" w:sz="8" w:color="CCEEFF"/>
            </w:tcBorders>
            <w:gridSpan w:val="2"/>
            <w:shd w:val="clear" w:color="auto" w:fill="CCEEFF"/>
          </w:tcPr>
          <w:p>
            <w:pPr>
              <w:spacing w:after="0"/>
              <w:rPr>
                <w:sz w:val="15"/>
                <w:szCs w:val="15"/>
                <w:color w:val="auto"/>
              </w:rPr>
            </w:pPr>
          </w:p>
        </w:tc>
        <w:tc>
          <w:tcPr>
            <w:tcW w:w="280" w:type="dxa"/>
            <w:vAlign w:val="bottom"/>
            <w:tcBorders>
              <w:top w:val="single" w:sz="8" w:color="auto"/>
            </w:tcBorders>
            <w:gridSpan w:val="2"/>
            <w:shd w:val="clear" w:color="auto" w:fill="CCEEFF"/>
          </w:tcPr>
          <w:p>
            <w:pPr>
              <w:jc w:val="right"/>
              <w:ind w:right="133"/>
              <w:spacing w:after="0"/>
              <w:rPr>
                <w:sz w:val="20"/>
                <w:szCs w:val="20"/>
                <w:color w:val="auto"/>
              </w:rPr>
            </w:pPr>
            <w:r>
              <w:rPr>
                <w:rFonts w:ascii="Times New Roman" w:cs="Times New Roman" w:eastAsia="Times New Roman" w:hAnsi="Times New Roman"/>
                <w:sz w:val="13"/>
                <w:szCs w:val="13"/>
                <w:color w:val="auto"/>
                <w:w w:val="91"/>
              </w:rPr>
              <w:t>$</w:t>
            </w:r>
          </w:p>
        </w:tc>
        <w:tc>
          <w:tcPr>
            <w:tcW w:w="960" w:type="dxa"/>
            <w:vAlign w:val="bottom"/>
            <w:tcBorders>
              <w:top w:val="single" w:sz="8" w:color="auto"/>
            </w:tcBorders>
            <w:gridSpan w:val="2"/>
            <w:shd w:val="clear" w:color="auto" w:fill="CCEEFF"/>
          </w:tcPr>
          <w:p>
            <w:pPr>
              <w:jc w:val="right"/>
              <w:ind w:right="60"/>
              <w:spacing w:after="0"/>
              <w:rPr>
                <w:sz w:val="20"/>
                <w:szCs w:val="20"/>
                <w:color w:val="auto"/>
              </w:rPr>
            </w:pPr>
            <w:r>
              <w:rPr>
                <w:rFonts w:ascii="Times New Roman" w:cs="Times New Roman" w:eastAsia="Times New Roman" w:hAnsi="Times New Roman"/>
                <w:sz w:val="13"/>
                <w:szCs w:val="13"/>
                <w:color w:val="auto"/>
              </w:rPr>
              <w:t>—</w:t>
            </w:r>
          </w:p>
        </w:tc>
        <w:tc>
          <w:tcPr>
            <w:tcW w:w="100" w:type="dxa"/>
            <w:vAlign w:val="bottom"/>
            <w:tcBorders>
              <w:top w:val="single" w:sz="8" w:color="CCEEFF"/>
            </w:tcBorders>
            <w:gridSpan w:val="2"/>
            <w:shd w:val="clear" w:color="auto" w:fill="CCEEFF"/>
          </w:tcPr>
          <w:p>
            <w:pPr>
              <w:spacing w:after="0"/>
              <w:rPr>
                <w:sz w:val="15"/>
                <w:szCs w:val="15"/>
                <w:color w:val="auto"/>
              </w:rPr>
            </w:pPr>
          </w:p>
        </w:tc>
        <w:tc>
          <w:tcPr>
            <w:tcW w:w="260" w:type="dxa"/>
            <w:vAlign w:val="bottom"/>
            <w:tcBorders>
              <w:top w:val="single" w:sz="8" w:color="auto"/>
            </w:tcBorders>
            <w:shd w:val="clear" w:color="auto" w:fill="CCEEFF"/>
          </w:tcPr>
          <w:p>
            <w:pPr>
              <w:spacing w:after="0"/>
              <w:rPr>
                <w:sz w:val="20"/>
                <w:szCs w:val="20"/>
                <w:color w:val="auto"/>
              </w:rPr>
            </w:pPr>
            <w:r>
              <w:rPr>
                <w:rFonts w:ascii="Times New Roman" w:cs="Times New Roman" w:eastAsia="Times New Roman" w:hAnsi="Times New Roman"/>
                <w:sz w:val="13"/>
                <w:szCs w:val="13"/>
                <w:color w:val="auto"/>
              </w:rPr>
              <w:t>$</w:t>
            </w:r>
          </w:p>
        </w:tc>
        <w:tc>
          <w:tcPr>
            <w:tcW w:w="92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1,017</w:t>
            </w:r>
          </w:p>
        </w:tc>
        <w:tc>
          <w:tcPr>
            <w:tcW w:w="40" w:type="dxa"/>
            <w:vAlign w:val="bottom"/>
            <w:tcBorders>
              <w:top w:val="single" w:sz="8" w:color="auto"/>
            </w:tcBorders>
            <w:shd w:val="clear" w:color="auto" w:fill="CCEEFF"/>
          </w:tcPr>
          <w:p>
            <w:pPr>
              <w:spacing w:after="0"/>
              <w:rPr>
                <w:sz w:val="15"/>
                <w:szCs w:val="15"/>
                <w:color w:val="auto"/>
              </w:rPr>
            </w:pPr>
          </w:p>
        </w:tc>
        <w:tc>
          <w:tcPr>
            <w:tcW w:w="0" w:type="dxa"/>
            <w:vAlign w:val="bottom"/>
          </w:tcPr>
          <w:p>
            <w:pPr>
              <w:spacing w:after="0"/>
              <w:rPr>
                <w:sz w:val="1"/>
                <w:szCs w:val="1"/>
                <w:color w:val="auto"/>
              </w:rPr>
            </w:pPr>
          </w:p>
        </w:tc>
      </w:tr>
      <w:tr>
        <w:trPr>
          <w:trHeight w:val="180"/>
        </w:trPr>
        <w:tc>
          <w:tcPr>
            <w:tcW w:w="4140" w:type="dxa"/>
            <w:vAlign w:val="bottom"/>
            <w:tcBorders>
              <w:bottom w:val="single" w:sz="8" w:color="CCEEFF"/>
            </w:tcBorders>
          </w:tcPr>
          <w:p>
            <w:pPr>
              <w:ind w:left="20"/>
              <w:spacing w:after="0"/>
              <w:rPr>
                <w:sz w:val="20"/>
                <w:szCs w:val="20"/>
                <w:color w:val="auto"/>
              </w:rPr>
            </w:pPr>
            <w:r>
              <w:rPr>
                <w:rFonts w:ascii="Times New Roman" w:cs="Times New Roman" w:eastAsia="Times New Roman" w:hAnsi="Times New Roman"/>
                <w:sz w:val="14"/>
                <w:szCs w:val="14"/>
                <w:color w:val="auto"/>
              </w:rPr>
              <w:t>U.S.</w:t>
            </w:r>
          </w:p>
        </w:tc>
        <w:tc>
          <w:tcPr>
            <w:tcW w:w="220" w:type="dxa"/>
            <w:vAlign w:val="bottom"/>
            <w:tcBorders>
              <w:bottom w:val="single" w:sz="8" w:color="auto"/>
            </w:tcBorders>
          </w:tcPr>
          <w:p>
            <w:pPr>
              <w:spacing w:after="0"/>
              <w:rPr>
                <w:sz w:val="15"/>
                <w:szCs w:val="15"/>
                <w:color w:val="auto"/>
              </w:rPr>
            </w:pPr>
          </w:p>
        </w:tc>
        <w:tc>
          <w:tcPr>
            <w:tcW w:w="10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3"/>
                <w:szCs w:val="13"/>
                <w:color w:val="auto"/>
              </w:rPr>
              <w:t>68,738</w:t>
            </w:r>
          </w:p>
        </w:tc>
        <w:tc>
          <w:tcPr>
            <w:tcW w:w="100" w:type="dxa"/>
            <w:vAlign w:val="bottom"/>
            <w:tcBorders>
              <w:bottom w:val="single" w:sz="8" w:color="CCEEFF"/>
            </w:tcBorders>
          </w:tcPr>
          <w:p>
            <w:pPr>
              <w:spacing w:after="0"/>
              <w:rPr>
                <w:sz w:val="15"/>
                <w:szCs w:val="15"/>
                <w:color w:val="auto"/>
              </w:rPr>
            </w:pPr>
          </w:p>
        </w:tc>
        <w:tc>
          <w:tcPr>
            <w:tcW w:w="100" w:type="dxa"/>
            <w:vAlign w:val="bottom"/>
            <w:tcBorders>
              <w:bottom w:val="single" w:sz="8" w:color="auto"/>
            </w:tcBorders>
          </w:tcPr>
          <w:p>
            <w:pPr>
              <w:spacing w:after="0"/>
              <w:rPr>
                <w:sz w:val="15"/>
                <w:szCs w:val="15"/>
                <w:color w:val="auto"/>
              </w:rPr>
            </w:pPr>
          </w:p>
        </w:tc>
        <w:tc>
          <w:tcPr>
            <w:tcW w:w="11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3"/>
                <w:szCs w:val="13"/>
                <w:color w:val="auto"/>
              </w:rPr>
              <w:t>21,422</w:t>
            </w:r>
          </w:p>
        </w:tc>
        <w:tc>
          <w:tcPr>
            <w:tcW w:w="100" w:type="dxa"/>
            <w:vAlign w:val="bottom"/>
            <w:tcBorders>
              <w:bottom w:val="single" w:sz="8" w:color="CCEEFF"/>
            </w:tcBorders>
          </w:tcPr>
          <w:p>
            <w:pPr>
              <w:spacing w:after="0"/>
              <w:rPr>
                <w:sz w:val="15"/>
                <w:szCs w:val="15"/>
                <w:color w:val="auto"/>
              </w:rPr>
            </w:pPr>
          </w:p>
        </w:tc>
        <w:tc>
          <w:tcPr>
            <w:tcW w:w="240" w:type="dxa"/>
            <w:vAlign w:val="bottom"/>
            <w:tcBorders>
              <w:bottom w:val="single" w:sz="8" w:color="auto"/>
            </w:tcBorders>
          </w:tcPr>
          <w:p>
            <w:pPr>
              <w:spacing w:after="0"/>
              <w:rPr>
                <w:sz w:val="15"/>
                <w:szCs w:val="15"/>
                <w:color w:val="auto"/>
              </w:rPr>
            </w:pPr>
          </w:p>
        </w:tc>
        <w:tc>
          <w:tcPr>
            <w:tcW w:w="440" w:type="dxa"/>
            <w:vAlign w:val="bottom"/>
            <w:tcBorders>
              <w:bottom w:val="single" w:sz="8" w:color="auto"/>
            </w:tcBorders>
          </w:tcPr>
          <w:p>
            <w:pPr>
              <w:spacing w:after="0"/>
              <w:rPr>
                <w:sz w:val="15"/>
                <w:szCs w:val="15"/>
                <w:color w:val="auto"/>
              </w:rPr>
            </w:pPr>
          </w:p>
        </w:tc>
        <w:tc>
          <w:tcPr>
            <w:tcW w:w="260" w:type="dxa"/>
            <w:vAlign w:val="bottom"/>
            <w:tcBorders>
              <w:bottom w:val="single" w:sz="8" w:color="auto"/>
            </w:tcBorders>
          </w:tcPr>
          <w:p>
            <w:pPr>
              <w:spacing w:after="0"/>
              <w:rPr>
                <w:sz w:val="15"/>
                <w:szCs w:val="15"/>
                <w:color w:val="auto"/>
              </w:rPr>
            </w:pPr>
          </w:p>
        </w:tc>
        <w:tc>
          <w:tcPr>
            <w:tcW w:w="9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3"/>
                <w:szCs w:val="13"/>
                <w:color w:val="auto"/>
              </w:rPr>
              <w:t>1,875</w:t>
            </w:r>
          </w:p>
        </w:tc>
        <w:tc>
          <w:tcPr>
            <w:tcW w:w="20" w:type="dxa"/>
            <w:vAlign w:val="bottom"/>
            <w:tcBorders>
              <w:bottom w:val="single" w:sz="8" w:color="CCEEFF"/>
            </w:tcBorders>
          </w:tcPr>
          <w:p>
            <w:pPr>
              <w:spacing w:after="0"/>
              <w:rPr>
                <w:sz w:val="15"/>
                <w:szCs w:val="15"/>
                <w:color w:val="auto"/>
              </w:rPr>
            </w:pPr>
          </w:p>
        </w:tc>
        <w:tc>
          <w:tcPr>
            <w:tcW w:w="60" w:type="dxa"/>
            <w:vAlign w:val="bottom"/>
            <w:tcBorders>
              <w:bottom w:val="single" w:sz="8" w:color="CCEEFF"/>
            </w:tcBorders>
          </w:tcPr>
          <w:p>
            <w:pPr>
              <w:spacing w:after="0"/>
              <w:rPr>
                <w:sz w:val="15"/>
                <w:szCs w:val="15"/>
                <w:color w:val="auto"/>
              </w:rPr>
            </w:pPr>
          </w:p>
        </w:tc>
        <w:tc>
          <w:tcPr>
            <w:tcW w:w="20" w:type="dxa"/>
            <w:vAlign w:val="bottom"/>
            <w:tcBorders>
              <w:bottom w:val="single" w:sz="8" w:color="auto"/>
            </w:tcBorders>
          </w:tcPr>
          <w:p>
            <w:pPr>
              <w:spacing w:after="0"/>
              <w:rPr>
                <w:sz w:val="15"/>
                <w:szCs w:val="15"/>
                <w:color w:val="auto"/>
              </w:rPr>
            </w:pPr>
          </w:p>
        </w:tc>
        <w:tc>
          <w:tcPr>
            <w:tcW w:w="260" w:type="dxa"/>
            <w:vAlign w:val="bottom"/>
            <w:tcBorders>
              <w:bottom w:val="single" w:sz="8" w:color="auto"/>
            </w:tcBorders>
          </w:tcPr>
          <w:p>
            <w:pPr>
              <w:spacing w:after="0"/>
              <w:rPr>
                <w:sz w:val="15"/>
                <w:szCs w:val="15"/>
                <w:color w:val="auto"/>
              </w:rPr>
            </w:pPr>
          </w:p>
        </w:tc>
        <w:tc>
          <w:tcPr>
            <w:tcW w:w="9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3"/>
                <w:szCs w:val="13"/>
                <w:color w:val="auto"/>
              </w:rPr>
              <w:t>1,669</w:t>
            </w:r>
          </w:p>
        </w:tc>
        <w:tc>
          <w:tcPr>
            <w:tcW w:w="20" w:type="dxa"/>
            <w:vAlign w:val="bottom"/>
            <w:tcBorders>
              <w:bottom w:val="single" w:sz="8" w:color="auto"/>
            </w:tcBorders>
          </w:tcPr>
          <w:p>
            <w:pPr>
              <w:spacing w:after="0"/>
              <w:rPr>
                <w:sz w:val="15"/>
                <w:szCs w:val="15"/>
                <w:color w:val="auto"/>
              </w:rPr>
            </w:pPr>
          </w:p>
        </w:tc>
        <w:tc>
          <w:tcPr>
            <w:tcW w:w="80" w:type="dxa"/>
            <w:vAlign w:val="bottom"/>
            <w:tcBorders>
              <w:bottom w:val="single" w:sz="8" w:color="auto"/>
            </w:tcBorders>
          </w:tcPr>
          <w:p>
            <w:pPr>
              <w:spacing w:after="0"/>
              <w:rPr>
                <w:sz w:val="15"/>
                <w:szCs w:val="15"/>
                <w:color w:val="auto"/>
              </w:rPr>
            </w:pPr>
          </w:p>
        </w:tc>
        <w:tc>
          <w:tcPr>
            <w:tcW w:w="20" w:type="dxa"/>
            <w:vAlign w:val="bottom"/>
            <w:tcBorders>
              <w:bottom w:val="single" w:sz="8" w:color="auto"/>
            </w:tcBorders>
          </w:tcPr>
          <w:p>
            <w:pPr>
              <w:spacing w:after="0"/>
              <w:rPr>
                <w:sz w:val="15"/>
                <w:szCs w:val="15"/>
                <w:color w:val="auto"/>
              </w:rPr>
            </w:pPr>
          </w:p>
        </w:tc>
        <w:tc>
          <w:tcPr>
            <w:tcW w:w="260" w:type="dxa"/>
            <w:vAlign w:val="bottom"/>
            <w:tcBorders>
              <w:bottom w:val="single" w:sz="8" w:color="auto"/>
            </w:tcBorders>
          </w:tcPr>
          <w:p>
            <w:pPr>
              <w:spacing w:after="0"/>
              <w:rPr>
                <w:sz w:val="15"/>
                <w:szCs w:val="15"/>
                <w:color w:val="auto"/>
              </w:rPr>
            </w:pPr>
          </w:p>
        </w:tc>
        <w:tc>
          <w:tcPr>
            <w:tcW w:w="9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3"/>
                <w:szCs w:val="13"/>
                <w:color w:val="auto"/>
              </w:rPr>
              <w:t>93,704</w:t>
            </w:r>
          </w:p>
        </w:tc>
        <w:tc>
          <w:tcPr>
            <w:tcW w:w="40" w:type="dxa"/>
            <w:vAlign w:val="bottom"/>
            <w:tcBorders>
              <w:bottom w:val="single" w:sz="8" w:color="auto"/>
            </w:tcBorders>
          </w:tcPr>
          <w:p>
            <w:pPr>
              <w:spacing w:after="0"/>
              <w:rPr>
                <w:sz w:val="15"/>
                <w:szCs w:val="15"/>
                <w:color w:val="auto"/>
              </w:rPr>
            </w:pPr>
          </w:p>
        </w:tc>
        <w:tc>
          <w:tcPr>
            <w:tcW w:w="0" w:type="dxa"/>
            <w:vAlign w:val="bottom"/>
          </w:tcPr>
          <w:p>
            <w:pPr>
              <w:spacing w:after="0"/>
              <w:rPr>
                <w:sz w:val="1"/>
                <w:szCs w:val="1"/>
                <w:color w:val="auto"/>
              </w:rPr>
            </w:pPr>
          </w:p>
        </w:tc>
      </w:tr>
      <w:tr>
        <w:trPr>
          <w:trHeight w:val="196"/>
        </w:trPr>
        <w:tc>
          <w:tcPr>
            <w:tcW w:w="414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4"/>
                <w:szCs w:val="14"/>
                <w:color w:val="auto"/>
              </w:rPr>
              <w:t>Total</w:t>
            </w:r>
          </w:p>
        </w:tc>
        <w:tc>
          <w:tcPr>
            <w:tcW w:w="220" w:type="dxa"/>
            <w:vAlign w:val="bottom"/>
            <w:tcBorders>
              <w:bottom w:val="single" w:sz="8" w:color="auto"/>
            </w:tcBorders>
            <w:shd w:val="clear" w:color="auto" w:fill="CCEEFF"/>
          </w:tcPr>
          <w:p>
            <w:pPr>
              <w:jc w:val="right"/>
              <w:ind w:right="73"/>
              <w:spacing w:after="0"/>
              <w:rPr>
                <w:sz w:val="20"/>
                <w:szCs w:val="20"/>
                <w:color w:val="auto"/>
              </w:rPr>
            </w:pPr>
            <w:r>
              <w:rPr>
                <w:rFonts w:ascii="Times New Roman" w:cs="Times New Roman" w:eastAsia="Times New Roman" w:hAnsi="Times New Roman"/>
                <w:sz w:val="13"/>
                <w:szCs w:val="13"/>
                <w:color w:val="auto"/>
                <w:w w:val="91"/>
              </w:rPr>
              <w:t>$</w:t>
            </w:r>
          </w:p>
        </w:tc>
        <w:tc>
          <w:tcPr>
            <w:tcW w:w="10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69,755</w:t>
            </w:r>
          </w:p>
        </w:tc>
        <w:tc>
          <w:tcPr>
            <w:tcW w:w="100" w:type="dxa"/>
            <w:vAlign w:val="bottom"/>
            <w:tcBorders>
              <w:bottom w:val="single" w:sz="8" w:color="CCEEFF"/>
            </w:tcBorders>
            <w:shd w:val="clear" w:color="auto" w:fill="CCEEFF"/>
          </w:tcPr>
          <w:p>
            <w:pPr>
              <w:spacing w:after="0"/>
              <w:rPr>
                <w:sz w:val="16"/>
                <w:szCs w:val="16"/>
                <w:color w:val="auto"/>
              </w:rPr>
            </w:pPr>
          </w:p>
        </w:tc>
        <w:tc>
          <w:tcPr>
            <w:tcW w:w="1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w w:val="91"/>
              </w:rPr>
              <w:t>$</w:t>
            </w:r>
          </w:p>
        </w:tc>
        <w:tc>
          <w:tcPr>
            <w:tcW w:w="11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21,422</w:t>
            </w:r>
          </w:p>
        </w:tc>
        <w:tc>
          <w:tcPr>
            <w:tcW w:w="100" w:type="dxa"/>
            <w:vAlign w:val="bottom"/>
            <w:tcBorders>
              <w:bottom w:val="single" w:sz="8" w:color="CCEEFF"/>
            </w:tcBorders>
            <w:shd w:val="clear" w:color="auto" w:fill="CCEEFF"/>
          </w:tcPr>
          <w:p>
            <w:pPr>
              <w:spacing w:after="0"/>
              <w:rPr>
                <w:sz w:val="16"/>
                <w:szCs w:val="16"/>
                <w:color w:val="auto"/>
              </w:rPr>
            </w:pPr>
          </w:p>
        </w:tc>
        <w:tc>
          <w:tcPr>
            <w:tcW w:w="240" w:type="dxa"/>
            <w:vAlign w:val="bottom"/>
            <w:tcBorders>
              <w:bottom w:val="single" w:sz="8" w:color="auto"/>
            </w:tcBorders>
            <w:shd w:val="clear" w:color="auto" w:fill="CCEEFF"/>
          </w:tcPr>
          <w:p>
            <w:pPr>
              <w:jc w:val="right"/>
              <w:ind w:right="93"/>
              <w:spacing w:after="0"/>
              <w:rPr>
                <w:sz w:val="20"/>
                <w:szCs w:val="20"/>
                <w:color w:val="auto"/>
              </w:rPr>
            </w:pPr>
            <w:r>
              <w:rPr>
                <w:rFonts w:ascii="Times New Roman" w:cs="Times New Roman" w:eastAsia="Times New Roman" w:hAnsi="Times New Roman"/>
                <w:sz w:val="13"/>
                <w:szCs w:val="13"/>
                <w:color w:val="auto"/>
                <w:w w:val="91"/>
              </w:rPr>
              <w:t>$</w:t>
            </w:r>
          </w:p>
        </w:tc>
        <w:tc>
          <w:tcPr>
            <w:tcW w:w="440" w:type="dxa"/>
            <w:vAlign w:val="bottom"/>
            <w:tcBorders>
              <w:bottom w:val="single" w:sz="8" w:color="auto"/>
            </w:tcBorders>
            <w:shd w:val="clear" w:color="auto" w:fill="CCEEFF"/>
          </w:tcPr>
          <w:p>
            <w:pPr>
              <w:spacing w:after="0"/>
              <w:rPr>
                <w:sz w:val="16"/>
                <w:szCs w:val="16"/>
                <w:color w:val="auto"/>
              </w:rPr>
            </w:pPr>
          </w:p>
        </w:tc>
        <w:tc>
          <w:tcPr>
            <w:tcW w:w="260" w:type="dxa"/>
            <w:vAlign w:val="bottom"/>
            <w:tcBorders>
              <w:bottom w:val="single" w:sz="8" w:color="auto"/>
            </w:tcBorders>
            <w:shd w:val="clear" w:color="auto" w:fill="CCEEFF"/>
          </w:tcPr>
          <w:p>
            <w:pPr>
              <w:spacing w:after="0"/>
              <w:rPr>
                <w:sz w:val="16"/>
                <w:szCs w:val="16"/>
                <w:color w:val="auto"/>
              </w:rPr>
            </w:pPr>
          </w:p>
        </w:tc>
        <w:tc>
          <w:tcPr>
            <w:tcW w:w="9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1,875</w:t>
            </w:r>
          </w:p>
        </w:tc>
        <w:tc>
          <w:tcPr>
            <w:tcW w:w="80" w:type="dxa"/>
            <w:vAlign w:val="bottom"/>
            <w:tcBorders>
              <w:bottom w:val="single" w:sz="8" w:color="CCEEFF"/>
            </w:tcBorders>
            <w:gridSpan w:val="2"/>
            <w:shd w:val="clear" w:color="auto" w:fill="CCEEFF"/>
          </w:tcPr>
          <w:p>
            <w:pPr>
              <w:spacing w:after="0"/>
              <w:rPr>
                <w:sz w:val="16"/>
                <w:szCs w:val="16"/>
                <w:color w:val="auto"/>
              </w:rPr>
            </w:pPr>
          </w:p>
        </w:tc>
        <w:tc>
          <w:tcPr>
            <w:tcW w:w="280" w:type="dxa"/>
            <w:vAlign w:val="bottom"/>
            <w:tcBorders>
              <w:bottom w:val="single" w:sz="8" w:color="auto"/>
            </w:tcBorders>
            <w:gridSpan w:val="2"/>
            <w:shd w:val="clear" w:color="auto" w:fill="CCEEFF"/>
          </w:tcPr>
          <w:p>
            <w:pPr>
              <w:jc w:val="right"/>
              <w:ind w:right="133"/>
              <w:spacing w:after="0"/>
              <w:rPr>
                <w:sz w:val="20"/>
                <w:szCs w:val="20"/>
                <w:color w:val="auto"/>
              </w:rPr>
            </w:pPr>
            <w:r>
              <w:rPr>
                <w:rFonts w:ascii="Times New Roman" w:cs="Times New Roman" w:eastAsia="Times New Roman" w:hAnsi="Times New Roman"/>
                <w:sz w:val="13"/>
                <w:szCs w:val="13"/>
                <w:color w:val="auto"/>
                <w:w w:val="91"/>
              </w:rPr>
              <w:t>$</w:t>
            </w:r>
          </w:p>
        </w:tc>
        <w:tc>
          <w:tcPr>
            <w:tcW w:w="9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1,669</w:t>
            </w:r>
          </w:p>
        </w:tc>
        <w:tc>
          <w:tcPr>
            <w:tcW w:w="20" w:type="dxa"/>
            <w:vAlign w:val="bottom"/>
            <w:tcBorders>
              <w:bottom w:val="single" w:sz="8" w:color="auto"/>
            </w:tcBorders>
            <w:shd w:val="clear" w:color="auto" w:fill="CCEEFF"/>
          </w:tcPr>
          <w:p>
            <w:pPr>
              <w:spacing w:after="0"/>
              <w:rPr>
                <w:sz w:val="16"/>
                <w:szCs w:val="16"/>
                <w:color w:val="auto"/>
              </w:rPr>
            </w:pPr>
          </w:p>
        </w:tc>
        <w:tc>
          <w:tcPr>
            <w:tcW w:w="80" w:type="dxa"/>
            <w:vAlign w:val="bottom"/>
            <w:tcBorders>
              <w:bottom w:val="single" w:sz="8" w:color="auto"/>
            </w:tcBorders>
            <w:shd w:val="clear" w:color="auto" w:fill="CCEEFF"/>
          </w:tcPr>
          <w:p>
            <w:pPr>
              <w:spacing w:after="0"/>
              <w:rPr>
                <w:sz w:val="16"/>
                <w:szCs w:val="16"/>
                <w:color w:val="auto"/>
              </w:rPr>
            </w:pPr>
          </w:p>
        </w:tc>
        <w:tc>
          <w:tcPr>
            <w:tcW w:w="20" w:type="dxa"/>
            <w:vAlign w:val="bottom"/>
            <w:tcBorders>
              <w:bottom w:val="single" w:sz="8" w:color="auto"/>
            </w:tcBorders>
            <w:shd w:val="clear" w:color="auto" w:fill="CCEEFF"/>
          </w:tcPr>
          <w:p>
            <w:pPr>
              <w:spacing w:after="0"/>
              <w:rPr>
                <w:sz w:val="16"/>
                <w:szCs w:val="16"/>
                <w:color w:val="auto"/>
              </w:rPr>
            </w:pPr>
          </w:p>
        </w:tc>
        <w:tc>
          <w:tcPr>
            <w:tcW w:w="260" w:type="dxa"/>
            <w:vAlign w:val="bottom"/>
            <w:tcBorders>
              <w:bottom w:val="single" w:sz="8" w:color="auto"/>
            </w:tcBorders>
            <w:shd w:val="clear" w:color="auto" w:fill="CCEEFF"/>
          </w:tcPr>
          <w:p>
            <w:pPr>
              <w:spacing w:after="0"/>
              <w:rPr>
                <w:sz w:val="20"/>
                <w:szCs w:val="20"/>
                <w:color w:val="auto"/>
              </w:rPr>
            </w:pPr>
            <w:r>
              <w:rPr>
                <w:rFonts w:ascii="Times New Roman" w:cs="Times New Roman" w:eastAsia="Times New Roman" w:hAnsi="Times New Roman"/>
                <w:sz w:val="13"/>
                <w:szCs w:val="13"/>
                <w:color w:val="auto"/>
              </w:rPr>
              <w:t>$</w:t>
            </w:r>
          </w:p>
        </w:tc>
        <w:tc>
          <w:tcPr>
            <w:tcW w:w="9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94,721</w:t>
            </w:r>
          </w:p>
        </w:tc>
        <w:tc>
          <w:tcPr>
            <w:tcW w:w="40" w:type="dxa"/>
            <w:vAlign w:val="bottom"/>
            <w:tcBorders>
              <w:bottom w:val="single" w:sz="8" w:color="auto"/>
            </w:tcBorders>
            <w:shd w:val="clear" w:color="auto" w:fill="CCEEFF"/>
          </w:tcPr>
          <w:p>
            <w:pPr>
              <w:spacing w:after="0"/>
              <w:rPr>
                <w:sz w:val="16"/>
                <w:szCs w:val="16"/>
                <w:color w:val="auto"/>
              </w:rPr>
            </w:pPr>
          </w:p>
        </w:tc>
        <w:tc>
          <w:tcPr>
            <w:tcW w:w="0" w:type="dxa"/>
            <w:vAlign w:val="bottom"/>
          </w:tcPr>
          <w:p>
            <w:pPr>
              <w:spacing w:after="0"/>
              <w:rPr>
                <w:sz w:val="1"/>
                <w:szCs w:val="1"/>
                <w:color w:val="auto"/>
              </w:rPr>
            </w:pPr>
          </w:p>
        </w:tc>
      </w:tr>
      <w:tr>
        <w:trPr>
          <w:trHeight w:val="20"/>
        </w:trPr>
        <w:tc>
          <w:tcPr>
            <w:tcW w:w="4140" w:type="dxa"/>
            <w:vAlign w:val="bottom"/>
            <w:tcBorders>
              <w:top w:val="single" w:sz="8" w:color="CCEEFF"/>
            </w:tcBorders>
          </w:tcPr>
          <w:p>
            <w:pPr>
              <w:spacing w:after="0" w:line="20" w:lineRule="exact"/>
              <w:rPr>
                <w:sz w:val="1"/>
                <w:szCs w:val="1"/>
                <w:color w:val="auto"/>
              </w:rPr>
            </w:pPr>
          </w:p>
        </w:tc>
        <w:tc>
          <w:tcPr>
            <w:tcW w:w="220" w:type="dxa"/>
            <w:vAlign w:val="bottom"/>
            <w:tcBorders>
              <w:top w:val="single" w:sz="8" w:color="CCEEFF"/>
              <w:bottom w:val="single" w:sz="8" w:color="auto"/>
            </w:tcBorders>
          </w:tcPr>
          <w:p>
            <w:pPr>
              <w:spacing w:after="0" w:line="20" w:lineRule="exact"/>
              <w:rPr>
                <w:sz w:val="1"/>
                <w:szCs w:val="1"/>
                <w:color w:val="auto"/>
              </w:rPr>
            </w:pPr>
          </w:p>
        </w:tc>
        <w:tc>
          <w:tcPr>
            <w:tcW w:w="100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00" w:type="dxa"/>
            <w:vAlign w:val="bottom"/>
            <w:tcBorders>
              <w:top w:val="single" w:sz="8" w:color="CCEEFF"/>
              <w:bottom w:val="single" w:sz="8" w:color="auto"/>
            </w:tcBorders>
          </w:tcPr>
          <w:p>
            <w:pPr>
              <w:spacing w:after="0" w:line="20" w:lineRule="exact"/>
              <w:rPr>
                <w:sz w:val="1"/>
                <w:szCs w:val="1"/>
                <w:color w:val="auto"/>
              </w:rPr>
            </w:pPr>
          </w:p>
        </w:tc>
        <w:tc>
          <w:tcPr>
            <w:tcW w:w="112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240" w:type="dxa"/>
            <w:vAlign w:val="bottom"/>
            <w:tcBorders>
              <w:top w:val="single" w:sz="8" w:color="CCEEFF"/>
              <w:bottom w:val="single" w:sz="8" w:color="auto"/>
            </w:tcBorders>
          </w:tcPr>
          <w:p>
            <w:pPr>
              <w:spacing w:after="0" w:line="20" w:lineRule="exact"/>
              <w:rPr>
                <w:sz w:val="1"/>
                <w:szCs w:val="1"/>
                <w:color w:val="auto"/>
              </w:rPr>
            </w:pPr>
          </w:p>
        </w:tc>
        <w:tc>
          <w:tcPr>
            <w:tcW w:w="440" w:type="dxa"/>
            <w:vAlign w:val="bottom"/>
            <w:tcBorders>
              <w:top w:val="single" w:sz="8" w:color="CCEEFF"/>
              <w:bottom w:val="single" w:sz="8" w:color="auto"/>
            </w:tcBorders>
          </w:tcPr>
          <w:p>
            <w:pPr>
              <w:spacing w:after="0" w:line="20" w:lineRule="exact"/>
              <w:rPr>
                <w:sz w:val="1"/>
                <w:szCs w:val="1"/>
                <w:color w:val="auto"/>
              </w:rPr>
            </w:pPr>
          </w:p>
        </w:tc>
        <w:tc>
          <w:tcPr>
            <w:tcW w:w="260" w:type="dxa"/>
            <w:vAlign w:val="bottom"/>
            <w:tcBorders>
              <w:top w:val="single" w:sz="8" w:color="CCEEFF"/>
              <w:bottom w:val="single" w:sz="8" w:color="auto"/>
            </w:tcBorders>
          </w:tcPr>
          <w:p>
            <w:pPr>
              <w:spacing w:after="0" w:line="20" w:lineRule="exact"/>
              <w:rPr>
                <w:sz w:val="1"/>
                <w:szCs w:val="1"/>
                <w:color w:val="auto"/>
              </w:rPr>
            </w:pPr>
          </w:p>
        </w:tc>
        <w:tc>
          <w:tcPr>
            <w:tcW w:w="920" w:type="dxa"/>
            <w:vAlign w:val="bottom"/>
            <w:tcBorders>
              <w:top w:val="single" w:sz="8" w:color="CCEEFF"/>
              <w:bottom w:val="single" w:sz="8" w:color="auto"/>
            </w:tcBorders>
          </w:tcPr>
          <w:p>
            <w:pPr>
              <w:spacing w:after="0" w:line="20" w:lineRule="exact"/>
              <w:rPr>
                <w:sz w:val="1"/>
                <w:szCs w:val="1"/>
                <w:color w:val="auto"/>
              </w:rPr>
            </w:pPr>
          </w:p>
        </w:tc>
        <w:tc>
          <w:tcPr>
            <w:tcW w:w="20" w:type="dxa"/>
            <w:vAlign w:val="bottom"/>
            <w:tcBorders>
              <w:top w:val="single" w:sz="8" w:color="CCEEFF"/>
            </w:tcBorders>
          </w:tcPr>
          <w:p>
            <w:pPr>
              <w:spacing w:after="0" w:line="20" w:lineRule="exact"/>
              <w:rPr>
                <w:sz w:val="1"/>
                <w:szCs w:val="1"/>
                <w:color w:val="auto"/>
              </w:rPr>
            </w:pPr>
          </w:p>
        </w:tc>
        <w:tc>
          <w:tcPr>
            <w:tcW w:w="60" w:type="dxa"/>
            <w:vAlign w:val="bottom"/>
            <w:tcBorders>
              <w:top w:val="single" w:sz="8" w:color="CCEEFF"/>
            </w:tcBorders>
          </w:tcPr>
          <w:p>
            <w:pPr>
              <w:spacing w:after="0" w:line="20" w:lineRule="exact"/>
              <w:rPr>
                <w:sz w:val="1"/>
                <w:szCs w:val="1"/>
                <w:color w:val="auto"/>
              </w:rPr>
            </w:pPr>
          </w:p>
        </w:tc>
        <w:tc>
          <w:tcPr>
            <w:tcW w:w="20" w:type="dxa"/>
            <w:vAlign w:val="bottom"/>
            <w:tcBorders>
              <w:top w:val="single" w:sz="8" w:color="CCEEFF"/>
              <w:bottom w:val="single" w:sz="8" w:color="auto"/>
            </w:tcBorders>
          </w:tcPr>
          <w:p>
            <w:pPr>
              <w:spacing w:after="0" w:line="20" w:lineRule="exact"/>
              <w:rPr>
                <w:sz w:val="1"/>
                <w:szCs w:val="1"/>
                <w:color w:val="auto"/>
              </w:rPr>
            </w:pPr>
          </w:p>
        </w:tc>
        <w:tc>
          <w:tcPr>
            <w:tcW w:w="260" w:type="dxa"/>
            <w:vAlign w:val="bottom"/>
            <w:tcBorders>
              <w:top w:val="single" w:sz="8" w:color="CCEEFF"/>
              <w:bottom w:val="single" w:sz="8" w:color="auto"/>
            </w:tcBorders>
          </w:tcPr>
          <w:p>
            <w:pPr>
              <w:spacing w:after="0" w:line="20" w:lineRule="exact"/>
              <w:rPr>
                <w:sz w:val="1"/>
                <w:szCs w:val="1"/>
                <w:color w:val="auto"/>
              </w:rPr>
            </w:pPr>
          </w:p>
        </w:tc>
        <w:tc>
          <w:tcPr>
            <w:tcW w:w="940" w:type="dxa"/>
            <w:vAlign w:val="bottom"/>
            <w:tcBorders>
              <w:top w:val="single" w:sz="8" w:color="CCEEFF"/>
              <w:bottom w:val="single" w:sz="8" w:color="auto"/>
            </w:tcBorders>
          </w:tcPr>
          <w:p>
            <w:pPr>
              <w:spacing w:after="0" w:line="20" w:lineRule="exact"/>
              <w:rPr>
                <w:sz w:val="1"/>
                <w:szCs w:val="1"/>
                <w:color w:val="auto"/>
              </w:rPr>
            </w:pPr>
          </w:p>
        </w:tc>
        <w:tc>
          <w:tcPr>
            <w:tcW w:w="20" w:type="dxa"/>
            <w:vAlign w:val="bottom"/>
            <w:tcBorders>
              <w:top w:val="single" w:sz="8" w:color="CCEEFF"/>
              <w:bottom w:val="single" w:sz="8" w:color="auto"/>
            </w:tcBorders>
          </w:tcPr>
          <w:p>
            <w:pPr>
              <w:spacing w:after="0" w:line="20" w:lineRule="exact"/>
              <w:rPr>
                <w:sz w:val="1"/>
                <w:szCs w:val="1"/>
                <w:color w:val="auto"/>
              </w:rPr>
            </w:pPr>
          </w:p>
        </w:tc>
        <w:tc>
          <w:tcPr>
            <w:tcW w:w="80" w:type="dxa"/>
            <w:vAlign w:val="bottom"/>
            <w:tcBorders>
              <w:top w:val="single" w:sz="8" w:color="CCEEFF"/>
              <w:bottom w:val="single" w:sz="8" w:color="auto"/>
            </w:tcBorders>
          </w:tcPr>
          <w:p>
            <w:pPr>
              <w:spacing w:after="0" w:line="20" w:lineRule="exact"/>
              <w:rPr>
                <w:sz w:val="1"/>
                <w:szCs w:val="1"/>
                <w:color w:val="auto"/>
              </w:rPr>
            </w:pPr>
          </w:p>
        </w:tc>
        <w:tc>
          <w:tcPr>
            <w:tcW w:w="20" w:type="dxa"/>
            <w:vAlign w:val="bottom"/>
            <w:tcBorders>
              <w:top w:val="single" w:sz="8" w:color="CCEEFF"/>
              <w:bottom w:val="single" w:sz="8" w:color="auto"/>
            </w:tcBorders>
          </w:tcPr>
          <w:p>
            <w:pPr>
              <w:spacing w:after="0" w:line="20" w:lineRule="exact"/>
              <w:rPr>
                <w:sz w:val="1"/>
                <w:szCs w:val="1"/>
                <w:color w:val="auto"/>
              </w:rPr>
            </w:pPr>
          </w:p>
        </w:tc>
        <w:tc>
          <w:tcPr>
            <w:tcW w:w="260" w:type="dxa"/>
            <w:vAlign w:val="bottom"/>
            <w:tcBorders>
              <w:top w:val="single" w:sz="8" w:color="CCEEFF"/>
              <w:bottom w:val="single" w:sz="8" w:color="auto"/>
            </w:tcBorders>
          </w:tcPr>
          <w:p>
            <w:pPr>
              <w:spacing w:after="0" w:line="20" w:lineRule="exact"/>
              <w:rPr>
                <w:sz w:val="1"/>
                <w:szCs w:val="1"/>
                <w:color w:val="auto"/>
              </w:rPr>
            </w:pPr>
          </w:p>
        </w:tc>
        <w:tc>
          <w:tcPr>
            <w:tcW w:w="920" w:type="dxa"/>
            <w:vAlign w:val="bottom"/>
            <w:tcBorders>
              <w:top w:val="single" w:sz="8" w:color="CCEEFF"/>
              <w:bottom w:val="single" w:sz="8" w:color="auto"/>
            </w:tcBorders>
          </w:tcPr>
          <w:p>
            <w:pPr>
              <w:spacing w:after="0" w:line="20" w:lineRule="exact"/>
              <w:rPr>
                <w:sz w:val="1"/>
                <w:szCs w:val="1"/>
                <w:color w:val="auto"/>
              </w:rPr>
            </w:pPr>
          </w:p>
        </w:tc>
        <w:tc>
          <w:tcPr>
            <w:tcW w:w="40" w:type="dxa"/>
            <w:vAlign w:val="bottom"/>
            <w:tcBorders>
              <w:top w:val="single" w:sz="8" w:color="CCEEFF"/>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630"/>
        </w:trPr>
        <w:tc>
          <w:tcPr>
            <w:tcW w:w="414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10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120" w:type="dxa"/>
            <w:vAlign w:val="bottom"/>
          </w:tcPr>
          <w:p>
            <w:pPr>
              <w:jc w:val="right"/>
              <w:ind w:right="893"/>
              <w:spacing w:after="0"/>
              <w:rPr>
                <w:sz w:val="20"/>
                <w:szCs w:val="20"/>
                <w:color w:val="auto"/>
              </w:rPr>
            </w:pPr>
            <w:r>
              <w:rPr>
                <w:rFonts w:ascii="Times New Roman" w:cs="Times New Roman" w:eastAsia="Times New Roman" w:hAnsi="Times New Roman"/>
                <w:sz w:val="14"/>
                <w:szCs w:val="14"/>
                <w:color w:val="auto"/>
                <w:w w:val="99"/>
              </w:rPr>
              <w:t>15</w:t>
            </w:r>
          </w:p>
        </w:tc>
        <w:tc>
          <w:tcPr>
            <w:tcW w:w="10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44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9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94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92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87"/>
        </w:trPr>
        <w:tc>
          <w:tcPr>
            <w:tcW w:w="4140" w:type="dxa"/>
            <w:vAlign w:val="bottom"/>
            <w:tcBorders>
              <w:bottom w:val="single" w:sz="8" w:color="9A9A9A"/>
            </w:tcBorders>
          </w:tcPr>
          <w:p>
            <w:pPr>
              <w:spacing w:after="0"/>
              <w:rPr>
                <w:sz w:val="7"/>
                <w:szCs w:val="7"/>
                <w:color w:val="auto"/>
              </w:rPr>
            </w:pPr>
          </w:p>
        </w:tc>
        <w:tc>
          <w:tcPr>
            <w:tcW w:w="220" w:type="dxa"/>
            <w:vAlign w:val="bottom"/>
            <w:tcBorders>
              <w:bottom w:val="single" w:sz="8" w:color="9A9A9A"/>
            </w:tcBorders>
          </w:tcPr>
          <w:p>
            <w:pPr>
              <w:spacing w:after="0"/>
              <w:rPr>
                <w:sz w:val="7"/>
                <w:szCs w:val="7"/>
                <w:color w:val="auto"/>
              </w:rPr>
            </w:pPr>
          </w:p>
        </w:tc>
        <w:tc>
          <w:tcPr>
            <w:tcW w:w="1000" w:type="dxa"/>
            <w:vAlign w:val="bottom"/>
            <w:tcBorders>
              <w:bottom w:val="single" w:sz="8" w:color="9A9A9A"/>
            </w:tcBorders>
          </w:tcPr>
          <w:p>
            <w:pPr>
              <w:spacing w:after="0"/>
              <w:rPr>
                <w:sz w:val="7"/>
                <w:szCs w:val="7"/>
                <w:color w:val="auto"/>
              </w:rPr>
            </w:pPr>
          </w:p>
        </w:tc>
        <w:tc>
          <w:tcPr>
            <w:tcW w:w="100" w:type="dxa"/>
            <w:vAlign w:val="bottom"/>
            <w:tcBorders>
              <w:bottom w:val="single" w:sz="8" w:color="9A9A9A"/>
            </w:tcBorders>
          </w:tcPr>
          <w:p>
            <w:pPr>
              <w:spacing w:after="0"/>
              <w:rPr>
                <w:sz w:val="7"/>
                <w:szCs w:val="7"/>
                <w:color w:val="auto"/>
              </w:rPr>
            </w:pPr>
          </w:p>
        </w:tc>
        <w:tc>
          <w:tcPr>
            <w:tcW w:w="100" w:type="dxa"/>
            <w:vAlign w:val="bottom"/>
            <w:tcBorders>
              <w:bottom w:val="single" w:sz="8" w:color="9A9A9A"/>
            </w:tcBorders>
          </w:tcPr>
          <w:p>
            <w:pPr>
              <w:spacing w:after="0"/>
              <w:rPr>
                <w:sz w:val="7"/>
                <w:szCs w:val="7"/>
                <w:color w:val="auto"/>
              </w:rPr>
            </w:pPr>
          </w:p>
        </w:tc>
        <w:tc>
          <w:tcPr>
            <w:tcW w:w="1120" w:type="dxa"/>
            <w:vAlign w:val="bottom"/>
            <w:tcBorders>
              <w:bottom w:val="single" w:sz="8" w:color="9A9A9A"/>
            </w:tcBorders>
          </w:tcPr>
          <w:p>
            <w:pPr>
              <w:spacing w:after="0"/>
              <w:rPr>
                <w:sz w:val="7"/>
                <w:szCs w:val="7"/>
                <w:color w:val="auto"/>
              </w:rPr>
            </w:pPr>
          </w:p>
        </w:tc>
        <w:tc>
          <w:tcPr>
            <w:tcW w:w="100" w:type="dxa"/>
            <w:vAlign w:val="bottom"/>
            <w:tcBorders>
              <w:bottom w:val="single" w:sz="8" w:color="9A9A9A"/>
            </w:tcBorders>
          </w:tcPr>
          <w:p>
            <w:pPr>
              <w:spacing w:after="0"/>
              <w:rPr>
                <w:sz w:val="7"/>
                <w:szCs w:val="7"/>
                <w:color w:val="auto"/>
              </w:rPr>
            </w:pPr>
          </w:p>
        </w:tc>
        <w:tc>
          <w:tcPr>
            <w:tcW w:w="240" w:type="dxa"/>
            <w:vAlign w:val="bottom"/>
            <w:tcBorders>
              <w:bottom w:val="single" w:sz="8" w:color="9A9A9A"/>
            </w:tcBorders>
          </w:tcPr>
          <w:p>
            <w:pPr>
              <w:spacing w:after="0"/>
              <w:rPr>
                <w:sz w:val="7"/>
                <w:szCs w:val="7"/>
                <w:color w:val="auto"/>
              </w:rPr>
            </w:pPr>
          </w:p>
        </w:tc>
        <w:tc>
          <w:tcPr>
            <w:tcW w:w="440" w:type="dxa"/>
            <w:vAlign w:val="bottom"/>
            <w:tcBorders>
              <w:bottom w:val="single" w:sz="8" w:color="9A9A9A"/>
            </w:tcBorders>
          </w:tcPr>
          <w:p>
            <w:pPr>
              <w:spacing w:after="0"/>
              <w:rPr>
                <w:sz w:val="7"/>
                <w:szCs w:val="7"/>
                <w:color w:val="auto"/>
              </w:rPr>
            </w:pPr>
          </w:p>
        </w:tc>
        <w:tc>
          <w:tcPr>
            <w:tcW w:w="260" w:type="dxa"/>
            <w:vAlign w:val="bottom"/>
            <w:tcBorders>
              <w:bottom w:val="single" w:sz="8" w:color="9A9A9A"/>
            </w:tcBorders>
          </w:tcPr>
          <w:p>
            <w:pPr>
              <w:spacing w:after="0"/>
              <w:rPr>
                <w:sz w:val="7"/>
                <w:szCs w:val="7"/>
                <w:color w:val="auto"/>
              </w:rPr>
            </w:pPr>
          </w:p>
        </w:tc>
        <w:tc>
          <w:tcPr>
            <w:tcW w:w="920" w:type="dxa"/>
            <w:vAlign w:val="bottom"/>
            <w:tcBorders>
              <w:bottom w:val="single" w:sz="8" w:color="9A9A9A"/>
            </w:tcBorders>
          </w:tcPr>
          <w:p>
            <w:pPr>
              <w:spacing w:after="0"/>
              <w:rPr>
                <w:sz w:val="7"/>
                <w:szCs w:val="7"/>
                <w:color w:val="auto"/>
              </w:rPr>
            </w:pPr>
          </w:p>
        </w:tc>
        <w:tc>
          <w:tcPr>
            <w:tcW w:w="20" w:type="dxa"/>
            <w:vAlign w:val="bottom"/>
            <w:tcBorders>
              <w:bottom w:val="single" w:sz="8" w:color="9A9A9A"/>
            </w:tcBorders>
          </w:tcPr>
          <w:p>
            <w:pPr>
              <w:spacing w:after="0"/>
              <w:rPr>
                <w:sz w:val="7"/>
                <w:szCs w:val="7"/>
                <w:color w:val="auto"/>
              </w:rPr>
            </w:pPr>
          </w:p>
        </w:tc>
        <w:tc>
          <w:tcPr>
            <w:tcW w:w="60" w:type="dxa"/>
            <w:vAlign w:val="bottom"/>
            <w:tcBorders>
              <w:bottom w:val="single" w:sz="8" w:color="9A9A9A"/>
            </w:tcBorders>
          </w:tcPr>
          <w:p>
            <w:pPr>
              <w:spacing w:after="0"/>
              <w:rPr>
                <w:sz w:val="7"/>
                <w:szCs w:val="7"/>
                <w:color w:val="auto"/>
              </w:rPr>
            </w:pPr>
          </w:p>
        </w:tc>
        <w:tc>
          <w:tcPr>
            <w:tcW w:w="20" w:type="dxa"/>
            <w:vAlign w:val="bottom"/>
            <w:tcBorders>
              <w:bottom w:val="single" w:sz="8" w:color="9A9A9A"/>
            </w:tcBorders>
          </w:tcPr>
          <w:p>
            <w:pPr>
              <w:spacing w:after="0"/>
              <w:rPr>
                <w:sz w:val="7"/>
                <w:szCs w:val="7"/>
                <w:color w:val="auto"/>
              </w:rPr>
            </w:pPr>
          </w:p>
        </w:tc>
        <w:tc>
          <w:tcPr>
            <w:tcW w:w="260" w:type="dxa"/>
            <w:vAlign w:val="bottom"/>
            <w:tcBorders>
              <w:bottom w:val="single" w:sz="8" w:color="9A9A9A"/>
            </w:tcBorders>
          </w:tcPr>
          <w:p>
            <w:pPr>
              <w:spacing w:after="0"/>
              <w:rPr>
                <w:sz w:val="7"/>
                <w:szCs w:val="7"/>
                <w:color w:val="auto"/>
              </w:rPr>
            </w:pPr>
          </w:p>
        </w:tc>
        <w:tc>
          <w:tcPr>
            <w:tcW w:w="940" w:type="dxa"/>
            <w:vAlign w:val="bottom"/>
            <w:tcBorders>
              <w:bottom w:val="single" w:sz="8" w:color="9A9A9A"/>
            </w:tcBorders>
          </w:tcPr>
          <w:p>
            <w:pPr>
              <w:spacing w:after="0"/>
              <w:rPr>
                <w:sz w:val="7"/>
                <w:szCs w:val="7"/>
                <w:color w:val="auto"/>
              </w:rPr>
            </w:pPr>
          </w:p>
        </w:tc>
        <w:tc>
          <w:tcPr>
            <w:tcW w:w="20" w:type="dxa"/>
            <w:vAlign w:val="bottom"/>
            <w:tcBorders>
              <w:bottom w:val="single" w:sz="8" w:color="9A9A9A"/>
            </w:tcBorders>
          </w:tcPr>
          <w:p>
            <w:pPr>
              <w:spacing w:after="0"/>
              <w:rPr>
                <w:sz w:val="7"/>
                <w:szCs w:val="7"/>
                <w:color w:val="auto"/>
              </w:rPr>
            </w:pPr>
          </w:p>
        </w:tc>
        <w:tc>
          <w:tcPr>
            <w:tcW w:w="80" w:type="dxa"/>
            <w:vAlign w:val="bottom"/>
            <w:tcBorders>
              <w:bottom w:val="single" w:sz="8" w:color="9A9A9A"/>
            </w:tcBorders>
          </w:tcPr>
          <w:p>
            <w:pPr>
              <w:spacing w:after="0"/>
              <w:rPr>
                <w:sz w:val="7"/>
                <w:szCs w:val="7"/>
                <w:color w:val="auto"/>
              </w:rPr>
            </w:pPr>
          </w:p>
        </w:tc>
        <w:tc>
          <w:tcPr>
            <w:tcW w:w="20" w:type="dxa"/>
            <w:vAlign w:val="bottom"/>
            <w:tcBorders>
              <w:bottom w:val="single" w:sz="8" w:color="9A9A9A"/>
            </w:tcBorders>
          </w:tcPr>
          <w:p>
            <w:pPr>
              <w:spacing w:after="0"/>
              <w:rPr>
                <w:sz w:val="7"/>
                <w:szCs w:val="7"/>
                <w:color w:val="auto"/>
              </w:rPr>
            </w:pPr>
          </w:p>
        </w:tc>
        <w:tc>
          <w:tcPr>
            <w:tcW w:w="260" w:type="dxa"/>
            <w:vAlign w:val="bottom"/>
            <w:tcBorders>
              <w:bottom w:val="single" w:sz="8" w:color="9A9A9A"/>
            </w:tcBorders>
          </w:tcPr>
          <w:p>
            <w:pPr>
              <w:spacing w:after="0"/>
              <w:rPr>
                <w:sz w:val="7"/>
                <w:szCs w:val="7"/>
                <w:color w:val="auto"/>
              </w:rPr>
            </w:pPr>
          </w:p>
        </w:tc>
        <w:tc>
          <w:tcPr>
            <w:tcW w:w="920" w:type="dxa"/>
            <w:vAlign w:val="bottom"/>
            <w:tcBorders>
              <w:bottom w:val="single" w:sz="8" w:color="9A9A9A"/>
            </w:tcBorders>
          </w:tcPr>
          <w:p>
            <w:pPr>
              <w:spacing w:after="0"/>
              <w:rPr>
                <w:sz w:val="7"/>
                <w:szCs w:val="7"/>
                <w:color w:val="auto"/>
              </w:rPr>
            </w:pPr>
          </w:p>
        </w:tc>
        <w:tc>
          <w:tcPr>
            <w:tcW w:w="40" w:type="dxa"/>
            <w:vAlign w:val="bottom"/>
            <w:tcBorders>
              <w:bottom w:val="single" w:sz="8" w:color="9A9A9A"/>
            </w:tcBorders>
          </w:tcPr>
          <w:p>
            <w:pPr>
              <w:spacing w:after="0"/>
              <w:rPr>
                <w:sz w:val="7"/>
                <w:szCs w:val="7"/>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7145655</wp:posOffset>
            </wp:positionH>
            <wp:positionV relativeFrom="paragraph">
              <wp:posOffset>-25400</wp:posOffset>
            </wp:positionV>
            <wp:extent cx="32385" cy="38735"/>
            <wp:wrapNone/>
            <wp:docPr id="89" name="Picture 8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9"/>
                    <pic:cNvPicPr>
                      <a:picLocks noChangeAspect="1" noChangeArrowheads="1"/>
                    </pic:cNvPicPr>
                  </pic:nvPicPr>
                  <pic:blipFill>
                    <a:blip r:embed="rId96">
                      <a:extLst>
                        <a:ext uri="{28A0092B-C50C-407E-A947-70E740481C1C}"/>
                      </a:extLst>
                    </a:blip>
                    <a:srcRect/>
                    <a:stretch>
                      <a:fillRect/>
                    </a:stretch>
                  </pic:blipFill>
                  <pic:spPr bwMode="auto">
                    <a:xfrm>
                      <a:off x="0" y="0"/>
                      <a:ext cx="32385" cy="38735"/>
                    </a:xfrm>
                    <a:prstGeom prst="rect">
                      <a:avLst/>
                    </a:prstGeom>
                    <a:noFill/>
                  </pic:spPr>
                </pic:pic>
              </a:graphicData>
            </a:graphic>
          </wp:anchor>
        </w:drawing>
        <w:drawing>
          <wp:anchor simplePos="0" relativeHeight="251657728" behindDoc="1" locked="0" layoutInCell="0" allowOverlap="1">
            <wp:simplePos x="0" y="0"/>
            <wp:positionH relativeFrom="column">
              <wp:posOffset>-8890</wp:posOffset>
            </wp:positionH>
            <wp:positionV relativeFrom="paragraph">
              <wp:posOffset>-25400</wp:posOffset>
            </wp:positionV>
            <wp:extent cx="32385" cy="38735"/>
            <wp:wrapNone/>
            <wp:docPr id="90" name="Picture 9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0"/>
                    <pic:cNvPicPr>
                      <a:picLocks noChangeAspect="1" noChangeArrowheads="1"/>
                    </pic:cNvPicPr>
                  </pic:nvPicPr>
                  <pic:blipFill>
                    <a:blip r:embed="rId97">
                      <a:extLst>
                        <a:ext uri="{28A0092B-C50C-407E-A947-70E740481C1C}"/>
                      </a:extLst>
                    </a:blip>
                    <a:srcRect/>
                    <a:stretch>
                      <a:fillRect/>
                    </a:stretch>
                  </pic:blipFill>
                  <pic:spPr bwMode="auto">
                    <a:xfrm>
                      <a:off x="0" y="0"/>
                      <a:ext cx="32385" cy="38735"/>
                    </a:xfrm>
                    <a:prstGeom prst="rect">
                      <a:avLst/>
                    </a:prstGeom>
                    <a:noFill/>
                  </pic:spPr>
                </pic:pic>
              </a:graphicData>
            </a:graphic>
          </wp:anchor>
        </w:drawing>
      </w:r>
    </w:p>
    <w:p>
      <w:pPr>
        <w:sectPr>
          <w:pgSz w:w="11900" w:h="16838" w:orient="portrait"/>
          <w:cols w:equalWidth="0" w:num="1">
            <w:col w:w="11280"/>
          </w:cols>
          <w:pgMar w:left="300" w:top="123" w:right="319" w:bottom="1440" w:gutter="0" w:footer="0" w:header="0"/>
        </w:sectPr>
      </w:pPr>
    </w:p>
    <w:bookmarkStart w:id="57" w:name="page58"/>
    <w:bookmarkEnd w:id="57"/>
    <w:p>
      <w:pPr>
        <w:jc w:val="center"/>
        <w:spacing w:after="0"/>
        <w:rPr>
          <w:sz w:val="20"/>
          <w:szCs w:val="20"/>
          <w:color w:val="auto"/>
        </w:rPr>
      </w:pPr>
      <w:r>
        <w:rPr>
          <w:rFonts w:ascii="Times New Roman" w:cs="Times New Roman" w:eastAsia="Times New Roman" w:hAnsi="Times New Roman"/>
          <w:sz w:val="14"/>
          <w:szCs w:val="14"/>
          <w:b w:val="1"/>
          <w:bCs w:val="1"/>
          <w:color w:val="auto"/>
        </w:rPr>
        <w:t>WESTWOOD HOLDINGS GROUP, INC.</w:t>
      </w:r>
    </w:p>
    <w:p>
      <w:pPr>
        <w:spacing w:after="0" w:line="5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4"/>
          <w:szCs w:val="14"/>
          <w:b w:val="1"/>
          <w:bCs w:val="1"/>
          <w:color w:val="auto"/>
        </w:rPr>
        <w:t>NOTES TO CONSOLIDATED FINANCIAL STATEMENTS — (Continued)</w:t>
      </w:r>
    </w:p>
    <w:p>
      <w:pPr>
        <w:spacing w:after="0" w:line="352" w:lineRule="exact"/>
        <w:rPr>
          <w:sz w:val="20"/>
          <w:szCs w:val="20"/>
          <w:color w:val="auto"/>
        </w:rPr>
      </w:pPr>
    </w:p>
    <w:tbl>
      <w:tblPr>
        <w:tblLayout w:type="fixed"/>
        <w:tblInd w:w="0" w:type="dxa"/>
        <w:tblCellMar>
          <w:top w:w="0" w:type="dxa"/>
          <w:left w:w="0" w:type="dxa"/>
          <w:bottom w:w="0" w:type="dxa"/>
          <w:right w:w="0" w:type="dxa"/>
        </w:tblCellMar>
      </w:tblPr>
      <w:tr>
        <w:trPr>
          <w:trHeight w:val="170"/>
        </w:trPr>
        <w:tc>
          <w:tcPr>
            <w:tcW w:w="4140" w:type="dxa"/>
            <w:vAlign w:val="bottom"/>
          </w:tcPr>
          <w:p>
            <w:pPr>
              <w:ind w:left="20"/>
              <w:spacing w:after="0"/>
              <w:rPr>
                <w:sz w:val="20"/>
                <w:szCs w:val="20"/>
                <w:color w:val="auto"/>
              </w:rPr>
            </w:pPr>
            <w:r>
              <w:rPr>
                <w:rFonts w:ascii="Times New Roman" w:cs="Times New Roman" w:eastAsia="Times New Roman" w:hAnsi="Times New Roman"/>
                <w:sz w:val="13"/>
                <w:szCs w:val="13"/>
                <w:b w:val="1"/>
                <w:bCs w:val="1"/>
                <w:color w:val="auto"/>
              </w:rPr>
              <w:t>Year Ended December 31, 2023</w:t>
            </w:r>
          </w:p>
        </w:tc>
        <w:tc>
          <w:tcPr>
            <w:tcW w:w="220" w:type="dxa"/>
            <w:vAlign w:val="bottom"/>
          </w:tcPr>
          <w:p>
            <w:pPr>
              <w:spacing w:after="0"/>
              <w:rPr>
                <w:sz w:val="14"/>
                <w:szCs w:val="14"/>
                <w:color w:val="auto"/>
              </w:rPr>
            </w:pPr>
          </w:p>
        </w:tc>
        <w:tc>
          <w:tcPr>
            <w:tcW w:w="1100" w:type="dxa"/>
            <w:vAlign w:val="bottom"/>
            <w:gridSpan w:val="2"/>
          </w:tcPr>
          <w:p>
            <w:pPr>
              <w:ind w:left="140"/>
              <w:spacing w:after="0"/>
              <w:rPr>
                <w:sz w:val="20"/>
                <w:szCs w:val="20"/>
                <w:color w:val="auto"/>
              </w:rPr>
            </w:pPr>
            <w:r>
              <w:rPr>
                <w:rFonts w:ascii="Times New Roman" w:cs="Times New Roman" w:eastAsia="Times New Roman" w:hAnsi="Times New Roman"/>
                <w:sz w:val="13"/>
                <w:szCs w:val="13"/>
                <w:b w:val="1"/>
                <w:bCs w:val="1"/>
                <w:color w:val="auto"/>
              </w:rPr>
              <w:t>Advisory</w:t>
            </w:r>
          </w:p>
        </w:tc>
        <w:tc>
          <w:tcPr>
            <w:tcW w:w="280" w:type="dxa"/>
            <w:vAlign w:val="bottom"/>
          </w:tcPr>
          <w:p>
            <w:pPr>
              <w:spacing w:after="0"/>
              <w:rPr>
                <w:sz w:val="14"/>
                <w:szCs w:val="14"/>
                <w:color w:val="auto"/>
              </w:rPr>
            </w:pPr>
          </w:p>
        </w:tc>
        <w:tc>
          <w:tcPr>
            <w:tcW w:w="1040" w:type="dxa"/>
            <w:vAlign w:val="bottom"/>
            <w:gridSpan w:val="2"/>
          </w:tcPr>
          <w:p>
            <w:pPr>
              <w:ind w:left="180"/>
              <w:spacing w:after="0"/>
              <w:rPr>
                <w:sz w:val="20"/>
                <w:szCs w:val="20"/>
                <w:color w:val="auto"/>
              </w:rPr>
            </w:pPr>
            <w:r>
              <w:rPr>
                <w:rFonts w:ascii="Times New Roman" w:cs="Times New Roman" w:eastAsia="Times New Roman" w:hAnsi="Times New Roman"/>
                <w:sz w:val="13"/>
                <w:szCs w:val="13"/>
                <w:b w:val="1"/>
                <w:bCs w:val="1"/>
                <w:color w:val="auto"/>
              </w:rPr>
              <w:t>Trust</w:t>
            </w:r>
          </w:p>
        </w:tc>
        <w:tc>
          <w:tcPr>
            <w:tcW w:w="240" w:type="dxa"/>
            <w:vAlign w:val="bottom"/>
          </w:tcPr>
          <w:p>
            <w:pPr>
              <w:spacing w:after="0"/>
              <w:rPr>
                <w:sz w:val="14"/>
                <w:szCs w:val="14"/>
                <w:color w:val="auto"/>
              </w:rPr>
            </w:pPr>
          </w:p>
        </w:tc>
        <w:tc>
          <w:tcPr>
            <w:tcW w:w="1700" w:type="dxa"/>
            <w:vAlign w:val="bottom"/>
            <w:gridSpan w:val="2"/>
          </w:tcPr>
          <w:p>
            <w:pPr>
              <w:ind w:left="160"/>
              <w:spacing w:after="0"/>
              <w:rPr>
                <w:sz w:val="20"/>
                <w:szCs w:val="20"/>
                <w:color w:val="auto"/>
              </w:rPr>
            </w:pPr>
            <w:r>
              <w:rPr>
                <w:rFonts w:ascii="Times New Roman" w:cs="Times New Roman" w:eastAsia="Times New Roman" w:hAnsi="Times New Roman"/>
                <w:sz w:val="13"/>
                <w:szCs w:val="13"/>
                <w:b w:val="1"/>
                <w:bCs w:val="1"/>
                <w:color w:val="auto"/>
              </w:rPr>
              <w:t>Performance-based</w:t>
            </w:r>
          </w:p>
        </w:tc>
        <w:tc>
          <w:tcPr>
            <w:tcW w:w="880" w:type="dxa"/>
            <w:vAlign w:val="bottom"/>
          </w:tcPr>
          <w:p>
            <w:pPr>
              <w:jc w:val="right"/>
              <w:ind w:right="34"/>
              <w:spacing w:after="0"/>
              <w:rPr>
                <w:sz w:val="20"/>
                <w:szCs w:val="20"/>
                <w:color w:val="auto"/>
              </w:rPr>
            </w:pPr>
            <w:r>
              <w:rPr>
                <w:rFonts w:ascii="Times New Roman" w:cs="Times New Roman" w:eastAsia="Times New Roman" w:hAnsi="Times New Roman"/>
                <w:sz w:val="13"/>
                <w:szCs w:val="13"/>
                <w:b w:val="1"/>
                <w:bCs w:val="1"/>
                <w:color w:val="auto"/>
              </w:rPr>
              <w:t>Other</w:t>
            </w:r>
          </w:p>
        </w:tc>
        <w:tc>
          <w:tcPr>
            <w:tcW w:w="36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280" w:type="dxa"/>
            <w:vAlign w:val="bottom"/>
          </w:tcPr>
          <w:p>
            <w:pPr>
              <w:spacing w:after="0"/>
              <w:rPr>
                <w:sz w:val="14"/>
                <w:szCs w:val="14"/>
                <w:color w:val="auto"/>
              </w:rPr>
            </w:pPr>
          </w:p>
        </w:tc>
        <w:tc>
          <w:tcPr>
            <w:tcW w:w="940" w:type="dxa"/>
            <w:vAlign w:val="bottom"/>
          </w:tcPr>
          <w:p>
            <w:pPr>
              <w:jc w:val="right"/>
              <w:ind w:right="414"/>
              <w:spacing w:after="0"/>
              <w:rPr>
                <w:sz w:val="20"/>
                <w:szCs w:val="20"/>
                <w:color w:val="auto"/>
              </w:rPr>
            </w:pPr>
            <w:r>
              <w:rPr>
                <w:rFonts w:ascii="Times New Roman" w:cs="Times New Roman" w:eastAsia="Times New Roman" w:hAnsi="Times New Roman"/>
                <w:sz w:val="13"/>
                <w:szCs w:val="13"/>
                <w:b w:val="1"/>
                <w:bCs w:val="1"/>
                <w:color w:val="auto"/>
              </w:rPr>
              <w:t>Total</w:t>
            </w:r>
          </w:p>
        </w:tc>
      </w:tr>
      <w:tr>
        <w:trPr>
          <w:trHeight w:val="173"/>
        </w:trPr>
        <w:tc>
          <w:tcPr>
            <w:tcW w:w="4140" w:type="dxa"/>
            <w:vAlign w:val="bottom"/>
            <w:tcBorders>
              <w:top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4"/>
                <w:szCs w:val="14"/>
                <w:color w:val="auto"/>
              </w:rPr>
              <w:t>Canada</w:t>
            </w:r>
          </w:p>
        </w:tc>
        <w:tc>
          <w:tcPr>
            <w:tcW w:w="220" w:type="dxa"/>
            <w:vAlign w:val="bottom"/>
            <w:tcBorders>
              <w:top w:val="single" w:sz="8" w:color="auto"/>
            </w:tcBorders>
            <w:shd w:val="clear" w:color="auto" w:fill="CCEEFF"/>
          </w:tcPr>
          <w:p>
            <w:pPr>
              <w:jc w:val="right"/>
              <w:ind w:right="73"/>
              <w:spacing w:after="0"/>
              <w:rPr>
                <w:sz w:val="20"/>
                <w:szCs w:val="20"/>
                <w:color w:val="auto"/>
              </w:rPr>
            </w:pPr>
            <w:r>
              <w:rPr>
                <w:rFonts w:ascii="Times New Roman" w:cs="Times New Roman" w:eastAsia="Times New Roman" w:hAnsi="Times New Roman"/>
                <w:sz w:val="13"/>
                <w:szCs w:val="13"/>
                <w:color w:val="auto"/>
                <w:w w:val="91"/>
              </w:rPr>
              <w:t>$</w:t>
            </w:r>
          </w:p>
        </w:tc>
        <w:tc>
          <w:tcPr>
            <w:tcW w:w="100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1,105</w:t>
            </w:r>
          </w:p>
        </w:tc>
        <w:tc>
          <w:tcPr>
            <w:tcW w:w="100" w:type="dxa"/>
            <w:vAlign w:val="bottom"/>
            <w:tcBorders>
              <w:top w:val="single" w:sz="8" w:color="CCEEFF"/>
            </w:tcBorders>
            <w:shd w:val="clear" w:color="auto" w:fill="CCEEFF"/>
          </w:tcPr>
          <w:p>
            <w:pPr>
              <w:spacing w:after="0"/>
              <w:rPr>
                <w:sz w:val="15"/>
                <w:szCs w:val="15"/>
                <w:color w:val="auto"/>
              </w:rPr>
            </w:pPr>
          </w:p>
        </w:tc>
        <w:tc>
          <w:tcPr>
            <w:tcW w:w="280" w:type="dxa"/>
            <w:vAlign w:val="bottom"/>
            <w:tcBorders>
              <w:top w:val="single" w:sz="8" w:color="auto"/>
            </w:tcBorders>
            <w:shd w:val="clear" w:color="auto" w:fill="CCEEFF"/>
          </w:tcPr>
          <w:p>
            <w:pPr>
              <w:jc w:val="right"/>
              <w:ind w:right="133"/>
              <w:spacing w:after="0"/>
              <w:rPr>
                <w:sz w:val="20"/>
                <w:szCs w:val="20"/>
                <w:color w:val="auto"/>
              </w:rPr>
            </w:pPr>
            <w:r>
              <w:rPr>
                <w:rFonts w:ascii="Times New Roman" w:cs="Times New Roman" w:eastAsia="Times New Roman" w:hAnsi="Times New Roman"/>
                <w:sz w:val="13"/>
                <w:szCs w:val="13"/>
                <w:color w:val="auto"/>
                <w:w w:val="91"/>
              </w:rPr>
              <w:t>$</w:t>
            </w:r>
          </w:p>
        </w:tc>
        <w:tc>
          <w:tcPr>
            <w:tcW w:w="94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w:t>
            </w:r>
          </w:p>
        </w:tc>
        <w:tc>
          <w:tcPr>
            <w:tcW w:w="100" w:type="dxa"/>
            <w:vAlign w:val="bottom"/>
            <w:tcBorders>
              <w:top w:val="single" w:sz="8" w:color="CCEEFF"/>
            </w:tcBorders>
            <w:shd w:val="clear" w:color="auto" w:fill="CCEEFF"/>
          </w:tcPr>
          <w:p>
            <w:pPr>
              <w:spacing w:after="0"/>
              <w:rPr>
                <w:sz w:val="15"/>
                <w:szCs w:val="15"/>
                <w:color w:val="auto"/>
              </w:rPr>
            </w:pPr>
          </w:p>
        </w:tc>
        <w:tc>
          <w:tcPr>
            <w:tcW w:w="240" w:type="dxa"/>
            <w:vAlign w:val="bottom"/>
            <w:tcBorders>
              <w:top w:val="single" w:sz="8" w:color="auto"/>
            </w:tcBorders>
            <w:shd w:val="clear" w:color="auto" w:fill="CCEEFF"/>
          </w:tcPr>
          <w:p>
            <w:pPr>
              <w:jc w:val="right"/>
              <w:ind w:right="93"/>
              <w:spacing w:after="0"/>
              <w:rPr>
                <w:sz w:val="20"/>
                <w:szCs w:val="20"/>
                <w:color w:val="auto"/>
              </w:rPr>
            </w:pPr>
            <w:r>
              <w:rPr>
                <w:rFonts w:ascii="Times New Roman" w:cs="Times New Roman" w:eastAsia="Times New Roman" w:hAnsi="Times New Roman"/>
                <w:sz w:val="13"/>
                <w:szCs w:val="13"/>
                <w:color w:val="auto"/>
                <w:w w:val="91"/>
              </w:rPr>
              <w:t>$</w:t>
            </w:r>
          </w:p>
        </w:tc>
        <w:tc>
          <w:tcPr>
            <w:tcW w:w="162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w:t>
            </w:r>
          </w:p>
        </w:tc>
        <w:tc>
          <w:tcPr>
            <w:tcW w:w="80" w:type="dxa"/>
            <w:vAlign w:val="bottom"/>
            <w:tcBorders>
              <w:top w:val="single" w:sz="8" w:color="CCEEFF"/>
            </w:tcBorders>
            <w:shd w:val="clear" w:color="auto" w:fill="CCEEFF"/>
          </w:tcPr>
          <w:p>
            <w:pPr>
              <w:spacing w:after="0"/>
              <w:rPr>
                <w:sz w:val="15"/>
                <w:szCs w:val="15"/>
                <w:color w:val="auto"/>
              </w:rPr>
            </w:pPr>
          </w:p>
        </w:tc>
        <w:tc>
          <w:tcPr>
            <w:tcW w:w="880" w:type="dxa"/>
            <w:vAlign w:val="bottom"/>
            <w:tcBorders>
              <w:top w:val="single" w:sz="8" w:color="auto"/>
            </w:tcBorders>
            <w:shd w:val="clear" w:color="auto" w:fill="CCEEFF"/>
          </w:tcPr>
          <w:p>
            <w:pPr>
              <w:jc w:val="right"/>
              <w:ind w:right="734"/>
              <w:spacing w:after="0"/>
              <w:rPr>
                <w:sz w:val="20"/>
                <w:szCs w:val="20"/>
                <w:color w:val="auto"/>
              </w:rPr>
            </w:pPr>
            <w:r>
              <w:rPr>
                <w:rFonts w:ascii="Times New Roman" w:cs="Times New Roman" w:eastAsia="Times New Roman" w:hAnsi="Times New Roman"/>
                <w:sz w:val="13"/>
                <w:szCs w:val="13"/>
                <w:color w:val="auto"/>
                <w:w w:val="91"/>
              </w:rPr>
              <w:t>$</w:t>
            </w:r>
          </w:p>
        </w:tc>
        <w:tc>
          <w:tcPr>
            <w:tcW w:w="36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w:t>
            </w:r>
          </w:p>
        </w:tc>
        <w:tc>
          <w:tcPr>
            <w:tcW w:w="100" w:type="dxa"/>
            <w:vAlign w:val="bottom"/>
            <w:tcBorders>
              <w:top w:val="single" w:sz="8" w:color="CCEEFF"/>
            </w:tcBorders>
            <w:shd w:val="clear" w:color="auto" w:fill="CCEEFF"/>
          </w:tcPr>
          <w:p>
            <w:pPr>
              <w:spacing w:after="0"/>
              <w:rPr>
                <w:sz w:val="15"/>
                <w:szCs w:val="15"/>
                <w:color w:val="auto"/>
              </w:rPr>
            </w:pPr>
          </w:p>
        </w:tc>
        <w:tc>
          <w:tcPr>
            <w:tcW w:w="280" w:type="dxa"/>
            <w:vAlign w:val="bottom"/>
            <w:tcBorders>
              <w:top w:val="single" w:sz="8" w:color="auto"/>
            </w:tcBorders>
            <w:shd w:val="clear" w:color="auto" w:fill="CCEEFF"/>
          </w:tcPr>
          <w:p>
            <w:pPr>
              <w:jc w:val="right"/>
              <w:ind w:right="133"/>
              <w:spacing w:after="0"/>
              <w:rPr>
                <w:sz w:val="20"/>
                <w:szCs w:val="20"/>
                <w:color w:val="auto"/>
              </w:rPr>
            </w:pPr>
            <w:r>
              <w:rPr>
                <w:rFonts w:ascii="Times New Roman" w:cs="Times New Roman" w:eastAsia="Times New Roman" w:hAnsi="Times New Roman"/>
                <w:sz w:val="13"/>
                <w:szCs w:val="13"/>
                <w:color w:val="auto"/>
                <w:w w:val="91"/>
              </w:rPr>
              <w:t>$</w:t>
            </w:r>
          </w:p>
        </w:tc>
        <w:tc>
          <w:tcPr>
            <w:tcW w:w="94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1,105</w:t>
            </w:r>
          </w:p>
        </w:tc>
      </w:tr>
      <w:tr>
        <w:trPr>
          <w:trHeight w:val="180"/>
        </w:trPr>
        <w:tc>
          <w:tcPr>
            <w:tcW w:w="4140" w:type="dxa"/>
            <w:vAlign w:val="bottom"/>
            <w:tcBorders>
              <w:bottom w:val="single" w:sz="8" w:color="CCEEFF"/>
            </w:tcBorders>
          </w:tcPr>
          <w:p>
            <w:pPr>
              <w:ind w:left="20"/>
              <w:spacing w:after="0"/>
              <w:rPr>
                <w:sz w:val="20"/>
                <w:szCs w:val="20"/>
                <w:color w:val="auto"/>
              </w:rPr>
            </w:pPr>
            <w:r>
              <w:rPr>
                <w:rFonts w:ascii="Times New Roman" w:cs="Times New Roman" w:eastAsia="Times New Roman" w:hAnsi="Times New Roman"/>
                <w:sz w:val="14"/>
                <w:szCs w:val="14"/>
                <w:color w:val="auto"/>
              </w:rPr>
              <w:t>U.S.</w:t>
            </w:r>
          </w:p>
        </w:tc>
        <w:tc>
          <w:tcPr>
            <w:tcW w:w="220" w:type="dxa"/>
            <w:vAlign w:val="bottom"/>
            <w:tcBorders>
              <w:bottom w:val="single" w:sz="8" w:color="auto"/>
            </w:tcBorders>
          </w:tcPr>
          <w:p>
            <w:pPr>
              <w:spacing w:after="0"/>
              <w:rPr>
                <w:sz w:val="15"/>
                <w:szCs w:val="15"/>
                <w:color w:val="auto"/>
              </w:rPr>
            </w:pPr>
          </w:p>
        </w:tc>
        <w:tc>
          <w:tcPr>
            <w:tcW w:w="10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3"/>
                <w:szCs w:val="13"/>
                <w:color w:val="auto"/>
              </w:rPr>
              <w:t>66,286</w:t>
            </w:r>
          </w:p>
        </w:tc>
        <w:tc>
          <w:tcPr>
            <w:tcW w:w="100" w:type="dxa"/>
            <w:vAlign w:val="bottom"/>
            <w:tcBorders>
              <w:bottom w:val="single" w:sz="8" w:color="CCEEFF"/>
            </w:tcBorders>
          </w:tcPr>
          <w:p>
            <w:pPr>
              <w:spacing w:after="0"/>
              <w:rPr>
                <w:sz w:val="15"/>
                <w:szCs w:val="15"/>
                <w:color w:val="auto"/>
              </w:rPr>
            </w:pPr>
          </w:p>
        </w:tc>
        <w:tc>
          <w:tcPr>
            <w:tcW w:w="280" w:type="dxa"/>
            <w:vAlign w:val="bottom"/>
            <w:tcBorders>
              <w:bottom w:val="single" w:sz="8" w:color="auto"/>
            </w:tcBorders>
          </w:tcPr>
          <w:p>
            <w:pPr>
              <w:spacing w:after="0"/>
              <w:rPr>
                <w:sz w:val="15"/>
                <w:szCs w:val="15"/>
                <w:color w:val="auto"/>
              </w:rPr>
            </w:pPr>
          </w:p>
        </w:tc>
        <w:tc>
          <w:tcPr>
            <w:tcW w:w="9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3"/>
                <w:szCs w:val="13"/>
                <w:color w:val="auto"/>
              </w:rPr>
              <w:t>20,242</w:t>
            </w:r>
          </w:p>
        </w:tc>
        <w:tc>
          <w:tcPr>
            <w:tcW w:w="100" w:type="dxa"/>
            <w:vAlign w:val="bottom"/>
            <w:tcBorders>
              <w:bottom w:val="single" w:sz="8" w:color="CCEEFF"/>
            </w:tcBorders>
          </w:tcPr>
          <w:p>
            <w:pPr>
              <w:spacing w:after="0"/>
              <w:rPr>
                <w:sz w:val="15"/>
                <w:szCs w:val="15"/>
                <w:color w:val="auto"/>
              </w:rPr>
            </w:pPr>
          </w:p>
        </w:tc>
        <w:tc>
          <w:tcPr>
            <w:tcW w:w="240" w:type="dxa"/>
            <w:vAlign w:val="bottom"/>
            <w:tcBorders>
              <w:bottom w:val="single" w:sz="8" w:color="auto"/>
            </w:tcBorders>
          </w:tcPr>
          <w:p>
            <w:pPr>
              <w:spacing w:after="0"/>
              <w:rPr>
                <w:sz w:val="15"/>
                <w:szCs w:val="15"/>
                <w:color w:val="auto"/>
              </w:rPr>
            </w:pPr>
          </w:p>
        </w:tc>
        <w:tc>
          <w:tcPr>
            <w:tcW w:w="16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3"/>
                <w:szCs w:val="13"/>
                <w:color w:val="auto"/>
              </w:rPr>
              <w:t>1,614</w:t>
            </w:r>
          </w:p>
        </w:tc>
        <w:tc>
          <w:tcPr>
            <w:tcW w:w="80" w:type="dxa"/>
            <w:vAlign w:val="bottom"/>
            <w:tcBorders>
              <w:bottom w:val="single" w:sz="8" w:color="CCEEFF"/>
            </w:tcBorders>
          </w:tcPr>
          <w:p>
            <w:pPr>
              <w:spacing w:after="0"/>
              <w:rPr>
                <w:sz w:val="15"/>
                <w:szCs w:val="15"/>
                <w:color w:val="auto"/>
              </w:rPr>
            </w:pPr>
          </w:p>
        </w:tc>
        <w:tc>
          <w:tcPr>
            <w:tcW w:w="880" w:type="dxa"/>
            <w:vAlign w:val="bottom"/>
            <w:tcBorders>
              <w:bottom w:val="single" w:sz="8" w:color="auto"/>
            </w:tcBorders>
          </w:tcPr>
          <w:p>
            <w:pPr>
              <w:spacing w:after="0"/>
              <w:rPr>
                <w:sz w:val="15"/>
                <w:szCs w:val="15"/>
                <w:color w:val="auto"/>
              </w:rPr>
            </w:pPr>
          </w:p>
        </w:tc>
        <w:tc>
          <w:tcPr>
            <w:tcW w:w="3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3"/>
                <w:szCs w:val="13"/>
                <w:color w:val="auto"/>
              </w:rPr>
              <w:t>534</w:t>
            </w:r>
          </w:p>
        </w:tc>
        <w:tc>
          <w:tcPr>
            <w:tcW w:w="100" w:type="dxa"/>
            <w:vAlign w:val="bottom"/>
            <w:tcBorders>
              <w:bottom w:val="single" w:sz="8" w:color="CCEEFF"/>
            </w:tcBorders>
          </w:tcPr>
          <w:p>
            <w:pPr>
              <w:spacing w:after="0"/>
              <w:rPr>
                <w:sz w:val="15"/>
                <w:szCs w:val="15"/>
                <w:color w:val="auto"/>
              </w:rPr>
            </w:pPr>
          </w:p>
        </w:tc>
        <w:tc>
          <w:tcPr>
            <w:tcW w:w="280" w:type="dxa"/>
            <w:vAlign w:val="bottom"/>
            <w:tcBorders>
              <w:bottom w:val="single" w:sz="8" w:color="auto"/>
            </w:tcBorders>
          </w:tcPr>
          <w:p>
            <w:pPr>
              <w:spacing w:after="0"/>
              <w:rPr>
                <w:sz w:val="15"/>
                <w:szCs w:val="15"/>
                <w:color w:val="auto"/>
              </w:rPr>
            </w:pPr>
          </w:p>
        </w:tc>
        <w:tc>
          <w:tcPr>
            <w:tcW w:w="9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3"/>
                <w:szCs w:val="13"/>
                <w:color w:val="auto"/>
              </w:rPr>
              <w:t>88,676</w:t>
            </w:r>
          </w:p>
        </w:tc>
      </w:tr>
      <w:tr>
        <w:trPr>
          <w:trHeight w:val="196"/>
        </w:trPr>
        <w:tc>
          <w:tcPr>
            <w:tcW w:w="414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4"/>
                <w:szCs w:val="14"/>
                <w:color w:val="auto"/>
              </w:rPr>
              <w:t>Total</w:t>
            </w:r>
          </w:p>
        </w:tc>
        <w:tc>
          <w:tcPr>
            <w:tcW w:w="220" w:type="dxa"/>
            <w:vAlign w:val="bottom"/>
            <w:tcBorders>
              <w:bottom w:val="single" w:sz="8" w:color="auto"/>
            </w:tcBorders>
            <w:shd w:val="clear" w:color="auto" w:fill="CCEEFF"/>
          </w:tcPr>
          <w:p>
            <w:pPr>
              <w:jc w:val="right"/>
              <w:ind w:right="73"/>
              <w:spacing w:after="0"/>
              <w:rPr>
                <w:sz w:val="20"/>
                <w:szCs w:val="20"/>
                <w:color w:val="auto"/>
              </w:rPr>
            </w:pPr>
            <w:r>
              <w:rPr>
                <w:rFonts w:ascii="Times New Roman" w:cs="Times New Roman" w:eastAsia="Times New Roman" w:hAnsi="Times New Roman"/>
                <w:sz w:val="13"/>
                <w:szCs w:val="13"/>
                <w:color w:val="auto"/>
                <w:w w:val="91"/>
              </w:rPr>
              <w:t>$</w:t>
            </w:r>
          </w:p>
        </w:tc>
        <w:tc>
          <w:tcPr>
            <w:tcW w:w="10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67,391</w:t>
            </w:r>
          </w:p>
        </w:tc>
        <w:tc>
          <w:tcPr>
            <w:tcW w:w="100" w:type="dxa"/>
            <w:vAlign w:val="bottom"/>
            <w:tcBorders>
              <w:bottom w:val="single" w:sz="8" w:color="CCEEFF"/>
            </w:tcBorders>
            <w:shd w:val="clear" w:color="auto" w:fill="CCEEFF"/>
          </w:tcPr>
          <w:p>
            <w:pPr>
              <w:spacing w:after="0"/>
              <w:rPr>
                <w:sz w:val="16"/>
                <w:szCs w:val="16"/>
                <w:color w:val="auto"/>
              </w:rPr>
            </w:pPr>
          </w:p>
        </w:tc>
        <w:tc>
          <w:tcPr>
            <w:tcW w:w="280" w:type="dxa"/>
            <w:vAlign w:val="bottom"/>
            <w:tcBorders>
              <w:bottom w:val="single" w:sz="8" w:color="auto"/>
            </w:tcBorders>
            <w:shd w:val="clear" w:color="auto" w:fill="CCEEFF"/>
          </w:tcPr>
          <w:p>
            <w:pPr>
              <w:jc w:val="right"/>
              <w:ind w:right="133"/>
              <w:spacing w:after="0"/>
              <w:rPr>
                <w:sz w:val="20"/>
                <w:szCs w:val="20"/>
                <w:color w:val="auto"/>
              </w:rPr>
            </w:pPr>
            <w:r>
              <w:rPr>
                <w:rFonts w:ascii="Times New Roman" w:cs="Times New Roman" w:eastAsia="Times New Roman" w:hAnsi="Times New Roman"/>
                <w:sz w:val="13"/>
                <w:szCs w:val="13"/>
                <w:color w:val="auto"/>
                <w:w w:val="91"/>
              </w:rPr>
              <w:t>$</w:t>
            </w:r>
          </w:p>
        </w:tc>
        <w:tc>
          <w:tcPr>
            <w:tcW w:w="9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20,242</w:t>
            </w:r>
          </w:p>
        </w:tc>
        <w:tc>
          <w:tcPr>
            <w:tcW w:w="100" w:type="dxa"/>
            <w:vAlign w:val="bottom"/>
            <w:tcBorders>
              <w:bottom w:val="single" w:sz="8" w:color="CCEEFF"/>
            </w:tcBorders>
            <w:shd w:val="clear" w:color="auto" w:fill="CCEEFF"/>
          </w:tcPr>
          <w:p>
            <w:pPr>
              <w:spacing w:after="0"/>
              <w:rPr>
                <w:sz w:val="16"/>
                <w:szCs w:val="16"/>
                <w:color w:val="auto"/>
              </w:rPr>
            </w:pPr>
          </w:p>
        </w:tc>
        <w:tc>
          <w:tcPr>
            <w:tcW w:w="240" w:type="dxa"/>
            <w:vAlign w:val="bottom"/>
            <w:tcBorders>
              <w:bottom w:val="single" w:sz="8" w:color="auto"/>
            </w:tcBorders>
            <w:shd w:val="clear" w:color="auto" w:fill="CCEEFF"/>
          </w:tcPr>
          <w:p>
            <w:pPr>
              <w:jc w:val="right"/>
              <w:ind w:right="93"/>
              <w:spacing w:after="0"/>
              <w:rPr>
                <w:sz w:val="20"/>
                <w:szCs w:val="20"/>
                <w:color w:val="auto"/>
              </w:rPr>
            </w:pPr>
            <w:r>
              <w:rPr>
                <w:rFonts w:ascii="Times New Roman" w:cs="Times New Roman" w:eastAsia="Times New Roman" w:hAnsi="Times New Roman"/>
                <w:sz w:val="13"/>
                <w:szCs w:val="13"/>
                <w:color w:val="auto"/>
                <w:w w:val="91"/>
              </w:rPr>
              <w:t>$</w:t>
            </w:r>
          </w:p>
        </w:tc>
        <w:tc>
          <w:tcPr>
            <w:tcW w:w="16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1,614</w:t>
            </w:r>
          </w:p>
        </w:tc>
        <w:tc>
          <w:tcPr>
            <w:tcW w:w="80" w:type="dxa"/>
            <w:vAlign w:val="bottom"/>
            <w:tcBorders>
              <w:bottom w:val="single" w:sz="8" w:color="CCEEFF"/>
            </w:tcBorders>
            <w:shd w:val="clear" w:color="auto" w:fill="CCEEFF"/>
          </w:tcPr>
          <w:p>
            <w:pPr>
              <w:spacing w:after="0"/>
              <w:rPr>
                <w:sz w:val="16"/>
                <w:szCs w:val="16"/>
                <w:color w:val="auto"/>
              </w:rPr>
            </w:pPr>
          </w:p>
        </w:tc>
        <w:tc>
          <w:tcPr>
            <w:tcW w:w="880" w:type="dxa"/>
            <w:vAlign w:val="bottom"/>
            <w:tcBorders>
              <w:bottom w:val="single" w:sz="8" w:color="auto"/>
            </w:tcBorders>
            <w:shd w:val="clear" w:color="auto" w:fill="CCEEFF"/>
          </w:tcPr>
          <w:p>
            <w:pPr>
              <w:jc w:val="right"/>
              <w:ind w:right="734"/>
              <w:spacing w:after="0"/>
              <w:rPr>
                <w:sz w:val="20"/>
                <w:szCs w:val="20"/>
                <w:color w:val="auto"/>
              </w:rPr>
            </w:pPr>
            <w:r>
              <w:rPr>
                <w:rFonts w:ascii="Times New Roman" w:cs="Times New Roman" w:eastAsia="Times New Roman" w:hAnsi="Times New Roman"/>
                <w:sz w:val="13"/>
                <w:szCs w:val="13"/>
                <w:color w:val="auto"/>
                <w:w w:val="91"/>
              </w:rPr>
              <w:t>$</w:t>
            </w:r>
          </w:p>
        </w:tc>
        <w:tc>
          <w:tcPr>
            <w:tcW w:w="3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534</w:t>
            </w:r>
          </w:p>
        </w:tc>
        <w:tc>
          <w:tcPr>
            <w:tcW w:w="100" w:type="dxa"/>
            <w:vAlign w:val="bottom"/>
            <w:tcBorders>
              <w:bottom w:val="single" w:sz="8" w:color="CCEEFF"/>
            </w:tcBorders>
            <w:shd w:val="clear" w:color="auto" w:fill="CCEEFF"/>
          </w:tcPr>
          <w:p>
            <w:pPr>
              <w:spacing w:after="0"/>
              <w:rPr>
                <w:sz w:val="16"/>
                <w:szCs w:val="16"/>
                <w:color w:val="auto"/>
              </w:rPr>
            </w:pPr>
          </w:p>
        </w:tc>
        <w:tc>
          <w:tcPr>
            <w:tcW w:w="280" w:type="dxa"/>
            <w:vAlign w:val="bottom"/>
            <w:tcBorders>
              <w:bottom w:val="single" w:sz="8" w:color="auto"/>
            </w:tcBorders>
            <w:shd w:val="clear" w:color="auto" w:fill="CCEEFF"/>
          </w:tcPr>
          <w:p>
            <w:pPr>
              <w:jc w:val="right"/>
              <w:ind w:right="133"/>
              <w:spacing w:after="0"/>
              <w:rPr>
                <w:sz w:val="20"/>
                <w:szCs w:val="20"/>
                <w:color w:val="auto"/>
              </w:rPr>
            </w:pPr>
            <w:r>
              <w:rPr>
                <w:rFonts w:ascii="Times New Roman" w:cs="Times New Roman" w:eastAsia="Times New Roman" w:hAnsi="Times New Roman"/>
                <w:sz w:val="13"/>
                <w:szCs w:val="13"/>
                <w:color w:val="auto"/>
                <w:w w:val="91"/>
              </w:rPr>
              <w:t>$</w:t>
            </w:r>
          </w:p>
        </w:tc>
        <w:tc>
          <w:tcPr>
            <w:tcW w:w="9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89,781</w:t>
            </w:r>
          </w:p>
        </w:tc>
      </w:tr>
      <w:tr>
        <w:trPr>
          <w:trHeight w:val="20"/>
        </w:trPr>
        <w:tc>
          <w:tcPr>
            <w:tcW w:w="4140" w:type="dxa"/>
            <w:vAlign w:val="bottom"/>
            <w:tcBorders>
              <w:top w:val="single" w:sz="8" w:color="CCEEFF"/>
            </w:tcBorders>
          </w:tcPr>
          <w:p>
            <w:pPr>
              <w:spacing w:after="0" w:line="20" w:lineRule="exact"/>
              <w:rPr>
                <w:sz w:val="1"/>
                <w:szCs w:val="1"/>
                <w:color w:val="auto"/>
              </w:rPr>
            </w:pPr>
          </w:p>
        </w:tc>
        <w:tc>
          <w:tcPr>
            <w:tcW w:w="220" w:type="dxa"/>
            <w:vAlign w:val="bottom"/>
            <w:tcBorders>
              <w:top w:val="single" w:sz="8" w:color="CCEEFF"/>
              <w:bottom w:val="single" w:sz="8" w:color="auto"/>
            </w:tcBorders>
          </w:tcPr>
          <w:p>
            <w:pPr>
              <w:spacing w:after="0" w:line="20" w:lineRule="exact"/>
              <w:rPr>
                <w:sz w:val="1"/>
                <w:szCs w:val="1"/>
                <w:color w:val="auto"/>
              </w:rPr>
            </w:pPr>
          </w:p>
        </w:tc>
        <w:tc>
          <w:tcPr>
            <w:tcW w:w="100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280" w:type="dxa"/>
            <w:vAlign w:val="bottom"/>
            <w:tcBorders>
              <w:top w:val="single" w:sz="8" w:color="CCEEFF"/>
              <w:bottom w:val="single" w:sz="8" w:color="auto"/>
            </w:tcBorders>
          </w:tcPr>
          <w:p>
            <w:pPr>
              <w:spacing w:after="0" w:line="20" w:lineRule="exact"/>
              <w:rPr>
                <w:sz w:val="1"/>
                <w:szCs w:val="1"/>
                <w:color w:val="auto"/>
              </w:rPr>
            </w:pPr>
          </w:p>
        </w:tc>
        <w:tc>
          <w:tcPr>
            <w:tcW w:w="94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240" w:type="dxa"/>
            <w:vAlign w:val="bottom"/>
            <w:tcBorders>
              <w:top w:val="single" w:sz="8" w:color="CCEEFF"/>
              <w:bottom w:val="single" w:sz="8" w:color="auto"/>
            </w:tcBorders>
          </w:tcPr>
          <w:p>
            <w:pPr>
              <w:spacing w:after="0" w:line="20" w:lineRule="exact"/>
              <w:rPr>
                <w:sz w:val="1"/>
                <w:szCs w:val="1"/>
                <w:color w:val="auto"/>
              </w:rPr>
            </w:pPr>
          </w:p>
        </w:tc>
        <w:tc>
          <w:tcPr>
            <w:tcW w:w="1620" w:type="dxa"/>
            <w:vAlign w:val="bottom"/>
            <w:tcBorders>
              <w:top w:val="single" w:sz="8" w:color="CCEEFF"/>
              <w:bottom w:val="single" w:sz="8" w:color="auto"/>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880" w:type="dxa"/>
            <w:vAlign w:val="bottom"/>
            <w:tcBorders>
              <w:top w:val="single" w:sz="8" w:color="CCEEFF"/>
              <w:bottom w:val="single" w:sz="8" w:color="auto"/>
            </w:tcBorders>
          </w:tcPr>
          <w:p>
            <w:pPr>
              <w:spacing w:after="0" w:line="20" w:lineRule="exact"/>
              <w:rPr>
                <w:sz w:val="1"/>
                <w:szCs w:val="1"/>
                <w:color w:val="auto"/>
              </w:rPr>
            </w:pPr>
          </w:p>
        </w:tc>
        <w:tc>
          <w:tcPr>
            <w:tcW w:w="36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280" w:type="dxa"/>
            <w:vAlign w:val="bottom"/>
            <w:tcBorders>
              <w:top w:val="single" w:sz="8" w:color="CCEEFF"/>
              <w:bottom w:val="single" w:sz="8" w:color="auto"/>
            </w:tcBorders>
          </w:tcPr>
          <w:p>
            <w:pPr>
              <w:spacing w:after="0" w:line="20" w:lineRule="exact"/>
              <w:rPr>
                <w:sz w:val="1"/>
                <w:szCs w:val="1"/>
                <w:color w:val="auto"/>
              </w:rPr>
            </w:pPr>
          </w:p>
        </w:tc>
        <w:tc>
          <w:tcPr>
            <w:tcW w:w="940" w:type="dxa"/>
            <w:vAlign w:val="bottom"/>
            <w:tcBorders>
              <w:top w:val="single" w:sz="8" w:color="CCEEFF"/>
              <w:bottom w:val="single" w:sz="8" w:color="auto"/>
            </w:tcBorders>
          </w:tcPr>
          <w:p>
            <w:pPr>
              <w:spacing w:after="0" w:line="20" w:lineRule="exact"/>
              <w:rPr>
                <w:sz w:val="1"/>
                <w:szCs w:val="1"/>
                <w:color w:val="auto"/>
              </w:rPr>
            </w:pPr>
          </w:p>
        </w:tc>
      </w:tr>
    </w:tbl>
    <w:p>
      <w:pPr>
        <w:spacing w:after="0" w:line="333"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b w:val="1"/>
          <w:bCs w:val="1"/>
          <w:color w:val="auto"/>
        </w:rPr>
        <w:t>5. SEGMENT REPORTING:</w:t>
      </w:r>
    </w:p>
    <w:p>
      <w:pPr>
        <w:spacing w:after="0" w:line="96" w:lineRule="exact"/>
        <w:rPr>
          <w:sz w:val="20"/>
          <w:szCs w:val="20"/>
          <w:color w:val="auto"/>
        </w:rPr>
      </w:pPr>
    </w:p>
    <w:p>
      <w:pPr>
        <w:ind w:right="400" w:firstLine="382"/>
        <w:spacing w:after="0" w:line="287" w:lineRule="auto"/>
        <w:rPr>
          <w:sz w:val="20"/>
          <w:szCs w:val="20"/>
          <w:color w:val="auto"/>
        </w:rPr>
      </w:pPr>
      <w:r>
        <w:rPr>
          <w:rFonts w:ascii="Times New Roman" w:cs="Times New Roman" w:eastAsia="Times New Roman" w:hAnsi="Times New Roman"/>
          <w:sz w:val="14"/>
          <w:szCs w:val="14"/>
          <w:color w:val="auto"/>
        </w:rPr>
        <w:t>We operate two segments: Advisory and Trust. These segments are managed separately based on the types of products and services offered and their related client bases. The Company’s segment information is prepared on the same basis that management uses to review the financial information for operational decision-making purposes.</w:t>
      </w:r>
    </w:p>
    <w:p>
      <w:pPr>
        <w:spacing w:after="0" w:line="39" w:lineRule="exact"/>
        <w:rPr>
          <w:sz w:val="20"/>
          <w:szCs w:val="20"/>
          <w:color w:val="auto"/>
        </w:rPr>
      </w:pPr>
    </w:p>
    <w:p>
      <w:pPr>
        <w:ind w:right="200" w:firstLine="382"/>
        <w:spacing w:after="0" w:line="287" w:lineRule="auto"/>
        <w:rPr>
          <w:sz w:val="20"/>
          <w:szCs w:val="20"/>
          <w:color w:val="auto"/>
        </w:rPr>
      </w:pPr>
      <w:r>
        <w:rPr>
          <w:rFonts w:ascii="Times New Roman" w:cs="Times New Roman" w:eastAsia="Times New Roman" w:hAnsi="Times New Roman"/>
          <w:sz w:val="14"/>
          <w:szCs w:val="14"/>
          <w:color w:val="auto"/>
        </w:rPr>
        <w:t>The Company's Chief Operating Decision Maker ("CODM"), our Chief Executive Officer, evaluates the performance of our segments based primarily on fee revenues. The CODM does not evaluate the performance of our segments on segment expenses so those have not been disclosed.</w:t>
      </w:r>
    </w:p>
    <w:p>
      <w:pPr>
        <w:spacing w:after="0" w:line="39" w:lineRule="exact"/>
        <w:rPr>
          <w:sz w:val="20"/>
          <w:szCs w:val="20"/>
          <w:color w:val="auto"/>
        </w:rPr>
      </w:pPr>
    </w:p>
    <w:p>
      <w:pPr>
        <w:jc w:val="both"/>
        <w:ind w:right="300" w:firstLine="382"/>
        <w:spacing w:after="0" w:line="270" w:lineRule="auto"/>
        <w:rPr>
          <w:sz w:val="20"/>
          <w:szCs w:val="20"/>
          <w:color w:val="auto"/>
        </w:rPr>
      </w:pPr>
      <w:r>
        <w:rPr>
          <w:rFonts w:ascii="Times New Roman" w:cs="Times New Roman" w:eastAsia="Times New Roman" w:hAnsi="Times New Roman"/>
          <w:sz w:val="14"/>
          <w:szCs w:val="14"/>
          <w:color w:val="auto"/>
        </w:rPr>
        <w:t>Westwood Holdings Group, Inc. does not have revenues and is the entity in which we record typical holding company expenses including employee compensation and benefits for holding company employees, directors’ fees and investor relations costs. All segment accounting policies are the same as those described in the summary of significant accounting policies. Intersegment balances that eliminate in consolidation have been applied to the appropriate segment.</w:t>
      </w:r>
    </w:p>
    <w:p>
      <w:pPr>
        <w:spacing w:after="0" w:line="49"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b w:val="1"/>
          <w:bCs w:val="1"/>
          <w:color w:val="auto"/>
        </w:rPr>
        <w:t>Advisory</w:t>
      </w:r>
    </w:p>
    <w:p>
      <w:pPr>
        <w:spacing w:after="0" w:line="96" w:lineRule="exact"/>
        <w:rPr>
          <w:sz w:val="20"/>
          <w:szCs w:val="20"/>
          <w:color w:val="auto"/>
        </w:rPr>
      </w:pPr>
    </w:p>
    <w:p>
      <w:pPr>
        <w:ind w:firstLine="382"/>
        <w:spacing w:after="0" w:line="270" w:lineRule="auto"/>
        <w:rPr>
          <w:sz w:val="20"/>
          <w:szCs w:val="20"/>
          <w:color w:val="auto"/>
        </w:rPr>
      </w:pPr>
      <w:r>
        <w:rPr>
          <w:rFonts w:ascii="Times New Roman" w:cs="Times New Roman" w:eastAsia="Times New Roman" w:hAnsi="Times New Roman"/>
          <w:sz w:val="14"/>
          <w:szCs w:val="14"/>
          <w:color w:val="auto"/>
        </w:rPr>
        <w:t>Our Advisory segment provides investment advisory services to (i) corporate pension and profit sharing plans, public employee retirement funds, Taft-Hartley plans, endowments, foundations and individuals, (ii) sub-advisory relationships where Westwood provides investment management services to the Westwood Funds®, funds offered by other financial institutions and funds offered by our Trust segment and (iii) pooled investment vehicles, including collective investment trusts.</w:t>
      </w:r>
    </w:p>
    <w:p>
      <w:pPr>
        <w:spacing w:after="0" w:line="49"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b w:val="1"/>
          <w:bCs w:val="1"/>
          <w:color w:val="auto"/>
        </w:rPr>
        <w:t>Trust</w:t>
      </w:r>
    </w:p>
    <w:p>
      <w:pPr>
        <w:spacing w:after="0" w:line="96" w:lineRule="exact"/>
        <w:rPr>
          <w:sz w:val="20"/>
          <w:szCs w:val="20"/>
          <w:color w:val="auto"/>
        </w:rPr>
      </w:pPr>
    </w:p>
    <w:p>
      <w:pPr>
        <w:ind w:right="100" w:firstLine="382"/>
        <w:spacing w:after="0" w:line="287" w:lineRule="auto"/>
        <w:rPr>
          <w:sz w:val="20"/>
          <w:szCs w:val="20"/>
          <w:color w:val="auto"/>
        </w:rPr>
      </w:pPr>
      <w:r>
        <w:rPr>
          <w:rFonts w:ascii="Times New Roman" w:cs="Times New Roman" w:eastAsia="Times New Roman" w:hAnsi="Times New Roman"/>
          <w:sz w:val="14"/>
          <w:szCs w:val="14"/>
          <w:color w:val="auto"/>
        </w:rPr>
        <w:t>Westwood Trust provides trust and custodial services and participation in common trust funds that it sponsors to institutions and high net worth individuals. Westwood Trust is included in our Trust segment.</w:t>
      </w:r>
    </w:p>
    <w:p>
      <w:pPr>
        <w:spacing w:after="0" w:line="38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4"/>
          <w:szCs w:val="14"/>
          <w:color w:val="auto"/>
        </w:rPr>
        <w:t>16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-8890</wp:posOffset>
            </wp:positionH>
            <wp:positionV relativeFrom="paragraph">
              <wp:posOffset>55880</wp:posOffset>
            </wp:positionV>
            <wp:extent cx="7186930" cy="38735"/>
            <wp:wrapNone/>
            <wp:docPr id="91" name="Picture 9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1"/>
                    <pic:cNvPicPr>
                      <a:picLocks noChangeAspect="1" noChangeArrowheads="1"/>
                    </pic:cNvPicPr>
                  </pic:nvPicPr>
                  <pic:blipFill>
                    <a:blip r:embed="rId98">
                      <a:extLst>
                        <a:ext uri="{28A0092B-C50C-407E-A947-70E740481C1C}"/>
                      </a:extLst>
                    </a:blip>
                    <a:srcRect/>
                    <a:stretch>
                      <a:fillRect/>
                    </a:stretch>
                  </pic:blipFill>
                  <pic:spPr bwMode="auto">
                    <a:xfrm>
                      <a:off x="0" y="0"/>
                      <a:ext cx="7186930" cy="38735"/>
                    </a:xfrm>
                    <a:prstGeom prst="rect">
                      <a:avLst/>
                    </a:prstGeom>
                    <a:noFill/>
                  </pic:spPr>
                </pic:pic>
              </a:graphicData>
            </a:graphic>
          </wp:anchor>
        </w:drawing>
      </w:r>
    </w:p>
    <w:p>
      <w:pPr>
        <w:sectPr>
          <w:pgSz w:w="11900" w:h="16838" w:orient="portrait"/>
          <w:cols w:equalWidth="0" w:num="1">
            <w:col w:w="11280"/>
          </w:cols>
          <w:pgMar w:left="300" w:top="123" w:right="319" w:bottom="1440" w:gutter="0" w:footer="0" w:header="0"/>
        </w:sectPr>
      </w:pPr>
    </w:p>
    <w:bookmarkStart w:id="58" w:name="page59"/>
    <w:bookmarkEnd w:id="58"/>
    <w:p>
      <w:pPr>
        <w:jc w:val="center"/>
        <w:spacing w:after="0"/>
        <w:rPr>
          <w:sz w:val="20"/>
          <w:szCs w:val="20"/>
          <w:color w:val="auto"/>
        </w:rPr>
      </w:pPr>
      <w:r>
        <w:rPr>
          <w:rFonts w:ascii="Times New Roman" w:cs="Times New Roman" w:eastAsia="Times New Roman" w:hAnsi="Times New Roman"/>
          <w:sz w:val="14"/>
          <w:szCs w:val="14"/>
          <w:b w:val="1"/>
          <w:bCs w:val="1"/>
          <w:color w:val="auto"/>
        </w:rPr>
        <w:t>WESTWOOD HOLDINGS GROUP, INC.</w:t>
      </w:r>
    </w:p>
    <w:p>
      <w:pPr>
        <w:spacing w:after="0" w:line="5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4"/>
          <w:szCs w:val="14"/>
          <w:b w:val="1"/>
          <w:bCs w:val="1"/>
          <w:color w:val="auto"/>
        </w:rPr>
        <w:t>NOTES TO CONSOLIDATED FINANCIAL STATEMENTS — (Continued)</w:t>
      </w:r>
    </w:p>
    <w:p>
      <w:pPr>
        <w:sectPr>
          <w:pgSz w:w="11900" w:h="16838" w:orient="portrait"/>
          <w:cols w:equalWidth="0" w:num="1">
            <w:col w:w="11280"/>
          </w:cols>
          <w:pgMar w:left="300" w:top="123" w:right="319" w:bottom="1440" w:gutter="0" w:footer="0" w:header="0"/>
        </w:sectPr>
      </w:pPr>
    </w:p>
    <w:p>
      <w:pPr>
        <w:spacing w:after="0" w:line="200" w:lineRule="exact"/>
        <w:rPr>
          <w:sz w:val="20"/>
          <w:szCs w:val="20"/>
          <w:color w:val="auto"/>
        </w:rPr>
      </w:pPr>
    </w:p>
    <w:p>
      <w:pPr>
        <w:spacing w:after="0" w:line="345" w:lineRule="exact"/>
        <w:rPr>
          <w:sz w:val="20"/>
          <w:szCs w:val="20"/>
          <w:color w:val="auto"/>
        </w:rPr>
      </w:pPr>
    </w:p>
    <w:tbl>
      <w:tblPr>
        <w:tblLayout w:type="fixed"/>
        <w:tblInd w:w="20" w:type="dxa"/>
        <w:tblCellMar>
          <w:top w:w="0" w:type="dxa"/>
          <w:left w:w="0" w:type="dxa"/>
          <w:bottom w:w="0" w:type="dxa"/>
          <w:right w:w="0" w:type="dxa"/>
        </w:tblCellMar>
      </w:tblPr>
      <w:tr>
        <w:trPr>
          <w:trHeight w:val="165"/>
        </w:trPr>
        <w:tc>
          <w:tcPr>
            <w:tcW w:w="4600" w:type="dxa"/>
            <w:vAlign w:val="bottom"/>
          </w:tcPr>
          <w:p>
            <w:pPr>
              <w:spacing w:after="0"/>
              <w:rPr>
                <w:sz w:val="20"/>
                <w:szCs w:val="20"/>
                <w:color w:val="auto"/>
              </w:rPr>
            </w:pPr>
            <w:r>
              <w:rPr>
                <w:rFonts w:ascii="Times New Roman" w:cs="Times New Roman" w:eastAsia="Times New Roman" w:hAnsi="Times New Roman"/>
                <w:sz w:val="13"/>
                <w:szCs w:val="13"/>
                <w:color w:val="auto"/>
              </w:rPr>
              <w:t>(in thousands)</w:t>
            </w:r>
          </w:p>
        </w:tc>
        <w:tc>
          <w:tcPr>
            <w:tcW w:w="220" w:type="dxa"/>
            <w:vAlign w:val="bottom"/>
            <w:tcBorders>
              <w:bottom w:val="single" w:sz="8" w:color="auto"/>
            </w:tcBorders>
          </w:tcPr>
          <w:p>
            <w:pPr>
              <w:spacing w:after="0"/>
              <w:rPr>
                <w:sz w:val="14"/>
                <w:szCs w:val="14"/>
                <w:color w:val="auto"/>
              </w:rPr>
            </w:pPr>
          </w:p>
        </w:tc>
        <w:tc>
          <w:tcPr>
            <w:tcW w:w="960" w:type="dxa"/>
            <w:vAlign w:val="bottom"/>
            <w:tcBorders>
              <w:bottom w:val="single" w:sz="8" w:color="auto"/>
            </w:tcBorders>
          </w:tcPr>
          <w:p>
            <w:pPr>
              <w:jc w:val="right"/>
              <w:ind w:right="297"/>
              <w:spacing w:after="0"/>
              <w:rPr>
                <w:sz w:val="20"/>
                <w:szCs w:val="20"/>
                <w:color w:val="auto"/>
              </w:rPr>
            </w:pPr>
            <w:r>
              <w:rPr>
                <w:rFonts w:ascii="Times New Roman" w:cs="Times New Roman" w:eastAsia="Times New Roman" w:hAnsi="Times New Roman"/>
                <w:sz w:val="11"/>
                <w:szCs w:val="11"/>
                <w:b w:val="1"/>
                <w:bCs w:val="1"/>
                <w:color w:val="auto"/>
              </w:rPr>
              <w:t>Advisory</w:t>
            </w:r>
          </w:p>
        </w:tc>
        <w:tc>
          <w:tcPr>
            <w:tcW w:w="180" w:type="dxa"/>
            <w:vAlign w:val="bottom"/>
          </w:tcPr>
          <w:p>
            <w:pPr>
              <w:spacing w:after="0"/>
              <w:rPr>
                <w:sz w:val="14"/>
                <w:szCs w:val="14"/>
                <w:color w:val="auto"/>
              </w:rPr>
            </w:pPr>
          </w:p>
        </w:tc>
      </w:tr>
      <w:tr>
        <w:trPr>
          <w:trHeight w:val="150"/>
        </w:trPr>
        <w:tc>
          <w:tcPr>
            <w:tcW w:w="4600" w:type="dxa"/>
            <w:vAlign w:val="bottom"/>
          </w:tcPr>
          <w:p>
            <w:pPr>
              <w:spacing w:after="0"/>
              <w:rPr>
                <w:sz w:val="20"/>
                <w:szCs w:val="20"/>
                <w:color w:val="auto"/>
              </w:rPr>
            </w:pPr>
            <w:r>
              <w:rPr>
                <w:rFonts w:ascii="Times New Roman" w:cs="Times New Roman" w:eastAsia="Times New Roman" w:hAnsi="Times New Roman"/>
                <w:sz w:val="13"/>
                <w:szCs w:val="13"/>
                <w:b w:val="1"/>
                <w:bCs w:val="1"/>
                <w:color w:val="auto"/>
              </w:rPr>
              <w:t>Year Ended December 31, 2025</w:t>
            </w:r>
          </w:p>
        </w:tc>
        <w:tc>
          <w:tcPr>
            <w:tcW w:w="220" w:type="dxa"/>
            <w:vAlign w:val="bottom"/>
          </w:tcPr>
          <w:p>
            <w:pPr>
              <w:spacing w:after="0"/>
              <w:rPr>
                <w:sz w:val="13"/>
                <w:szCs w:val="13"/>
                <w:color w:val="auto"/>
              </w:rPr>
            </w:pPr>
          </w:p>
        </w:tc>
        <w:tc>
          <w:tcPr>
            <w:tcW w:w="960" w:type="dxa"/>
            <w:vAlign w:val="bottom"/>
          </w:tcPr>
          <w:p>
            <w:pPr>
              <w:spacing w:after="0"/>
              <w:rPr>
                <w:sz w:val="13"/>
                <w:szCs w:val="13"/>
                <w:color w:val="auto"/>
              </w:rPr>
            </w:pPr>
          </w:p>
        </w:tc>
        <w:tc>
          <w:tcPr>
            <w:tcW w:w="180" w:type="dxa"/>
            <w:vAlign w:val="bottom"/>
          </w:tcPr>
          <w:p>
            <w:pPr>
              <w:spacing w:after="0"/>
              <w:rPr>
                <w:sz w:val="13"/>
                <w:szCs w:val="13"/>
                <w:color w:val="auto"/>
              </w:rPr>
            </w:pPr>
          </w:p>
        </w:tc>
      </w:tr>
      <w:tr>
        <w:trPr>
          <w:trHeight w:val="180"/>
        </w:trPr>
        <w:tc>
          <w:tcPr>
            <w:tcW w:w="4600" w:type="dxa"/>
            <w:vAlign w:val="bottom"/>
          </w:tcPr>
          <w:p>
            <w:pPr>
              <w:spacing w:after="0"/>
              <w:rPr>
                <w:sz w:val="20"/>
                <w:szCs w:val="20"/>
                <w:color w:val="auto"/>
              </w:rPr>
            </w:pPr>
            <w:r>
              <w:rPr>
                <w:rFonts w:ascii="Times New Roman" w:cs="Times New Roman" w:eastAsia="Times New Roman" w:hAnsi="Times New Roman"/>
                <w:sz w:val="13"/>
                <w:szCs w:val="13"/>
                <w:color w:val="auto"/>
              </w:rPr>
              <w:t>Revenues:</w:t>
            </w:r>
          </w:p>
        </w:tc>
        <w:tc>
          <w:tcPr>
            <w:tcW w:w="220" w:type="dxa"/>
            <w:vAlign w:val="bottom"/>
          </w:tcPr>
          <w:p>
            <w:pPr>
              <w:spacing w:after="0"/>
              <w:rPr>
                <w:sz w:val="15"/>
                <w:szCs w:val="15"/>
                <w:color w:val="auto"/>
              </w:rPr>
            </w:pPr>
          </w:p>
        </w:tc>
        <w:tc>
          <w:tcPr>
            <w:tcW w:w="960" w:type="dxa"/>
            <w:vAlign w:val="bottom"/>
          </w:tcPr>
          <w:p>
            <w:pPr>
              <w:spacing w:after="0"/>
              <w:rPr>
                <w:sz w:val="15"/>
                <w:szCs w:val="15"/>
                <w:color w:val="auto"/>
              </w:rPr>
            </w:pPr>
          </w:p>
        </w:tc>
        <w:tc>
          <w:tcPr>
            <w:tcW w:w="180" w:type="dxa"/>
            <w:vAlign w:val="bottom"/>
          </w:tcPr>
          <w:p>
            <w:pPr>
              <w:spacing w:after="0"/>
              <w:rPr>
                <w:sz w:val="15"/>
                <w:szCs w:val="15"/>
                <w:color w:val="auto"/>
              </w:rPr>
            </w:pPr>
          </w:p>
        </w:tc>
      </w:tr>
      <w:tr>
        <w:trPr>
          <w:trHeight w:val="170"/>
        </w:trPr>
        <w:tc>
          <w:tcPr>
            <w:tcW w:w="4600" w:type="dxa"/>
            <w:vAlign w:val="bottom"/>
          </w:tcPr>
          <w:p>
            <w:pPr>
              <w:ind w:left="260"/>
              <w:spacing w:after="0"/>
              <w:rPr>
                <w:sz w:val="20"/>
                <w:szCs w:val="20"/>
                <w:color w:val="auto"/>
              </w:rPr>
            </w:pPr>
            <w:r>
              <w:rPr>
                <w:rFonts w:ascii="Times New Roman" w:cs="Times New Roman" w:eastAsia="Times New Roman" w:hAnsi="Times New Roman"/>
                <w:sz w:val="13"/>
                <w:szCs w:val="13"/>
                <w:color w:val="auto"/>
              </w:rPr>
              <w:t>Net fee revenues from external sources</w:t>
            </w:r>
          </w:p>
        </w:tc>
        <w:tc>
          <w:tcPr>
            <w:tcW w:w="220" w:type="dxa"/>
            <w:vAlign w:val="bottom"/>
          </w:tcPr>
          <w:p>
            <w:pPr>
              <w:jc w:val="right"/>
              <w:ind w:right="76"/>
              <w:spacing w:after="0"/>
              <w:rPr>
                <w:sz w:val="20"/>
                <w:szCs w:val="20"/>
                <w:color w:val="auto"/>
              </w:rPr>
            </w:pPr>
            <w:r>
              <w:rPr>
                <w:rFonts w:ascii="Times New Roman" w:cs="Times New Roman" w:eastAsia="Times New Roman" w:hAnsi="Times New Roman"/>
                <w:sz w:val="13"/>
                <w:szCs w:val="13"/>
                <w:color w:val="auto"/>
                <w:w w:val="91"/>
              </w:rPr>
              <w:t>$</w:t>
            </w:r>
          </w:p>
        </w:tc>
        <w:tc>
          <w:tcPr>
            <w:tcW w:w="96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75,596</w:t>
            </w:r>
          </w:p>
        </w:tc>
        <w:tc>
          <w:tcPr>
            <w:tcW w:w="18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w:t>
            </w:r>
          </w:p>
        </w:tc>
      </w:tr>
      <w:tr>
        <w:trPr>
          <w:trHeight w:val="170"/>
        </w:trPr>
        <w:tc>
          <w:tcPr>
            <w:tcW w:w="4600" w:type="dxa"/>
            <w:vAlign w:val="bottom"/>
          </w:tcPr>
          <w:p>
            <w:pPr>
              <w:ind w:left="260"/>
              <w:spacing w:after="0"/>
              <w:rPr>
                <w:sz w:val="20"/>
                <w:szCs w:val="20"/>
                <w:color w:val="auto"/>
              </w:rPr>
            </w:pPr>
            <w:r>
              <w:rPr>
                <w:rFonts w:ascii="Times New Roman" w:cs="Times New Roman" w:eastAsia="Times New Roman" w:hAnsi="Times New Roman"/>
                <w:sz w:val="13"/>
                <w:szCs w:val="13"/>
                <w:color w:val="auto"/>
              </w:rPr>
              <w:t>Net intersegment revenues</w:t>
            </w:r>
          </w:p>
        </w:tc>
        <w:tc>
          <w:tcPr>
            <w:tcW w:w="220" w:type="dxa"/>
            <w:vAlign w:val="bottom"/>
          </w:tcPr>
          <w:p>
            <w:pPr>
              <w:spacing w:after="0"/>
              <w:rPr>
                <w:sz w:val="14"/>
                <w:szCs w:val="14"/>
                <w:color w:val="auto"/>
              </w:rPr>
            </w:pPr>
          </w:p>
        </w:tc>
        <w:tc>
          <w:tcPr>
            <w:tcW w:w="96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8,195</w:t>
            </w:r>
          </w:p>
        </w:tc>
        <w:tc>
          <w:tcPr>
            <w:tcW w:w="180" w:type="dxa"/>
            <w:vAlign w:val="bottom"/>
          </w:tcPr>
          <w:p>
            <w:pPr>
              <w:spacing w:after="0"/>
              <w:rPr>
                <w:sz w:val="14"/>
                <w:szCs w:val="14"/>
                <w:color w:val="auto"/>
              </w:rPr>
            </w:pPr>
          </w:p>
        </w:tc>
      </w:tr>
      <w:tr>
        <w:trPr>
          <w:trHeight w:val="170"/>
        </w:trPr>
        <w:tc>
          <w:tcPr>
            <w:tcW w:w="4600" w:type="dxa"/>
            <w:vAlign w:val="bottom"/>
          </w:tcPr>
          <w:p>
            <w:pPr>
              <w:ind w:left="260"/>
              <w:spacing w:after="0"/>
              <w:rPr>
                <w:sz w:val="20"/>
                <w:szCs w:val="20"/>
                <w:color w:val="auto"/>
              </w:rPr>
            </w:pPr>
            <w:r>
              <w:rPr>
                <w:rFonts w:ascii="Times New Roman" w:cs="Times New Roman" w:eastAsia="Times New Roman" w:hAnsi="Times New Roman"/>
                <w:sz w:val="13"/>
                <w:szCs w:val="13"/>
                <w:color w:val="auto"/>
              </w:rPr>
              <w:t>Other revenue</w:t>
            </w:r>
          </w:p>
        </w:tc>
        <w:tc>
          <w:tcPr>
            <w:tcW w:w="220" w:type="dxa"/>
            <w:vAlign w:val="bottom"/>
            <w:tcBorders>
              <w:bottom w:val="single" w:sz="8" w:color="auto"/>
            </w:tcBorders>
          </w:tcPr>
          <w:p>
            <w:pPr>
              <w:spacing w:after="0"/>
              <w:rPr>
                <w:sz w:val="14"/>
                <w:szCs w:val="14"/>
                <w:color w:val="auto"/>
              </w:rPr>
            </w:pPr>
          </w:p>
        </w:tc>
        <w:tc>
          <w:tcPr>
            <w:tcW w:w="9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3"/>
                <w:szCs w:val="13"/>
                <w:color w:val="auto"/>
              </w:rPr>
              <w:t>346</w:t>
            </w:r>
          </w:p>
        </w:tc>
        <w:tc>
          <w:tcPr>
            <w:tcW w:w="180" w:type="dxa"/>
            <w:vAlign w:val="bottom"/>
          </w:tcPr>
          <w:p>
            <w:pPr>
              <w:spacing w:after="0"/>
              <w:rPr>
                <w:sz w:val="14"/>
                <w:szCs w:val="14"/>
                <w:color w:val="auto"/>
              </w:rPr>
            </w:pPr>
          </w:p>
        </w:tc>
      </w:tr>
      <w:tr>
        <w:trPr>
          <w:trHeight w:val="160"/>
        </w:trPr>
        <w:tc>
          <w:tcPr>
            <w:tcW w:w="4600" w:type="dxa"/>
            <w:vAlign w:val="bottom"/>
          </w:tcPr>
          <w:p>
            <w:pPr>
              <w:ind w:left="420"/>
              <w:spacing w:after="0"/>
              <w:rPr>
                <w:sz w:val="20"/>
                <w:szCs w:val="20"/>
                <w:color w:val="auto"/>
              </w:rPr>
            </w:pPr>
            <w:r>
              <w:rPr>
                <w:rFonts w:ascii="Times New Roman" w:cs="Times New Roman" w:eastAsia="Times New Roman" w:hAnsi="Times New Roman"/>
                <w:sz w:val="13"/>
                <w:szCs w:val="13"/>
                <w:color w:val="auto"/>
              </w:rPr>
              <w:t>Total revenues</w:t>
            </w:r>
          </w:p>
        </w:tc>
        <w:tc>
          <w:tcPr>
            <w:tcW w:w="220" w:type="dxa"/>
            <w:vAlign w:val="bottom"/>
          </w:tcPr>
          <w:p>
            <w:pPr>
              <w:spacing w:after="0"/>
              <w:rPr>
                <w:sz w:val="13"/>
                <w:szCs w:val="13"/>
                <w:color w:val="auto"/>
              </w:rPr>
            </w:pPr>
          </w:p>
        </w:tc>
        <w:tc>
          <w:tcPr>
            <w:tcW w:w="96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84,137</w:t>
            </w:r>
          </w:p>
        </w:tc>
        <w:tc>
          <w:tcPr>
            <w:tcW w:w="180" w:type="dxa"/>
            <w:vAlign w:val="bottom"/>
          </w:tcPr>
          <w:p>
            <w:pPr>
              <w:spacing w:after="0"/>
              <w:rPr>
                <w:sz w:val="13"/>
                <w:szCs w:val="13"/>
                <w:color w:val="auto"/>
              </w:rPr>
            </w:pPr>
          </w:p>
        </w:tc>
      </w:tr>
      <w:tr>
        <w:trPr>
          <w:trHeight w:val="170"/>
        </w:trPr>
        <w:tc>
          <w:tcPr>
            <w:tcW w:w="4600" w:type="dxa"/>
            <w:vAlign w:val="bottom"/>
          </w:tcPr>
          <w:p>
            <w:pPr>
              <w:spacing w:after="0"/>
              <w:rPr>
                <w:sz w:val="20"/>
                <w:szCs w:val="20"/>
                <w:color w:val="auto"/>
              </w:rPr>
            </w:pPr>
            <w:r>
              <w:rPr>
                <w:rFonts w:ascii="Times New Roman" w:cs="Times New Roman" w:eastAsia="Times New Roman" w:hAnsi="Times New Roman"/>
                <w:sz w:val="13"/>
                <w:szCs w:val="13"/>
                <w:color w:val="auto"/>
              </w:rPr>
              <w:t>Interest income</w:t>
            </w:r>
          </w:p>
        </w:tc>
        <w:tc>
          <w:tcPr>
            <w:tcW w:w="220" w:type="dxa"/>
            <w:vAlign w:val="bottom"/>
          </w:tcPr>
          <w:p>
            <w:pPr>
              <w:jc w:val="right"/>
              <w:ind w:right="76"/>
              <w:spacing w:after="0"/>
              <w:rPr>
                <w:sz w:val="20"/>
                <w:szCs w:val="20"/>
                <w:color w:val="auto"/>
              </w:rPr>
            </w:pPr>
            <w:r>
              <w:rPr>
                <w:rFonts w:ascii="Times New Roman" w:cs="Times New Roman" w:eastAsia="Times New Roman" w:hAnsi="Times New Roman"/>
                <w:sz w:val="13"/>
                <w:szCs w:val="13"/>
                <w:color w:val="auto"/>
                <w:w w:val="91"/>
              </w:rPr>
              <w:t>$</w:t>
            </w:r>
          </w:p>
        </w:tc>
        <w:tc>
          <w:tcPr>
            <w:tcW w:w="96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657</w:t>
            </w:r>
          </w:p>
        </w:tc>
        <w:tc>
          <w:tcPr>
            <w:tcW w:w="18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w:t>
            </w:r>
          </w:p>
        </w:tc>
      </w:tr>
      <w:tr>
        <w:trPr>
          <w:trHeight w:val="170"/>
        </w:trPr>
        <w:tc>
          <w:tcPr>
            <w:tcW w:w="4600" w:type="dxa"/>
            <w:vAlign w:val="bottom"/>
          </w:tcPr>
          <w:p>
            <w:pPr>
              <w:spacing w:after="0"/>
              <w:rPr>
                <w:sz w:val="20"/>
                <w:szCs w:val="20"/>
                <w:color w:val="auto"/>
              </w:rPr>
            </w:pPr>
            <w:r>
              <w:rPr>
                <w:rFonts w:ascii="Times New Roman" w:cs="Times New Roman" w:eastAsia="Times New Roman" w:hAnsi="Times New Roman"/>
                <w:sz w:val="13"/>
                <w:szCs w:val="13"/>
                <w:color w:val="auto"/>
              </w:rPr>
              <w:t>Net income (loss)</w:t>
            </w:r>
          </w:p>
        </w:tc>
        <w:tc>
          <w:tcPr>
            <w:tcW w:w="220" w:type="dxa"/>
            <w:vAlign w:val="bottom"/>
          </w:tcPr>
          <w:p>
            <w:pPr>
              <w:jc w:val="right"/>
              <w:ind w:right="76"/>
              <w:spacing w:after="0"/>
              <w:rPr>
                <w:sz w:val="20"/>
                <w:szCs w:val="20"/>
                <w:color w:val="auto"/>
              </w:rPr>
            </w:pPr>
            <w:r>
              <w:rPr>
                <w:rFonts w:ascii="Times New Roman" w:cs="Times New Roman" w:eastAsia="Times New Roman" w:hAnsi="Times New Roman"/>
                <w:sz w:val="13"/>
                <w:szCs w:val="13"/>
                <w:color w:val="auto"/>
                <w:w w:val="91"/>
              </w:rPr>
              <w:t>$</w:t>
            </w:r>
          </w:p>
        </w:tc>
        <w:tc>
          <w:tcPr>
            <w:tcW w:w="96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19,885</w:t>
            </w:r>
          </w:p>
        </w:tc>
        <w:tc>
          <w:tcPr>
            <w:tcW w:w="18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w:t>
            </w:r>
          </w:p>
        </w:tc>
      </w:tr>
      <w:tr>
        <w:trPr>
          <w:trHeight w:val="170"/>
        </w:trPr>
        <w:tc>
          <w:tcPr>
            <w:tcW w:w="4600" w:type="dxa"/>
            <w:vAlign w:val="bottom"/>
          </w:tcPr>
          <w:p>
            <w:pPr>
              <w:spacing w:after="0"/>
              <w:rPr>
                <w:sz w:val="20"/>
                <w:szCs w:val="20"/>
                <w:color w:val="auto"/>
              </w:rPr>
            </w:pPr>
            <w:r>
              <w:rPr>
                <w:rFonts w:ascii="Times New Roman" w:cs="Times New Roman" w:eastAsia="Times New Roman" w:hAnsi="Times New Roman"/>
                <w:sz w:val="13"/>
                <w:szCs w:val="13"/>
                <w:color w:val="auto"/>
              </w:rPr>
              <w:t>Segment assets</w:t>
            </w:r>
          </w:p>
        </w:tc>
        <w:tc>
          <w:tcPr>
            <w:tcW w:w="220" w:type="dxa"/>
            <w:vAlign w:val="bottom"/>
          </w:tcPr>
          <w:p>
            <w:pPr>
              <w:jc w:val="right"/>
              <w:ind w:right="76"/>
              <w:spacing w:after="0"/>
              <w:rPr>
                <w:sz w:val="20"/>
                <w:szCs w:val="20"/>
                <w:color w:val="auto"/>
              </w:rPr>
            </w:pPr>
            <w:r>
              <w:rPr>
                <w:rFonts w:ascii="Times New Roman" w:cs="Times New Roman" w:eastAsia="Times New Roman" w:hAnsi="Times New Roman"/>
                <w:sz w:val="13"/>
                <w:szCs w:val="13"/>
                <w:color w:val="auto"/>
                <w:w w:val="91"/>
              </w:rPr>
              <w:t>$</w:t>
            </w:r>
          </w:p>
        </w:tc>
        <w:tc>
          <w:tcPr>
            <w:tcW w:w="96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332,498</w:t>
            </w:r>
          </w:p>
        </w:tc>
        <w:tc>
          <w:tcPr>
            <w:tcW w:w="18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w:t>
            </w:r>
          </w:p>
        </w:tc>
      </w:tr>
      <w:tr>
        <w:trPr>
          <w:trHeight w:val="170"/>
        </w:trPr>
        <w:tc>
          <w:tcPr>
            <w:tcW w:w="4600" w:type="dxa"/>
            <w:vAlign w:val="bottom"/>
          </w:tcPr>
          <w:p>
            <w:pPr>
              <w:spacing w:after="0"/>
              <w:rPr>
                <w:sz w:val="20"/>
                <w:szCs w:val="20"/>
                <w:color w:val="auto"/>
              </w:rPr>
            </w:pPr>
            <w:r>
              <w:rPr>
                <w:rFonts w:ascii="Times New Roman" w:cs="Times New Roman" w:eastAsia="Times New Roman" w:hAnsi="Times New Roman"/>
                <w:sz w:val="13"/>
                <w:szCs w:val="13"/>
                <w:color w:val="auto"/>
              </w:rPr>
              <w:t>Segment goodwill</w:t>
            </w:r>
          </w:p>
        </w:tc>
        <w:tc>
          <w:tcPr>
            <w:tcW w:w="220" w:type="dxa"/>
            <w:vAlign w:val="bottom"/>
          </w:tcPr>
          <w:p>
            <w:pPr>
              <w:jc w:val="right"/>
              <w:ind w:right="76"/>
              <w:spacing w:after="0"/>
              <w:rPr>
                <w:sz w:val="20"/>
                <w:szCs w:val="20"/>
                <w:color w:val="auto"/>
              </w:rPr>
            </w:pPr>
            <w:r>
              <w:rPr>
                <w:rFonts w:ascii="Times New Roman" w:cs="Times New Roman" w:eastAsia="Times New Roman" w:hAnsi="Times New Roman"/>
                <w:sz w:val="13"/>
                <w:szCs w:val="13"/>
                <w:color w:val="auto"/>
                <w:w w:val="91"/>
              </w:rPr>
              <w:t>$</w:t>
            </w:r>
          </w:p>
        </w:tc>
        <w:tc>
          <w:tcPr>
            <w:tcW w:w="96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23,100</w:t>
            </w:r>
          </w:p>
        </w:tc>
        <w:tc>
          <w:tcPr>
            <w:tcW w:w="18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w:t>
            </w:r>
          </w:p>
        </w:tc>
      </w:tr>
      <w:tr>
        <w:trPr>
          <w:trHeight w:val="170"/>
        </w:trPr>
        <w:tc>
          <w:tcPr>
            <w:tcW w:w="4600" w:type="dxa"/>
            <w:vAlign w:val="bottom"/>
          </w:tcPr>
          <w:p>
            <w:pPr>
              <w:spacing w:after="0"/>
              <w:rPr>
                <w:sz w:val="20"/>
                <w:szCs w:val="20"/>
                <w:color w:val="auto"/>
              </w:rPr>
            </w:pPr>
            <w:r>
              <w:rPr>
                <w:rFonts w:ascii="Times New Roman" w:cs="Times New Roman" w:eastAsia="Times New Roman" w:hAnsi="Times New Roman"/>
                <w:sz w:val="13"/>
                <w:szCs w:val="13"/>
                <w:color w:val="auto"/>
              </w:rPr>
              <w:t>Segment equity method investments</w:t>
            </w:r>
          </w:p>
        </w:tc>
        <w:tc>
          <w:tcPr>
            <w:tcW w:w="220" w:type="dxa"/>
            <w:vAlign w:val="bottom"/>
          </w:tcPr>
          <w:p>
            <w:pPr>
              <w:jc w:val="right"/>
              <w:ind w:right="76"/>
              <w:spacing w:after="0"/>
              <w:rPr>
                <w:sz w:val="20"/>
                <w:szCs w:val="20"/>
                <w:color w:val="auto"/>
              </w:rPr>
            </w:pPr>
            <w:r>
              <w:rPr>
                <w:rFonts w:ascii="Times New Roman" w:cs="Times New Roman" w:eastAsia="Times New Roman" w:hAnsi="Times New Roman"/>
                <w:sz w:val="13"/>
                <w:szCs w:val="13"/>
                <w:color w:val="auto"/>
                <w:w w:val="91"/>
              </w:rPr>
              <w:t>$</w:t>
            </w:r>
          </w:p>
        </w:tc>
        <w:tc>
          <w:tcPr>
            <w:tcW w:w="96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4,303</w:t>
            </w:r>
          </w:p>
        </w:tc>
        <w:tc>
          <w:tcPr>
            <w:tcW w:w="18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w:t>
            </w:r>
          </w:p>
        </w:tc>
      </w:tr>
      <w:tr>
        <w:trPr>
          <w:trHeight w:val="170"/>
        </w:trPr>
        <w:tc>
          <w:tcPr>
            <w:tcW w:w="4600" w:type="dxa"/>
            <w:vAlign w:val="bottom"/>
          </w:tcPr>
          <w:p>
            <w:pPr>
              <w:spacing w:after="0"/>
              <w:rPr>
                <w:sz w:val="20"/>
                <w:szCs w:val="20"/>
                <w:color w:val="auto"/>
              </w:rPr>
            </w:pPr>
            <w:r>
              <w:rPr>
                <w:rFonts w:ascii="Times New Roman" w:cs="Times New Roman" w:eastAsia="Times New Roman" w:hAnsi="Times New Roman"/>
                <w:sz w:val="13"/>
                <w:szCs w:val="13"/>
                <w:color w:val="auto"/>
              </w:rPr>
              <w:t>Expenditures for long-lived assets</w:t>
            </w:r>
          </w:p>
        </w:tc>
        <w:tc>
          <w:tcPr>
            <w:tcW w:w="220" w:type="dxa"/>
            <w:vAlign w:val="bottom"/>
          </w:tcPr>
          <w:p>
            <w:pPr>
              <w:jc w:val="right"/>
              <w:ind w:right="76"/>
              <w:spacing w:after="0"/>
              <w:rPr>
                <w:sz w:val="20"/>
                <w:szCs w:val="20"/>
                <w:color w:val="auto"/>
              </w:rPr>
            </w:pPr>
            <w:r>
              <w:rPr>
                <w:rFonts w:ascii="Times New Roman" w:cs="Times New Roman" w:eastAsia="Times New Roman" w:hAnsi="Times New Roman"/>
                <w:sz w:val="13"/>
                <w:szCs w:val="13"/>
                <w:color w:val="auto"/>
                <w:w w:val="91"/>
              </w:rPr>
              <w:t>$</w:t>
            </w:r>
          </w:p>
        </w:tc>
        <w:tc>
          <w:tcPr>
            <w:tcW w:w="96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5</w:t>
            </w:r>
          </w:p>
        </w:tc>
        <w:tc>
          <w:tcPr>
            <w:tcW w:w="18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w:t>
            </w:r>
          </w:p>
        </w:tc>
      </w:tr>
      <w:tr>
        <w:trPr>
          <w:trHeight w:val="329"/>
        </w:trPr>
        <w:tc>
          <w:tcPr>
            <w:tcW w:w="4600" w:type="dxa"/>
            <w:vAlign w:val="bottom"/>
          </w:tcPr>
          <w:p>
            <w:pPr>
              <w:spacing w:after="0"/>
              <w:rPr>
                <w:sz w:val="20"/>
                <w:szCs w:val="20"/>
                <w:color w:val="auto"/>
              </w:rPr>
            </w:pPr>
            <w:r>
              <w:rPr>
                <w:rFonts w:ascii="Times New Roman" w:cs="Times New Roman" w:eastAsia="Times New Roman" w:hAnsi="Times New Roman"/>
                <w:sz w:val="13"/>
                <w:szCs w:val="13"/>
                <w:b w:val="1"/>
                <w:bCs w:val="1"/>
                <w:color w:val="auto"/>
              </w:rPr>
              <w:t>Year Ended December 31, 2024</w:t>
            </w:r>
          </w:p>
        </w:tc>
        <w:tc>
          <w:tcPr>
            <w:tcW w:w="220" w:type="dxa"/>
            <w:vAlign w:val="bottom"/>
          </w:tcPr>
          <w:p>
            <w:pPr>
              <w:spacing w:after="0"/>
              <w:rPr>
                <w:sz w:val="24"/>
                <w:szCs w:val="24"/>
                <w:color w:val="auto"/>
              </w:rPr>
            </w:pPr>
          </w:p>
        </w:tc>
        <w:tc>
          <w:tcPr>
            <w:tcW w:w="960" w:type="dxa"/>
            <w:vAlign w:val="bottom"/>
          </w:tcPr>
          <w:p>
            <w:pPr>
              <w:spacing w:after="0"/>
              <w:rPr>
                <w:sz w:val="24"/>
                <w:szCs w:val="24"/>
                <w:color w:val="auto"/>
              </w:rPr>
            </w:pPr>
          </w:p>
        </w:tc>
        <w:tc>
          <w:tcPr>
            <w:tcW w:w="180" w:type="dxa"/>
            <w:vAlign w:val="bottom"/>
          </w:tcPr>
          <w:p>
            <w:pPr>
              <w:spacing w:after="0"/>
              <w:rPr>
                <w:sz w:val="24"/>
                <w:szCs w:val="24"/>
                <w:color w:val="auto"/>
              </w:rPr>
            </w:pPr>
          </w:p>
        </w:tc>
      </w:tr>
      <w:tr>
        <w:trPr>
          <w:trHeight w:val="170"/>
        </w:trPr>
        <w:tc>
          <w:tcPr>
            <w:tcW w:w="4600" w:type="dxa"/>
            <w:vAlign w:val="bottom"/>
          </w:tcPr>
          <w:p>
            <w:pPr>
              <w:spacing w:after="0"/>
              <w:rPr>
                <w:sz w:val="20"/>
                <w:szCs w:val="20"/>
                <w:color w:val="auto"/>
              </w:rPr>
            </w:pPr>
            <w:r>
              <w:rPr>
                <w:rFonts w:ascii="Times New Roman" w:cs="Times New Roman" w:eastAsia="Times New Roman" w:hAnsi="Times New Roman"/>
                <w:sz w:val="13"/>
                <w:szCs w:val="13"/>
                <w:color w:val="auto"/>
              </w:rPr>
              <w:t>Revenues:</w:t>
            </w:r>
          </w:p>
        </w:tc>
        <w:tc>
          <w:tcPr>
            <w:tcW w:w="220" w:type="dxa"/>
            <w:vAlign w:val="bottom"/>
          </w:tcPr>
          <w:p>
            <w:pPr>
              <w:spacing w:after="0"/>
              <w:rPr>
                <w:sz w:val="14"/>
                <w:szCs w:val="14"/>
                <w:color w:val="auto"/>
              </w:rPr>
            </w:pPr>
          </w:p>
        </w:tc>
        <w:tc>
          <w:tcPr>
            <w:tcW w:w="960" w:type="dxa"/>
            <w:vAlign w:val="bottom"/>
          </w:tcPr>
          <w:p>
            <w:pPr>
              <w:spacing w:after="0"/>
              <w:rPr>
                <w:sz w:val="14"/>
                <w:szCs w:val="14"/>
                <w:color w:val="auto"/>
              </w:rPr>
            </w:pPr>
          </w:p>
        </w:tc>
        <w:tc>
          <w:tcPr>
            <w:tcW w:w="180" w:type="dxa"/>
            <w:vAlign w:val="bottom"/>
          </w:tcPr>
          <w:p>
            <w:pPr>
              <w:spacing w:after="0"/>
              <w:rPr>
                <w:sz w:val="14"/>
                <w:szCs w:val="14"/>
                <w:color w:val="auto"/>
              </w:rPr>
            </w:pPr>
          </w:p>
        </w:tc>
      </w:tr>
      <w:tr>
        <w:trPr>
          <w:trHeight w:val="170"/>
        </w:trPr>
        <w:tc>
          <w:tcPr>
            <w:tcW w:w="4600" w:type="dxa"/>
            <w:vAlign w:val="bottom"/>
          </w:tcPr>
          <w:p>
            <w:pPr>
              <w:ind w:left="260"/>
              <w:spacing w:after="0"/>
              <w:rPr>
                <w:sz w:val="20"/>
                <w:szCs w:val="20"/>
                <w:color w:val="auto"/>
              </w:rPr>
            </w:pPr>
            <w:r>
              <w:rPr>
                <w:rFonts w:ascii="Times New Roman" w:cs="Times New Roman" w:eastAsia="Times New Roman" w:hAnsi="Times New Roman"/>
                <w:sz w:val="13"/>
                <w:szCs w:val="13"/>
                <w:color w:val="auto"/>
              </w:rPr>
              <w:t>Net fee revenues from external sources</w:t>
            </w:r>
          </w:p>
        </w:tc>
        <w:tc>
          <w:tcPr>
            <w:tcW w:w="220" w:type="dxa"/>
            <w:vAlign w:val="bottom"/>
          </w:tcPr>
          <w:p>
            <w:pPr>
              <w:jc w:val="right"/>
              <w:ind w:right="76"/>
              <w:spacing w:after="0"/>
              <w:rPr>
                <w:sz w:val="20"/>
                <w:szCs w:val="20"/>
                <w:color w:val="auto"/>
              </w:rPr>
            </w:pPr>
            <w:r>
              <w:rPr>
                <w:rFonts w:ascii="Times New Roman" w:cs="Times New Roman" w:eastAsia="Times New Roman" w:hAnsi="Times New Roman"/>
                <w:sz w:val="13"/>
                <w:szCs w:val="13"/>
                <w:color w:val="auto"/>
                <w:w w:val="91"/>
              </w:rPr>
              <w:t>$</w:t>
            </w:r>
          </w:p>
        </w:tc>
        <w:tc>
          <w:tcPr>
            <w:tcW w:w="96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71,148</w:t>
            </w:r>
          </w:p>
        </w:tc>
        <w:tc>
          <w:tcPr>
            <w:tcW w:w="18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w:t>
            </w:r>
          </w:p>
        </w:tc>
      </w:tr>
      <w:tr>
        <w:trPr>
          <w:trHeight w:val="170"/>
        </w:trPr>
        <w:tc>
          <w:tcPr>
            <w:tcW w:w="4600" w:type="dxa"/>
            <w:vAlign w:val="bottom"/>
          </w:tcPr>
          <w:p>
            <w:pPr>
              <w:ind w:left="260"/>
              <w:spacing w:after="0"/>
              <w:rPr>
                <w:sz w:val="20"/>
                <w:szCs w:val="20"/>
                <w:color w:val="auto"/>
              </w:rPr>
            </w:pPr>
            <w:r>
              <w:rPr>
                <w:rFonts w:ascii="Times New Roman" w:cs="Times New Roman" w:eastAsia="Times New Roman" w:hAnsi="Times New Roman"/>
                <w:sz w:val="13"/>
                <w:szCs w:val="13"/>
                <w:color w:val="auto"/>
              </w:rPr>
              <w:t>Net intersegment revenues</w:t>
            </w:r>
          </w:p>
        </w:tc>
        <w:tc>
          <w:tcPr>
            <w:tcW w:w="220" w:type="dxa"/>
            <w:vAlign w:val="bottom"/>
          </w:tcPr>
          <w:p>
            <w:pPr>
              <w:spacing w:after="0"/>
              <w:rPr>
                <w:sz w:val="14"/>
                <w:szCs w:val="14"/>
                <w:color w:val="auto"/>
              </w:rPr>
            </w:pPr>
          </w:p>
        </w:tc>
        <w:tc>
          <w:tcPr>
            <w:tcW w:w="96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5,959</w:t>
            </w:r>
          </w:p>
        </w:tc>
        <w:tc>
          <w:tcPr>
            <w:tcW w:w="180" w:type="dxa"/>
            <w:vAlign w:val="bottom"/>
          </w:tcPr>
          <w:p>
            <w:pPr>
              <w:spacing w:after="0"/>
              <w:rPr>
                <w:sz w:val="14"/>
                <w:szCs w:val="14"/>
                <w:color w:val="auto"/>
              </w:rPr>
            </w:pPr>
          </w:p>
        </w:tc>
      </w:tr>
      <w:tr>
        <w:trPr>
          <w:trHeight w:val="170"/>
        </w:trPr>
        <w:tc>
          <w:tcPr>
            <w:tcW w:w="4600" w:type="dxa"/>
            <w:vAlign w:val="bottom"/>
          </w:tcPr>
          <w:p>
            <w:pPr>
              <w:ind w:left="260"/>
              <w:spacing w:after="0"/>
              <w:rPr>
                <w:sz w:val="20"/>
                <w:szCs w:val="20"/>
                <w:color w:val="auto"/>
              </w:rPr>
            </w:pPr>
            <w:r>
              <w:rPr>
                <w:rFonts w:ascii="Times New Roman" w:cs="Times New Roman" w:eastAsia="Times New Roman" w:hAnsi="Times New Roman"/>
                <w:sz w:val="13"/>
                <w:szCs w:val="13"/>
                <w:color w:val="auto"/>
              </w:rPr>
              <w:t>Other revenue</w:t>
            </w:r>
          </w:p>
        </w:tc>
        <w:tc>
          <w:tcPr>
            <w:tcW w:w="220" w:type="dxa"/>
            <w:vAlign w:val="bottom"/>
            <w:tcBorders>
              <w:bottom w:val="single" w:sz="8" w:color="auto"/>
            </w:tcBorders>
          </w:tcPr>
          <w:p>
            <w:pPr>
              <w:spacing w:after="0"/>
              <w:rPr>
                <w:sz w:val="14"/>
                <w:szCs w:val="14"/>
                <w:color w:val="auto"/>
              </w:rPr>
            </w:pPr>
          </w:p>
        </w:tc>
        <w:tc>
          <w:tcPr>
            <w:tcW w:w="9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3"/>
                <w:szCs w:val="13"/>
                <w:color w:val="auto"/>
              </w:rPr>
              <w:t>1,669</w:t>
            </w:r>
          </w:p>
        </w:tc>
        <w:tc>
          <w:tcPr>
            <w:tcW w:w="180" w:type="dxa"/>
            <w:vAlign w:val="bottom"/>
          </w:tcPr>
          <w:p>
            <w:pPr>
              <w:spacing w:after="0"/>
              <w:rPr>
                <w:sz w:val="14"/>
                <w:szCs w:val="14"/>
                <w:color w:val="auto"/>
              </w:rPr>
            </w:pPr>
          </w:p>
        </w:tc>
      </w:tr>
      <w:tr>
        <w:trPr>
          <w:trHeight w:val="160"/>
        </w:trPr>
        <w:tc>
          <w:tcPr>
            <w:tcW w:w="4600" w:type="dxa"/>
            <w:vAlign w:val="bottom"/>
          </w:tcPr>
          <w:p>
            <w:pPr>
              <w:ind w:left="420"/>
              <w:spacing w:after="0"/>
              <w:rPr>
                <w:sz w:val="20"/>
                <w:szCs w:val="20"/>
                <w:color w:val="auto"/>
              </w:rPr>
            </w:pPr>
            <w:r>
              <w:rPr>
                <w:rFonts w:ascii="Times New Roman" w:cs="Times New Roman" w:eastAsia="Times New Roman" w:hAnsi="Times New Roman"/>
                <w:sz w:val="13"/>
                <w:szCs w:val="13"/>
                <w:color w:val="auto"/>
              </w:rPr>
              <w:t>Total revenues</w:t>
            </w:r>
          </w:p>
        </w:tc>
        <w:tc>
          <w:tcPr>
            <w:tcW w:w="220" w:type="dxa"/>
            <w:vAlign w:val="bottom"/>
          </w:tcPr>
          <w:p>
            <w:pPr>
              <w:spacing w:after="0"/>
              <w:rPr>
                <w:sz w:val="13"/>
                <w:szCs w:val="13"/>
                <w:color w:val="auto"/>
              </w:rPr>
            </w:pPr>
          </w:p>
        </w:tc>
        <w:tc>
          <w:tcPr>
            <w:tcW w:w="96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78,776</w:t>
            </w:r>
          </w:p>
        </w:tc>
        <w:tc>
          <w:tcPr>
            <w:tcW w:w="180" w:type="dxa"/>
            <w:vAlign w:val="bottom"/>
          </w:tcPr>
          <w:p>
            <w:pPr>
              <w:spacing w:after="0"/>
              <w:rPr>
                <w:sz w:val="13"/>
                <w:szCs w:val="13"/>
                <w:color w:val="auto"/>
              </w:rPr>
            </w:pPr>
          </w:p>
        </w:tc>
      </w:tr>
      <w:tr>
        <w:trPr>
          <w:trHeight w:val="170"/>
        </w:trPr>
        <w:tc>
          <w:tcPr>
            <w:tcW w:w="4600" w:type="dxa"/>
            <w:vAlign w:val="bottom"/>
          </w:tcPr>
          <w:p>
            <w:pPr>
              <w:spacing w:after="0"/>
              <w:rPr>
                <w:sz w:val="20"/>
                <w:szCs w:val="20"/>
                <w:color w:val="auto"/>
              </w:rPr>
            </w:pPr>
            <w:r>
              <w:rPr>
                <w:rFonts w:ascii="Times New Roman" w:cs="Times New Roman" w:eastAsia="Times New Roman" w:hAnsi="Times New Roman"/>
                <w:sz w:val="13"/>
                <w:szCs w:val="13"/>
                <w:color w:val="auto"/>
              </w:rPr>
              <w:t>Interest income</w:t>
            </w:r>
          </w:p>
        </w:tc>
        <w:tc>
          <w:tcPr>
            <w:tcW w:w="220" w:type="dxa"/>
            <w:vAlign w:val="bottom"/>
          </w:tcPr>
          <w:p>
            <w:pPr>
              <w:jc w:val="right"/>
              <w:ind w:right="76"/>
              <w:spacing w:after="0"/>
              <w:rPr>
                <w:sz w:val="20"/>
                <w:szCs w:val="20"/>
                <w:color w:val="auto"/>
              </w:rPr>
            </w:pPr>
            <w:r>
              <w:rPr>
                <w:rFonts w:ascii="Times New Roman" w:cs="Times New Roman" w:eastAsia="Times New Roman" w:hAnsi="Times New Roman"/>
                <w:sz w:val="13"/>
                <w:szCs w:val="13"/>
                <w:color w:val="auto"/>
                <w:w w:val="91"/>
              </w:rPr>
              <w:t>$</w:t>
            </w:r>
          </w:p>
        </w:tc>
        <w:tc>
          <w:tcPr>
            <w:tcW w:w="96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1,146</w:t>
            </w:r>
          </w:p>
        </w:tc>
        <w:tc>
          <w:tcPr>
            <w:tcW w:w="18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w:t>
            </w:r>
          </w:p>
        </w:tc>
      </w:tr>
      <w:tr>
        <w:trPr>
          <w:trHeight w:val="170"/>
        </w:trPr>
        <w:tc>
          <w:tcPr>
            <w:tcW w:w="4600" w:type="dxa"/>
            <w:vAlign w:val="bottom"/>
          </w:tcPr>
          <w:p>
            <w:pPr>
              <w:spacing w:after="0"/>
              <w:rPr>
                <w:sz w:val="20"/>
                <w:szCs w:val="20"/>
                <w:color w:val="auto"/>
              </w:rPr>
            </w:pPr>
            <w:r>
              <w:rPr>
                <w:rFonts w:ascii="Times New Roman" w:cs="Times New Roman" w:eastAsia="Times New Roman" w:hAnsi="Times New Roman"/>
                <w:sz w:val="13"/>
                <w:szCs w:val="13"/>
                <w:color w:val="auto"/>
              </w:rPr>
              <w:t>Net income (loss)</w:t>
            </w:r>
          </w:p>
        </w:tc>
        <w:tc>
          <w:tcPr>
            <w:tcW w:w="220" w:type="dxa"/>
            <w:vAlign w:val="bottom"/>
          </w:tcPr>
          <w:p>
            <w:pPr>
              <w:jc w:val="right"/>
              <w:ind w:right="76"/>
              <w:spacing w:after="0"/>
              <w:rPr>
                <w:sz w:val="20"/>
                <w:szCs w:val="20"/>
                <w:color w:val="auto"/>
              </w:rPr>
            </w:pPr>
            <w:r>
              <w:rPr>
                <w:rFonts w:ascii="Times New Roman" w:cs="Times New Roman" w:eastAsia="Times New Roman" w:hAnsi="Times New Roman"/>
                <w:sz w:val="13"/>
                <w:szCs w:val="13"/>
                <w:color w:val="auto"/>
                <w:w w:val="91"/>
              </w:rPr>
              <w:t>$</w:t>
            </w:r>
          </w:p>
        </w:tc>
        <w:tc>
          <w:tcPr>
            <w:tcW w:w="96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17,605</w:t>
            </w:r>
          </w:p>
        </w:tc>
        <w:tc>
          <w:tcPr>
            <w:tcW w:w="18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w:t>
            </w:r>
          </w:p>
        </w:tc>
      </w:tr>
      <w:tr>
        <w:trPr>
          <w:trHeight w:val="170"/>
        </w:trPr>
        <w:tc>
          <w:tcPr>
            <w:tcW w:w="4600" w:type="dxa"/>
            <w:vAlign w:val="bottom"/>
          </w:tcPr>
          <w:p>
            <w:pPr>
              <w:spacing w:after="0"/>
              <w:rPr>
                <w:sz w:val="20"/>
                <w:szCs w:val="20"/>
                <w:color w:val="auto"/>
              </w:rPr>
            </w:pPr>
            <w:r>
              <w:rPr>
                <w:rFonts w:ascii="Times New Roman" w:cs="Times New Roman" w:eastAsia="Times New Roman" w:hAnsi="Times New Roman"/>
                <w:sz w:val="13"/>
                <w:szCs w:val="13"/>
                <w:color w:val="auto"/>
              </w:rPr>
              <w:t>Segment assets</w:t>
            </w:r>
          </w:p>
        </w:tc>
        <w:tc>
          <w:tcPr>
            <w:tcW w:w="220" w:type="dxa"/>
            <w:vAlign w:val="bottom"/>
          </w:tcPr>
          <w:p>
            <w:pPr>
              <w:jc w:val="right"/>
              <w:ind w:right="76"/>
              <w:spacing w:after="0"/>
              <w:rPr>
                <w:sz w:val="20"/>
                <w:szCs w:val="20"/>
                <w:color w:val="auto"/>
              </w:rPr>
            </w:pPr>
            <w:r>
              <w:rPr>
                <w:rFonts w:ascii="Times New Roman" w:cs="Times New Roman" w:eastAsia="Times New Roman" w:hAnsi="Times New Roman"/>
                <w:sz w:val="13"/>
                <w:szCs w:val="13"/>
                <w:color w:val="auto"/>
                <w:w w:val="91"/>
              </w:rPr>
              <w:t>$</w:t>
            </w:r>
          </w:p>
        </w:tc>
        <w:tc>
          <w:tcPr>
            <w:tcW w:w="96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309,418</w:t>
            </w:r>
          </w:p>
        </w:tc>
        <w:tc>
          <w:tcPr>
            <w:tcW w:w="18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w:t>
            </w:r>
          </w:p>
        </w:tc>
      </w:tr>
      <w:tr>
        <w:trPr>
          <w:trHeight w:val="170"/>
        </w:trPr>
        <w:tc>
          <w:tcPr>
            <w:tcW w:w="4600" w:type="dxa"/>
            <w:vAlign w:val="bottom"/>
          </w:tcPr>
          <w:p>
            <w:pPr>
              <w:spacing w:after="0"/>
              <w:rPr>
                <w:sz w:val="20"/>
                <w:szCs w:val="20"/>
                <w:color w:val="auto"/>
              </w:rPr>
            </w:pPr>
            <w:r>
              <w:rPr>
                <w:rFonts w:ascii="Times New Roman" w:cs="Times New Roman" w:eastAsia="Times New Roman" w:hAnsi="Times New Roman"/>
                <w:sz w:val="13"/>
                <w:szCs w:val="13"/>
                <w:color w:val="auto"/>
              </w:rPr>
              <w:t>Segment goodwill</w:t>
            </w:r>
          </w:p>
        </w:tc>
        <w:tc>
          <w:tcPr>
            <w:tcW w:w="220" w:type="dxa"/>
            <w:vAlign w:val="bottom"/>
          </w:tcPr>
          <w:p>
            <w:pPr>
              <w:jc w:val="right"/>
              <w:ind w:right="76"/>
              <w:spacing w:after="0"/>
              <w:rPr>
                <w:sz w:val="20"/>
                <w:szCs w:val="20"/>
                <w:color w:val="auto"/>
              </w:rPr>
            </w:pPr>
            <w:r>
              <w:rPr>
                <w:rFonts w:ascii="Times New Roman" w:cs="Times New Roman" w:eastAsia="Times New Roman" w:hAnsi="Times New Roman"/>
                <w:sz w:val="13"/>
                <w:szCs w:val="13"/>
                <w:color w:val="auto"/>
                <w:w w:val="91"/>
              </w:rPr>
              <w:t>$</w:t>
            </w:r>
          </w:p>
        </w:tc>
        <w:tc>
          <w:tcPr>
            <w:tcW w:w="96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23,100</w:t>
            </w:r>
          </w:p>
        </w:tc>
        <w:tc>
          <w:tcPr>
            <w:tcW w:w="18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w:t>
            </w:r>
          </w:p>
        </w:tc>
      </w:tr>
      <w:tr>
        <w:trPr>
          <w:trHeight w:val="170"/>
        </w:trPr>
        <w:tc>
          <w:tcPr>
            <w:tcW w:w="4600" w:type="dxa"/>
            <w:vAlign w:val="bottom"/>
          </w:tcPr>
          <w:p>
            <w:pPr>
              <w:spacing w:after="0"/>
              <w:rPr>
                <w:sz w:val="20"/>
                <w:szCs w:val="20"/>
                <w:color w:val="auto"/>
              </w:rPr>
            </w:pPr>
            <w:r>
              <w:rPr>
                <w:rFonts w:ascii="Times New Roman" w:cs="Times New Roman" w:eastAsia="Times New Roman" w:hAnsi="Times New Roman"/>
                <w:sz w:val="13"/>
                <w:szCs w:val="13"/>
                <w:color w:val="auto"/>
              </w:rPr>
              <w:t>Segment equity method investments</w:t>
            </w:r>
          </w:p>
        </w:tc>
        <w:tc>
          <w:tcPr>
            <w:tcW w:w="220" w:type="dxa"/>
            <w:vAlign w:val="bottom"/>
          </w:tcPr>
          <w:p>
            <w:pPr>
              <w:jc w:val="right"/>
              <w:ind w:right="76"/>
              <w:spacing w:after="0"/>
              <w:rPr>
                <w:sz w:val="20"/>
                <w:szCs w:val="20"/>
                <w:color w:val="auto"/>
              </w:rPr>
            </w:pPr>
            <w:r>
              <w:rPr>
                <w:rFonts w:ascii="Times New Roman" w:cs="Times New Roman" w:eastAsia="Times New Roman" w:hAnsi="Times New Roman"/>
                <w:sz w:val="13"/>
                <w:szCs w:val="13"/>
                <w:color w:val="auto"/>
                <w:w w:val="91"/>
              </w:rPr>
              <w:t>$</w:t>
            </w:r>
          </w:p>
        </w:tc>
        <w:tc>
          <w:tcPr>
            <w:tcW w:w="96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4,250</w:t>
            </w:r>
          </w:p>
        </w:tc>
        <w:tc>
          <w:tcPr>
            <w:tcW w:w="18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w:t>
            </w:r>
          </w:p>
        </w:tc>
      </w:tr>
      <w:tr>
        <w:trPr>
          <w:trHeight w:val="170"/>
        </w:trPr>
        <w:tc>
          <w:tcPr>
            <w:tcW w:w="4600" w:type="dxa"/>
            <w:vAlign w:val="bottom"/>
          </w:tcPr>
          <w:p>
            <w:pPr>
              <w:spacing w:after="0"/>
              <w:rPr>
                <w:sz w:val="20"/>
                <w:szCs w:val="20"/>
                <w:color w:val="auto"/>
              </w:rPr>
            </w:pPr>
            <w:r>
              <w:rPr>
                <w:rFonts w:ascii="Times New Roman" w:cs="Times New Roman" w:eastAsia="Times New Roman" w:hAnsi="Times New Roman"/>
                <w:sz w:val="13"/>
                <w:szCs w:val="13"/>
                <w:color w:val="auto"/>
              </w:rPr>
              <w:t>Expenditures for long-lived assets</w:t>
            </w:r>
          </w:p>
        </w:tc>
        <w:tc>
          <w:tcPr>
            <w:tcW w:w="220" w:type="dxa"/>
            <w:vAlign w:val="bottom"/>
          </w:tcPr>
          <w:p>
            <w:pPr>
              <w:jc w:val="right"/>
              <w:ind w:right="76"/>
              <w:spacing w:after="0"/>
              <w:rPr>
                <w:sz w:val="20"/>
                <w:szCs w:val="20"/>
                <w:color w:val="auto"/>
              </w:rPr>
            </w:pPr>
            <w:r>
              <w:rPr>
                <w:rFonts w:ascii="Times New Roman" w:cs="Times New Roman" w:eastAsia="Times New Roman" w:hAnsi="Times New Roman"/>
                <w:sz w:val="13"/>
                <w:szCs w:val="13"/>
                <w:color w:val="auto"/>
                <w:w w:val="91"/>
              </w:rPr>
              <w:t>$</w:t>
            </w:r>
          </w:p>
        </w:tc>
        <w:tc>
          <w:tcPr>
            <w:tcW w:w="96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15</w:t>
            </w:r>
          </w:p>
        </w:tc>
        <w:tc>
          <w:tcPr>
            <w:tcW w:w="18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w:t>
            </w:r>
          </w:p>
        </w:tc>
      </w:tr>
      <w:tr>
        <w:trPr>
          <w:trHeight w:val="329"/>
        </w:trPr>
        <w:tc>
          <w:tcPr>
            <w:tcW w:w="4600" w:type="dxa"/>
            <w:vAlign w:val="bottom"/>
          </w:tcPr>
          <w:p>
            <w:pPr>
              <w:spacing w:after="0"/>
              <w:rPr>
                <w:sz w:val="20"/>
                <w:szCs w:val="20"/>
                <w:color w:val="auto"/>
              </w:rPr>
            </w:pPr>
            <w:r>
              <w:rPr>
                <w:rFonts w:ascii="Times New Roman" w:cs="Times New Roman" w:eastAsia="Times New Roman" w:hAnsi="Times New Roman"/>
                <w:sz w:val="13"/>
                <w:szCs w:val="13"/>
                <w:b w:val="1"/>
                <w:bCs w:val="1"/>
                <w:color w:val="auto"/>
              </w:rPr>
              <w:t>Year Ended December 31, 2023</w:t>
            </w:r>
          </w:p>
        </w:tc>
        <w:tc>
          <w:tcPr>
            <w:tcW w:w="220" w:type="dxa"/>
            <w:vAlign w:val="bottom"/>
          </w:tcPr>
          <w:p>
            <w:pPr>
              <w:spacing w:after="0"/>
              <w:rPr>
                <w:sz w:val="24"/>
                <w:szCs w:val="24"/>
                <w:color w:val="auto"/>
              </w:rPr>
            </w:pPr>
          </w:p>
        </w:tc>
        <w:tc>
          <w:tcPr>
            <w:tcW w:w="960" w:type="dxa"/>
            <w:vAlign w:val="bottom"/>
          </w:tcPr>
          <w:p>
            <w:pPr>
              <w:spacing w:after="0"/>
              <w:rPr>
                <w:sz w:val="24"/>
                <w:szCs w:val="24"/>
                <w:color w:val="auto"/>
              </w:rPr>
            </w:pPr>
          </w:p>
        </w:tc>
        <w:tc>
          <w:tcPr>
            <w:tcW w:w="180" w:type="dxa"/>
            <w:vAlign w:val="bottom"/>
          </w:tcPr>
          <w:p>
            <w:pPr>
              <w:spacing w:after="0"/>
              <w:rPr>
                <w:sz w:val="24"/>
                <w:szCs w:val="24"/>
                <w:color w:val="auto"/>
              </w:rPr>
            </w:pPr>
          </w:p>
        </w:tc>
      </w:tr>
      <w:tr>
        <w:trPr>
          <w:trHeight w:val="170"/>
        </w:trPr>
        <w:tc>
          <w:tcPr>
            <w:tcW w:w="4600" w:type="dxa"/>
            <w:vAlign w:val="bottom"/>
          </w:tcPr>
          <w:p>
            <w:pPr>
              <w:spacing w:after="0"/>
              <w:rPr>
                <w:sz w:val="20"/>
                <w:szCs w:val="20"/>
                <w:color w:val="auto"/>
              </w:rPr>
            </w:pPr>
            <w:r>
              <w:rPr>
                <w:rFonts w:ascii="Times New Roman" w:cs="Times New Roman" w:eastAsia="Times New Roman" w:hAnsi="Times New Roman"/>
                <w:sz w:val="13"/>
                <w:szCs w:val="13"/>
                <w:color w:val="auto"/>
              </w:rPr>
              <w:t>Revenues:</w:t>
            </w:r>
          </w:p>
        </w:tc>
        <w:tc>
          <w:tcPr>
            <w:tcW w:w="220" w:type="dxa"/>
            <w:vAlign w:val="bottom"/>
          </w:tcPr>
          <w:p>
            <w:pPr>
              <w:spacing w:after="0"/>
              <w:rPr>
                <w:sz w:val="14"/>
                <w:szCs w:val="14"/>
                <w:color w:val="auto"/>
              </w:rPr>
            </w:pPr>
          </w:p>
        </w:tc>
        <w:tc>
          <w:tcPr>
            <w:tcW w:w="960" w:type="dxa"/>
            <w:vAlign w:val="bottom"/>
          </w:tcPr>
          <w:p>
            <w:pPr>
              <w:spacing w:after="0"/>
              <w:rPr>
                <w:sz w:val="14"/>
                <w:szCs w:val="14"/>
                <w:color w:val="auto"/>
              </w:rPr>
            </w:pPr>
          </w:p>
        </w:tc>
        <w:tc>
          <w:tcPr>
            <w:tcW w:w="180" w:type="dxa"/>
            <w:vAlign w:val="bottom"/>
          </w:tcPr>
          <w:p>
            <w:pPr>
              <w:spacing w:after="0"/>
              <w:rPr>
                <w:sz w:val="14"/>
                <w:szCs w:val="14"/>
                <w:color w:val="auto"/>
              </w:rPr>
            </w:pPr>
          </w:p>
        </w:tc>
      </w:tr>
      <w:tr>
        <w:trPr>
          <w:trHeight w:val="170"/>
        </w:trPr>
        <w:tc>
          <w:tcPr>
            <w:tcW w:w="4600" w:type="dxa"/>
            <w:vAlign w:val="bottom"/>
          </w:tcPr>
          <w:p>
            <w:pPr>
              <w:ind w:left="160"/>
              <w:spacing w:after="0"/>
              <w:rPr>
                <w:sz w:val="20"/>
                <w:szCs w:val="20"/>
                <w:color w:val="auto"/>
              </w:rPr>
            </w:pPr>
            <w:r>
              <w:rPr>
                <w:rFonts w:ascii="Times New Roman" w:cs="Times New Roman" w:eastAsia="Times New Roman" w:hAnsi="Times New Roman"/>
                <w:sz w:val="13"/>
                <w:szCs w:val="13"/>
                <w:color w:val="auto"/>
              </w:rPr>
              <w:t>Net fee revenues from external sources</w:t>
            </w:r>
          </w:p>
        </w:tc>
        <w:tc>
          <w:tcPr>
            <w:tcW w:w="220" w:type="dxa"/>
            <w:vAlign w:val="bottom"/>
          </w:tcPr>
          <w:p>
            <w:pPr>
              <w:jc w:val="right"/>
              <w:ind w:right="76"/>
              <w:spacing w:after="0"/>
              <w:rPr>
                <w:sz w:val="20"/>
                <w:szCs w:val="20"/>
                <w:color w:val="auto"/>
              </w:rPr>
            </w:pPr>
            <w:r>
              <w:rPr>
                <w:rFonts w:ascii="Times New Roman" w:cs="Times New Roman" w:eastAsia="Times New Roman" w:hAnsi="Times New Roman"/>
                <w:sz w:val="13"/>
                <w:szCs w:val="13"/>
                <w:color w:val="auto"/>
                <w:w w:val="91"/>
              </w:rPr>
              <w:t>$</w:t>
            </w:r>
          </w:p>
        </w:tc>
        <w:tc>
          <w:tcPr>
            <w:tcW w:w="96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68,656</w:t>
            </w:r>
          </w:p>
        </w:tc>
        <w:tc>
          <w:tcPr>
            <w:tcW w:w="18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w:t>
            </w:r>
          </w:p>
        </w:tc>
      </w:tr>
      <w:tr>
        <w:trPr>
          <w:trHeight w:val="170"/>
        </w:trPr>
        <w:tc>
          <w:tcPr>
            <w:tcW w:w="4600" w:type="dxa"/>
            <w:vAlign w:val="bottom"/>
          </w:tcPr>
          <w:p>
            <w:pPr>
              <w:ind w:left="160"/>
              <w:spacing w:after="0"/>
              <w:rPr>
                <w:sz w:val="20"/>
                <w:szCs w:val="20"/>
                <w:color w:val="auto"/>
              </w:rPr>
            </w:pPr>
            <w:r>
              <w:rPr>
                <w:rFonts w:ascii="Times New Roman" w:cs="Times New Roman" w:eastAsia="Times New Roman" w:hAnsi="Times New Roman"/>
                <w:sz w:val="13"/>
                <w:szCs w:val="13"/>
                <w:color w:val="auto"/>
              </w:rPr>
              <w:t>Net intersegment revenues</w:t>
            </w:r>
          </w:p>
        </w:tc>
        <w:tc>
          <w:tcPr>
            <w:tcW w:w="220" w:type="dxa"/>
            <w:vAlign w:val="bottom"/>
          </w:tcPr>
          <w:p>
            <w:pPr>
              <w:spacing w:after="0"/>
              <w:rPr>
                <w:sz w:val="14"/>
                <w:szCs w:val="14"/>
                <w:color w:val="auto"/>
              </w:rPr>
            </w:pPr>
          </w:p>
        </w:tc>
        <w:tc>
          <w:tcPr>
            <w:tcW w:w="96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6,270</w:t>
            </w:r>
          </w:p>
        </w:tc>
        <w:tc>
          <w:tcPr>
            <w:tcW w:w="180" w:type="dxa"/>
            <w:vAlign w:val="bottom"/>
          </w:tcPr>
          <w:p>
            <w:pPr>
              <w:spacing w:after="0"/>
              <w:rPr>
                <w:sz w:val="14"/>
                <w:szCs w:val="14"/>
                <w:color w:val="auto"/>
              </w:rPr>
            </w:pPr>
          </w:p>
        </w:tc>
      </w:tr>
      <w:tr>
        <w:trPr>
          <w:trHeight w:val="170"/>
        </w:trPr>
        <w:tc>
          <w:tcPr>
            <w:tcW w:w="4600" w:type="dxa"/>
            <w:vAlign w:val="bottom"/>
          </w:tcPr>
          <w:p>
            <w:pPr>
              <w:ind w:left="160"/>
              <w:spacing w:after="0"/>
              <w:rPr>
                <w:sz w:val="20"/>
                <w:szCs w:val="20"/>
                <w:color w:val="auto"/>
              </w:rPr>
            </w:pPr>
            <w:r>
              <w:rPr>
                <w:rFonts w:ascii="Times New Roman" w:cs="Times New Roman" w:eastAsia="Times New Roman" w:hAnsi="Times New Roman"/>
                <w:sz w:val="13"/>
                <w:szCs w:val="13"/>
                <w:color w:val="auto"/>
              </w:rPr>
              <w:t>Other revenue</w:t>
            </w:r>
          </w:p>
        </w:tc>
        <w:tc>
          <w:tcPr>
            <w:tcW w:w="220" w:type="dxa"/>
            <w:vAlign w:val="bottom"/>
            <w:tcBorders>
              <w:bottom w:val="single" w:sz="8" w:color="auto"/>
            </w:tcBorders>
          </w:tcPr>
          <w:p>
            <w:pPr>
              <w:spacing w:after="0"/>
              <w:rPr>
                <w:sz w:val="14"/>
                <w:szCs w:val="14"/>
                <w:color w:val="auto"/>
              </w:rPr>
            </w:pPr>
          </w:p>
        </w:tc>
        <w:tc>
          <w:tcPr>
            <w:tcW w:w="9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3"/>
                <w:szCs w:val="13"/>
                <w:color w:val="auto"/>
              </w:rPr>
              <w:t>534</w:t>
            </w:r>
          </w:p>
        </w:tc>
        <w:tc>
          <w:tcPr>
            <w:tcW w:w="180" w:type="dxa"/>
            <w:vAlign w:val="bottom"/>
          </w:tcPr>
          <w:p>
            <w:pPr>
              <w:spacing w:after="0"/>
              <w:rPr>
                <w:sz w:val="14"/>
                <w:szCs w:val="14"/>
                <w:color w:val="auto"/>
              </w:rPr>
            </w:pPr>
          </w:p>
        </w:tc>
      </w:tr>
      <w:tr>
        <w:trPr>
          <w:trHeight w:val="160"/>
        </w:trPr>
        <w:tc>
          <w:tcPr>
            <w:tcW w:w="4600" w:type="dxa"/>
            <w:vAlign w:val="bottom"/>
          </w:tcPr>
          <w:p>
            <w:pPr>
              <w:ind w:left="340"/>
              <w:spacing w:after="0"/>
              <w:rPr>
                <w:sz w:val="20"/>
                <w:szCs w:val="20"/>
                <w:color w:val="auto"/>
              </w:rPr>
            </w:pPr>
            <w:r>
              <w:rPr>
                <w:rFonts w:ascii="Times New Roman" w:cs="Times New Roman" w:eastAsia="Times New Roman" w:hAnsi="Times New Roman"/>
                <w:sz w:val="13"/>
                <w:szCs w:val="13"/>
                <w:color w:val="auto"/>
              </w:rPr>
              <w:t>Total revenues</w:t>
            </w:r>
          </w:p>
        </w:tc>
        <w:tc>
          <w:tcPr>
            <w:tcW w:w="220" w:type="dxa"/>
            <w:vAlign w:val="bottom"/>
          </w:tcPr>
          <w:p>
            <w:pPr>
              <w:spacing w:after="0"/>
              <w:rPr>
                <w:sz w:val="13"/>
                <w:szCs w:val="13"/>
                <w:color w:val="auto"/>
              </w:rPr>
            </w:pPr>
          </w:p>
        </w:tc>
        <w:tc>
          <w:tcPr>
            <w:tcW w:w="96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75,460</w:t>
            </w:r>
          </w:p>
        </w:tc>
        <w:tc>
          <w:tcPr>
            <w:tcW w:w="180" w:type="dxa"/>
            <w:vAlign w:val="bottom"/>
          </w:tcPr>
          <w:p>
            <w:pPr>
              <w:spacing w:after="0"/>
              <w:rPr>
                <w:sz w:val="13"/>
                <w:szCs w:val="13"/>
                <w:color w:val="auto"/>
              </w:rPr>
            </w:pPr>
          </w:p>
        </w:tc>
      </w:tr>
      <w:tr>
        <w:trPr>
          <w:trHeight w:val="170"/>
        </w:trPr>
        <w:tc>
          <w:tcPr>
            <w:tcW w:w="4600" w:type="dxa"/>
            <w:vAlign w:val="bottom"/>
          </w:tcPr>
          <w:p>
            <w:pPr>
              <w:spacing w:after="0"/>
              <w:rPr>
                <w:sz w:val="20"/>
                <w:szCs w:val="20"/>
                <w:color w:val="auto"/>
              </w:rPr>
            </w:pPr>
            <w:r>
              <w:rPr>
                <w:rFonts w:ascii="Times New Roman" w:cs="Times New Roman" w:eastAsia="Times New Roman" w:hAnsi="Times New Roman"/>
                <w:sz w:val="13"/>
                <w:szCs w:val="13"/>
                <w:color w:val="auto"/>
              </w:rPr>
              <w:t>Interest income</w:t>
            </w:r>
          </w:p>
        </w:tc>
        <w:tc>
          <w:tcPr>
            <w:tcW w:w="220" w:type="dxa"/>
            <w:vAlign w:val="bottom"/>
          </w:tcPr>
          <w:p>
            <w:pPr>
              <w:jc w:val="right"/>
              <w:ind w:right="76"/>
              <w:spacing w:after="0"/>
              <w:rPr>
                <w:sz w:val="20"/>
                <w:szCs w:val="20"/>
                <w:color w:val="auto"/>
              </w:rPr>
            </w:pPr>
            <w:r>
              <w:rPr>
                <w:rFonts w:ascii="Times New Roman" w:cs="Times New Roman" w:eastAsia="Times New Roman" w:hAnsi="Times New Roman"/>
                <w:sz w:val="13"/>
                <w:szCs w:val="13"/>
                <w:color w:val="auto"/>
                <w:w w:val="91"/>
              </w:rPr>
              <w:t>$</w:t>
            </w:r>
          </w:p>
        </w:tc>
        <w:tc>
          <w:tcPr>
            <w:tcW w:w="96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518</w:t>
            </w:r>
          </w:p>
        </w:tc>
        <w:tc>
          <w:tcPr>
            <w:tcW w:w="18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w:t>
            </w:r>
          </w:p>
        </w:tc>
      </w:tr>
      <w:tr>
        <w:trPr>
          <w:trHeight w:val="170"/>
        </w:trPr>
        <w:tc>
          <w:tcPr>
            <w:tcW w:w="4600" w:type="dxa"/>
            <w:vAlign w:val="bottom"/>
          </w:tcPr>
          <w:p>
            <w:pPr>
              <w:spacing w:after="0"/>
              <w:rPr>
                <w:sz w:val="20"/>
                <w:szCs w:val="20"/>
                <w:color w:val="auto"/>
              </w:rPr>
            </w:pPr>
            <w:r>
              <w:rPr>
                <w:rFonts w:ascii="Times New Roman" w:cs="Times New Roman" w:eastAsia="Times New Roman" w:hAnsi="Times New Roman"/>
                <w:sz w:val="13"/>
                <w:szCs w:val="13"/>
                <w:color w:val="auto"/>
              </w:rPr>
              <w:t>Net income (loss)</w:t>
            </w:r>
          </w:p>
        </w:tc>
        <w:tc>
          <w:tcPr>
            <w:tcW w:w="220" w:type="dxa"/>
            <w:vAlign w:val="bottom"/>
          </w:tcPr>
          <w:p>
            <w:pPr>
              <w:jc w:val="right"/>
              <w:ind w:right="76"/>
              <w:spacing w:after="0"/>
              <w:rPr>
                <w:sz w:val="20"/>
                <w:szCs w:val="20"/>
                <w:color w:val="auto"/>
              </w:rPr>
            </w:pPr>
            <w:r>
              <w:rPr>
                <w:rFonts w:ascii="Times New Roman" w:cs="Times New Roman" w:eastAsia="Times New Roman" w:hAnsi="Times New Roman"/>
                <w:sz w:val="13"/>
                <w:szCs w:val="13"/>
                <w:color w:val="auto"/>
                <w:w w:val="91"/>
              </w:rPr>
              <w:t>$</w:t>
            </w:r>
          </w:p>
        </w:tc>
        <w:tc>
          <w:tcPr>
            <w:tcW w:w="96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14,636</w:t>
            </w:r>
          </w:p>
        </w:tc>
        <w:tc>
          <w:tcPr>
            <w:tcW w:w="18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w:t>
            </w:r>
          </w:p>
        </w:tc>
      </w:tr>
      <w:tr>
        <w:trPr>
          <w:trHeight w:val="170"/>
        </w:trPr>
        <w:tc>
          <w:tcPr>
            <w:tcW w:w="4600" w:type="dxa"/>
            <w:vAlign w:val="bottom"/>
          </w:tcPr>
          <w:p>
            <w:pPr>
              <w:spacing w:after="0"/>
              <w:rPr>
                <w:sz w:val="20"/>
                <w:szCs w:val="20"/>
                <w:color w:val="auto"/>
              </w:rPr>
            </w:pPr>
            <w:r>
              <w:rPr>
                <w:rFonts w:ascii="Times New Roman" w:cs="Times New Roman" w:eastAsia="Times New Roman" w:hAnsi="Times New Roman"/>
                <w:sz w:val="13"/>
                <w:szCs w:val="13"/>
                <w:color w:val="auto"/>
              </w:rPr>
              <w:t>Segment assets</w:t>
            </w:r>
          </w:p>
        </w:tc>
        <w:tc>
          <w:tcPr>
            <w:tcW w:w="220" w:type="dxa"/>
            <w:vAlign w:val="bottom"/>
          </w:tcPr>
          <w:p>
            <w:pPr>
              <w:jc w:val="right"/>
              <w:ind w:right="76"/>
              <w:spacing w:after="0"/>
              <w:rPr>
                <w:sz w:val="20"/>
                <w:szCs w:val="20"/>
                <w:color w:val="auto"/>
              </w:rPr>
            </w:pPr>
            <w:r>
              <w:rPr>
                <w:rFonts w:ascii="Times New Roman" w:cs="Times New Roman" w:eastAsia="Times New Roman" w:hAnsi="Times New Roman"/>
                <w:sz w:val="13"/>
                <w:szCs w:val="13"/>
                <w:color w:val="auto"/>
                <w:w w:val="91"/>
              </w:rPr>
              <w:t>$</w:t>
            </w:r>
          </w:p>
        </w:tc>
        <w:tc>
          <w:tcPr>
            <w:tcW w:w="96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285,179</w:t>
            </w:r>
          </w:p>
        </w:tc>
        <w:tc>
          <w:tcPr>
            <w:tcW w:w="18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w:t>
            </w:r>
          </w:p>
        </w:tc>
      </w:tr>
      <w:tr>
        <w:trPr>
          <w:trHeight w:val="170"/>
        </w:trPr>
        <w:tc>
          <w:tcPr>
            <w:tcW w:w="4600" w:type="dxa"/>
            <w:vAlign w:val="bottom"/>
          </w:tcPr>
          <w:p>
            <w:pPr>
              <w:spacing w:after="0"/>
              <w:rPr>
                <w:sz w:val="20"/>
                <w:szCs w:val="20"/>
                <w:color w:val="auto"/>
              </w:rPr>
            </w:pPr>
            <w:r>
              <w:rPr>
                <w:rFonts w:ascii="Times New Roman" w:cs="Times New Roman" w:eastAsia="Times New Roman" w:hAnsi="Times New Roman"/>
                <w:sz w:val="13"/>
                <w:szCs w:val="13"/>
                <w:color w:val="auto"/>
              </w:rPr>
              <w:t>Segment goodwill</w:t>
            </w:r>
          </w:p>
        </w:tc>
        <w:tc>
          <w:tcPr>
            <w:tcW w:w="220" w:type="dxa"/>
            <w:vAlign w:val="bottom"/>
          </w:tcPr>
          <w:p>
            <w:pPr>
              <w:jc w:val="right"/>
              <w:ind w:right="76"/>
              <w:spacing w:after="0"/>
              <w:rPr>
                <w:sz w:val="20"/>
                <w:szCs w:val="20"/>
                <w:color w:val="auto"/>
              </w:rPr>
            </w:pPr>
            <w:r>
              <w:rPr>
                <w:rFonts w:ascii="Times New Roman" w:cs="Times New Roman" w:eastAsia="Times New Roman" w:hAnsi="Times New Roman"/>
                <w:sz w:val="13"/>
                <w:szCs w:val="13"/>
                <w:color w:val="auto"/>
                <w:w w:val="91"/>
              </w:rPr>
              <w:t>$</w:t>
            </w:r>
          </w:p>
        </w:tc>
        <w:tc>
          <w:tcPr>
            <w:tcW w:w="96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23,100</w:t>
            </w:r>
          </w:p>
        </w:tc>
        <w:tc>
          <w:tcPr>
            <w:tcW w:w="18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w:t>
            </w:r>
          </w:p>
        </w:tc>
      </w:tr>
      <w:tr>
        <w:trPr>
          <w:trHeight w:val="170"/>
        </w:trPr>
        <w:tc>
          <w:tcPr>
            <w:tcW w:w="4600" w:type="dxa"/>
            <w:vAlign w:val="bottom"/>
          </w:tcPr>
          <w:p>
            <w:pPr>
              <w:spacing w:after="0"/>
              <w:rPr>
                <w:sz w:val="20"/>
                <w:szCs w:val="20"/>
                <w:color w:val="auto"/>
              </w:rPr>
            </w:pPr>
            <w:r>
              <w:rPr>
                <w:rFonts w:ascii="Times New Roman" w:cs="Times New Roman" w:eastAsia="Times New Roman" w:hAnsi="Times New Roman"/>
                <w:sz w:val="13"/>
                <w:szCs w:val="13"/>
                <w:color w:val="auto"/>
              </w:rPr>
              <w:t>Segment equity method investments</w:t>
            </w:r>
          </w:p>
        </w:tc>
        <w:tc>
          <w:tcPr>
            <w:tcW w:w="220" w:type="dxa"/>
            <w:vAlign w:val="bottom"/>
          </w:tcPr>
          <w:p>
            <w:pPr>
              <w:jc w:val="right"/>
              <w:ind w:right="76"/>
              <w:spacing w:after="0"/>
              <w:rPr>
                <w:sz w:val="20"/>
                <w:szCs w:val="20"/>
                <w:color w:val="auto"/>
              </w:rPr>
            </w:pPr>
            <w:r>
              <w:rPr>
                <w:rFonts w:ascii="Times New Roman" w:cs="Times New Roman" w:eastAsia="Times New Roman" w:hAnsi="Times New Roman"/>
                <w:sz w:val="13"/>
                <w:szCs w:val="13"/>
                <w:color w:val="auto"/>
                <w:w w:val="91"/>
              </w:rPr>
              <w:t>$</w:t>
            </w:r>
          </w:p>
        </w:tc>
        <w:tc>
          <w:tcPr>
            <w:tcW w:w="96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4,284</w:t>
            </w:r>
          </w:p>
        </w:tc>
        <w:tc>
          <w:tcPr>
            <w:tcW w:w="18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w:t>
            </w:r>
          </w:p>
        </w:tc>
      </w:tr>
      <w:tr>
        <w:trPr>
          <w:trHeight w:val="170"/>
        </w:trPr>
        <w:tc>
          <w:tcPr>
            <w:tcW w:w="4600" w:type="dxa"/>
            <w:vAlign w:val="bottom"/>
          </w:tcPr>
          <w:p>
            <w:pPr>
              <w:spacing w:after="0"/>
              <w:rPr>
                <w:sz w:val="20"/>
                <w:szCs w:val="20"/>
                <w:color w:val="auto"/>
              </w:rPr>
            </w:pPr>
            <w:r>
              <w:rPr>
                <w:rFonts w:ascii="Times New Roman" w:cs="Times New Roman" w:eastAsia="Times New Roman" w:hAnsi="Times New Roman"/>
                <w:sz w:val="13"/>
                <w:szCs w:val="13"/>
                <w:color w:val="auto"/>
              </w:rPr>
              <w:t>Expenditures for long-lived assets</w:t>
            </w:r>
          </w:p>
        </w:tc>
        <w:tc>
          <w:tcPr>
            <w:tcW w:w="220" w:type="dxa"/>
            <w:vAlign w:val="bottom"/>
          </w:tcPr>
          <w:p>
            <w:pPr>
              <w:jc w:val="right"/>
              <w:ind w:right="76"/>
              <w:spacing w:after="0"/>
              <w:rPr>
                <w:sz w:val="20"/>
                <w:szCs w:val="20"/>
                <w:color w:val="auto"/>
              </w:rPr>
            </w:pPr>
            <w:r>
              <w:rPr>
                <w:rFonts w:ascii="Times New Roman" w:cs="Times New Roman" w:eastAsia="Times New Roman" w:hAnsi="Times New Roman"/>
                <w:sz w:val="13"/>
                <w:szCs w:val="13"/>
                <w:color w:val="auto"/>
                <w:w w:val="91"/>
              </w:rPr>
              <w:t>$</w:t>
            </w:r>
          </w:p>
        </w:tc>
        <w:tc>
          <w:tcPr>
            <w:tcW w:w="96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135</w:t>
            </w:r>
          </w:p>
        </w:tc>
        <w:tc>
          <w:tcPr>
            <w:tcW w:w="18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w:t>
            </w: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-3883660</wp:posOffset>
            </wp:positionV>
            <wp:extent cx="7161530" cy="107950"/>
            <wp:wrapNone/>
            <wp:docPr id="92" name="Picture 9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2"/>
                    <pic:cNvPicPr>
                      <a:picLocks noChangeAspect="1" noChangeArrowheads="1"/>
                    </pic:cNvPicPr>
                  </pic:nvPicPr>
                  <pic:blipFill>
                    <a:blip r:embed="rId99">
                      <a:extLst>
                        <a:ext uri="{28A0092B-C50C-407E-A947-70E740481C1C}"/>
                      </a:extLst>
                    </a:blip>
                    <a:srcRect/>
                    <a:stretch>
                      <a:fillRect/>
                    </a:stretch>
                  </pic:blipFill>
                  <pic:spPr bwMode="auto">
                    <a:xfrm>
                      <a:off x="0" y="0"/>
                      <a:ext cx="7161530" cy="107950"/>
                    </a:xfrm>
                    <a:prstGeom prst="rect">
                      <a:avLst/>
                    </a:prstGeom>
                    <a:noFill/>
                  </pic:spPr>
                </pic:pic>
              </a:graphicData>
            </a:graphic>
          </wp:anchor>
        </w:drawing>
        <w:drawing>
          <wp:anchor simplePos="0" relativeHeight="251657728" behindDoc="1" locked="0" layoutInCell="0" allowOverlap="1">
            <wp:simplePos x="0" y="0"/>
            <wp:positionH relativeFrom="column">
              <wp:posOffset>3175</wp:posOffset>
            </wp:positionH>
            <wp:positionV relativeFrom="paragraph">
              <wp:posOffset>-3668395</wp:posOffset>
            </wp:positionV>
            <wp:extent cx="7161530" cy="107950"/>
            <wp:wrapNone/>
            <wp:docPr id="93" name="Picture 9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3"/>
                    <pic:cNvPicPr>
                      <a:picLocks noChangeAspect="1" noChangeArrowheads="1"/>
                    </pic:cNvPicPr>
                  </pic:nvPicPr>
                  <pic:blipFill>
                    <a:blip r:embed="rId100">
                      <a:extLst>
                        <a:ext uri="{28A0092B-C50C-407E-A947-70E740481C1C}"/>
                      </a:extLst>
                    </a:blip>
                    <a:srcRect/>
                    <a:stretch>
                      <a:fillRect/>
                    </a:stretch>
                  </pic:blipFill>
                  <pic:spPr bwMode="auto">
                    <a:xfrm>
                      <a:off x="0" y="0"/>
                      <a:ext cx="7161530" cy="107950"/>
                    </a:xfrm>
                    <a:prstGeom prst="rect">
                      <a:avLst/>
                    </a:prstGeom>
                    <a:noFill/>
                  </pic:spPr>
                </pic:pic>
              </a:graphicData>
            </a:graphic>
          </wp:anchor>
        </w:drawing>
        <w:drawing>
          <wp:anchor simplePos="0" relativeHeight="251657728" behindDoc="1" locked="0" layoutInCell="0" allowOverlap="1">
            <wp:simplePos x="0" y="0"/>
            <wp:positionH relativeFrom="column">
              <wp:posOffset>3175</wp:posOffset>
            </wp:positionH>
            <wp:positionV relativeFrom="paragraph">
              <wp:posOffset>-3446145</wp:posOffset>
            </wp:positionV>
            <wp:extent cx="7161530" cy="107950"/>
            <wp:wrapNone/>
            <wp:docPr id="94" name="Picture 9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4"/>
                    <pic:cNvPicPr>
                      <a:picLocks noChangeAspect="1" noChangeArrowheads="1"/>
                    </pic:cNvPicPr>
                  </pic:nvPicPr>
                  <pic:blipFill>
                    <a:blip r:embed="rId101">
                      <a:extLst>
                        <a:ext uri="{28A0092B-C50C-407E-A947-70E740481C1C}"/>
                      </a:extLst>
                    </a:blip>
                    <a:srcRect/>
                    <a:stretch>
                      <a:fillRect/>
                    </a:stretch>
                  </pic:blipFill>
                  <pic:spPr bwMode="auto">
                    <a:xfrm>
                      <a:off x="0" y="0"/>
                      <a:ext cx="7161530" cy="107950"/>
                    </a:xfrm>
                    <a:prstGeom prst="rect">
                      <a:avLst/>
                    </a:prstGeom>
                    <a:noFill/>
                  </pic:spPr>
                </pic:pic>
              </a:graphicData>
            </a:graphic>
          </wp:anchor>
        </w:drawing>
        <w:drawing>
          <wp:anchor simplePos="0" relativeHeight="251657728" behindDoc="1" locked="0" layoutInCell="0" allowOverlap="1">
            <wp:simplePos x="0" y="0"/>
            <wp:positionH relativeFrom="column">
              <wp:posOffset>3175</wp:posOffset>
            </wp:positionH>
            <wp:positionV relativeFrom="paragraph">
              <wp:posOffset>-3230245</wp:posOffset>
            </wp:positionV>
            <wp:extent cx="7161530" cy="107950"/>
            <wp:wrapNone/>
            <wp:docPr id="95" name="Picture 9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5"/>
                    <pic:cNvPicPr>
                      <a:picLocks noChangeAspect="1" noChangeArrowheads="1"/>
                    </pic:cNvPicPr>
                  </pic:nvPicPr>
                  <pic:blipFill>
                    <a:blip r:embed="rId102">
                      <a:extLst>
                        <a:ext uri="{28A0092B-C50C-407E-A947-70E740481C1C}"/>
                      </a:extLst>
                    </a:blip>
                    <a:srcRect/>
                    <a:stretch>
                      <a:fillRect/>
                    </a:stretch>
                  </pic:blipFill>
                  <pic:spPr bwMode="auto">
                    <a:xfrm>
                      <a:off x="0" y="0"/>
                      <a:ext cx="7161530" cy="107950"/>
                    </a:xfrm>
                    <a:prstGeom prst="rect">
                      <a:avLst/>
                    </a:prstGeom>
                    <a:noFill/>
                  </pic:spPr>
                </pic:pic>
              </a:graphicData>
            </a:graphic>
          </wp:anchor>
        </w:drawing>
        <w:drawing>
          <wp:anchor simplePos="0" relativeHeight="251657728" behindDoc="1" locked="0" layoutInCell="0" allowOverlap="1">
            <wp:simplePos x="0" y="0"/>
            <wp:positionH relativeFrom="column">
              <wp:posOffset>3175</wp:posOffset>
            </wp:positionH>
            <wp:positionV relativeFrom="paragraph">
              <wp:posOffset>-3014980</wp:posOffset>
            </wp:positionV>
            <wp:extent cx="7161530" cy="107950"/>
            <wp:wrapNone/>
            <wp:docPr id="96" name="Picture 9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6"/>
                    <pic:cNvPicPr>
                      <a:picLocks noChangeAspect="1" noChangeArrowheads="1"/>
                    </pic:cNvPicPr>
                  </pic:nvPicPr>
                  <pic:blipFill>
                    <a:blip r:embed="rId103">
                      <a:extLst>
                        <a:ext uri="{28A0092B-C50C-407E-A947-70E740481C1C}"/>
                      </a:extLst>
                    </a:blip>
                    <a:srcRect/>
                    <a:stretch>
                      <a:fillRect/>
                    </a:stretch>
                  </pic:blipFill>
                  <pic:spPr bwMode="auto">
                    <a:xfrm>
                      <a:off x="0" y="0"/>
                      <a:ext cx="7161530" cy="107950"/>
                    </a:xfrm>
                    <a:prstGeom prst="rect">
                      <a:avLst/>
                    </a:prstGeom>
                    <a:noFill/>
                  </pic:spPr>
                </pic:pic>
              </a:graphicData>
            </a:graphic>
          </wp:anchor>
        </w:drawing>
        <w:drawing>
          <wp:anchor simplePos="0" relativeHeight="251657728" behindDoc="1" locked="0" layoutInCell="0" allowOverlap="1">
            <wp:simplePos x="0" y="0"/>
            <wp:positionH relativeFrom="column">
              <wp:posOffset>3175</wp:posOffset>
            </wp:positionH>
            <wp:positionV relativeFrom="paragraph">
              <wp:posOffset>-2799080</wp:posOffset>
            </wp:positionV>
            <wp:extent cx="7161530" cy="100965"/>
            <wp:wrapNone/>
            <wp:docPr id="97" name="Picture 9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7"/>
                    <pic:cNvPicPr>
                      <a:picLocks noChangeAspect="1" noChangeArrowheads="1"/>
                    </pic:cNvPicPr>
                  </pic:nvPicPr>
                  <pic:blipFill>
                    <a:blip r:embed="rId104">
                      <a:extLst>
                        <a:ext uri="{28A0092B-C50C-407E-A947-70E740481C1C}"/>
                      </a:extLst>
                    </a:blip>
                    <a:srcRect/>
                    <a:stretch>
                      <a:fillRect/>
                    </a:stretch>
                  </pic:blipFill>
                  <pic:spPr bwMode="auto">
                    <a:xfrm>
                      <a:off x="0" y="0"/>
                      <a:ext cx="7161530" cy="100965"/>
                    </a:xfrm>
                    <a:prstGeom prst="rect">
                      <a:avLst/>
                    </a:prstGeom>
                    <a:noFill/>
                  </pic:spPr>
                </pic:pic>
              </a:graphicData>
            </a:graphic>
          </wp:anchor>
        </w:drawing>
        <w:drawing>
          <wp:anchor simplePos="0" relativeHeight="251657728" behindDoc="1" locked="0" layoutInCell="0" allowOverlap="1">
            <wp:simplePos x="0" y="0"/>
            <wp:positionH relativeFrom="column">
              <wp:posOffset>3175</wp:posOffset>
            </wp:positionH>
            <wp:positionV relativeFrom="paragraph">
              <wp:posOffset>-2590165</wp:posOffset>
            </wp:positionV>
            <wp:extent cx="7161530" cy="107950"/>
            <wp:wrapNone/>
            <wp:docPr id="98" name="Picture 9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8"/>
                    <pic:cNvPicPr>
                      <a:picLocks noChangeAspect="1" noChangeArrowheads="1"/>
                    </pic:cNvPicPr>
                  </pic:nvPicPr>
                  <pic:blipFill>
                    <a:blip r:embed="rId105">
                      <a:extLst>
                        <a:ext uri="{28A0092B-C50C-407E-A947-70E740481C1C}"/>
                      </a:extLst>
                    </a:blip>
                    <a:srcRect/>
                    <a:stretch>
                      <a:fillRect/>
                    </a:stretch>
                  </pic:blipFill>
                  <pic:spPr bwMode="auto">
                    <a:xfrm>
                      <a:off x="0" y="0"/>
                      <a:ext cx="7161530" cy="107950"/>
                    </a:xfrm>
                    <a:prstGeom prst="rect">
                      <a:avLst/>
                    </a:prstGeom>
                    <a:noFill/>
                  </pic:spPr>
                </pic:pic>
              </a:graphicData>
            </a:graphic>
          </wp:anchor>
        </w:drawing>
        <w:drawing>
          <wp:anchor simplePos="0" relativeHeight="251657728" behindDoc="1" locked="0" layoutInCell="0" allowOverlap="1">
            <wp:simplePos x="0" y="0"/>
            <wp:positionH relativeFrom="column">
              <wp:posOffset>3175</wp:posOffset>
            </wp:positionH>
            <wp:positionV relativeFrom="paragraph">
              <wp:posOffset>-2374900</wp:posOffset>
            </wp:positionV>
            <wp:extent cx="7161530" cy="107950"/>
            <wp:wrapNone/>
            <wp:docPr id="99" name="Picture 9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9"/>
                    <pic:cNvPicPr>
                      <a:picLocks noChangeAspect="1" noChangeArrowheads="1"/>
                    </pic:cNvPicPr>
                  </pic:nvPicPr>
                  <pic:blipFill>
                    <a:blip r:embed="rId106">
                      <a:extLst>
                        <a:ext uri="{28A0092B-C50C-407E-A947-70E740481C1C}"/>
                      </a:extLst>
                    </a:blip>
                    <a:srcRect/>
                    <a:stretch>
                      <a:fillRect/>
                    </a:stretch>
                  </pic:blipFill>
                  <pic:spPr bwMode="auto">
                    <a:xfrm>
                      <a:off x="0" y="0"/>
                      <a:ext cx="7161530" cy="107950"/>
                    </a:xfrm>
                    <a:prstGeom prst="rect">
                      <a:avLst/>
                    </a:prstGeom>
                    <a:noFill/>
                  </pic:spPr>
                </pic:pic>
              </a:graphicData>
            </a:graphic>
          </wp:anchor>
        </w:drawing>
        <w:drawing>
          <wp:anchor simplePos="0" relativeHeight="251657728" behindDoc="1" locked="0" layoutInCell="0" allowOverlap="1">
            <wp:simplePos x="0" y="0"/>
            <wp:positionH relativeFrom="column">
              <wp:posOffset>3175</wp:posOffset>
            </wp:positionH>
            <wp:positionV relativeFrom="paragraph">
              <wp:posOffset>-1936750</wp:posOffset>
            </wp:positionV>
            <wp:extent cx="7161530" cy="107950"/>
            <wp:wrapNone/>
            <wp:docPr id="100" name="Picture 10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0"/>
                    <pic:cNvPicPr>
                      <a:picLocks noChangeAspect="1" noChangeArrowheads="1"/>
                    </pic:cNvPicPr>
                  </pic:nvPicPr>
                  <pic:blipFill>
                    <a:blip r:embed="rId107">
                      <a:extLst>
                        <a:ext uri="{28A0092B-C50C-407E-A947-70E740481C1C}"/>
                      </a:extLst>
                    </a:blip>
                    <a:srcRect/>
                    <a:stretch>
                      <a:fillRect/>
                    </a:stretch>
                  </pic:blipFill>
                  <pic:spPr bwMode="auto">
                    <a:xfrm>
                      <a:off x="0" y="0"/>
                      <a:ext cx="7161530" cy="107950"/>
                    </a:xfrm>
                    <a:prstGeom prst="rect">
                      <a:avLst/>
                    </a:prstGeom>
                    <a:noFill/>
                  </pic:spPr>
                </pic:pic>
              </a:graphicData>
            </a:graphic>
          </wp:anchor>
        </w:drawing>
        <w:drawing>
          <wp:anchor simplePos="0" relativeHeight="251657728" behindDoc="1" locked="0" layoutInCell="0" allowOverlap="1">
            <wp:simplePos x="0" y="0"/>
            <wp:positionH relativeFrom="column">
              <wp:posOffset>3175</wp:posOffset>
            </wp:positionH>
            <wp:positionV relativeFrom="paragraph">
              <wp:posOffset>-1721485</wp:posOffset>
            </wp:positionV>
            <wp:extent cx="7161530" cy="107950"/>
            <wp:wrapNone/>
            <wp:docPr id="101" name="Picture 10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1"/>
                    <pic:cNvPicPr>
                      <a:picLocks noChangeAspect="1" noChangeArrowheads="1"/>
                    </pic:cNvPicPr>
                  </pic:nvPicPr>
                  <pic:blipFill>
                    <a:blip r:embed="rId108">
                      <a:extLst>
                        <a:ext uri="{28A0092B-C50C-407E-A947-70E740481C1C}"/>
                      </a:extLst>
                    </a:blip>
                    <a:srcRect/>
                    <a:stretch>
                      <a:fillRect/>
                    </a:stretch>
                  </pic:blipFill>
                  <pic:spPr bwMode="auto">
                    <a:xfrm>
                      <a:off x="0" y="0"/>
                      <a:ext cx="7161530" cy="107950"/>
                    </a:xfrm>
                    <a:prstGeom prst="rect">
                      <a:avLst/>
                    </a:prstGeom>
                    <a:noFill/>
                  </pic:spPr>
                </pic:pic>
              </a:graphicData>
            </a:graphic>
          </wp:anchor>
        </w:drawing>
        <w:drawing>
          <wp:anchor simplePos="0" relativeHeight="251657728" behindDoc="1" locked="0" layoutInCell="0" allowOverlap="1">
            <wp:simplePos x="0" y="0"/>
            <wp:positionH relativeFrom="column">
              <wp:posOffset>3175</wp:posOffset>
            </wp:positionH>
            <wp:positionV relativeFrom="paragraph">
              <wp:posOffset>-1505585</wp:posOffset>
            </wp:positionV>
            <wp:extent cx="7161530" cy="107950"/>
            <wp:wrapNone/>
            <wp:docPr id="102" name="Picture 10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2"/>
                    <pic:cNvPicPr>
                      <a:picLocks noChangeAspect="1" noChangeArrowheads="1"/>
                    </pic:cNvPicPr>
                  </pic:nvPicPr>
                  <pic:blipFill>
                    <a:blip r:embed="rId109">
                      <a:extLst>
                        <a:ext uri="{28A0092B-C50C-407E-A947-70E740481C1C}"/>
                      </a:extLst>
                    </a:blip>
                    <a:srcRect/>
                    <a:stretch>
                      <a:fillRect/>
                    </a:stretch>
                  </pic:blipFill>
                  <pic:spPr bwMode="auto">
                    <a:xfrm>
                      <a:off x="0" y="0"/>
                      <a:ext cx="7161530" cy="107950"/>
                    </a:xfrm>
                    <a:prstGeom prst="rect">
                      <a:avLst/>
                    </a:prstGeom>
                    <a:noFill/>
                  </pic:spPr>
                </pic:pic>
              </a:graphicData>
            </a:graphic>
          </wp:anchor>
        </w:drawing>
        <w:drawing>
          <wp:anchor simplePos="0" relativeHeight="251657728" behindDoc="1" locked="0" layoutInCell="0" allowOverlap="1">
            <wp:simplePos x="0" y="0"/>
            <wp:positionH relativeFrom="column">
              <wp:posOffset>3175</wp:posOffset>
            </wp:positionH>
            <wp:positionV relativeFrom="paragraph">
              <wp:posOffset>-1296670</wp:posOffset>
            </wp:positionV>
            <wp:extent cx="7161530" cy="107950"/>
            <wp:wrapNone/>
            <wp:docPr id="103" name="Picture 10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3"/>
                    <pic:cNvPicPr>
                      <a:picLocks noChangeAspect="1" noChangeArrowheads="1"/>
                    </pic:cNvPicPr>
                  </pic:nvPicPr>
                  <pic:blipFill>
                    <a:blip r:embed="rId110">
                      <a:extLst>
                        <a:ext uri="{28A0092B-C50C-407E-A947-70E740481C1C}"/>
                      </a:extLst>
                    </a:blip>
                    <a:srcRect/>
                    <a:stretch>
                      <a:fillRect/>
                    </a:stretch>
                  </pic:blipFill>
                  <pic:spPr bwMode="auto">
                    <a:xfrm>
                      <a:off x="0" y="0"/>
                      <a:ext cx="7161530" cy="107950"/>
                    </a:xfrm>
                    <a:prstGeom prst="rect">
                      <a:avLst/>
                    </a:prstGeom>
                    <a:noFill/>
                  </pic:spPr>
                </pic:pic>
              </a:graphicData>
            </a:graphic>
          </wp:anchor>
        </w:drawing>
        <w:drawing>
          <wp:anchor simplePos="0" relativeHeight="251657728" behindDoc="1" locked="0" layoutInCell="0" allowOverlap="1">
            <wp:simplePos x="0" y="0"/>
            <wp:positionH relativeFrom="column">
              <wp:posOffset>3175</wp:posOffset>
            </wp:positionH>
            <wp:positionV relativeFrom="paragraph">
              <wp:posOffset>-1081405</wp:posOffset>
            </wp:positionV>
            <wp:extent cx="7161530" cy="107950"/>
            <wp:wrapNone/>
            <wp:docPr id="104" name="Picture 10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4"/>
                    <pic:cNvPicPr>
                      <a:picLocks noChangeAspect="1" noChangeArrowheads="1"/>
                    </pic:cNvPicPr>
                  </pic:nvPicPr>
                  <pic:blipFill>
                    <a:blip r:embed="rId111">
                      <a:extLst>
                        <a:ext uri="{28A0092B-C50C-407E-A947-70E740481C1C}"/>
                      </a:extLst>
                    </a:blip>
                    <a:srcRect/>
                    <a:stretch>
                      <a:fillRect/>
                    </a:stretch>
                  </pic:blipFill>
                  <pic:spPr bwMode="auto">
                    <a:xfrm>
                      <a:off x="0" y="0"/>
                      <a:ext cx="7161530" cy="107950"/>
                    </a:xfrm>
                    <a:prstGeom prst="rect">
                      <a:avLst/>
                    </a:prstGeom>
                    <a:noFill/>
                  </pic:spPr>
                </pic:pic>
              </a:graphicData>
            </a:graphic>
          </wp:anchor>
        </w:drawing>
        <w:drawing>
          <wp:anchor simplePos="0" relativeHeight="251657728" behindDoc="1" locked="0" layoutInCell="0" allowOverlap="1">
            <wp:simplePos x="0" y="0"/>
            <wp:positionH relativeFrom="column">
              <wp:posOffset>3175</wp:posOffset>
            </wp:positionH>
            <wp:positionV relativeFrom="paragraph">
              <wp:posOffset>-865505</wp:posOffset>
            </wp:positionV>
            <wp:extent cx="7161530" cy="107950"/>
            <wp:wrapNone/>
            <wp:docPr id="105" name="Picture 10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5"/>
                    <pic:cNvPicPr>
                      <a:picLocks noChangeAspect="1" noChangeArrowheads="1"/>
                    </pic:cNvPicPr>
                  </pic:nvPicPr>
                  <pic:blipFill>
                    <a:blip r:embed="rId112">
                      <a:extLst>
                        <a:ext uri="{28A0092B-C50C-407E-A947-70E740481C1C}"/>
                      </a:extLst>
                    </a:blip>
                    <a:srcRect/>
                    <a:stretch>
                      <a:fillRect/>
                    </a:stretch>
                  </pic:blipFill>
                  <pic:spPr bwMode="auto">
                    <a:xfrm>
                      <a:off x="0" y="0"/>
                      <a:ext cx="7161530" cy="107950"/>
                    </a:xfrm>
                    <a:prstGeom prst="rect">
                      <a:avLst/>
                    </a:prstGeom>
                    <a:noFill/>
                  </pic:spPr>
                </pic:pic>
              </a:graphicData>
            </a:graphic>
          </wp:anchor>
        </w:drawing>
        <w:drawing>
          <wp:anchor simplePos="0" relativeHeight="251657728" behindDoc="1" locked="0" layoutInCell="0" allowOverlap="1">
            <wp:simplePos x="0" y="0"/>
            <wp:positionH relativeFrom="column">
              <wp:posOffset>3175</wp:posOffset>
            </wp:positionH>
            <wp:positionV relativeFrom="paragraph">
              <wp:posOffset>-643255</wp:posOffset>
            </wp:positionV>
            <wp:extent cx="7161530" cy="107950"/>
            <wp:wrapNone/>
            <wp:docPr id="106" name="Picture 10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6"/>
                    <pic:cNvPicPr>
                      <a:picLocks noChangeAspect="1" noChangeArrowheads="1"/>
                    </pic:cNvPicPr>
                  </pic:nvPicPr>
                  <pic:blipFill>
                    <a:blip r:embed="rId113">
                      <a:extLst>
                        <a:ext uri="{28A0092B-C50C-407E-A947-70E740481C1C}"/>
                      </a:extLst>
                    </a:blip>
                    <a:srcRect/>
                    <a:stretch>
                      <a:fillRect/>
                    </a:stretch>
                  </pic:blipFill>
                  <pic:spPr bwMode="auto">
                    <a:xfrm>
                      <a:off x="0" y="0"/>
                      <a:ext cx="7161530" cy="107950"/>
                    </a:xfrm>
                    <a:prstGeom prst="rect">
                      <a:avLst/>
                    </a:prstGeom>
                    <a:noFill/>
                  </pic:spPr>
                </pic:pic>
              </a:graphicData>
            </a:graphic>
          </wp:anchor>
        </w:drawing>
        <w:drawing>
          <wp:anchor simplePos="0" relativeHeight="251657728" behindDoc="1" locked="0" layoutInCell="0" allowOverlap="1">
            <wp:simplePos x="0" y="0"/>
            <wp:positionH relativeFrom="column">
              <wp:posOffset>3175</wp:posOffset>
            </wp:positionH>
            <wp:positionV relativeFrom="paragraph">
              <wp:posOffset>-427990</wp:posOffset>
            </wp:positionV>
            <wp:extent cx="7161530" cy="107950"/>
            <wp:wrapNone/>
            <wp:docPr id="107" name="Picture 10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7"/>
                    <pic:cNvPicPr>
                      <a:picLocks noChangeAspect="1" noChangeArrowheads="1"/>
                    </pic:cNvPicPr>
                  </pic:nvPicPr>
                  <pic:blipFill>
                    <a:blip r:embed="rId114">
                      <a:extLst>
                        <a:ext uri="{28A0092B-C50C-407E-A947-70E740481C1C}"/>
                      </a:extLst>
                    </a:blip>
                    <a:srcRect/>
                    <a:stretch>
                      <a:fillRect/>
                    </a:stretch>
                  </pic:blipFill>
                  <pic:spPr bwMode="auto">
                    <a:xfrm>
                      <a:off x="0" y="0"/>
                      <a:ext cx="7161530" cy="107950"/>
                    </a:xfrm>
                    <a:prstGeom prst="rect">
                      <a:avLst/>
                    </a:prstGeom>
                    <a:noFill/>
                  </pic:spPr>
                </pic:pic>
              </a:graphicData>
            </a:graphic>
          </wp:anchor>
        </w:drawing>
        <w:drawing>
          <wp:anchor simplePos="0" relativeHeight="251657728" behindDoc="1" locked="0" layoutInCell="0" allowOverlap="1">
            <wp:simplePos x="0" y="0"/>
            <wp:positionH relativeFrom="column">
              <wp:posOffset>3175</wp:posOffset>
            </wp:positionH>
            <wp:positionV relativeFrom="paragraph">
              <wp:posOffset>-212090</wp:posOffset>
            </wp:positionV>
            <wp:extent cx="7161530" cy="107950"/>
            <wp:wrapNone/>
            <wp:docPr id="108" name="Picture 10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8"/>
                    <pic:cNvPicPr>
                      <a:picLocks noChangeAspect="1" noChangeArrowheads="1"/>
                    </pic:cNvPicPr>
                  </pic:nvPicPr>
                  <pic:blipFill>
                    <a:blip r:embed="rId115">
                      <a:extLst>
                        <a:ext uri="{28A0092B-C50C-407E-A947-70E740481C1C}"/>
                      </a:extLst>
                    </a:blip>
                    <a:srcRect/>
                    <a:stretch>
                      <a:fillRect/>
                    </a:stretch>
                  </pic:blipFill>
                  <pic:spPr bwMode="auto">
                    <a:xfrm>
                      <a:off x="0" y="0"/>
                      <a:ext cx="7161530" cy="107950"/>
                    </a:xfrm>
                    <a:prstGeom prst="rect">
                      <a:avLst/>
                    </a:prstGeom>
                    <a:noFill/>
                  </pic:spPr>
                </pic:pic>
              </a:graphicData>
            </a:graphic>
          </wp:anchor>
        </w:drawing>
        <w:drawing>
          <wp:anchor simplePos="0" relativeHeight="251657728" behindDoc="1" locked="0" layoutInCell="0" allowOverlap="1">
            <wp:simplePos x="0" y="0"/>
            <wp:positionH relativeFrom="column">
              <wp:posOffset>3175</wp:posOffset>
            </wp:positionH>
            <wp:positionV relativeFrom="paragraph">
              <wp:posOffset>-2159000</wp:posOffset>
            </wp:positionV>
            <wp:extent cx="7161530" cy="114300"/>
            <wp:wrapNone/>
            <wp:docPr id="109" name="Picture 10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9"/>
                    <pic:cNvPicPr>
                      <a:picLocks noChangeAspect="1" noChangeArrowheads="1"/>
                    </pic:cNvPicPr>
                  </pic:nvPicPr>
                  <pic:blipFill>
                    <a:blip r:embed="rId116">
                      <a:extLst>
                        <a:ext uri="{28A0092B-C50C-407E-A947-70E740481C1C}"/>
                      </a:extLst>
                    </a:blip>
                    <a:srcRect/>
                    <a:stretch>
                      <a:fillRect/>
                    </a:stretch>
                  </pic:blipFill>
                  <pic:spPr bwMode="auto">
                    <a:xfrm>
                      <a:off x="0" y="0"/>
                      <a:ext cx="7161530" cy="114300"/>
                    </a:xfrm>
                    <a:prstGeom prst="rect">
                      <a:avLst/>
                    </a:prstGeom>
                    <a:noFill/>
                  </pic:spPr>
                </pic:pic>
              </a:graphicData>
            </a:graphic>
          </wp:anchor>
        </w:drawing>
        <w:drawing>
          <wp:anchor simplePos="0" relativeHeight="251657728" behindDoc="1" locked="0" layoutInCell="0" allowOverlap="1">
            <wp:simplePos x="0" y="0"/>
            <wp:positionH relativeFrom="column">
              <wp:posOffset>3175</wp:posOffset>
            </wp:positionH>
            <wp:positionV relativeFrom="paragraph">
              <wp:posOffset>-4106545</wp:posOffset>
            </wp:positionV>
            <wp:extent cx="7161530" cy="114300"/>
            <wp:wrapNone/>
            <wp:docPr id="110" name="Picture 1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0"/>
                    <pic:cNvPicPr>
                      <a:picLocks noChangeAspect="1" noChangeArrowheads="1"/>
                    </pic:cNvPicPr>
                  </pic:nvPicPr>
                  <pic:blipFill>
                    <a:blip r:embed="rId117">
                      <a:extLst>
                        <a:ext uri="{28A0092B-C50C-407E-A947-70E740481C1C}"/>
                      </a:extLst>
                    </a:blip>
                    <a:srcRect/>
                    <a:stretch>
                      <a:fillRect/>
                    </a:stretch>
                  </pic:blipFill>
                  <pic:spPr bwMode="auto">
                    <a:xfrm>
                      <a:off x="0" y="0"/>
                      <a:ext cx="7161530" cy="114300"/>
                    </a:xfrm>
                    <a:prstGeom prst="rect">
                      <a:avLst/>
                    </a:prstGeom>
                    <a:noFill/>
                  </pic:spPr>
                </pic:pic>
              </a:graphicData>
            </a:graphic>
          </wp:anchor>
        </w:drawing>
      </w:r>
    </w:p>
    <w:p>
      <w:pPr>
        <w:spacing w:after="0" w:line="20" w:lineRule="exact"/>
        <w:rPr>
          <w:sz w:val="20"/>
          <w:szCs w:val="20"/>
          <w:color w:val="auto"/>
        </w:rPr>
      </w:pPr>
      <w:r>
        <w:rPr>
          <w:sz w:val="20"/>
          <w:szCs w:val="20"/>
          <w:color w:val="auto"/>
        </w:rPr>
        <w:br w:type="column"/>
      </w:r>
    </w:p>
    <w:p>
      <w:pPr>
        <w:spacing w:after="0" w:line="200" w:lineRule="exact"/>
        <w:rPr>
          <w:sz w:val="20"/>
          <w:szCs w:val="20"/>
          <w:color w:val="auto"/>
        </w:rPr>
      </w:pPr>
    </w:p>
    <w:p>
      <w:pPr>
        <w:spacing w:after="0" w:line="327" w:lineRule="exact"/>
        <w:rPr>
          <w:sz w:val="20"/>
          <w:szCs w:val="20"/>
          <w:color w:val="auto"/>
        </w:rPr>
      </w:pPr>
    </w:p>
    <w:p>
      <w:pPr>
        <w:spacing w:after="0"/>
        <w:tabs>
          <w:tab w:leader="none" w:pos="920" w:val="left"/>
          <w:tab w:leader="none" w:pos="2880" w:val="left"/>
          <w:tab w:leader="none" w:pos="4000" w:val="left"/>
        </w:tabs>
        <w:rPr>
          <w:sz w:val="20"/>
          <w:szCs w:val="20"/>
          <w:color w:val="auto"/>
        </w:rPr>
      </w:pPr>
      <w:r>
        <w:rPr>
          <w:rFonts w:ascii="Times New Roman" w:cs="Times New Roman" w:eastAsia="Times New Roman" w:hAnsi="Times New Roman"/>
          <w:sz w:val="11"/>
          <w:szCs w:val="11"/>
          <w:b w:val="1"/>
          <w:bCs w:val="1"/>
          <w:color w:val="auto"/>
        </w:rPr>
        <w:t>Trust</w:t>
      </w:r>
      <w:r>
        <w:rPr>
          <w:sz w:val="20"/>
          <w:szCs w:val="20"/>
          <w:color w:val="auto"/>
        </w:rPr>
        <w:tab/>
      </w:r>
      <w:r>
        <w:rPr>
          <w:rFonts w:ascii="Times New Roman" w:cs="Times New Roman" w:eastAsia="Times New Roman" w:hAnsi="Times New Roman"/>
          <w:sz w:val="11"/>
          <w:szCs w:val="11"/>
          <w:b w:val="1"/>
          <w:bCs w:val="1"/>
          <w:color w:val="auto"/>
        </w:rPr>
        <w:t>Total Reportable Segments</w:t>
      </w:r>
      <w:r>
        <w:rPr>
          <w:sz w:val="20"/>
          <w:szCs w:val="20"/>
          <w:color w:val="auto"/>
        </w:rPr>
        <w:tab/>
      </w:r>
      <w:r>
        <w:rPr>
          <w:rFonts w:ascii="Times New Roman" w:cs="Times New Roman" w:eastAsia="Times New Roman" w:hAnsi="Times New Roman"/>
          <w:sz w:val="11"/>
          <w:szCs w:val="11"/>
          <w:b w:val="1"/>
          <w:bCs w:val="1"/>
          <w:color w:val="auto"/>
        </w:rPr>
        <w:t>Other</w:t>
      </w:r>
      <w:r>
        <w:rPr>
          <w:sz w:val="20"/>
          <w:szCs w:val="20"/>
          <w:color w:val="auto"/>
        </w:rPr>
        <w:tab/>
      </w:r>
      <w:r>
        <w:rPr>
          <w:rFonts w:ascii="Times New Roman" w:cs="Times New Roman" w:eastAsia="Times New Roman" w:hAnsi="Times New Roman"/>
          <w:sz w:val="11"/>
          <w:szCs w:val="11"/>
          <w:b w:val="1"/>
          <w:bCs w:val="1"/>
          <w:color w:val="auto"/>
        </w:rPr>
        <w:t>Consolidated</w:t>
      </w:r>
    </w:p>
    <w:p>
      <w:pPr>
        <w:spacing w:after="0" w:line="391" w:lineRule="exact"/>
        <w:rPr>
          <w:sz w:val="20"/>
          <w:szCs w:val="20"/>
          <w:color w:val="auto"/>
        </w:rPr>
      </w:pPr>
    </w:p>
    <w:tbl>
      <w:tblPr>
        <w:tblLayout w:type="fixed"/>
        <w:tblInd w:w="320" w:type="dxa"/>
        <w:tblCellMar>
          <w:top w:w="0" w:type="dxa"/>
          <w:left w:w="0" w:type="dxa"/>
          <w:bottom w:w="0" w:type="dxa"/>
          <w:right w:w="0" w:type="dxa"/>
        </w:tblCellMar>
      </w:tblPr>
      <w:tr>
        <w:trPr>
          <w:trHeight w:val="165"/>
        </w:trPr>
        <w:tc>
          <w:tcPr>
            <w:tcW w:w="500" w:type="dxa"/>
            <w:vAlign w:val="bottom"/>
          </w:tcPr>
          <w:p>
            <w:pPr>
              <w:jc w:val="right"/>
              <w:ind w:right="76"/>
              <w:spacing w:after="0"/>
              <w:rPr>
                <w:sz w:val="20"/>
                <w:szCs w:val="20"/>
                <w:color w:val="auto"/>
              </w:rPr>
            </w:pPr>
            <w:r>
              <w:rPr>
                <w:rFonts w:ascii="Times New Roman" w:cs="Times New Roman" w:eastAsia="Times New Roman" w:hAnsi="Times New Roman"/>
                <w:sz w:val="13"/>
                <w:szCs w:val="13"/>
                <w:color w:val="auto"/>
                <w:w w:val="94"/>
              </w:rPr>
              <w:t>21,820</w:t>
            </w:r>
          </w:p>
        </w:tc>
        <w:tc>
          <w:tcPr>
            <w:tcW w:w="580" w:type="dxa"/>
            <w:vAlign w:val="bottom"/>
          </w:tcPr>
          <w:p>
            <w:pPr>
              <w:jc w:val="right"/>
              <w:ind w:right="436"/>
              <w:spacing w:after="0"/>
              <w:rPr>
                <w:sz w:val="20"/>
                <w:szCs w:val="20"/>
                <w:color w:val="auto"/>
              </w:rPr>
            </w:pPr>
            <w:r>
              <w:rPr>
                <w:rFonts w:ascii="Times New Roman" w:cs="Times New Roman" w:eastAsia="Times New Roman" w:hAnsi="Times New Roman"/>
                <w:sz w:val="13"/>
                <w:szCs w:val="13"/>
                <w:color w:val="auto"/>
                <w:w w:val="91"/>
              </w:rPr>
              <w:t>$</w:t>
            </w:r>
          </w:p>
        </w:tc>
        <w:tc>
          <w:tcPr>
            <w:tcW w:w="94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97,416</w:t>
            </w:r>
          </w:p>
        </w:tc>
        <w:tc>
          <w:tcPr>
            <w:tcW w:w="100" w:type="dxa"/>
            <w:vAlign w:val="bottom"/>
          </w:tcPr>
          <w:p>
            <w:pPr>
              <w:spacing w:after="0"/>
              <w:rPr>
                <w:sz w:val="14"/>
                <w:szCs w:val="14"/>
                <w:color w:val="auto"/>
              </w:rPr>
            </w:pPr>
          </w:p>
        </w:tc>
        <w:tc>
          <w:tcPr>
            <w:tcW w:w="380" w:type="dxa"/>
            <w:vAlign w:val="bottom"/>
          </w:tcPr>
          <w:p>
            <w:pPr>
              <w:jc w:val="right"/>
              <w:ind w:right="236"/>
              <w:spacing w:after="0"/>
              <w:rPr>
                <w:sz w:val="20"/>
                <w:szCs w:val="20"/>
                <w:color w:val="auto"/>
              </w:rPr>
            </w:pPr>
            <w:r>
              <w:rPr>
                <w:rFonts w:ascii="Times New Roman" w:cs="Times New Roman" w:eastAsia="Times New Roman" w:hAnsi="Times New Roman"/>
                <w:sz w:val="13"/>
                <w:szCs w:val="13"/>
                <w:color w:val="auto"/>
                <w:w w:val="91"/>
              </w:rPr>
              <w:t>$</w:t>
            </w:r>
          </w:p>
        </w:tc>
        <w:tc>
          <w:tcPr>
            <w:tcW w:w="920" w:type="dxa"/>
            <w:vAlign w:val="bottom"/>
            <w:gridSpan w:val="2"/>
          </w:tcPr>
          <w:p>
            <w:pPr>
              <w:ind w:left="640"/>
              <w:spacing w:after="0"/>
              <w:rPr>
                <w:sz w:val="20"/>
                <w:szCs w:val="20"/>
                <w:color w:val="auto"/>
              </w:rPr>
            </w:pPr>
            <w:r>
              <w:rPr>
                <w:rFonts w:ascii="Times New Roman" w:cs="Times New Roman" w:eastAsia="Times New Roman" w:hAnsi="Times New Roman"/>
                <w:sz w:val="13"/>
                <w:szCs w:val="13"/>
                <w:color w:val="auto"/>
              </w:rPr>
              <w:t>—</w:t>
            </w:r>
          </w:p>
        </w:tc>
        <w:tc>
          <w:tcPr>
            <w:tcW w:w="400" w:type="dxa"/>
            <w:vAlign w:val="bottom"/>
          </w:tcPr>
          <w:p>
            <w:pPr>
              <w:jc w:val="right"/>
              <w:ind w:right="256"/>
              <w:spacing w:after="0"/>
              <w:rPr>
                <w:sz w:val="20"/>
                <w:szCs w:val="20"/>
                <w:color w:val="auto"/>
              </w:rPr>
            </w:pPr>
            <w:r>
              <w:rPr>
                <w:rFonts w:ascii="Times New Roman" w:cs="Times New Roman" w:eastAsia="Times New Roman" w:hAnsi="Times New Roman"/>
                <w:sz w:val="13"/>
                <w:szCs w:val="13"/>
                <w:color w:val="auto"/>
                <w:w w:val="91"/>
              </w:rPr>
              <w:t>$</w:t>
            </w:r>
          </w:p>
        </w:tc>
        <w:tc>
          <w:tcPr>
            <w:tcW w:w="78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97,416</w:t>
            </w:r>
          </w:p>
        </w:tc>
      </w:tr>
      <w:tr>
        <w:trPr>
          <w:trHeight w:val="170"/>
        </w:trPr>
        <w:tc>
          <w:tcPr>
            <w:tcW w:w="500" w:type="dxa"/>
            <w:vAlign w:val="bottom"/>
          </w:tcPr>
          <w:p>
            <w:pPr>
              <w:jc w:val="right"/>
              <w:ind w:right="76"/>
              <w:spacing w:after="0"/>
              <w:rPr>
                <w:sz w:val="20"/>
                <w:szCs w:val="20"/>
                <w:color w:val="auto"/>
              </w:rPr>
            </w:pPr>
            <w:r>
              <w:rPr>
                <w:rFonts w:ascii="Times New Roman" w:cs="Times New Roman" w:eastAsia="Times New Roman" w:hAnsi="Times New Roman"/>
                <w:sz w:val="13"/>
                <w:szCs w:val="13"/>
                <w:color w:val="auto"/>
              </w:rPr>
              <w:t>150</w:t>
            </w:r>
          </w:p>
        </w:tc>
        <w:tc>
          <w:tcPr>
            <w:tcW w:w="580" w:type="dxa"/>
            <w:vAlign w:val="bottom"/>
          </w:tcPr>
          <w:p>
            <w:pPr>
              <w:spacing w:after="0"/>
              <w:rPr>
                <w:sz w:val="14"/>
                <w:szCs w:val="14"/>
                <w:color w:val="auto"/>
              </w:rPr>
            </w:pPr>
          </w:p>
        </w:tc>
        <w:tc>
          <w:tcPr>
            <w:tcW w:w="94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8,345</w:t>
            </w:r>
          </w:p>
        </w:tc>
        <w:tc>
          <w:tcPr>
            <w:tcW w:w="100" w:type="dxa"/>
            <w:vAlign w:val="bottom"/>
          </w:tcPr>
          <w:p>
            <w:pPr>
              <w:spacing w:after="0"/>
              <w:rPr>
                <w:sz w:val="14"/>
                <w:szCs w:val="14"/>
                <w:color w:val="auto"/>
              </w:rPr>
            </w:pPr>
          </w:p>
        </w:tc>
        <w:tc>
          <w:tcPr>
            <w:tcW w:w="380" w:type="dxa"/>
            <w:vAlign w:val="bottom"/>
          </w:tcPr>
          <w:p>
            <w:pPr>
              <w:spacing w:after="0"/>
              <w:rPr>
                <w:sz w:val="14"/>
                <w:szCs w:val="14"/>
                <w:color w:val="auto"/>
              </w:rPr>
            </w:pPr>
          </w:p>
        </w:tc>
        <w:tc>
          <w:tcPr>
            <w:tcW w:w="82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(8,345)</w:t>
            </w:r>
          </w:p>
        </w:tc>
        <w:tc>
          <w:tcPr>
            <w:tcW w:w="100" w:type="dxa"/>
            <w:vAlign w:val="bottom"/>
          </w:tcPr>
          <w:p>
            <w:pPr>
              <w:spacing w:after="0"/>
              <w:rPr>
                <w:sz w:val="14"/>
                <w:szCs w:val="14"/>
                <w:color w:val="auto"/>
              </w:rPr>
            </w:pPr>
          </w:p>
        </w:tc>
        <w:tc>
          <w:tcPr>
            <w:tcW w:w="400" w:type="dxa"/>
            <w:vAlign w:val="bottom"/>
          </w:tcPr>
          <w:p>
            <w:pPr>
              <w:spacing w:after="0"/>
              <w:rPr>
                <w:sz w:val="14"/>
                <w:szCs w:val="14"/>
                <w:color w:val="auto"/>
              </w:rPr>
            </w:pPr>
          </w:p>
        </w:tc>
        <w:tc>
          <w:tcPr>
            <w:tcW w:w="78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w:t>
            </w:r>
          </w:p>
        </w:tc>
      </w:tr>
      <w:tr>
        <w:trPr>
          <w:trHeight w:val="170"/>
        </w:trPr>
        <w:tc>
          <w:tcPr>
            <w:tcW w:w="500" w:type="dxa"/>
            <w:vAlign w:val="bottom"/>
          </w:tcPr>
          <w:p>
            <w:pPr>
              <w:jc w:val="right"/>
              <w:ind w:right="76"/>
              <w:spacing w:after="0"/>
              <w:rPr>
                <w:sz w:val="20"/>
                <w:szCs w:val="20"/>
                <w:color w:val="auto"/>
              </w:rPr>
            </w:pPr>
            <w:r>
              <w:rPr>
                <w:rFonts w:ascii="Times New Roman" w:cs="Times New Roman" w:eastAsia="Times New Roman" w:hAnsi="Times New Roman"/>
                <w:sz w:val="13"/>
                <w:szCs w:val="13"/>
                <w:color w:val="auto"/>
              </w:rPr>
              <w:t>—</w:t>
            </w:r>
          </w:p>
        </w:tc>
        <w:tc>
          <w:tcPr>
            <w:tcW w:w="580" w:type="dxa"/>
            <w:vAlign w:val="bottom"/>
          </w:tcPr>
          <w:p>
            <w:pPr>
              <w:spacing w:after="0"/>
              <w:rPr>
                <w:sz w:val="14"/>
                <w:szCs w:val="14"/>
                <w:color w:val="auto"/>
              </w:rPr>
            </w:pPr>
          </w:p>
        </w:tc>
        <w:tc>
          <w:tcPr>
            <w:tcW w:w="94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346</w:t>
            </w:r>
          </w:p>
        </w:tc>
        <w:tc>
          <w:tcPr>
            <w:tcW w:w="100" w:type="dxa"/>
            <w:vAlign w:val="bottom"/>
          </w:tcPr>
          <w:p>
            <w:pPr>
              <w:spacing w:after="0"/>
              <w:rPr>
                <w:sz w:val="14"/>
                <w:szCs w:val="14"/>
                <w:color w:val="auto"/>
              </w:rPr>
            </w:pPr>
          </w:p>
        </w:tc>
        <w:tc>
          <w:tcPr>
            <w:tcW w:w="380" w:type="dxa"/>
            <w:vAlign w:val="bottom"/>
          </w:tcPr>
          <w:p>
            <w:pPr>
              <w:spacing w:after="0"/>
              <w:rPr>
                <w:sz w:val="14"/>
                <w:szCs w:val="14"/>
                <w:color w:val="auto"/>
              </w:rPr>
            </w:pPr>
          </w:p>
        </w:tc>
        <w:tc>
          <w:tcPr>
            <w:tcW w:w="920" w:type="dxa"/>
            <w:vAlign w:val="bottom"/>
            <w:gridSpan w:val="2"/>
          </w:tcPr>
          <w:p>
            <w:pPr>
              <w:ind w:left="640"/>
              <w:spacing w:after="0"/>
              <w:rPr>
                <w:sz w:val="20"/>
                <w:szCs w:val="20"/>
                <w:color w:val="auto"/>
              </w:rPr>
            </w:pPr>
            <w:r>
              <w:rPr>
                <w:rFonts w:ascii="Times New Roman" w:cs="Times New Roman" w:eastAsia="Times New Roman" w:hAnsi="Times New Roman"/>
                <w:sz w:val="13"/>
                <w:szCs w:val="13"/>
                <w:color w:val="auto"/>
              </w:rPr>
              <w:t>—</w:t>
            </w:r>
          </w:p>
        </w:tc>
        <w:tc>
          <w:tcPr>
            <w:tcW w:w="400" w:type="dxa"/>
            <w:vAlign w:val="bottom"/>
          </w:tcPr>
          <w:p>
            <w:pPr>
              <w:spacing w:after="0"/>
              <w:rPr>
                <w:sz w:val="14"/>
                <w:szCs w:val="14"/>
                <w:color w:val="auto"/>
              </w:rPr>
            </w:pPr>
          </w:p>
        </w:tc>
        <w:tc>
          <w:tcPr>
            <w:tcW w:w="78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346</w:t>
            </w:r>
          </w:p>
        </w:tc>
      </w:tr>
      <w:tr>
        <w:trPr>
          <w:trHeight w:val="160"/>
        </w:trPr>
        <w:tc>
          <w:tcPr>
            <w:tcW w:w="500" w:type="dxa"/>
            <w:vAlign w:val="bottom"/>
          </w:tcPr>
          <w:p>
            <w:pPr>
              <w:jc w:val="right"/>
              <w:ind w:right="76"/>
              <w:spacing w:after="0"/>
              <w:rPr>
                <w:sz w:val="20"/>
                <w:szCs w:val="20"/>
                <w:color w:val="auto"/>
              </w:rPr>
            </w:pPr>
            <w:r>
              <w:rPr>
                <w:rFonts w:ascii="Times New Roman" w:cs="Times New Roman" w:eastAsia="Times New Roman" w:hAnsi="Times New Roman"/>
                <w:sz w:val="13"/>
                <w:szCs w:val="13"/>
                <w:color w:val="auto"/>
                <w:w w:val="94"/>
              </w:rPr>
              <w:t>21,970</w:t>
            </w:r>
          </w:p>
        </w:tc>
        <w:tc>
          <w:tcPr>
            <w:tcW w:w="580" w:type="dxa"/>
            <w:vAlign w:val="bottom"/>
            <w:tcBorders>
              <w:top w:val="single" w:sz="8" w:color="auto"/>
            </w:tcBorders>
          </w:tcPr>
          <w:p>
            <w:pPr>
              <w:spacing w:after="0"/>
              <w:rPr>
                <w:sz w:val="13"/>
                <w:szCs w:val="13"/>
                <w:color w:val="auto"/>
              </w:rPr>
            </w:pPr>
          </w:p>
        </w:tc>
        <w:tc>
          <w:tcPr>
            <w:tcW w:w="94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3"/>
                <w:szCs w:val="13"/>
                <w:color w:val="auto"/>
              </w:rPr>
              <w:t>106,107</w:t>
            </w:r>
          </w:p>
        </w:tc>
        <w:tc>
          <w:tcPr>
            <w:tcW w:w="100" w:type="dxa"/>
            <w:vAlign w:val="bottom"/>
          </w:tcPr>
          <w:p>
            <w:pPr>
              <w:spacing w:after="0"/>
              <w:rPr>
                <w:sz w:val="13"/>
                <w:szCs w:val="13"/>
                <w:color w:val="auto"/>
              </w:rPr>
            </w:pPr>
          </w:p>
        </w:tc>
        <w:tc>
          <w:tcPr>
            <w:tcW w:w="380" w:type="dxa"/>
            <w:vAlign w:val="bottom"/>
            <w:tcBorders>
              <w:top w:val="single" w:sz="8" w:color="auto"/>
            </w:tcBorders>
          </w:tcPr>
          <w:p>
            <w:pPr>
              <w:spacing w:after="0"/>
              <w:rPr>
                <w:sz w:val="13"/>
                <w:szCs w:val="13"/>
                <w:color w:val="auto"/>
              </w:rPr>
            </w:pPr>
          </w:p>
        </w:tc>
        <w:tc>
          <w:tcPr>
            <w:tcW w:w="82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3"/>
                <w:szCs w:val="13"/>
                <w:color w:val="auto"/>
              </w:rPr>
              <w:t>(8,345)</w:t>
            </w:r>
          </w:p>
        </w:tc>
        <w:tc>
          <w:tcPr>
            <w:tcW w:w="100" w:type="dxa"/>
            <w:vAlign w:val="bottom"/>
          </w:tcPr>
          <w:p>
            <w:pPr>
              <w:spacing w:after="0"/>
              <w:rPr>
                <w:sz w:val="13"/>
                <w:szCs w:val="13"/>
                <w:color w:val="auto"/>
              </w:rPr>
            </w:pPr>
          </w:p>
        </w:tc>
        <w:tc>
          <w:tcPr>
            <w:tcW w:w="400" w:type="dxa"/>
            <w:vAlign w:val="bottom"/>
            <w:tcBorders>
              <w:top w:val="single" w:sz="8" w:color="auto"/>
            </w:tcBorders>
          </w:tcPr>
          <w:p>
            <w:pPr>
              <w:spacing w:after="0"/>
              <w:rPr>
                <w:sz w:val="13"/>
                <w:szCs w:val="13"/>
                <w:color w:val="auto"/>
              </w:rPr>
            </w:pPr>
          </w:p>
        </w:tc>
        <w:tc>
          <w:tcPr>
            <w:tcW w:w="78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3"/>
                <w:szCs w:val="13"/>
                <w:color w:val="auto"/>
              </w:rPr>
              <w:t>97,762</w:t>
            </w:r>
          </w:p>
        </w:tc>
      </w:tr>
      <w:tr>
        <w:trPr>
          <w:trHeight w:val="170"/>
        </w:trPr>
        <w:tc>
          <w:tcPr>
            <w:tcW w:w="500" w:type="dxa"/>
            <w:vAlign w:val="bottom"/>
          </w:tcPr>
          <w:p>
            <w:pPr>
              <w:jc w:val="right"/>
              <w:ind w:right="76"/>
              <w:spacing w:after="0"/>
              <w:rPr>
                <w:sz w:val="20"/>
                <w:szCs w:val="20"/>
                <w:color w:val="auto"/>
              </w:rPr>
            </w:pPr>
            <w:r>
              <w:rPr>
                <w:rFonts w:ascii="Times New Roman" w:cs="Times New Roman" w:eastAsia="Times New Roman" w:hAnsi="Times New Roman"/>
                <w:sz w:val="13"/>
                <w:szCs w:val="13"/>
                <w:color w:val="auto"/>
              </w:rPr>
              <w:t>495</w:t>
            </w:r>
          </w:p>
        </w:tc>
        <w:tc>
          <w:tcPr>
            <w:tcW w:w="580" w:type="dxa"/>
            <w:vAlign w:val="bottom"/>
          </w:tcPr>
          <w:p>
            <w:pPr>
              <w:jc w:val="right"/>
              <w:ind w:right="436"/>
              <w:spacing w:after="0"/>
              <w:rPr>
                <w:sz w:val="20"/>
                <w:szCs w:val="20"/>
                <w:color w:val="auto"/>
              </w:rPr>
            </w:pPr>
            <w:r>
              <w:rPr>
                <w:rFonts w:ascii="Times New Roman" w:cs="Times New Roman" w:eastAsia="Times New Roman" w:hAnsi="Times New Roman"/>
                <w:sz w:val="13"/>
                <w:szCs w:val="13"/>
                <w:color w:val="auto"/>
                <w:w w:val="91"/>
              </w:rPr>
              <w:t>$</w:t>
            </w:r>
          </w:p>
        </w:tc>
        <w:tc>
          <w:tcPr>
            <w:tcW w:w="94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1,152</w:t>
            </w:r>
          </w:p>
        </w:tc>
        <w:tc>
          <w:tcPr>
            <w:tcW w:w="100" w:type="dxa"/>
            <w:vAlign w:val="bottom"/>
          </w:tcPr>
          <w:p>
            <w:pPr>
              <w:spacing w:after="0"/>
              <w:rPr>
                <w:sz w:val="14"/>
                <w:szCs w:val="14"/>
                <w:color w:val="auto"/>
              </w:rPr>
            </w:pPr>
          </w:p>
        </w:tc>
        <w:tc>
          <w:tcPr>
            <w:tcW w:w="380" w:type="dxa"/>
            <w:vAlign w:val="bottom"/>
          </w:tcPr>
          <w:p>
            <w:pPr>
              <w:jc w:val="right"/>
              <w:ind w:right="236"/>
              <w:spacing w:after="0"/>
              <w:rPr>
                <w:sz w:val="20"/>
                <w:szCs w:val="20"/>
                <w:color w:val="auto"/>
              </w:rPr>
            </w:pPr>
            <w:r>
              <w:rPr>
                <w:rFonts w:ascii="Times New Roman" w:cs="Times New Roman" w:eastAsia="Times New Roman" w:hAnsi="Times New Roman"/>
                <w:sz w:val="13"/>
                <w:szCs w:val="13"/>
                <w:color w:val="auto"/>
                <w:w w:val="91"/>
              </w:rPr>
              <w:t>$</w:t>
            </w:r>
          </w:p>
        </w:tc>
        <w:tc>
          <w:tcPr>
            <w:tcW w:w="920" w:type="dxa"/>
            <w:vAlign w:val="bottom"/>
            <w:gridSpan w:val="2"/>
          </w:tcPr>
          <w:p>
            <w:pPr>
              <w:ind w:left="640"/>
              <w:spacing w:after="0"/>
              <w:rPr>
                <w:sz w:val="20"/>
                <w:szCs w:val="20"/>
                <w:color w:val="auto"/>
              </w:rPr>
            </w:pPr>
            <w:r>
              <w:rPr>
                <w:rFonts w:ascii="Times New Roman" w:cs="Times New Roman" w:eastAsia="Times New Roman" w:hAnsi="Times New Roman"/>
                <w:sz w:val="13"/>
                <w:szCs w:val="13"/>
                <w:color w:val="auto"/>
              </w:rPr>
              <w:t>—</w:t>
            </w:r>
          </w:p>
        </w:tc>
        <w:tc>
          <w:tcPr>
            <w:tcW w:w="400" w:type="dxa"/>
            <w:vAlign w:val="bottom"/>
          </w:tcPr>
          <w:p>
            <w:pPr>
              <w:jc w:val="right"/>
              <w:ind w:right="256"/>
              <w:spacing w:after="0"/>
              <w:rPr>
                <w:sz w:val="20"/>
                <w:szCs w:val="20"/>
                <w:color w:val="auto"/>
              </w:rPr>
            </w:pPr>
            <w:r>
              <w:rPr>
                <w:rFonts w:ascii="Times New Roman" w:cs="Times New Roman" w:eastAsia="Times New Roman" w:hAnsi="Times New Roman"/>
                <w:sz w:val="13"/>
                <w:szCs w:val="13"/>
                <w:color w:val="auto"/>
                <w:w w:val="91"/>
              </w:rPr>
              <w:t>$</w:t>
            </w:r>
          </w:p>
        </w:tc>
        <w:tc>
          <w:tcPr>
            <w:tcW w:w="78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1,152</w:t>
            </w:r>
          </w:p>
        </w:tc>
      </w:tr>
      <w:tr>
        <w:trPr>
          <w:trHeight w:val="170"/>
        </w:trPr>
        <w:tc>
          <w:tcPr>
            <w:tcW w:w="500" w:type="dxa"/>
            <w:vAlign w:val="bottom"/>
          </w:tcPr>
          <w:p>
            <w:pPr>
              <w:jc w:val="right"/>
              <w:ind w:right="76"/>
              <w:spacing w:after="0"/>
              <w:rPr>
                <w:sz w:val="20"/>
                <w:szCs w:val="20"/>
                <w:color w:val="auto"/>
              </w:rPr>
            </w:pPr>
            <w:r>
              <w:rPr>
                <w:rFonts w:ascii="Times New Roman" w:cs="Times New Roman" w:eastAsia="Times New Roman" w:hAnsi="Times New Roman"/>
                <w:sz w:val="13"/>
                <w:szCs w:val="13"/>
                <w:color w:val="auto"/>
              </w:rPr>
              <w:t>2,906</w:t>
            </w:r>
          </w:p>
        </w:tc>
        <w:tc>
          <w:tcPr>
            <w:tcW w:w="580" w:type="dxa"/>
            <w:vAlign w:val="bottom"/>
          </w:tcPr>
          <w:p>
            <w:pPr>
              <w:jc w:val="right"/>
              <w:ind w:right="436"/>
              <w:spacing w:after="0"/>
              <w:rPr>
                <w:sz w:val="20"/>
                <w:szCs w:val="20"/>
                <w:color w:val="auto"/>
              </w:rPr>
            </w:pPr>
            <w:r>
              <w:rPr>
                <w:rFonts w:ascii="Times New Roman" w:cs="Times New Roman" w:eastAsia="Times New Roman" w:hAnsi="Times New Roman"/>
                <w:sz w:val="13"/>
                <w:szCs w:val="13"/>
                <w:color w:val="auto"/>
                <w:w w:val="91"/>
              </w:rPr>
              <w:t>$</w:t>
            </w:r>
          </w:p>
        </w:tc>
        <w:tc>
          <w:tcPr>
            <w:tcW w:w="94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22,791</w:t>
            </w:r>
          </w:p>
        </w:tc>
        <w:tc>
          <w:tcPr>
            <w:tcW w:w="100" w:type="dxa"/>
            <w:vAlign w:val="bottom"/>
          </w:tcPr>
          <w:p>
            <w:pPr>
              <w:spacing w:after="0"/>
              <w:rPr>
                <w:sz w:val="14"/>
                <w:szCs w:val="14"/>
                <w:color w:val="auto"/>
              </w:rPr>
            </w:pPr>
          </w:p>
        </w:tc>
        <w:tc>
          <w:tcPr>
            <w:tcW w:w="380" w:type="dxa"/>
            <w:vAlign w:val="bottom"/>
          </w:tcPr>
          <w:p>
            <w:pPr>
              <w:jc w:val="right"/>
              <w:ind w:right="236"/>
              <w:spacing w:after="0"/>
              <w:rPr>
                <w:sz w:val="20"/>
                <w:szCs w:val="20"/>
                <w:color w:val="auto"/>
              </w:rPr>
            </w:pPr>
            <w:r>
              <w:rPr>
                <w:rFonts w:ascii="Times New Roman" w:cs="Times New Roman" w:eastAsia="Times New Roman" w:hAnsi="Times New Roman"/>
                <w:sz w:val="13"/>
                <w:szCs w:val="13"/>
                <w:color w:val="auto"/>
                <w:w w:val="91"/>
              </w:rPr>
              <w:t>$</w:t>
            </w:r>
          </w:p>
        </w:tc>
        <w:tc>
          <w:tcPr>
            <w:tcW w:w="82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(15,714)</w:t>
            </w:r>
          </w:p>
        </w:tc>
        <w:tc>
          <w:tcPr>
            <w:tcW w:w="100" w:type="dxa"/>
            <w:vAlign w:val="bottom"/>
          </w:tcPr>
          <w:p>
            <w:pPr>
              <w:spacing w:after="0"/>
              <w:rPr>
                <w:sz w:val="14"/>
                <w:szCs w:val="14"/>
                <w:color w:val="auto"/>
              </w:rPr>
            </w:pPr>
          </w:p>
        </w:tc>
        <w:tc>
          <w:tcPr>
            <w:tcW w:w="400" w:type="dxa"/>
            <w:vAlign w:val="bottom"/>
          </w:tcPr>
          <w:p>
            <w:pPr>
              <w:jc w:val="right"/>
              <w:ind w:right="256"/>
              <w:spacing w:after="0"/>
              <w:rPr>
                <w:sz w:val="20"/>
                <w:szCs w:val="20"/>
                <w:color w:val="auto"/>
              </w:rPr>
            </w:pPr>
            <w:r>
              <w:rPr>
                <w:rFonts w:ascii="Times New Roman" w:cs="Times New Roman" w:eastAsia="Times New Roman" w:hAnsi="Times New Roman"/>
                <w:sz w:val="13"/>
                <w:szCs w:val="13"/>
                <w:color w:val="auto"/>
                <w:w w:val="91"/>
              </w:rPr>
              <w:t>$</w:t>
            </w:r>
          </w:p>
        </w:tc>
        <w:tc>
          <w:tcPr>
            <w:tcW w:w="78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7,077</w:t>
            </w:r>
          </w:p>
        </w:tc>
      </w:tr>
      <w:tr>
        <w:trPr>
          <w:trHeight w:val="170"/>
        </w:trPr>
        <w:tc>
          <w:tcPr>
            <w:tcW w:w="500" w:type="dxa"/>
            <w:vAlign w:val="bottom"/>
          </w:tcPr>
          <w:p>
            <w:pPr>
              <w:jc w:val="right"/>
              <w:ind w:right="76"/>
              <w:spacing w:after="0"/>
              <w:rPr>
                <w:sz w:val="20"/>
                <w:szCs w:val="20"/>
                <w:color w:val="auto"/>
              </w:rPr>
            </w:pPr>
            <w:r>
              <w:rPr>
                <w:rFonts w:ascii="Times New Roman" w:cs="Times New Roman" w:eastAsia="Times New Roman" w:hAnsi="Times New Roman"/>
                <w:sz w:val="13"/>
                <w:szCs w:val="13"/>
                <w:color w:val="auto"/>
                <w:w w:val="94"/>
              </w:rPr>
              <w:t>45,563</w:t>
            </w:r>
          </w:p>
        </w:tc>
        <w:tc>
          <w:tcPr>
            <w:tcW w:w="580" w:type="dxa"/>
            <w:vAlign w:val="bottom"/>
          </w:tcPr>
          <w:p>
            <w:pPr>
              <w:jc w:val="right"/>
              <w:ind w:right="436"/>
              <w:spacing w:after="0"/>
              <w:rPr>
                <w:sz w:val="20"/>
                <w:szCs w:val="20"/>
                <w:color w:val="auto"/>
              </w:rPr>
            </w:pPr>
            <w:r>
              <w:rPr>
                <w:rFonts w:ascii="Times New Roman" w:cs="Times New Roman" w:eastAsia="Times New Roman" w:hAnsi="Times New Roman"/>
                <w:sz w:val="13"/>
                <w:szCs w:val="13"/>
                <w:color w:val="auto"/>
                <w:w w:val="91"/>
              </w:rPr>
              <w:t>$</w:t>
            </w:r>
          </w:p>
        </w:tc>
        <w:tc>
          <w:tcPr>
            <w:tcW w:w="94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378,061</w:t>
            </w:r>
          </w:p>
        </w:tc>
        <w:tc>
          <w:tcPr>
            <w:tcW w:w="100" w:type="dxa"/>
            <w:vAlign w:val="bottom"/>
          </w:tcPr>
          <w:p>
            <w:pPr>
              <w:spacing w:after="0"/>
              <w:rPr>
                <w:sz w:val="14"/>
                <w:szCs w:val="14"/>
                <w:color w:val="auto"/>
              </w:rPr>
            </w:pPr>
          </w:p>
        </w:tc>
        <w:tc>
          <w:tcPr>
            <w:tcW w:w="380" w:type="dxa"/>
            <w:vAlign w:val="bottom"/>
          </w:tcPr>
          <w:p>
            <w:pPr>
              <w:jc w:val="right"/>
              <w:ind w:right="236"/>
              <w:spacing w:after="0"/>
              <w:rPr>
                <w:sz w:val="20"/>
                <w:szCs w:val="20"/>
                <w:color w:val="auto"/>
              </w:rPr>
            </w:pPr>
            <w:r>
              <w:rPr>
                <w:rFonts w:ascii="Times New Roman" w:cs="Times New Roman" w:eastAsia="Times New Roman" w:hAnsi="Times New Roman"/>
                <w:sz w:val="13"/>
                <w:szCs w:val="13"/>
                <w:color w:val="auto"/>
                <w:w w:val="91"/>
              </w:rPr>
              <w:t>$</w:t>
            </w:r>
          </w:p>
        </w:tc>
        <w:tc>
          <w:tcPr>
            <w:tcW w:w="82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(215,763)</w:t>
            </w:r>
          </w:p>
        </w:tc>
        <w:tc>
          <w:tcPr>
            <w:tcW w:w="100" w:type="dxa"/>
            <w:vAlign w:val="bottom"/>
          </w:tcPr>
          <w:p>
            <w:pPr>
              <w:spacing w:after="0"/>
              <w:rPr>
                <w:sz w:val="14"/>
                <w:szCs w:val="14"/>
                <w:color w:val="auto"/>
              </w:rPr>
            </w:pPr>
          </w:p>
        </w:tc>
        <w:tc>
          <w:tcPr>
            <w:tcW w:w="400" w:type="dxa"/>
            <w:vAlign w:val="bottom"/>
          </w:tcPr>
          <w:p>
            <w:pPr>
              <w:jc w:val="right"/>
              <w:ind w:right="256"/>
              <w:spacing w:after="0"/>
              <w:rPr>
                <w:sz w:val="20"/>
                <w:szCs w:val="20"/>
                <w:color w:val="auto"/>
              </w:rPr>
            </w:pPr>
            <w:r>
              <w:rPr>
                <w:rFonts w:ascii="Times New Roman" w:cs="Times New Roman" w:eastAsia="Times New Roman" w:hAnsi="Times New Roman"/>
                <w:sz w:val="13"/>
                <w:szCs w:val="13"/>
                <w:color w:val="auto"/>
                <w:w w:val="91"/>
              </w:rPr>
              <w:t>$</w:t>
            </w:r>
          </w:p>
        </w:tc>
        <w:tc>
          <w:tcPr>
            <w:tcW w:w="78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162,298</w:t>
            </w:r>
          </w:p>
        </w:tc>
      </w:tr>
      <w:tr>
        <w:trPr>
          <w:trHeight w:val="170"/>
        </w:trPr>
        <w:tc>
          <w:tcPr>
            <w:tcW w:w="500" w:type="dxa"/>
            <w:vAlign w:val="bottom"/>
          </w:tcPr>
          <w:p>
            <w:pPr>
              <w:jc w:val="right"/>
              <w:ind w:right="76"/>
              <w:spacing w:after="0"/>
              <w:rPr>
                <w:sz w:val="20"/>
                <w:szCs w:val="20"/>
                <w:color w:val="auto"/>
              </w:rPr>
            </w:pPr>
            <w:r>
              <w:rPr>
                <w:rFonts w:ascii="Times New Roman" w:cs="Times New Roman" w:eastAsia="Times New Roman" w:hAnsi="Times New Roman"/>
                <w:sz w:val="13"/>
                <w:szCs w:val="13"/>
                <w:color w:val="auto"/>
                <w:w w:val="94"/>
              </w:rPr>
              <w:t>16,401</w:t>
            </w:r>
          </w:p>
        </w:tc>
        <w:tc>
          <w:tcPr>
            <w:tcW w:w="580" w:type="dxa"/>
            <w:vAlign w:val="bottom"/>
          </w:tcPr>
          <w:p>
            <w:pPr>
              <w:jc w:val="right"/>
              <w:ind w:right="436"/>
              <w:spacing w:after="0"/>
              <w:rPr>
                <w:sz w:val="20"/>
                <w:szCs w:val="20"/>
                <w:color w:val="auto"/>
              </w:rPr>
            </w:pPr>
            <w:r>
              <w:rPr>
                <w:rFonts w:ascii="Times New Roman" w:cs="Times New Roman" w:eastAsia="Times New Roman" w:hAnsi="Times New Roman"/>
                <w:sz w:val="13"/>
                <w:szCs w:val="13"/>
                <w:color w:val="auto"/>
                <w:w w:val="91"/>
              </w:rPr>
              <w:t>$</w:t>
            </w:r>
          </w:p>
        </w:tc>
        <w:tc>
          <w:tcPr>
            <w:tcW w:w="94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39,501</w:t>
            </w:r>
          </w:p>
        </w:tc>
        <w:tc>
          <w:tcPr>
            <w:tcW w:w="100" w:type="dxa"/>
            <w:vAlign w:val="bottom"/>
          </w:tcPr>
          <w:p>
            <w:pPr>
              <w:spacing w:after="0"/>
              <w:rPr>
                <w:sz w:val="14"/>
                <w:szCs w:val="14"/>
                <w:color w:val="auto"/>
              </w:rPr>
            </w:pPr>
          </w:p>
        </w:tc>
        <w:tc>
          <w:tcPr>
            <w:tcW w:w="380" w:type="dxa"/>
            <w:vAlign w:val="bottom"/>
          </w:tcPr>
          <w:p>
            <w:pPr>
              <w:jc w:val="right"/>
              <w:ind w:right="236"/>
              <w:spacing w:after="0"/>
              <w:rPr>
                <w:sz w:val="20"/>
                <w:szCs w:val="20"/>
                <w:color w:val="auto"/>
              </w:rPr>
            </w:pPr>
            <w:r>
              <w:rPr>
                <w:rFonts w:ascii="Times New Roman" w:cs="Times New Roman" w:eastAsia="Times New Roman" w:hAnsi="Times New Roman"/>
                <w:sz w:val="13"/>
                <w:szCs w:val="13"/>
                <w:color w:val="auto"/>
                <w:w w:val="91"/>
              </w:rPr>
              <w:t>$</w:t>
            </w:r>
          </w:p>
        </w:tc>
        <w:tc>
          <w:tcPr>
            <w:tcW w:w="920" w:type="dxa"/>
            <w:vAlign w:val="bottom"/>
            <w:gridSpan w:val="2"/>
          </w:tcPr>
          <w:p>
            <w:pPr>
              <w:ind w:left="640"/>
              <w:spacing w:after="0"/>
              <w:rPr>
                <w:sz w:val="20"/>
                <w:szCs w:val="20"/>
                <w:color w:val="auto"/>
              </w:rPr>
            </w:pPr>
            <w:r>
              <w:rPr>
                <w:rFonts w:ascii="Times New Roman" w:cs="Times New Roman" w:eastAsia="Times New Roman" w:hAnsi="Times New Roman"/>
                <w:sz w:val="13"/>
                <w:szCs w:val="13"/>
                <w:color w:val="auto"/>
              </w:rPr>
              <w:t>—</w:t>
            </w:r>
          </w:p>
        </w:tc>
        <w:tc>
          <w:tcPr>
            <w:tcW w:w="400" w:type="dxa"/>
            <w:vAlign w:val="bottom"/>
          </w:tcPr>
          <w:p>
            <w:pPr>
              <w:jc w:val="right"/>
              <w:ind w:right="256"/>
              <w:spacing w:after="0"/>
              <w:rPr>
                <w:sz w:val="20"/>
                <w:szCs w:val="20"/>
                <w:color w:val="auto"/>
              </w:rPr>
            </w:pPr>
            <w:r>
              <w:rPr>
                <w:rFonts w:ascii="Times New Roman" w:cs="Times New Roman" w:eastAsia="Times New Roman" w:hAnsi="Times New Roman"/>
                <w:sz w:val="13"/>
                <w:szCs w:val="13"/>
                <w:color w:val="auto"/>
                <w:w w:val="91"/>
              </w:rPr>
              <w:t>$</w:t>
            </w:r>
          </w:p>
        </w:tc>
        <w:tc>
          <w:tcPr>
            <w:tcW w:w="78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39,501</w:t>
            </w:r>
          </w:p>
        </w:tc>
      </w:tr>
      <w:tr>
        <w:trPr>
          <w:trHeight w:val="170"/>
        </w:trPr>
        <w:tc>
          <w:tcPr>
            <w:tcW w:w="500" w:type="dxa"/>
            <w:vAlign w:val="bottom"/>
          </w:tcPr>
          <w:p>
            <w:pPr>
              <w:jc w:val="right"/>
              <w:ind w:right="76"/>
              <w:spacing w:after="0"/>
              <w:rPr>
                <w:sz w:val="20"/>
                <w:szCs w:val="20"/>
                <w:color w:val="auto"/>
              </w:rPr>
            </w:pPr>
            <w:r>
              <w:rPr>
                <w:rFonts w:ascii="Times New Roman" w:cs="Times New Roman" w:eastAsia="Times New Roman" w:hAnsi="Times New Roman"/>
                <w:sz w:val="13"/>
                <w:szCs w:val="13"/>
                <w:color w:val="auto"/>
              </w:rPr>
              <w:t>—</w:t>
            </w:r>
          </w:p>
        </w:tc>
        <w:tc>
          <w:tcPr>
            <w:tcW w:w="580" w:type="dxa"/>
            <w:vAlign w:val="bottom"/>
          </w:tcPr>
          <w:p>
            <w:pPr>
              <w:jc w:val="right"/>
              <w:ind w:right="436"/>
              <w:spacing w:after="0"/>
              <w:rPr>
                <w:sz w:val="20"/>
                <w:szCs w:val="20"/>
                <w:color w:val="auto"/>
              </w:rPr>
            </w:pPr>
            <w:r>
              <w:rPr>
                <w:rFonts w:ascii="Times New Roman" w:cs="Times New Roman" w:eastAsia="Times New Roman" w:hAnsi="Times New Roman"/>
                <w:sz w:val="13"/>
                <w:szCs w:val="13"/>
                <w:color w:val="auto"/>
                <w:w w:val="91"/>
              </w:rPr>
              <w:t>$</w:t>
            </w:r>
          </w:p>
        </w:tc>
        <w:tc>
          <w:tcPr>
            <w:tcW w:w="94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4,303</w:t>
            </w:r>
          </w:p>
        </w:tc>
        <w:tc>
          <w:tcPr>
            <w:tcW w:w="100" w:type="dxa"/>
            <w:vAlign w:val="bottom"/>
          </w:tcPr>
          <w:p>
            <w:pPr>
              <w:spacing w:after="0"/>
              <w:rPr>
                <w:sz w:val="14"/>
                <w:szCs w:val="14"/>
                <w:color w:val="auto"/>
              </w:rPr>
            </w:pPr>
          </w:p>
        </w:tc>
        <w:tc>
          <w:tcPr>
            <w:tcW w:w="380" w:type="dxa"/>
            <w:vAlign w:val="bottom"/>
          </w:tcPr>
          <w:p>
            <w:pPr>
              <w:jc w:val="right"/>
              <w:ind w:right="236"/>
              <w:spacing w:after="0"/>
              <w:rPr>
                <w:sz w:val="20"/>
                <w:szCs w:val="20"/>
                <w:color w:val="auto"/>
              </w:rPr>
            </w:pPr>
            <w:r>
              <w:rPr>
                <w:rFonts w:ascii="Times New Roman" w:cs="Times New Roman" w:eastAsia="Times New Roman" w:hAnsi="Times New Roman"/>
                <w:sz w:val="13"/>
                <w:szCs w:val="13"/>
                <w:color w:val="auto"/>
                <w:w w:val="91"/>
              </w:rPr>
              <w:t>$</w:t>
            </w:r>
          </w:p>
        </w:tc>
        <w:tc>
          <w:tcPr>
            <w:tcW w:w="920" w:type="dxa"/>
            <w:vAlign w:val="bottom"/>
            <w:gridSpan w:val="2"/>
          </w:tcPr>
          <w:p>
            <w:pPr>
              <w:ind w:left="640"/>
              <w:spacing w:after="0"/>
              <w:rPr>
                <w:sz w:val="20"/>
                <w:szCs w:val="20"/>
                <w:color w:val="auto"/>
              </w:rPr>
            </w:pPr>
            <w:r>
              <w:rPr>
                <w:rFonts w:ascii="Times New Roman" w:cs="Times New Roman" w:eastAsia="Times New Roman" w:hAnsi="Times New Roman"/>
                <w:sz w:val="13"/>
                <w:szCs w:val="13"/>
                <w:color w:val="auto"/>
              </w:rPr>
              <w:t>—</w:t>
            </w:r>
          </w:p>
        </w:tc>
        <w:tc>
          <w:tcPr>
            <w:tcW w:w="400" w:type="dxa"/>
            <w:vAlign w:val="bottom"/>
          </w:tcPr>
          <w:p>
            <w:pPr>
              <w:jc w:val="right"/>
              <w:ind w:right="256"/>
              <w:spacing w:after="0"/>
              <w:rPr>
                <w:sz w:val="20"/>
                <w:szCs w:val="20"/>
                <w:color w:val="auto"/>
              </w:rPr>
            </w:pPr>
            <w:r>
              <w:rPr>
                <w:rFonts w:ascii="Times New Roman" w:cs="Times New Roman" w:eastAsia="Times New Roman" w:hAnsi="Times New Roman"/>
                <w:sz w:val="13"/>
                <w:szCs w:val="13"/>
                <w:color w:val="auto"/>
                <w:w w:val="91"/>
              </w:rPr>
              <w:t>$</w:t>
            </w:r>
          </w:p>
        </w:tc>
        <w:tc>
          <w:tcPr>
            <w:tcW w:w="78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4,303</w:t>
            </w:r>
          </w:p>
        </w:tc>
      </w:tr>
      <w:tr>
        <w:trPr>
          <w:trHeight w:val="170"/>
        </w:trPr>
        <w:tc>
          <w:tcPr>
            <w:tcW w:w="500" w:type="dxa"/>
            <w:vAlign w:val="bottom"/>
          </w:tcPr>
          <w:p>
            <w:pPr>
              <w:jc w:val="right"/>
              <w:ind w:right="76"/>
              <w:spacing w:after="0"/>
              <w:rPr>
                <w:sz w:val="20"/>
                <w:szCs w:val="20"/>
                <w:color w:val="auto"/>
              </w:rPr>
            </w:pPr>
            <w:r>
              <w:rPr>
                <w:rFonts w:ascii="Times New Roman" w:cs="Times New Roman" w:eastAsia="Times New Roman" w:hAnsi="Times New Roman"/>
                <w:sz w:val="13"/>
                <w:szCs w:val="13"/>
                <w:color w:val="auto"/>
              </w:rPr>
              <w:t>17</w:t>
            </w:r>
          </w:p>
        </w:tc>
        <w:tc>
          <w:tcPr>
            <w:tcW w:w="580" w:type="dxa"/>
            <w:vAlign w:val="bottom"/>
          </w:tcPr>
          <w:p>
            <w:pPr>
              <w:jc w:val="right"/>
              <w:ind w:right="436"/>
              <w:spacing w:after="0"/>
              <w:rPr>
                <w:sz w:val="20"/>
                <w:szCs w:val="20"/>
                <w:color w:val="auto"/>
              </w:rPr>
            </w:pPr>
            <w:r>
              <w:rPr>
                <w:rFonts w:ascii="Times New Roman" w:cs="Times New Roman" w:eastAsia="Times New Roman" w:hAnsi="Times New Roman"/>
                <w:sz w:val="13"/>
                <w:szCs w:val="13"/>
                <w:color w:val="auto"/>
                <w:w w:val="91"/>
              </w:rPr>
              <w:t>$</w:t>
            </w:r>
          </w:p>
        </w:tc>
        <w:tc>
          <w:tcPr>
            <w:tcW w:w="94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22</w:t>
            </w:r>
          </w:p>
        </w:tc>
        <w:tc>
          <w:tcPr>
            <w:tcW w:w="100" w:type="dxa"/>
            <w:vAlign w:val="bottom"/>
          </w:tcPr>
          <w:p>
            <w:pPr>
              <w:spacing w:after="0"/>
              <w:rPr>
                <w:sz w:val="14"/>
                <w:szCs w:val="14"/>
                <w:color w:val="auto"/>
              </w:rPr>
            </w:pPr>
          </w:p>
        </w:tc>
        <w:tc>
          <w:tcPr>
            <w:tcW w:w="380" w:type="dxa"/>
            <w:vAlign w:val="bottom"/>
          </w:tcPr>
          <w:p>
            <w:pPr>
              <w:jc w:val="right"/>
              <w:ind w:right="236"/>
              <w:spacing w:after="0"/>
              <w:rPr>
                <w:sz w:val="20"/>
                <w:szCs w:val="20"/>
                <w:color w:val="auto"/>
              </w:rPr>
            </w:pPr>
            <w:r>
              <w:rPr>
                <w:rFonts w:ascii="Times New Roman" w:cs="Times New Roman" w:eastAsia="Times New Roman" w:hAnsi="Times New Roman"/>
                <w:sz w:val="13"/>
                <w:szCs w:val="13"/>
                <w:color w:val="auto"/>
                <w:w w:val="91"/>
              </w:rPr>
              <w:t>$</w:t>
            </w:r>
          </w:p>
        </w:tc>
        <w:tc>
          <w:tcPr>
            <w:tcW w:w="820" w:type="dxa"/>
            <w:vAlign w:val="bottom"/>
          </w:tcPr>
          <w:p>
            <w:pPr>
              <w:ind w:left="640"/>
              <w:spacing w:after="0"/>
              <w:rPr>
                <w:sz w:val="20"/>
                <w:szCs w:val="20"/>
                <w:color w:val="auto"/>
              </w:rPr>
            </w:pPr>
            <w:r>
              <w:rPr>
                <w:rFonts w:ascii="Times New Roman" w:cs="Times New Roman" w:eastAsia="Times New Roman" w:hAnsi="Times New Roman"/>
                <w:sz w:val="13"/>
                <w:szCs w:val="13"/>
                <w:color w:val="auto"/>
              </w:rPr>
              <w:t>64</w:t>
            </w:r>
          </w:p>
        </w:tc>
        <w:tc>
          <w:tcPr>
            <w:tcW w:w="100" w:type="dxa"/>
            <w:vAlign w:val="bottom"/>
          </w:tcPr>
          <w:p>
            <w:pPr>
              <w:spacing w:after="0"/>
              <w:rPr>
                <w:sz w:val="14"/>
                <w:szCs w:val="14"/>
                <w:color w:val="auto"/>
              </w:rPr>
            </w:pPr>
          </w:p>
        </w:tc>
        <w:tc>
          <w:tcPr>
            <w:tcW w:w="400" w:type="dxa"/>
            <w:vAlign w:val="bottom"/>
          </w:tcPr>
          <w:p>
            <w:pPr>
              <w:jc w:val="right"/>
              <w:ind w:right="256"/>
              <w:spacing w:after="0"/>
              <w:rPr>
                <w:sz w:val="20"/>
                <w:szCs w:val="20"/>
                <w:color w:val="auto"/>
              </w:rPr>
            </w:pPr>
            <w:r>
              <w:rPr>
                <w:rFonts w:ascii="Times New Roman" w:cs="Times New Roman" w:eastAsia="Times New Roman" w:hAnsi="Times New Roman"/>
                <w:sz w:val="13"/>
                <w:szCs w:val="13"/>
                <w:color w:val="auto"/>
                <w:w w:val="91"/>
              </w:rPr>
              <w:t>$</w:t>
            </w:r>
          </w:p>
        </w:tc>
        <w:tc>
          <w:tcPr>
            <w:tcW w:w="78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86</w:t>
            </w:r>
          </w:p>
        </w:tc>
      </w:tr>
      <w:tr>
        <w:trPr>
          <w:trHeight w:val="668"/>
        </w:trPr>
        <w:tc>
          <w:tcPr>
            <w:tcW w:w="500" w:type="dxa"/>
            <w:vAlign w:val="bottom"/>
          </w:tcPr>
          <w:p>
            <w:pPr>
              <w:jc w:val="right"/>
              <w:ind w:right="76"/>
              <w:spacing w:after="0"/>
              <w:rPr>
                <w:sz w:val="20"/>
                <w:szCs w:val="20"/>
                <w:color w:val="auto"/>
              </w:rPr>
            </w:pPr>
            <w:r>
              <w:rPr>
                <w:rFonts w:ascii="Times New Roman" w:cs="Times New Roman" w:eastAsia="Times New Roman" w:hAnsi="Times New Roman"/>
                <w:sz w:val="13"/>
                <w:szCs w:val="13"/>
                <w:color w:val="auto"/>
                <w:w w:val="94"/>
              </w:rPr>
              <w:t>21,904</w:t>
            </w:r>
          </w:p>
        </w:tc>
        <w:tc>
          <w:tcPr>
            <w:tcW w:w="580" w:type="dxa"/>
            <w:vAlign w:val="bottom"/>
          </w:tcPr>
          <w:p>
            <w:pPr>
              <w:jc w:val="right"/>
              <w:ind w:right="436"/>
              <w:spacing w:after="0"/>
              <w:rPr>
                <w:sz w:val="20"/>
                <w:szCs w:val="20"/>
                <w:color w:val="auto"/>
              </w:rPr>
            </w:pPr>
            <w:r>
              <w:rPr>
                <w:rFonts w:ascii="Times New Roman" w:cs="Times New Roman" w:eastAsia="Times New Roman" w:hAnsi="Times New Roman"/>
                <w:sz w:val="13"/>
                <w:szCs w:val="13"/>
                <w:color w:val="auto"/>
                <w:w w:val="91"/>
              </w:rPr>
              <w:t>$</w:t>
            </w:r>
          </w:p>
        </w:tc>
        <w:tc>
          <w:tcPr>
            <w:tcW w:w="94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93,052</w:t>
            </w:r>
          </w:p>
        </w:tc>
        <w:tc>
          <w:tcPr>
            <w:tcW w:w="100" w:type="dxa"/>
            <w:vAlign w:val="bottom"/>
          </w:tcPr>
          <w:p>
            <w:pPr>
              <w:spacing w:after="0"/>
              <w:rPr>
                <w:sz w:val="24"/>
                <w:szCs w:val="24"/>
                <w:color w:val="auto"/>
              </w:rPr>
            </w:pPr>
          </w:p>
        </w:tc>
        <w:tc>
          <w:tcPr>
            <w:tcW w:w="380" w:type="dxa"/>
            <w:vAlign w:val="bottom"/>
          </w:tcPr>
          <w:p>
            <w:pPr>
              <w:jc w:val="right"/>
              <w:ind w:right="236"/>
              <w:spacing w:after="0"/>
              <w:rPr>
                <w:sz w:val="20"/>
                <w:szCs w:val="20"/>
                <w:color w:val="auto"/>
              </w:rPr>
            </w:pPr>
            <w:r>
              <w:rPr>
                <w:rFonts w:ascii="Times New Roman" w:cs="Times New Roman" w:eastAsia="Times New Roman" w:hAnsi="Times New Roman"/>
                <w:sz w:val="13"/>
                <w:szCs w:val="13"/>
                <w:color w:val="auto"/>
                <w:w w:val="91"/>
              </w:rPr>
              <w:t>$</w:t>
            </w:r>
          </w:p>
        </w:tc>
        <w:tc>
          <w:tcPr>
            <w:tcW w:w="920" w:type="dxa"/>
            <w:vAlign w:val="bottom"/>
            <w:gridSpan w:val="2"/>
          </w:tcPr>
          <w:p>
            <w:pPr>
              <w:ind w:left="640"/>
              <w:spacing w:after="0"/>
              <w:rPr>
                <w:sz w:val="20"/>
                <w:szCs w:val="20"/>
                <w:color w:val="auto"/>
              </w:rPr>
            </w:pPr>
            <w:r>
              <w:rPr>
                <w:rFonts w:ascii="Times New Roman" w:cs="Times New Roman" w:eastAsia="Times New Roman" w:hAnsi="Times New Roman"/>
                <w:sz w:val="13"/>
                <w:szCs w:val="13"/>
                <w:color w:val="auto"/>
              </w:rPr>
              <w:t>—</w:t>
            </w:r>
          </w:p>
        </w:tc>
        <w:tc>
          <w:tcPr>
            <w:tcW w:w="400" w:type="dxa"/>
            <w:vAlign w:val="bottom"/>
          </w:tcPr>
          <w:p>
            <w:pPr>
              <w:jc w:val="right"/>
              <w:ind w:right="256"/>
              <w:spacing w:after="0"/>
              <w:rPr>
                <w:sz w:val="20"/>
                <w:szCs w:val="20"/>
                <w:color w:val="auto"/>
              </w:rPr>
            </w:pPr>
            <w:r>
              <w:rPr>
                <w:rFonts w:ascii="Times New Roman" w:cs="Times New Roman" w:eastAsia="Times New Roman" w:hAnsi="Times New Roman"/>
                <w:sz w:val="13"/>
                <w:szCs w:val="13"/>
                <w:color w:val="auto"/>
                <w:w w:val="91"/>
              </w:rPr>
              <w:t>$</w:t>
            </w:r>
          </w:p>
        </w:tc>
        <w:tc>
          <w:tcPr>
            <w:tcW w:w="78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93,052</w:t>
            </w:r>
          </w:p>
        </w:tc>
      </w:tr>
      <w:tr>
        <w:trPr>
          <w:trHeight w:val="170"/>
        </w:trPr>
        <w:tc>
          <w:tcPr>
            <w:tcW w:w="500" w:type="dxa"/>
            <w:vAlign w:val="bottom"/>
          </w:tcPr>
          <w:p>
            <w:pPr>
              <w:jc w:val="right"/>
              <w:ind w:right="76"/>
              <w:spacing w:after="0"/>
              <w:rPr>
                <w:sz w:val="20"/>
                <w:szCs w:val="20"/>
                <w:color w:val="auto"/>
              </w:rPr>
            </w:pPr>
            <w:r>
              <w:rPr>
                <w:rFonts w:ascii="Times New Roman" w:cs="Times New Roman" w:eastAsia="Times New Roman" w:hAnsi="Times New Roman"/>
                <w:sz w:val="13"/>
                <w:szCs w:val="13"/>
                <w:color w:val="auto"/>
              </w:rPr>
              <w:t>186</w:t>
            </w:r>
          </w:p>
        </w:tc>
        <w:tc>
          <w:tcPr>
            <w:tcW w:w="580" w:type="dxa"/>
            <w:vAlign w:val="bottom"/>
          </w:tcPr>
          <w:p>
            <w:pPr>
              <w:spacing w:after="0"/>
              <w:rPr>
                <w:sz w:val="14"/>
                <w:szCs w:val="14"/>
                <w:color w:val="auto"/>
              </w:rPr>
            </w:pPr>
          </w:p>
        </w:tc>
        <w:tc>
          <w:tcPr>
            <w:tcW w:w="94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6,145</w:t>
            </w:r>
          </w:p>
        </w:tc>
        <w:tc>
          <w:tcPr>
            <w:tcW w:w="100" w:type="dxa"/>
            <w:vAlign w:val="bottom"/>
          </w:tcPr>
          <w:p>
            <w:pPr>
              <w:spacing w:after="0"/>
              <w:rPr>
                <w:sz w:val="14"/>
                <w:szCs w:val="14"/>
                <w:color w:val="auto"/>
              </w:rPr>
            </w:pPr>
          </w:p>
        </w:tc>
        <w:tc>
          <w:tcPr>
            <w:tcW w:w="380" w:type="dxa"/>
            <w:vAlign w:val="bottom"/>
          </w:tcPr>
          <w:p>
            <w:pPr>
              <w:spacing w:after="0"/>
              <w:rPr>
                <w:sz w:val="14"/>
                <w:szCs w:val="14"/>
                <w:color w:val="auto"/>
              </w:rPr>
            </w:pPr>
          </w:p>
        </w:tc>
        <w:tc>
          <w:tcPr>
            <w:tcW w:w="82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(6,145)</w:t>
            </w:r>
          </w:p>
        </w:tc>
        <w:tc>
          <w:tcPr>
            <w:tcW w:w="100" w:type="dxa"/>
            <w:vAlign w:val="bottom"/>
          </w:tcPr>
          <w:p>
            <w:pPr>
              <w:spacing w:after="0"/>
              <w:rPr>
                <w:sz w:val="14"/>
                <w:szCs w:val="14"/>
                <w:color w:val="auto"/>
              </w:rPr>
            </w:pPr>
          </w:p>
        </w:tc>
        <w:tc>
          <w:tcPr>
            <w:tcW w:w="400" w:type="dxa"/>
            <w:vAlign w:val="bottom"/>
          </w:tcPr>
          <w:p>
            <w:pPr>
              <w:spacing w:after="0"/>
              <w:rPr>
                <w:sz w:val="14"/>
                <w:szCs w:val="14"/>
                <w:color w:val="auto"/>
              </w:rPr>
            </w:pPr>
          </w:p>
        </w:tc>
        <w:tc>
          <w:tcPr>
            <w:tcW w:w="78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w:t>
            </w:r>
          </w:p>
        </w:tc>
      </w:tr>
      <w:tr>
        <w:trPr>
          <w:trHeight w:val="170"/>
        </w:trPr>
        <w:tc>
          <w:tcPr>
            <w:tcW w:w="500" w:type="dxa"/>
            <w:vAlign w:val="bottom"/>
          </w:tcPr>
          <w:p>
            <w:pPr>
              <w:jc w:val="right"/>
              <w:ind w:right="76"/>
              <w:spacing w:after="0"/>
              <w:rPr>
                <w:sz w:val="20"/>
                <w:szCs w:val="20"/>
                <w:color w:val="auto"/>
              </w:rPr>
            </w:pPr>
            <w:r>
              <w:rPr>
                <w:rFonts w:ascii="Times New Roman" w:cs="Times New Roman" w:eastAsia="Times New Roman" w:hAnsi="Times New Roman"/>
                <w:sz w:val="13"/>
                <w:szCs w:val="13"/>
                <w:color w:val="auto"/>
              </w:rPr>
              <w:t>—</w:t>
            </w:r>
          </w:p>
        </w:tc>
        <w:tc>
          <w:tcPr>
            <w:tcW w:w="580" w:type="dxa"/>
            <w:vAlign w:val="bottom"/>
          </w:tcPr>
          <w:p>
            <w:pPr>
              <w:spacing w:after="0"/>
              <w:rPr>
                <w:sz w:val="14"/>
                <w:szCs w:val="14"/>
                <w:color w:val="auto"/>
              </w:rPr>
            </w:pPr>
          </w:p>
        </w:tc>
        <w:tc>
          <w:tcPr>
            <w:tcW w:w="94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1,669</w:t>
            </w:r>
          </w:p>
        </w:tc>
        <w:tc>
          <w:tcPr>
            <w:tcW w:w="100" w:type="dxa"/>
            <w:vAlign w:val="bottom"/>
          </w:tcPr>
          <w:p>
            <w:pPr>
              <w:spacing w:after="0"/>
              <w:rPr>
                <w:sz w:val="14"/>
                <w:szCs w:val="14"/>
                <w:color w:val="auto"/>
              </w:rPr>
            </w:pPr>
          </w:p>
        </w:tc>
        <w:tc>
          <w:tcPr>
            <w:tcW w:w="380" w:type="dxa"/>
            <w:vAlign w:val="bottom"/>
          </w:tcPr>
          <w:p>
            <w:pPr>
              <w:spacing w:after="0"/>
              <w:rPr>
                <w:sz w:val="14"/>
                <w:szCs w:val="14"/>
                <w:color w:val="auto"/>
              </w:rPr>
            </w:pPr>
          </w:p>
        </w:tc>
        <w:tc>
          <w:tcPr>
            <w:tcW w:w="920" w:type="dxa"/>
            <w:vAlign w:val="bottom"/>
            <w:gridSpan w:val="2"/>
          </w:tcPr>
          <w:p>
            <w:pPr>
              <w:ind w:left="640"/>
              <w:spacing w:after="0"/>
              <w:rPr>
                <w:sz w:val="20"/>
                <w:szCs w:val="20"/>
                <w:color w:val="auto"/>
              </w:rPr>
            </w:pPr>
            <w:r>
              <w:rPr>
                <w:rFonts w:ascii="Times New Roman" w:cs="Times New Roman" w:eastAsia="Times New Roman" w:hAnsi="Times New Roman"/>
                <w:sz w:val="13"/>
                <w:szCs w:val="13"/>
                <w:color w:val="auto"/>
              </w:rPr>
              <w:t>—</w:t>
            </w:r>
          </w:p>
        </w:tc>
        <w:tc>
          <w:tcPr>
            <w:tcW w:w="400" w:type="dxa"/>
            <w:vAlign w:val="bottom"/>
          </w:tcPr>
          <w:p>
            <w:pPr>
              <w:spacing w:after="0"/>
              <w:rPr>
                <w:sz w:val="14"/>
                <w:szCs w:val="14"/>
                <w:color w:val="auto"/>
              </w:rPr>
            </w:pPr>
          </w:p>
        </w:tc>
        <w:tc>
          <w:tcPr>
            <w:tcW w:w="78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1,669</w:t>
            </w:r>
          </w:p>
        </w:tc>
      </w:tr>
      <w:tr>
        <w:trPr>
          <w:trHeight w:val="160"/>
        </w:trPr>
        <w:tc>
          <w:tcPr>
            <w:tcW w:w="500" w:type="dxa"/>
            <w:vAlign w:val="bottom"/>
          </w:tcPr>
          <w:p>
            <w:pPr>
              <w:jc w:val="right"/>
              <w:ind w:right="76"/>
              <w:spacing w:after="0"/>
              <w:rPr>
                <w:sz w:val="20"/>
                <w:szCs w:val="20"/>
                <w:color w:val="auto"/>
              </w:rPr>
            </w:pPr>
            <w:r>
              <w:rPr>
                <w:rFonts w:ascii="Times New Roman" w:cs="Times New Roman" w:eastAsia="Times New Roman" w:hAnsi="Times New Roman"/>
                <w:sz w:val="13"/>
                <w:szCs w:val="13"/>
                <w:color w:val="auto"/>
                <w:w w:val="94"/>
              </w:rPr>
              <w:t>22,090</w:t>
            </w:r>
          </w:p>
        </w:tc>
        <w:tc>
          <w:tcPr>
            <w:tcW w:w="580" w:type="dxa"/>
            <w:vAlign w:val="bottom"/>
            <w:tcBorders>
              <w:top w:val="single" w:sz="8" w:color="auto"/>
            </w:tcBorders>
          </w:tcPr>
          <w:p>
            <w:pPr>
              <w:spacing w:after="0"/>
              <w:rPr>
                <w:sz w:val="13"/>
                <w:szCs w:val="13"/>
                <w:color w:val="auto"/>
              </w:rPr>
            </w:pPr>
          </w:p>
        </w:tc>
        <w:tc>
          <w:tcPr>
            <w:tcW w:w="94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3"/>
                <w:szCs w:val="13"/>
                <w:color w:val="auto"/>
              </w:rPr>
              <w:t>100,866</w:t>
            </w:r>
          </w:p>
        </w:tc>
        <w:tc>
          <w:tcPr>
            <w:tcW w:w="100" w:type="dxa"/>
            <w:vAlign w:val="bottom"/>
          </w:tcPr>
          <w:p>
            <w:pPr>
              <w:spacing w:after="0"/>
              <w:rPr>
                <w:sz w:val="13"/>
                <w:szCs w:val="13"/>
                <w:color w:val="auto"/>
              </w:rPr>
            </w:pPr>
          </w:p>
        </w:tc>
        <w:tc>
          <w:tcPr>
            <w:tcW w:w="380" w:type="dxa"/>
            <w:vAlign w:val="bottom"/>
            <w:tcBorders>
              <w:top w:val="single" w:sz="8" w:color="auto"/>
            </w:tcBorders>
          </w:tcPr>
          <w:p>
            <w:pPr>
              <w:spacing w:after="0"/>
              <w:rPr>
                <w:sz w:val="13"/>
                <w:szCs w:val="13"/>
                <w:color w:val="auto"/>
              </w:rPr>
            </w:pPr>
          </w:p>
        </w:tc>
        <w:tc>
          <w:tcPr>
            <w:tcW w:w="82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3"/>
                <w:szCs w:val="13"/>
                <w:color w:val="auto"/>
              </w:rPr>
              <w:t>(6,145)</w:t>
            </w:r>
          </w:p>
        </w:tc>
        <w:tc>
          <w:tcPr>
            <w:tcW w:w="100" w:type="dxa"/>
            <w:vAlign w:val="bottom"/>
          </w:tcPr>
          <w:p>
            <w:pPr>
              <w:spacing w:after="0"/>
              <w:rPr>
                <w:sz w:val="13"/>
                <w:szCs w:val="13"/>
                <w:color w:val="auto"/>
              </w:rPr>
            </w:pPr>
          </w:p>
        </w:tc>
        <w:tc>
          <w:tcPr>
            <w:tcW w:w="400" w:type="dxa"/>
            <w:vAlign w:val="bottom"/>
            <w:tcBorders>
              <w:top w:val="single" w:sz="8" w:color="auto"/>
            </w:tcBorders>
          </w:tcPr>
          <w:p>
            <w:pPr>
              <w:spacing w:after="0"/>
              <w:rPr>
                <w:sz w:val="13"/>
                <w:szCs w:val="13"/>
                <w:color w:val="auto"/>
              </w:rPr>
            </w:pPr>
          </w:p>
        </w:tc>
        <w:tc>
          <w:tcPr>
            <w:tcW w:w="78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3"/>
                <w:szCs w:val="13"/>
                <w:color w:val="auto"/>
              </w:rPr>
              <w:t>94,721</w:t>
            </w:r>
          </w:p>
        </w:tc>
      </w:tr>
      <w:tr>
        <w:trPr>
          <w:trHeight w:val="170"/>
        </w:trPr>
        <w:tc>
          <w:tcPr>
            <w:tcW w:w="500" w:type="dxa"/>
            <w:vAlign w:val="bottom"/>
          </w:tcPr>
          <w:p>
            <w:pPr>
              <w:jc w:val="right"/>
              <w:ind w:right="76"/>
              <w:spacing w:after="0"/>
              <w:rPr>
                <w:sz w:val="20"/>
                <w:szCs w:val="20"/>
                <w:color w:val="auto"/>
              </w:rPr>
            </w:pPr>
            <w:r>
              <w:rPr>
                <w:rFonts w:ascii="Times New Roman" w:cs="Times New Roman" w:eastAsia="Times New Roman" w:hAnsi="Times New Roman"/>
                <w:sz w:val="13"/>
                <w:szCs w:val="13"/>
                <w:color w:val="auto"/>
              </w:rPr>
              <w:t>490</w:t>
            </w:r>
          </w:p>
        </w:tc>
        <w:tc>
          <w:tcPr>
            <w:tcW w:w="580" w:type="dxa"/>
            <w:vAlign w:val="bottom"/>
          </w:tcPr>
          <w:p>
            <w:pPr>
              <w:jc w:val="right"/>
              <w:ind w:right="436"/>
              <w:spacing w:after="0"/>
              <w:rPr>
                <w:sz w:val="20"/>
                <w:szCs w:val="20"/>
                <w:color w:val="auto"/>
              </w:rPr>
            </w:pPr>
            <w:r>
              <w:rPr>
                <w:rFonts w:ascii="Times New Roman" w:cs="Times New Roman" w:eastAsia="Times New Roman" w:hAnsi="Times New Roman"/>
                <w:sz w:val="13"/>
                <w:szCs w:val="13"/>
                <w:color w:val="auto"/>
                <w:w w:val="91"/>
              </w:rPr>
              <w:t>$</w:t>
            </w:r>
          </w:p>
        </w:tc>
        <w:tc>
          <w:tcPr>
            <w:tcW w:w="94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1,636</w:t>
            </w:r>
          </w:p>
        </w:tc>
        <w:tc>
          <w:tcPr>
            <w:tcW w:w="100" w:type="dxa"/>
            <w:vAlign w:val="bottom"/>
          </w:tcPr>
          <w:p>
            <w:pPr>
              <w:spacing w:after="0"/>
              <w:rPr>
                <w:sz w:val="14"/>
                <w:szCs w:val="14"/>
                <w:color w:val="auto"/>
              </w:rPr>
            </w:pPr>
          </w:p>
        </w:tc>
        <w:tc>
          <w:tcPr>
            <w:tcW w:w="380" w:type="dxa"/>
            <w:vAlign w:val="bottom"/>
          </w:tcPr>
          <w:p>
            <w:pPr>
              <w:jc w:val="right"/>
              <w:ind w:right="236"/>
              <w:spacing w:after="0"/>
              <w:rPr>
                <w:sz w:val="20"/>
                <w:szCs w:val="20"/>
                <w:color w:val="auto"/>
              </w:rPr>
            </w:pPr>
            <w:r>
              <w:rPr>
                <w:rFonts w:ascii="Times New Roman" w:cs="Times New Roman" w:eastAsia="Times New Roman" w:hAnsi="Times New Roman"/>
                <w:sz w:val="13"/>
                <w:szCs w:val="13"/>
                <w:color w:val="auto"/>
                <w:w w:val="91"/>
              </w:rPr>
              <w:t>$</w:t>
            </w:r>
          </w:p>
        </w:tc>
        <w:tc>
          <w:tcPr>
            <w:tcW w:w="920" w:type="dxa"/>
            <w:vAlign w:val="bottom"/>
            <w:gridSpan w:val="2"/>
          </w:tcPr>
          <w:p>
            <w:pPr>
              <w:ind w:left="640"/>
              <w:spacing w:after="0"/>
              <w:rPr>
                <w:sz w:val="20"/>
                <w:szCs w:val="20"/>
                <w:color w:val="auto"/>
              </w:rPr>
            </w:pPr>
            <w:r>
              <w:rPr>
                <w:rFonts w:ascii="Times New Roman" w:cs="Times New Roman" w:eastAsia="Times New Roman" w:hAnsi="Times New Roman"/>
                <w:sz w:val="13"/>
                <w:szCs w:val="13"/>
                <w:color w:val="auto"/>
              </w:rPr>
              <w:t>—</w:t>
            </w:r>
          </w:p>
        </w:tc>
        <w:tc>
          <w:tcPr>
            <w:tcW w:w="400" w:type="dxa"/>
            <w:vAlign w:val="bottom"/>
          </w:tcPr>
          <w:p>
            <w:pPr>
              <w:jc w:val="right"/>
              <w:ind w:right="256"/>
              <w:spacing w:after="0"/>
              <w:rPr>
                <w:sz w:val="20"/>
                <w:szCs w:val="20"/>
                <w:color w:val="auto"/>
              </w:rPr>
            </w:pPr>
            <w:r>
              <w:rPr>
                <w:rFonts w:ascii="Times New Roman" w:cs="Times New Roman" w:eastAsia="Times New Roman" w:hAnsi="Times New Roman"/>
                <w:sz w:val="13"/>
                <w:szCs w:val="13"/>
                <w:color w:val="auto"/>
                <w:w w:val="91"/>
              </w:rPr>
              <w:t>$</w:t>
            </w:r>
          </w:p>
        </w:tc>
        <w:tc>
          <w:tcPr>
            <w:tcW w:w="78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1,636</w:t>
            </w:r>
          </w:p>
        </w:tc>
      </w:tr>
      <w:tr>
        <w:trPr>
          <w:trHeight w:val="170"/>
        </w:trPr>
        <w:tc>
          <w:tcPr>
            <w:tcW w:w="500" w:type="dxa"/>
            <w:vAlign w:val="bottom"/>
          </w:tcPr>
          <w:p>
            <w:pPr>
              <w:jc w:val="right"/>
              <w:ind w:right="76"/>
              <w:spacing w:after="0"/>
              <w:rPr>
                <w:sz w:val="20"/>
                <w:szCs w:val="20"/>
                <w:color w:val="auto"/>
              </w:rPr>
            </w:pPr>
            <w:r>
              <w:rPr>
                <w:rFonts w:ascii="Times New Roman" w:cs="Times New Roman" w:eastAsia="Times New Roman" w:hAnsi="Times New Roman"/>
                <w:sz w:val="13"/>
                <w:szCs w:val="13"/>
                <w:color w:val="auto"/>
              </w:rPr>
              <w:t>2,751</w:t>
            </w:r>
          </w:p>
        </w:tc>
        <w:tc>
          <w:tcPr>
            <w:tcW w:w="580" w:type="dxa"/>
            <w:vAlign w:val="bottom"/>
          </w:tcPr>
          <w:p>
            <w:pPr>
              <w:jc w:val="right"/>
              <w:ind w:right="436"/>
              <w:spacing w:after="0"/>
              <w:rPr>
                <w:sz w:val="20"/>
                <w:szCs w:val="20"/>
                <w:color w:val="auto"/>
              </w:rPr>
            </w:pPr>
            <w:r>
              <w:rPr>
                <w:rFonts w:ascii="Times New Roman" w:cs="Times New Roman" w:eastAsia="Times New Roman" w:hAnsi="Times New Roman"/>
                <w:sz w:val="13"/>
                <w:szCs w:val="13"/>
                <w:color w:val="auto"/>
                <w:w w:val="91"/>
              </w:rPr>
              <w:t>$</w:t>
            </w:r>
          </w:p>
        </w:tc>
        <w:tc>
          <w:tcPr>
            <w:tcW w:w="94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20,356</w:t>
            </w:r>
          </w:p>
        </w:tc>
        <w:tc>
          <w:tcPr>
            <w:tcW w:w="100" w:type="dxa"/>
            <w:vAlign w:val="bottom"/>
          </w:tcPr>
          <w:p>
            <w:pPr>
              <w:spacing w:after="0"/>
              <w:rPr>
                <w:sz w:val="14"/>
                <w:szCs w:val="14"/>
                <w:color w:val="auto"/>
              </w:rPr>
            </w:pPr>
          </w:p>
        </w:tc>
        <w:tc>
          <w:tcPr>
            <w:tcW w:w="380" w:type="dxa"/>
            <w:vAlign w:val="bottom"/>
          </w:tcPr>
          <w:p>
            <w:pPr>
              <w:jc w:val="right"/>
              <w:ind w:right="236"/>
              <w:spacing w:after="0"/>
              <w:rPr>
                <w:sz w:val="20"/>
                <w:szCs w:val="20"/>
                <w:color w:val="auto"/>
              </w:rPr>
            </w:pPr>
            <w:r>
              <w:rPr>
                <w:rFonts w:ascii="Times New Roman" w:cs="Times New Roman" w:eastAsia="Times New Roman" w:hAnsi="Times New Roman"/>
                <w:sz w:val="13"/>
                <w:szCs w:val="13"/>
                <w:color w:val="auto"/>
                <w:w w:val="91"/>
              </w:rPr>
              <w:t>$</w:t>
            </w:r>
          </w:p>
        </w:tc>
        <w:tc>
          <w:tcPr>
            <w:tcW w:w="82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(18,145)</w:t>
            </w:r>
          </w:p>
        </w:tc>
        <w:tc>
          <w:tcPr>
            <w:tcW w:w="100" w:type="dxa"/>
            <w:vAlign w:val="bottom"/>
          </w:tcPr>
          <w:p>
            <w:pPr>
              <w:spacing w:after="0"/>
              <w:rPr>
                <w:sz w:val="14"/>
                <w:szCs w:val="14"/>
                <w:color w:val="auto"/>
              </w:rPr>
            </w:pPr>
          </w:p>
        </w:tc>
        <w:tc>
          <w:tcPr>
            <w:tcW w:w="400" w:type="dxa"/>
            <w:vAlign w:val="bottom"/>
          </w:tcPr>
          <w:p>
            <w:pPr>
              <w:jc w:val="right"/>
              <w:ind w:right="256"/>
              <w:spacing w:after="0"/>
              <w:rPr>
                <w:sz w:val="20"/>
                <w:szCs w:val="20"/>
                <w:color w:val="auto"/>
              </w:rPr>
            </w:pPr>
            <w:r>
              <w:rPr>
                <w:rFonts w:ascii="Times New Roman" w:cs="Times New Roman" w:eastAsia="Times New Roman" w:hAnsi="Times New Roman"/>
                <w:sz w:val="13"/>
                <w:szCs w:val="13"/>
                <w:color w:val="auto"/>
                <w:w w:val="91"/>
              </w:rPr>
              <w:t>$</w:t>
            </w:r>
          </w:p>
        </w:tc>
        <w:tc>
          <w:tcPr>
            <w:tcW w:w="78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2,211</w:t>
            </w:r>
          </w:p>
        </w:tc>
      </w:tr>
      <w:tr>
        <w:trPr>
          <w:trHeight w:val="170"/>
        </w:trPr>
        <w:tc>
          <w:tcPr>
            <w:tcW w:w="500" w:type="dxa"/>
            <w:vAlign w:val="bottom"/>
          </w:tcPr>
          <w:p>
            <w:pPr>
              <w:jc w:val="right"/>
              <w:ind w:right="76"/>
              <w:spacing w:after="0"/>
              <w:rPr>
                <w:sz w:val="20"/>
                <w:szCs w:val="20"/>
                <w:color w:val="auto"/>
              </w:rPr>
            </w:pPr>
            <w:r>
              <w:rPr>
                <w:rFonts w:ascii="Times New Roman" w:cs="Times New Roman" w:eastAsia="Times New Roman" w:hAnsi="Times New Roman"/>
                <w:sz w:val="13"/>
                <w:szCs w:val="13"/>
                <w:color w:val="auto"/>
                <w:w w:val="94"/>
              </w:rPr>
              <w:t>46,438</w:t>
            </w:r>
          </w:p>
        </w:tc>
        <w:tc>
          <w:tcPr>
            <w:tcW w:w="580" w:type="dxa"/>
            <w:vAlign w:val="bottom"/>
          </w:tcPr>
          <w:p>
            <w:pPr>
              <w:jc w:val="right"/>
              <w:ind w:right="436"/>
              <w:spacing w:after="0"/>
              <w:rPr>
                <w:sz w:val="20"/>
                <w:szCs w:val="20"/>
                <w:color w:val="auto"/>
              </w:rPr>
            </w:pPr>
            <w:r>
              <w:rPr>
                <w:rFonts w:ascii="Times New Roman" w:cs="Times New Roman" w:eastAsia="Times New Roman" w:hAnsi="Times New Roman"/>
                <w:sz w:val="13"/>
                <w:szCs w:val="13"/>
                <w:color w:val="auto"/>
                <w:w w:val="91"/>
              </w:rPr>
              <w:t>$</w:t>
            </w:r>
          </w:p>
        </w:tc>
        <w:tc>
          <w:tcPr>
            <w:tcW w:w="94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355,856</w:t>
            </w:r>
          </w:p>
        </w:tc>
        <w:tc>
          <w:tcPr>
            <w:tcW w:w="100" w:type="dxa"/>
            <w:vAlign w:val="bottom"/>
          </w:tcPr>
          <w:p>
            <w:pPr>
              <w:spacing w:after="0"/>
              <w:rPr>
                <w:sz w:val="14"/>
                <w:szCs w:val="14"/>
                <w:color w:val="auto"/>
              </w:rPr>
            </w:pPr>
          </w:p>
        </w:tc>
        <w:tc>
          <w:tcPr>
            <w:tcW w:w="380" w:type="dxa"/>
            <w:vAlign w:val="bottom"/>
          </w:tcPr>
          <w:p>
            <w:pPr>
              <w:jc w:val="right"/>
              <w:ind w:right="236"/>
              <w:spacing w:after="0"/>
              <w:rPr>
                <w:sz w:val="20"/>
                <w:szCs w:val="20"/>
                <w:color w:val="auto"/>
              </w:rPr>
            </w:pPr>
            <w:r>
              <w:rPr>
                <w:rFonts w:ascii="Times New Roman" w:cs="Times New Roman" w:eastAsia="Times New Roman" w:hAnsi="Times New Roman"/>
                <w:sz w:val="13"/>
                <w:szCs w:val="13"/>
                <w:color w:val="auto"/>
                <w:w w:val="91"/>
              </w:rPr>
              <w:t>$</w:t>
            </w:r>
          </w:p>
        </w:tc>
        <w:tc>
          <w:tcPr>
            <w:tcW w:w="82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(205,867)</w:t>
            </w:r>
          </w:p>
        </w:tc>
        <w:tc>
          <w:tcPr>
            <w:tcW w:w="100" w:type="dxa"/>
            <w:vAlign w:val="bottom"/>
          </w:tcPr>
          <w:p>
            <w:pPr>
              <w:spacing w:after="0"/>
              <w:rPr>
                <w:sz w:val="14"/>
                <w:szCs w:val="14"/>
                <w:color w:val="auto"/>
              </w:rPr>
            </w:pPr>
          </w:p>
        </w:tc>
        <w:tc>
          <w:tcPr>
            <w:tcW w:w="400" w:type="dxa"/>
            <w:vAlign w:val="bottom"/>
          </w:tcPr>
          <w:p>
            <w:pPr>
              <w:jc w:val="right"/>
              <w:ind w:right="256"/>
              <w:spacing w:after="0"/>
              <w:rPr>
                <w:sz w:val="20"/>
                <w:szCs w:val="20"/>
                <w:color w:val="auto"/>
              </w:rPr>
            </w:pPr>
            <w:r>
              <w:rPr>
                <w:rFonts w:ascii="Times New Roman" w:cs="Times New Roman" w:eastAsia="Times New Roman" w:hAnsi="Times New Roman"/>
                <w:sz w:val="13"/>
                <w:szCs w:val="13"/>
                <w:color w:val="auto"/>
                <w:w w:val="91"/>
              </w:rPr>
              <w:t>$</w:t>
            </w:r>
          </w:p>
        </w:tc>
        <w:tc>
          <w:tcPr>
            <w:tcW w:w="78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149,989</w:t>
            </w:r>
          </w:p>
        </w:tc>
      </w:tr>
      <w:tr>
        <w:trPr>
          <w:trHeight w:val="170"/>
        </w:trPr>
        <w:tc>
          <w:tcPr>
            <w:tcW w:w="500" w:type="dxa"/>
            <w:vAlign w:val="bottom"/>
          </w:tcPr>
          <w:p>
            <w:pPr>
              <w:jc w:val="right"/>
              <w:ind w:right="76"/>
              <w:spacing w:after="0"/>
              <w:rPr>
                <w:sz w:val="20"/>
                <w:szCs w:val="20"/>
                <w:color w:val="auto"/>
              </w:rPr>
            </w:pPr>
            <w:r>
              <w:rPr>
                <w:rFonts w:ascii="Times New Roman" w:cs="Times New Roman" w:eastAsia="Times New Roman" w:hAnsi="Times New Roman"/>
                <w:sz w:val="13"/>
                <w:szCs w:val="13"/>
                <w:color w:val="auto"/>
                <w:w w:val="94"/>
              </w:rPr>
              <w:t>16,401</w:t>
            </w:r>
          </w:p>
        </w:tc>
        <w:tc>
          <w:tcPr>
            <w:tcW w:w="580" w:type="dxa"/>
            <w:vAlign w:val="bottom"/>
          </w:tcPr>
          <w:p>
            <w:pPr>
              <w:jc w:val="right"/>
              <w:ind w:right="436"/>
              <w:spacing w:after="0"/>
              <w:rPr>
                <w:sz w:val="20"/>
                <w:szCs w:val="20"/>
                <w:color w:val="auto"/>
              </w:rPr>
            </w:pPr>
            <w:r>
              <w:rPr>
                <w:rFonts w:ascii="Times New Roman" w:cs="Times New Roman" w:eastAsia="Times New Roman" w:hAnsi="Times New Roman"/>
                <w:sz w:val="13"/>
                <w:szCs w:val="13"/>
                <w:color w:val="auto"/>
                <w:w w:val="91"/>
              </w:rPr>
              <w:t>$</w:t>
            </w:r>
          </w:p>
        </w:tc>
        <w:tc>
          <w:tcPr>
            <w:tcW w:w="94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39,501</w:t>
            </w:r>
          </w:p>
        </w:tc>
        <w:tc>
          <w:tcPr>
            <w:tcW w:w="100" w:type="dxa"/>
            <w:vAlign w:val="bottom"/>
          </w:tcPr>
          <w:p>
            <w:pPr>
              <w:spacing w:after="0"/>
              <w:rPr>
                <w:sz w:val="14"/>
                <w:szCs w:val="14"/>
                <w:color w:val="auto"/>
              </w:rPr>
            </w:pPr>
          </w:p>
        </w:tc>
        <w:tc>
          <w:tcPr>
            <w:tcW w:w="380" w:type="dxa"/>
            <w:vAlign w:val="bottom"/>
          </w:tcPr>
          <w:p>
            <w:pPr>
              <w:jc w:val="right"/>
              <w:ind w:right="236"/>
              <w:spacing w:after="0"/>
              <w:rPr>
                <w:sz w:val="20"/>
                <w:szCs w:val="20"/>
                <w:color w:val="auto"/>
              </w:rPr>
            </w:pPr>
            <w:r>
              <w:rPr>
                <w:rFonts w:ascii="Times New Roman" w:cs="Times New Roman" w:eastAsia="Times New Roman" w:hAnsi="Times New Roman"/>
                <w:sz w:val="13"/>
                <w:szCs w:val="13"/>
                <w:color w:val="auto"/>
                <w:w w:val="91"/>
              </w:rPr>
              <w:t>$</w:t>
            </w:r>
          </w:p>
        </w:tc>
        <w:tc>
          <w:tcPr>
            <w:tcW w:w="920" w:type="dxa"/>
            <w:vAlign w:val="bottom"/>
            <w:gridSpan w:val="2"/>
          </w:tcPr>
          <w:p>
            <w:pPr>
              <w:ind w:left="640"/>
              <w:spacing w:after="0"/>
              <w:rPr>
                <w:sz w:val="20"/>
                <w:szCs w:val="20"/>
                <w:color w:val="auto"/>
              </w:rPr>
            </w:pPr>
            <w:r>
              <w:rPr>
                <w:rFonts w:ascii="Times New Roman" w:cs="Times New Roman" w:eastAsia="Times New Roman" w:hAnsi="Times New Roman"/>
                <w:sz w:val="13"/>
                <w:szCs w:val="13"/>
                <w:color w:val="auto"/>
              </w:rPr>
              <w:t>—</w:t>
            </w:r>
          </w:p>
        </w:tc>
        <w:tc>
          <w:tcPr>
            <w:tcW w:w="400" w:type="dxa"/>
            <w:vAlign w:val="bottom"/>
          </w:tcPr>
          <w:p>
            <w:pPr>
              <w:jc w:val="right"/>
              <w:ind w:right="256"/>
              <w:spacing w:after="0"/>
              <w:rPr>
                <w:sz w:val="20"/>
                <w:szCs w:val="20"/>
                <w:color w:val="auto"/>
              </w:rPr>
            </w:pPr>
            <w:r>
              <w:rPr>
                <w:rFonts w:ascii="Times New Roman" w:cs="Times New Roman" w:eastAsia="Times New Roman" w:hAnsi="Times New Roman"/>
                <w:sz w:val="13"/>
                <w:szCs w:val="13"/>
                <w:color w:val="auto"/>
                <w:w w:val="91"/>
              </w:rPr>
              <w:t>$</w:t>
            </w:r>
          </w:p>
        </w:tc>
        <w:tc>
          <w:tcPr>
            <w:tcW w:w="78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39,501</w:t>
            </w:r>
          </w:p>
        </w:tc>
      </w:tr>
      <w:tr>
        <w:trPr>
          <w:trHeight w:val="170"/>
        </w:trPr>
        <w:tc>
          <w:tcPr>
            <w:tcW w:w="500" w:type="dxa"/>
            <w:vAlign w:val="bottom"/>
          </w:tcPr>
          <w:p>
            <w:pPr>
              <w:jc w:val="right"/>
              <w:ind w:right="76"/>
              <w:spacing w:after="0"/>
              <w:rPr>
                <w:sz w:val="20"/>
                <w:szCs w:val="20"/>
                <w:color w:val="auto"/>
              </w:rPr>
            </w:pPr>
            <w:r>
              <w:rPr>
                <w:rFonts w:ascii="Times New Roman" w:cs="Times New Roman" w:eastAsia="Times New Roman" w:hAnsi="Times New Roman"/>
                <w:sz w:val="13"/>
                <w:szCs w:val="13"/>
                <w:color w:val="auto"/>
              </w:rPr>
              <w:t>—</w:t>
            </w:r>
          </w:p>
        </w:tc>
        <w:tc>
          <w:tcPr>
            <w:tcW w:w="580" w:type="dxa"/>
            <w:vAlign w:val="bottom"/>
          </w:tcPr>
          <w:p>
            <w:pPr>
              <w:jc w:val="right"/>
              <w:ind w:right="436"/>
              <w:spacing w:after="0"/>
              <w:rPr>
                <w:sz w:val="20"/>
                <w:szCs w:val="20"/>
                <w:color w:val="auto"/>
              </w:rPr>
            </w:pPr>
            <w:r>
              <w:rPr>
                <w:rFonts w:ascii="Times New Roman" w:cs="Times New Roman" w:eastAsia="Times New Roman" w:hAnsi="Times New Roman"/>
                <w:sz w:val="13"/>
                <w:szCs w:val="13"/>
                <w:color w:val="auto"/>
                <w:w w:val="91"/>
              </w:rPr>
              <w:t>$</w:t>
            </w:r>
          </w:p>
        </w:tc>
        <w:tc>
          <w:tcPr>
            <w:tcW w:w="94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4,250</w:t>
            </w:r>
          </w:p>
        </w:tc>
        <w:tc>
          <w:tcPr>
            <w:tcW w:w="100" w:type="dxa"/>
            <w:vAlign w:val="bottom"/>
          </w:tcPr>
          <w:p>
            <w:pPr>
              <w:spacing w:after="0"/>
              <w:rPr>
                <w:sz w:val="14"/>
                <w:szCs w:val="14"/>
                <w:color w:val="auto"/>
              </w:rPr>
            </w:pPr>
          </w:p>
        </w:tc>
        <w:tc>
          <w:tcPr>
            <w:tcW w:w="380" w:type="dxa"/>
            <w:vAlign w:val="bottom"/>
          </w:tcPr>
          <w:p>
            <w:pPr>
              <w:jc w:val="right"/>
              <w:ind w:right="236"/>
              <w:spacing w:after="0"/>
              <w:rPr>
                <w:sz w:val="20"/>
                <w:szCs w:val="20"/>
                <w:color w:val="auto"/>
              </w:rPr>
            </w:pPr>
            <w:r>
              <w:rPr>
                <w:rFonts w:ascii="Times New Roman" w:cs="Times New Roman" w:eastAsia="Times New Roman" w:hAnsi="Times New Roman"/>
                <w:sz w:val="13"/>
                <w:szCs w:val="13"/>
                <w:color w:val="auto"/>
                <w:w w:val="91"/>
              </w:rPr>
              <w:t>$</w:t>
            </w:r>
          </w:p>
        </w:tc>
        <w:tc>
          <w:tcPr>
            <w:tcW w:w="920" w:type="dxa"/>
            <w:vAlign w:val="bottom"/>
            <w:gridSpan w:val="2"/>
          </w:tcPr>
          <w:p>
            <w:pPr>
              <w:ind w:left="640"/>
              <w:spacing w:after="0"/>
              <w:rPr>
                <w:sz w:val="20"/>
                <w:szCs w:val="20"/>
                <w:color w:val="auto"/>
              </w:rPr>
            </w:pPr>
            <w:r>
              <w:rPr>
                <w:rFonts w:ascii="Times New Roman" w:cs="Times New Roman" w:eastAsia="Times New Roman" w:hAnsi="Times New Roman"/>
                <w:sz w:val="13"/>
                <w:szCs w:val="13"/>
                <w:color w:val="auto"/>
              </w:rPr>
              <w:t>—</w:t>
            </w:r>
          </w:p>
        </w:tc>
        <w:tc>
          <w:tcPr>
            <w:tcW w:w="400" w:type="dxa"/>
            <w:vAlign w:val="bottom"/>
          </w:tcPr>
          <w:p>
            <w:pPr>
              <w:jc w:val="right"/>
              <w:ind w:right="256"/>
              <w:spacing w:after="0"/>
              <w:rPr>
                <w:sz w:val="20"/>
                <w:szCs w:val="20"/>
                <w:color w:val="auto"/>
              </w:rPr>
            </w:pPr>
            <w:r>
              <w:rPr>
                <w:rFonts w:ascii="Times New Roman" w:cs="Times New Roman" w:eastAsia="Times New Roman" w:hAnsi="Times New Roman"/>
                <w:sz w:val="13"/>
                <w:szCs w:val="13"/>
                <w:color w:val="auto"/>
                <w:w w:val="91"/>
              </w:rPr>
              <w:t>$</w:t>
            </w:r>
          </w:p>
        </w:tc>
        <w:tc>
          <w:tcPr>
            <w:tcW w:w="78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4,250</w:t>
            </w:r>
          </w:p>
        </w:tc>
      </w:tr>
      <w:tr>
        <w:trPr>
          <w:trHeight w:val="170"/>
        </w:trPr>
        <w:tc>
          <w:tcPr>
            <w:tcW w:w="500" w:type="dxa"/>
            <w:vAlign w:val="bottom"/>
          </w:tcPr>
          <w:p>
            <w:pPr>
              <w:jc w:val="right"/>
              <w:ind w:right="76"/>
              <w:spacing w:after="0"/>
              <w:rPr>
                <w:sz w:val="20"/>
                <w:szCs w:val="20"/>
                <w:color w:val="auto"/>
              </w:rPr>
            </w:pPr>
            <w:r>
              <w:rPr>
                <w:rFonts w:ascii="Times New Roman" w:cs="Times New Roman" w:eastAsia="Times New Roman" w:hAnsi="Times New Roman"/>
                <w:sz w:val="13"/>
                <w:szCs w:val="13"/>
                <w:color w:val="auto"/>
              </w:rPr>
              <w:t>75</w:t>
            </w:r>
          </w:p>
        </w:tc>
        <w:tc>
          <w:tcPr>
            <w:tcW w:w="580" w:type="dxa"/>
            <w:vAlign w:val="bottom"/>
          </w:tcPr>
          <w:p>
            <w:pPr>
              <w:jc w:val="right"/>
              <w:ind w:right="436"/>
              <w:spacing w:after="0"/>
              <w:rPr>
                <w:sz w:val="20"/>
                <w:szCs w:val="20"/>
                <w:color w:val="auto"/>
              </w:rPr>
            </w:pPr>
            <w:r>
              <w:rPr>
                <w:rFonts w:ascii="Times New Roman" w:cs="Times New Roman" w:eastAsia="Times New Roman" w:hAnsi="Times New Roman"/>
                <w:sz w:val="13"/>
                <w:szCs w:val="13"/>
                <w:color w:val="auto"/>
                <w:w w:val="91"/>
              </w:rPr>
              <w:t>$</w:t>
            </w:r>
          </w:p>
        </w:tc>
        <w:tc>
          <w:tcPr>
            <w:tcW w:w="94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90</w:t>
            </w:r>
          </w:p>
        </w:tc>
        <w:tc>
          <w:tcPr>
            <w:tcW w:w="100" w:type="dxa"/>
            <w:vAlign w:val="bottom"/>
          </w:tcPr>
          <w:p>
            <w:pPr>
              <w:spacing w:after="0"/>
              <w:rPr>
                <w:sz w:val="14"/>
                <w:szCs w:val="14"/>
                <w:color w:val="auto"/>
              </w:rPr>
            </w:pPr>
          </w:p>
        </w:tc>
        <w:tc>
          <w:tcPr>
            <w:tcW w:w="380" w:type="dxa"/>
            <w:vAlign w:val="bottom"/>
          </w:tcPr>
          <w:p>
            <w:pPr>
              <w:jc w:val="right"/>
              <w:ind w:right="236"/>
              <w:spacing w:after="0"/>
              <w:rPr>
                <w:sz w:val="20"/>
                <w:szCs w:val="20"/>
                <w:color w:val="auto"/>
              </w:rPr>
            </w:pPr>
            <w:r>
              <w:rPr>
                <w:rFonts w:ascii="Times New Roman" w:cs="Times New Roman" w:eastAsia="Times New Roman" w:hAnsi="Times New Roman"/>
                <w:sz w:val="13"/>
                <w:szCs w:val="13"/>
                <w:color w:val="auto"/>
                <w:w w:val="91"/>
              </w:rPr>
              <w:t>$</w:t>
            </w:r>
          </w:p>
        </w:tc>
        <w:tc>
          <w:tcPr>
            <w:tcW w:w="820" w:type="dxa"/>
            <w:vAlign w:val="bottom"/>
          </w:tcPr>
          <w:p>
            <w:pPr>
              <w:ind w:left="640"/>
              <w:spacing w:after="0"/>
              <w:rPr>
                <w:sz w:val="20"/>
                <w:szCs w:val="20"/>
                <w:color w:val="auto"/>
              </w:rPr>
            </w:pPr>
            <w:r>
              <w:rPr>
                <w:rFonts w:ascii="Times New Roman" w:cs="Times New Roman" w:eastAsia="Times New Roman" w:hAnsi="Times New Roman"/>
                <w:sz w:val="13"/>
                <w:szCs w:val="13"/>
                <w:color w:val="auto"/>
              </w:rPr>
              <w:t>19</w:t>
            </w:r>
          </w:p>
        </w:tc>
        <w:tc>
          <w:tcPr>
            <w:tcW w:w="100" w:type="dxa"/>
            <w:vAlign w:val="bottom"/>
          </w:tcPr>
          <w:p>
            <w:pPr>
              <w:spacing w:after="0"/>
              <w:rPr>
                <w:sz w:val="14"/>
                <w:szCs w:val="14"/>
                <w:color w:val="auto"/>
              </w:rPr>
            </w:pPr>
          </w:p>
        </w:tc>
        <w:tc>
          <w:tcPr>
            <w:tcW w:w="400" w:type="dxa"/>
            <w:vAlign w:val="bottom"/>
          </w:tcPr>
          <w:p>
            <w:pPr>
              <w:jc w:val="right"/>
              <w:ind w:right="256"/>
              <w:spacing w:after="0"/>
              <w:rPr>
                <w:sz w:val="20"/>
                <w:szCs w:val="20"/>
                <w:color w:val="auto"/>
              </w:rPr>
            </w:pPr>
            <w:r>
              <w:rPr>
                <w:rFonts w:ascii="Times New Roman" w:cs="Times New Roman" w:eastAsia="Times New Roman" w:hAnsi="Times New Roman"/>
                <w:sz w:val="13"/>
                <w:szCs w:val="13"/>
                <w:color w:val="auto"/>
                <w:w w:val="91"/>
              </w:rPr>
              <w:t>$</w:t>
            </w:r>
          </w:p>
        </w:tc>
        <w:tc>
          <w:tcPr>
            <w:tcW w:w="78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109</w:t>
            </w:r>
          </w:p>
        </w:tc>
      </w:tr>
      <w:tr>
        <w:trPr>
          <w:trHeight w:val="668"/>
        </w:trPr>
        <w:tc>
          <w:tcPr>
            <w:tcW w:w="500" w:type="dxa"/>
            <w:vAlign w:val="bottom"/>
          </w:tcPr>
          <w:p>
            <w:pPr>
              <w:jc w:val="right"/>
              <w:ind w:right="76"/>
              <w:spacing w:after="0"/>
              <w:rPr>
                <w:sz w:val="20"/>
                <w:szCs w:val="20"/>
                <w:color w:val="auto"/>
              </w:rPr>
            </w:pPr>
            <w:r>
              <w:rPr>
                <w:rFonts w:ascii="Times New Roman" w:cs="Times New Roman" w:eastAsia="Times New Roman" w:hAnsi="Times New Roman"/>
                <w:sz w:val="13"/>
                <w:szCs w:val="13"/>
                <w:color w:val="auto"/>
                <w:w w:val="94"/>
              </w:rPr>
              <w:t>20,591</w:t>
            </w:r>
          </w:p>
        </w:tc>
        <w:tc>
          <w:tcPr>
            <w:tcW w:w="580" w:type="dxa"/>
            <w:vAlign w:val="bottom"/>
          </w:tcPr>
          <w:p>
            <w:pPr>
              <w:jc w:val="right"/>
              <w:ind w:right="436"/>
              <w:spacing w:after="0"/>
              <w:rPr>
                <w:sz w:val="20"/>
                <w:szCs w:val="20"/>
                <w:color w:val="auto"/>
              </w:rPr>
            </w:pPr>
            <w:r>
              <w:rPr>
                <w:rFonts w:ascii="Times New Roman" w:cs="Times New Roman" w:eastAsia="Times New Roman" w:hAnsi="Times New Roman"/>
                <w:sz w:val="13"/>
                <w:szCs w:val="13"/>
                <w:color w:val="auto"/>
                <w:w w:val="91"/>
              </w:rPr>
              <w:t>$</w:t>
            </w:r>
          </w:p>
        </w:tc>
        <w:tc>
          <w:tcPr>
            <w:tcW w:w="94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89,247</w:t>
            </w:r>
          </w:p>
        </w:tc>
        <w:tc>
          <w:tcPr>
            <w:tcW w:w="100" w:type="dxa"/>
            <w:vAlign w:val="bottom"/>
          </w:tcPr>
          <w:p>
            <w:pPr>
              <w:spacing w:after="0"/>
              <w:rPr>
                <w:sz w:val="24"/>
                <w:szCs w:val="24"/>
                <w:color w:val="auto"/>
              </w:rPr>
            </w:pPr>
          </w:p>
        </w:tc>
        <w:tc>
          <w:tcPr>
            <w:tcW w:w="380" w:type="dxa"/>
            <w:vAlign w:val="bottom"/>
          </w:tcPr>
          <w:p>
            <w:pPr>
              <w:jc w:val="right"/>
              <w:ind w:right="236"/>
              <w:spacing w:after="0"/>
              <w:rPr>
                <w:sz w:val="20"/>
                <w:szCs w:val="20"/>
                <w:color w:val="auto"/>
              </w:rPr>
            </w:pPr>
            <w:r>
              <w:rPr>
                <w:rFonts w:ascii="Times New Roman" w:cs="Times New Roman" w:eastAsia="Times New Roman" w:hAnsi="Times New Roman"/>
                <w:sz w:val="13"/>
                <w:szCs w:val="13"/>
                <w:color w:val="auto"/>
                <w:w w:val="91"/>
              </w:rPr>
              <w:t>$</w:t>
            </w:r>
          </w:p>
        </w:tc>
        <w:tc>
          <w:tcPr>
            <w:tcW w:w="920" w:type="dxa"/>
            <w:vAlign w:val="bottom"/>
            <w:gridSpan w:val="2"/>
          </w:tcPr>
          <w:p>
            <w:pPr>
              <w:ind w:left="640"/>
              <w:spacing w:after="0"/>
              <w:rPr>
                <w:sz w:val="20"/>
                <w:szCs w:val="20"/>
                <w:color w:val="auto"/>
              </w:rPr>
            </w:pPr>
            <w:r>
              <w:rPr>
                <w:rFonts w:ascii="Times New Roman" w:cs="Times New Roman" w:eastAsia="Times New Roman" w:hAnsi="Times New Roman"/>
                <w:sz w:val="13"/>
                <w:szCs w:val="13"/>
                <w:color w:val="auto"/>
              </w:rPr>
              <w:t>—</w:t>
            </w:r>
          </w:p>
        </w:tc>
        <w:tc>
          <w:tcPr>
            <w:tcW w:w="400" w:type="dxa"/>
            <w:vAlign w:val="bottom"/>
          </w:tcPr>
          <w:p>
            <w:pPr>
              <w:jc w:val="right"/>
              <w:ind w:right="256"/>
              <w:spacing w:after="0"/>
              <w:rPr>
                <w:sz w:val="20"/>
                <w:szCs w:val="20"/>
                <w:color w:val="auto"/>
              </w:rPr>
            </w:pPr>
            <w:r>
              <w:rPr>
                <w:rFonts w:ascii="Times New Roman" w:cs="Times New Roman" w:eastAsia="Times New Roman" w:hAnsi="Times New Roman"/>
                <w:sz w:val="13"/>
                <w:szCs w:val="13"/>
                <w:color w:val="auto"/>
                <w:w w:val="91"/>
              </w:rPr>
              <w:t>$</w:t>
            </w:r>
          </w:p>
        </w:tc>
        <w:tc>
          <w:tcPr>
            <w:tcW w:w="78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89,247</w:t>
            </w:r>
          </w:p>
        </w:tc>
      </w:tr>
      <w:tr>
        <w:trPr>
          <w:trHeight w:val="170"/>
        </w:trPr>
        <w:tc>
          <w:tcPr>
            <w:tcW w:w="500" w:type="dxa"/>
            <w:vAlign w:val="bottom"/>
          </w:tcPr>
          <w:p>
            <w:pPr>
              <w:jc w:val="right"/>
              <w:ind w:right="76"/>
              <w:spacing w:after="0"/>
              <w:rPr>
                <w:sz w:val="20"/>
                <w:szCs w:val="20"/>
                <w:color w:val="auto"/>
              </w:rPr>
            </w:pPr>
            <w:r>
              <w:rPr>
                <w:rFonts w:ascii="Times New Roman" w:cs="Times New Roman" w:eastAsia="Times New Roman" w:hAnsi="Times New Roman"/>
                <w:sz w:val="13"/>
                <w:szCs w:val="13"/>
                <w:color w:val="auto"/>
              </w:rPr>
              <w:t>279</w:t>
            </w:r>
          </w:p>
        </w:tc>
        <w:tc>
          <w:tcPr>
            <w:tcW w:w="580" w:type="dxa"/>
            <w:vAlign w:val="bottom"/>
          </w:tcPr>
          <w:p>
            <w:pPr>
              <w:spacing w:after="0"/>
              <w:rPr>
                <w:sz w:val="14"/>
                <w:szCs w:val="14"/>
                <w:color w:val="auto"/>
              </w:rPr>
            </w:pPr>
          </w:p>
        </w:tc>
        <w:tc>
          <w:tcPr>
            <w:tcW w:w="94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6,549</w:t>
            </w:r>
          </w:p>
        </w:tc>
        <w:tc>
          <w:tcPr>
            <w:tcW w:w="100" w:type="dxa"/>
            <w:vAlign w:val="bottom"/>
          </w:tcPr>
          <w:p>
            <w:pPr>
              <w:spacing w:after="0"/>
              <w:rPr>
                <w:sz w:val="14"/>
                <w:szCs w:val="14"/>
                <w:color w:val="auto"/>
              </w:rPr>
            </w:pPr>
          </w:p>
        </w:tc>
        <w:tc>
          <w:tcPr>
            <w:tcW w:w="380" w:type="dxa"/>
            <w:vAlign w:val="bottom"/>
          </w:tcPr>
          <w:p>
            <w:pPr>
              <w:spacing w:after="0"/>
              <w:rPr>
                <w:sz w:val="14"/>
                <w:szCs w:val="14"/>
                <w:color w:val="auto"/>
              </w:rPr>
            </w:pPr>
          </w:p>
        </w:tc>
        <w:tc>
          <w:tcPr>
            <w:tcW w:w="82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(6,549)</w:t>
            </w:r>
          </w:p>
        </w:tc>
        <w:tc>
          <w:tcPr>
            <w:tcW w:w="100" w:type="dxa"/>
            <w:vAlign w:val="bottom"/>
          </w:tcPr>
          <w:p>
            <w:pPr>
              <w:spacing w:after="0"/>
              <w:rPr>
                <w:sz w:val="14"/>
                <w:szCs w:val="14"/>
                <w:color w:val="auto"/>
              </w:rPr>
            </w:pPr>
          </w:p>
        </w:tc>
        <w:tc>
          <w:tcPr>
            <w:tcW w:w="400" w:type="dxa"/>
            <w:vAlign w:val="bottom"/>
          </w:tcPr>
          <w:p>
            <w:pPr>
              <w:spacing w:after="0"/>
              <w:rPr>
                <w:sz w:val="14"/>
                <w:szCs w:val="14"/>
                <w:color w:val="auto"/>
              </w:rPr>
            </w:pPr>
          </w:p>
        </w:tc>
        <w:tc>
          <w:tcPr>
            <w:tcW w:w="78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w:t>
            </w:r>
          </w:p>
        </w:tc>
      </w:tr>
      <w:tr>
        <w:trPr>
          <w:trHeight w:val="170"/>
        </w:trPr>
        <w:tc>
          <w:tcPr>
            <w:tcW w:w="500" w:type="dxa"/>
            <w:vAlign w:val="bottom"/>
          </w:tcPr>
          <w:p>
            <w:pPr>
              <w:jc w:val="right"/>
              <w:ind w:right="76"/>
              <w:spacing w:after="0"/>
              <w:rPr>
                <w:sz w:val="20"/>
                <w:szCs w:val="20"/>
                <w:color w:val="auto"/>
              </w:rPr>
            </w:pPr>
            <w:r>
              <w:rPr>
                <w:rFonts w:ascii="Times New Roman" w:cs="Times New Roman" w:eastAsia="Times New Roman" w:hAnsi="Times New Roman"/>
                <w:sz w:val="13"/>
                <w:szCs w:val="13"/>
                <w:color w:val="auto"/>
              </w:rPr>
              <w:t>—</w:t>
            </w:r>
          </w:p>
        </w:tc>
        <w:tc>
          <w:tcPr>
            <w:tcW w:w="580" w:type="dxa"/>
            <w:vAlign w:val="bottom"/>
          </w:tcPr>
          <w:p>
            <w:pPr>
              <w:spacing w:after="0"/>
              <w:rPr>
                <w:sz w:val="14"/>
                <w:szCs w:val="14"/>
                <w:color w:val="auto"/>
              </w:rPr>
            </w:pPr>
          </w:p>
        </w:tc>
        <w:tc>
          <w:tcPr>
            <w:tcW w:w="94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534</w:t>
            </w:r>
          </w:p>
        </w:tc>
        <w:tc>
          <w:tcPr>
            <w:tcW w:w="100" w:type="dxa"/>
            <w:vAlign w:val="bottom"/>
          </w:tcPr>
          <w:p>
            <w:pPr>
              <w:spacing w:after="0"/>
              <w:rPr>
                <w:sz w:val="14"/>
                <w:szCs w:val="14"/>
                <w:color w:val="auto"/>
              </w:rPr>
            </w:pPr>
          </w:p>
        </w:tc>
        <w:tc>
          <w:tcPr>
            <w:tcW w:w="380" w:type="dxa"/>
            <w:vAlign w:val="bottom"/>
          </w:tcPr>
          <w:p>
            <w:pPr>
              <w:spacing w:after="0"/>
              <w:rPr>
                <w:sz w:val="14"/>
                <w:szCs w:val="14"/>
                <w:color w:val="auto"/>
              </w:rPr>
            </w:pPr>
          </w:p>
        </w:tc>
        <w:tc>
          <w:tcPr>
            <w:tcW w:w="920" w:type="dxa"/>
            <w:vAlign w:val="bottom"/>
            <w:gridSpan w:val="2"/>
          </w:tcPr>
          <w:p>
            <w:pPr>
              <w:ind w:left="640"/>
              <w:spacing w:after="0"/>
              <w:rPr>
                <w:sz w:val="20"/>
                <w:szCs w:val="20"/>
                <w:color w:val="auto"/>
              </w:rPr>
            </w:pPr>
            <w:r>
              <w:rPr>
                <w:rFonts w:ascii="Times New Roman" w:cs="Times New Roman" w:eastAsia="Times New Roman" w:hAnsi="Times New Roman"/>
                <w:sz w:val="13"/>
                <w:szCs w:val="13"/>
                <w:color w:val="auto"/>
              </w:rPr>
              <w:t>—</w:t>
            </w:r>
          </w:p>
        </w:tc>
        <w:tc>
          <w:tcPr>
            <w:tcW w:w="400" w:type="dxa"/>
            <w:vAlign w:val="bottom"/>
          </w:tcPr>
          <w:p>
            <w:pPr>
              <w:spacing w:after="0"/>
              <w:rPr>
                <w:sz w:val="14"/>
                <w:szCs w:val="14"/>
                <w:color w:val="auto"/>
              </w:rPr>
            </w:pPr>
          </w:p>
        </w:tc>
        <w:tc>
          <w:tcPr>
            <w:tcW w:w="78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534</w:t>
            </w:r>
          </w:p>
        </w:tc>
      </w:tr>
      <w:tr>
        <w:trPr>
          <w:trHeight w:val="160"/>
        </w:trPr>
        <w:tc>
          <w:tcPr>
            <w:tcW w:w="500" w:type="dxa"/>
            <w:vAlign w:val="bottom"/>
          </w:tcPr>
          <w:p>
            <w:pPr>
              <w:jc w:val="right"/>
              <w:ind w:right="76"/>
              <w:spacing w:after="0"/>
              <w:rPr>
                <w:sz w:val="20"/>
                <w:szCs w:val="20"/>
                <w:color w:val="auto"/>
              </w:rPr>
            </w:pPr>
            <w:r>
              <w:rPr>
                <w:rFonts w:ascii="Times New Roman" w:cs="Times New Roman" w:eastAsia="Times New Roman" w:hAnsi="Times New Roman"/>
                <w:sz w:val="13"/>
                <w:szCs w:val="13"/>
                <w:color w:val="auto"/>
                <w:w w:val="94"/>
              </w:rPr>
              <w:t>20,870</w:t>
            </w:r>
          </w:p>
        </w:tc>
        <w:tc>
          <w:tcPr>
            <w:tcW w:w="580" w:type="dxa"/>
            <w:vAlign w:val="bottom"/>
            <w:tcBorders>
              <w:top w:val="single" w:sz="8" w:color="auto"/>
            </w:tcBorders>
          </w:tcPr>
          <w:p>
            <w:pPr>
              <w:spacing w:after="0"/>
              <w:rPr>
                <w:sz w:val="13"/>
                <w:szCs w:val="13"/>
                <w:color w:val="auto"/>
              </w:rPr>
            </w:pPr>
          </w:p>
        </w:tc>
        <w:tc>
          <w:tcPr>
            <w:tcW w:w="94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3"/>
                <w:szCs w:val="13"/>
                <w:color w:val="auto"/>
              </w:rPr>
              <w:t>96,330</w:t>
            </w:r>
          </w:p>
        </w:tc>
        <w:tc>
          <w:tcPr>
            <w:tcW w:w="100" w:type="dxa"/>
            <w:vAlign w:val="bottom"/>
          </w:tcPr>
          <w:p>
            <w:pPr>
              <w:spacing w:after="0"/>
              <w:rPr>
                <w:sz w:val="13"/>
                <w:szCs w:val="13"/>
                <w:color w:val="auto"/>
              </w:rPr>
            </w:pPr>
          </w:p>
        </w:tc>
        <w:tc>
          <w:tcPr>
            <w:tcW w:w="380" w:type="dxa"/>
            <w:vAlign w:val="bottom"/>
            <w:tcBorders>
              <w:top w:val="single" w:sz="8" w:color="auto"/>
            </w:tcBorders>
          </w:tcPr>
          <w:p>
            <w:pPr>
              <w:spacing w:after="0"/>
              <w:rPr>
                <w:sz w:val="13"/>
                <w:szCs w:val="13"/>
                <w:color w:val="auto"/>
              </w:rPr>
            </w:pPr>
          </w:p>
        </w:tc>
        <w:tc>
          <w:tcPr>
            <w:tcW w:w="82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3"/>
                <w:szCs w:val="13"/>
                <w:color w:val="auto"/>
              </w:rPr>
              <w:t>(6,549)</w:t>
            </w:r>
          </w:p>
        </w:tc>
        <w:tc>
          <w:tcPr>
            <w:tcW w:w="100" w:type="dxa"/>
            <w:vAlign w:val="bottom"/>
          </w:tcPr>
          <w:p>
            <w:pPr>
              <w:spacing w:after="0"/>
              <w:rPr>
                <w:sz w:val="13"/>
                <w:szCs w:val="13"/>
                <w:color w:val="auto"/>
              </w:rPr>
            </w:pPr>
          </w:p>
        </w:tc>
        <w:tc>
          <w:tcPr>
            <w:tcW w:w="400" w:type="dxa"/>
            <w:vAlign w:val="bottom"/>
            <w:tcBorders>
              <w:top w:val="single" w:sz="8" w:color="auto"/>
            </w:tcBorders>
          </w:tcPr>
          <w:p>
            <w:pPr>
              <w:spacing w:after="0"/>
              <w:rPr>
                <w:sz w:val="13"/>
                <w:szCs w:val="13"/>
                <w:color w:val="auto"/>
              </w:rPr>
            </w:pPr>
          </w:p>
        </w:tc>
        <w:tc>
          <w:tcPr>
            <w:tcW w:w="78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3"/>
                <w:szCs w:val="13"/>
                <w:color w:val="auto"/>
              </w:rPr>
              <w:t>89,781</w:t>
            </w:r>
          </w:p>
        </w:tc>
      </w:tr>
      <w:tr>
        <w:trPr>
          <w:trHeight w:val="170"/>
        </w:trPr>
        <w:tc>
          <w:tcPr>
            <w:tcW w:w="500" w:type="dxa"/>
            <w:vAlign w:val="bottom"/>
          </w:tcPr>
          <w:p>
            <w:pPr>
              <w:jc w:val="right"/>
              <w:ind w:right="76"/>
              <w:spacing w:after="0"/>
              <w:rPr>
                <w:sz w:val="20"/>
                <w:szCs w:val="20"/>
                <w:color w:val="auto"/>
              </w:rPr>
            </w:pPr>
            <w:r>
              <w:rPr>
                <w:rFonts w:ascii="Times New Roman" w:cs="Times New Roman" w:eastAsia="Times New Roman" w:hAnsi="Times New Roman"/>
                <w:sz w:val="13"/>
                <w:szCs w:val="13"/>
                <w:color w:val="auto"/>
              </w:rPr>
              <w:t>342</w:t>
            </w:r>
          </w:p>
        </w:tc>
        <w:tc>
          <w:tcPr>
            <w:tcW w:w="580" w:type="dxa"/>
            <w:vAlign w:val="bottom"/>
          </w:tcPr>
          <w:p>
            <w:pPr>
              <w:jc w:val="right"/>
              <w:ind w:right="436"/>
              <w:spacing w:after="0"/>
              <w:rPr>
                <w:sz w:val="20"/>
                <w:szCs w:val="20"/>
                <w:color w:val="auto"/>
              </w:rPr>
            </w:pPr>
            <w:r>
              <w:rPr>
                <w:rFonts w:ascii="Times New Roman" w:cs="Times New Roman" w:eastAsia="Times New Roman" w:hAnsi="Times New Roman"/>
                <w:sz w:val="13"/>
                <w:szCs w:val="13"/>
                <w:color w:val="auto"/>
                <w:w w:val="91"/>
              </w:rPr>
              <w:t>$</w:t>
            </w:r>
          </w:p>
        </w:tc>
        <w:tc>
          <w:tcPr>
            <w:tcW w:w="94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860</w:t>
            </w:r>
          </w:p>
        </w:tc>
        <w:tc>
          <w:tcPr>
            <w:tcW w:w="100" w:type="dxa"/>
            <w:vAlign w:val="bottom"/>
          </w:tcPr>
          <w:p>
            <w:pPr>
              <w:spacing w:after="0"/>
              <w:rPr>
                <w:sz w:val="14"/>
                <w:szCs w:val="14"/>
                <w:color w:val="auto"/>
              </w:rPr>
            </w:pPr>
          </w:p>
        </w:tc>
        <w:tc>
          <w:tcPr>
            <w:tcW w:w="380" w:type="dxa"/>
            <w:vAlign w:val="bottom"/>
          </w:tcPr>
          <w:p>
            <w:pPr>
              <w:jc w:val="right"/>
              <w:ind w:right="236"/>
              <w:spacing w:after="0"/>
              <w:rPr>
                <w:sz w:val="20"/>
                <w:szCs w:val="20"/>
                <w:color w:val="auto"/>
              </w:rPr>
            </w:pPr>
            <w:r>
              <w:rPr>
                <w:rFonts w:ascii="Times New Roman" w:cs="Times New Roman" w:eastAsia="Times New Roman" w:hAnsi="Times New Roman"/>
                <w:sz w:val="13"/>
                <w:szCs w:val="13"/>
                <w:color w:val="auto"/>
                <w:w w:val="91"/>
              </w:rPr>
              <w:t>$</w:t>
            </w:r>
          </w:p>
        </w:tc>
        <w:tc>
          <w:tcPr>
            <w:tcW w:w="920" w:type="dxa"/>
            <w:vAlign w:val="bottom"/>
            <w:gridSpan w:val="2"/>
          </w:tcPr>
          <w:p>
            <w:pPr>
              <w:ind w:left="640"/>
              <w:spacing w:after="0"/>
              <w:rPr>
                <w:sz w:val="20"/>
                <w:szCs w:val="20"/>
                <w:color w:val="auto"/>
              </w:rPr>
            </w:pPr>
            <w:r>
              <w:rPr>
                <w:rFonts w:ascii="Times New Roman" w:cs="Times New Roman" w:eastAsia="Times New Roman" w:hAnsi="Times New Roman"/>
                <w:sz w:val="13"/>
                <w:szCs w:val="13"/>
                <w:color w:val="auto"/>
              </w:rPr>
              <w:t>—</w:t>
            </w:r>
          </w:p>
        </w:tc>
        <w:tc>
          <w:tcPr>
            <w:tcW w:w="400" w:type="dxa"/>
            <w:vAlign w:val="bottom"/>
          </w:tcPr>
          <w:p>
            <w:pPr>
              <w:jc w:val="right"/>
              <w:ind w:right="256"/>
              <w:spacing w:after="0"/>
              <w:rPr>
                <w:sz w:val="20"/>
                <w:szCs w:val="20"/>
                <w:color w:val="auto"/>
              </w:rPr>
            </w:pPr>
            <w:r>
              <w:rPr>
                <w:rFonts w:ascii="Times New Roman" w:cs="Times New Roman" w:eastAsia="Times New Roman" w:hAnsi="Times New Roman"/>
                <w:sz w:val="13"/>
                <w:szCs w:val="13"/>
                <w:color w:val="auto"/>
                <w:w w:val="91"/>
              </w:rPr>
              <w:t>$</w:t>
            </w:r>
          </w:p>
        </w:tc>
        <w:tc>
          <w:tcPr>
            <w:tcW w:w="78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860</w:t>
            </w:r>
          </w:p>
        </w:tc>
      </w:tr>
      <w:tr>
        <w:trPr>
          <w:trHeight w:val="170"/>
        </w:trPr>
        <w:tc>
          <w:tcPr>
            <w:tcW w:w="500" w:type="dxa"/>
            <w:vAlign w:val="bottom"/>
          </w:tcPr>
          <w:p>
            <w:pPr>
              <w:jc w:val="right"/>
              <w:ind w:right="76"/>
              <w:spacing w:after="0"/>
              <w:rPr>
                <w:sz w:val="20"/>
                <w:szCs w:val="20"/>
                <w:color w:val="auto"/>
              </w:rPr>
            </w:pPr>
            <w:r>
              <w:rPr>
                <w:rFonts w:ascii="Times New Roman" w:cs="Times New Roman" w:eastAsia="Times New Roman" w:hAnsi="Times New Roman"/>
                <w:sz w:val="13"/>
                <w:szCs w:val="13"/>
                <w:color w:val="auto"/>
              </w:rPr>
              <w:t>1,776</w:t>
            </w:r>
          </w:p>
        </w:tc>
        <w:tc>
          <w:tcPr>
            <w:tcW w:w="580" w:type="dxa"/>
            <w:vAlign w:val="bottom"/>
          </w:tcPr>
          <w:p>
            <w:pPr>
              <w:jc w:val="right"/>
              <w:ind w:right="436"/>
              <w:spacing w:after="0"/>
              <w:rPr>
                <w:sz w:val="20"/>
                <w:szCs w:val="20"/>
                <w:color w:val="auto"/>
              </w:rPr>
            </w:pPr>
            <w:r>
              <w:rPr>
                <w:rFonts w:ascii="Times New Roman" w:cs="Times New Roman" w:eastAsia="Times New Roman" w:hAnsi="Times New Roman"/>
                <w:sz w:val="13"/>
                <w:szCs w:val="13"/>
                <w:color w:val="auto"/>
                <w:w w:val="91"/>
              </w:rPr>
              <w:t>$</w:t>
            </w:r>
          </w:p>
        </w:tc>
        <w:tc>
          <w:tcPr>
            <w:tcW w:w="94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16,412</w:t>
            </w:r>
          </w:p>
        </w:tc>
        <w:tc>
          <w:tcPr>
            <w:tcW w:w="100" w:type="dxa"/>
            <w:vAlign w:val="bottom"/>
          </w:tcPr>
          <w:p>
            <w:pPr>
              <w:spacing w:after="0"/>
              <w:rPr>
                <w:sz w:val="14"/>
                <w:szCs w:val="14"/>
                <w:color w:val="auto"/>
              </w:rPr>
            </w:pPr>
          </w:p>
        </w:tc>
        <w:tc>
          <w:tcPr>
            <w:tcW w:w="380" w:type="dxa"/>
            <w:vAlign w:val="bottom"/>
          </w:tcPr>
          <w:p>
            <w:pPr>
              <w:jc w:val="right"/>
              <w:ind w:right="236"/>
              <w:spacing w:after="0"/>
              <w:rPr>
                <w:sz w:val="20"/>
                <w:szCs w:val="20"/>
                <w:color w:val="auto"/>
              </w:rPr>
            </w:pPr>
            <w:r>
              <w:rPr>
                <w:rFonts w:ascii="Times New Roman" w:cs="Times New Roman" w:eastAsia="Times New Roman" w:hAnsi="Times New Roman"/>
                <w:sz w:val="13"/>
                <w:szCs w:val="13"/>
                <w:color w:val="auto"/>
                <w:w w:val="91"/>
              </w:rPr>
              <w:t>$</w:t>
            </w:r>
          </w:p>
        </w:tc>
        <w:tc>
          <w:tcPr>
            <w:tcW w:w="82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(5,841)</w:t>
            </w:r>
          </w:p>
        </w:tc>
        <w:tc>
          <w:tcPr>
            <w:tcW w:w="100" w:type="dxa"/>
            <w:vAlign w:val="bottom"/>
          </w:tcPr>
          <w:p>
            <w:pPr>
              <w:spacing w:after="0"/>
              <w:rPr>
                <w:sz w:val="14"/>
                <w:szCs w:val="14"/>
                <w:color w:val="auto"/>
              </w:rPr>
            </w:pPr>
          </w:p>
        </w:tc>
        <w:tc>
          <w:tcPr>
            <w:tcW w:w="400" w:type="dxa"/>
            <w:vAlign w:val="bottom"/>
          </w:tcPr>
          <w:p>
            <w:pPr>
              <w:jc w:val="right"/>
              <w:ind w:right="256"/>
              <w:spacing w:after="0"/>
              <w:rPr>
                <w:sz w:val="20"/>
                <w:szCs w:val="20"/>
                <w:color w:val="auto"/>
              </w:rPr>
            </w:pPr>
            <w:r>
              <w:rPr>
                <w:rFonts w:ascii="Times New Roman" w:cs="Times New Roman" w:eastAsia="Times New Roman" w:hAnsi="Times New Roman"/>
                <w:sz w:val="13"/>
                <w:szCs w:val="13"/>
                <w:color w:val="auto"/>
                <w:w w:val="91"/>
              </w:rPr>
              <w:t>$</w:t>
            </w:r>
          </w:p>
        </w:tc>
        <w:tc>
          <w:tcPr>
            <w:tcW w:w="78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10,571</w:t>
            </w:r>
          </w:p>
        </w:tc>
      </w:tr>
      <w:tr>
        <w:trPr>
          <w:trHeight w:val="170"/>
        </w:trPr>
        <w:tc>
          <w:tcPr>
            <w:tcW w:w="500" w:type="dxa"/>
            <w:vAlign w:val="bottom"/>
          </w:tcPr>
          <w:p>
            <w:pPr>
              <w:jc w:val="right"/>
              <w:ind w:right="76"/>
              <w:spacing w:after="0"/>
              <w:rPr>
                <w:sz w:val="20"/>
                <w:szCs w:val="20"/>
                <w:color w:val="auto"/>
              </w:rPr>
            </w:pPr>
            <w:r>
              <w:rPr>
                <w:rFonts w:ascii="Times New Roman" w:cs="Times New Roman" w:eastAsia="Times New Roman" w:hAnsi="Times New Roman"/>
                <w:sz w:val="13"/>
                <w:szCs w:val="13"/>
                <w:color w:val="auto"/>
                <w:w w:val="94"/>
              </w:rPr>
              <w:t>46,754</w:t>
            </w:r>
          </w:p>
        </w:tc>
        <w:tc>
          <w:tcPr>
            <w:tcW w:w="580" w:type="dxa"/>
            <w:vAlign w:val="bottom"/>
          </w:tcPr>
          <w:p>
            <w:pPr>
              <w:jc w:val="right"/>
              <w:ind w:right="436"/>
              <w:spacing w:after="0"/>
              <w:rPr>
                <w:sz w:val="20"/>
                <w:szCs w:val="20"/>
                <w:color w:val="auto"/>
              </w:rPr>
            </w:pPr>
            <w:r>
              <w:rPr>
                <w:rFonts w:ascii="Times New Roman" w:cs="Times New Roman" w:eastAsia="Times New Roman" w:hAnsi="Times New Roman"/>
                <w:sz w:val="13"/>
                <w:szCs w:val="13"/>
                <w:color w:val="auto"/>
                <w:w w:val="91"/>
              </w:rPr>
              <w:t>$</w:t>
            </w:r>
          </w:p>
        </w:tc>
        <w:tc>
          <w:tcPr>
            <w:tcW w:w="94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331,933</w:t>
            </w:r>
          </w:p>
        </w:tc>
        <w:tc>
          <w:tcPr>
            <w:tcW w:w="100" w:type="dxa"/>
            <w:vAlign w:val="bottom"/>
          </w:tcPr>
          <w:p>
            <w:pPr>
              <w:spacing w:after="0"/>
              <w:rPr>
                <w:sz w:val="14"/>
                <w:szCs w:val="14"/>
                <w:color w:val="auto"/>
              </w:rPr>
            </w:pPr>
          </w:p>
        </w:tc>
        <w:tc>
          <w:tcPr>
            <w:tcW w:w="380" w:type="dxa"/>
            <w:vAlign w:val="bottom"/>
          </w:tcPr>
          <w:p>
            <w:pPr>
              <w:jc w:val="right"/>
              <w:ind w:right="236"/>
              <w:spacing w:after="0"/>
              <w:rPr>
                <w:sz w:val="20"/>
                <w:szCs w:val="20"/>
                <w:color w:val="auto"/>
              </w:rPr>
            </w:pPr>
            <w:r>
              <w:rPr>
                <w:rFonts w:ascii="Times New Roman" w:cs="Times New Roman" w:eastAsia="Times New Roman" w:hAnsi="Times New Roman"/>
                <w:sz w:val="13"/>
                <w:szCs w:val="13"/>
                <w:color w:val="auto"/>
                <w:w w:val="91"/>
              </w:rPr>
              <w:t>$</w:t>
            </w:r>
          </w:p>
        </w:tc>
        <w:tc>
          <w:tcPr>
            <w:tcW w:w="82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(176,766)</w:t>
            </w:r>
          </w:p>
        </w:tc>
        <w:tc>
          <w:tcPr>
            <w:tcW w:w="100" w:type="dxa"/>
            <w:vAlign w:val="bottom"/>
          </w:tcPr>
          <w:p>
            <w:pPr>
              <w:spacing w:after="0"/>
              <w:rPr>
                <w:sz w:val="14"/>
                <w:szCs w:val="14"/>
                <w:color w:val="auto"/>
              </w:rPr>
            </w:pPr>
          </w:p>
        </w:tc>
        <w:tc>
          <w:tcPr>
            <w:tcW w:w="400" w:type="dxa"/>
            <w:vAlign w:val="bottom"/>
          </w:tcPr>
          <w:p>
            <w:pPr>
              <w:jc w:val="right"/>
              <w:ind w:right="256"/>
              <w:spacing w:after="0"/>
              <w:rPr>
                <w:sz w:val="20"/>
                <w:szCs w:val="20"/>
                <w:color w:val="auto"/>
              </w:rPr>
            </w:pPr>
            <w:r>
              <w:rPr>
                <w:rFonts w:ascii="Times New Roman" w:cs="Times New Roman" w:eastAsia="Times New Roman" w:hAnsi="Times New Roman"/>
                <w:sz w:val="13"/>
                <w:szCs w:val="13"/>
                <w:color w:val="auto"/>
                <w:w w:val="91"/>
              </w:rPr>
              <w:t>$</w:t>
            </w:r>
          </w:p>
        </w:tc>
        <w:tc>
          <w:tcPr>
            <w:tcW w:w="78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155,167</w:t>
            </w:r>
          </w:p>
        </w:tc>
      </w:tr>
      <w:tr>
        <w:trPr>
          <w:trHeight w:val="170"/>
        </w:trPr>
        <w:tc>
          <w:tcPr>
            <w:tcW w:w="500" w:type="dxa"/>
            <w:vAlign w:val="bottom"/>
          </w:tcPr>
          <w:p>
            <w:pPr>
              <w:jc w:val="right"/>
              <w:ind w:right="76"/>
              <w:spacing w:after="0"/>
              <w:rPr>
                <w:sz w:val="20"/>
                <w:szCs w:val="20"/>
                <w:color w:val="auto"/>
              </w:rPr>
            </w:pPr>
            <w:r>
              <w:rPr>
                <w:rFonts w:ascii="Times New Roman" w:cs="Times New Roman" w:eastAsia="Times New Roman" w:hAnsi="Times New Roman"/>
                <w:sz w:val="13"/>
                <w:szCs w:val="13"/>
                <w:color w:val="auto"/>
                <w:w w:val="94"/>
              </w:rPr>
              <w:t>16,401</w:t>
            </w:r>
          </w:p>
        </w:tc>
        <w:tc>
          <w:tcPr>
            <w:tcW w:w="580" w:type="dxa"/>
            <w:vAlign w:val="bottom"/>
          </w:tcPr>
          <w:p>
            <w:pPr>
              <w:jc w:val="right"/>
              <w:ind w:right="436"/>
              <w:spacing w:after="0"/>
              <w:rPr>
                <w:sz w:val="20"/>
                <w:szCs w:val="20"/>
                <w:color w:val="auto"/>
              </w:rPr>
            </w:pPr>
            <w:r>
              <w:rPr>
                <w:rFonts w:ascii="Times New Roman" w:cs="Times New Roman" w:eastAsia="Times New Roman" w:hAnsi="Times New Roman"/>
                <w:sz w:val="13"/>
                <w:szCs w:val="13"/>
                <w:color w:val="auto"/>
                <w:w w:val="91"/>
              </w:rPr>
              <w:t>$</w:t>
            </w:r>
          </w:p>
        </w:tc>
        <w:tc>
          <w:tcPr>
            <w:tcW w:w="94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39,501</w:t>
            </w:r>
          </w:p>
        </w:tc>
        <w:tc>
          <w:tcPr>
            <w:tcW w:w="100" w:type="dxa"/>
            <w:vAlign w:val="bottom"/>
          </w:tcPr>
          <w:p>
            <w:pPr>
              <w:spacing w:after="0"/>
              <w:rPr>
                <w:sz w:val="14"/>
                <w:szCs w:val="14"/>
                <w:color w:val="auto"/>
              </w:rPr>
            </w:pPr>
          </w:p>
        </w:tc>
        <w:tc>
          <w:tcPr>
            <w:tcW w:w="380" w:type="dxa"/>
            <w:vAlign w:val="bottom"/>
          </w:tcPr>
          <w:p>
            <w:pPr>
              <w:jc w:val="right"/>
              <w:ind w:right="236"/>
              <w:spacing w:after="0"/>
              <w:rPr>
                <w:sz w:val="20"/>
                <w:szCs w:val="20"/>
                <w:color w:val="auto"/>
              </w:rPr>
            </w:pPr>
            <w:r>
              <w:rPr>
                <w:rFonts w:ascii="Times New Roman" w:cs="Times New Roman" w:eastAsia="Times New Roman" w:hAnsi="Times New Roman"/>
                <w:sz w:val="13"/>
                <w:szCs w:val="13"/>
                <w:color w:val="auto"/>
                <w:w w:val="91"/>
              </w:rPr>
              <w:t>$</w:t>
            </w:r>
          </w:p>
        </w:tc>
        <w:tc>
          <w:tcPr>
            <w:tcW w:w="920" w:type="dxa"/>
            <w:vAlign w:val="bottom"/>
            <w:gridSpan w:val="2"/>
          </w:tcPr>
          <w:p>
            <w:pPr>
              <w:ind w:left="640"/>
              <w:spacing w:after="0"/>
              <w:rPr>
                <w:sz w:val="20"/>
                <w:szCs w:val="20"/>
                <w:color w:val="auto"/>
              </w:rPr>
            </w:pPr>
            <w:r>
              <w:rPr>
                <w:rFonts w:ascii="Times New Roman" w:cs="Times New Roman" w:eastAsia="Times New Roman" w:hAnsi="Times New Roman"/>
                <w:sz w:val="13"/>
                <w:szCs w:val="13"/>
                <w:color w:val="auto"/>
              </w:rPr>
              <w:t>—</w:t>
            </w:r>
          </w:p>
        </w:tc>
        <w:tc>
          <w:tcPr>
            <w:tcW w:w="400" w:type="dxa"/>
            <w:vAlign w:val="bottom"/>
          </w:tcPr>
          <w:p>
            <w:pPr>
              <w:jc w:val="right"/>
              <w:ind w:right="256"/>
              <w:spacing w:after="0"/>
              <w:rPr>
                <w:sz w:val="20"/>
                <w:szCs w:val="20"/>
                <w:color w:val="auto"/>
              </w:rPr>
            </w:pPr>
            <w:r>
              <w:rPr>
                <w:rFonts w:ascii="Times New Roman" w:cs="Times New Roman" w:eastAsia="Times New Roman" w:hAnsi="Times New Roman"/>
                <w:sz w:val="13"/>
                <w:szCs w:val="13"/>
                <w:color w:val="auto"/>
                <w:w w:val="91"/>
              </w:rPr>
              <w:t>$</w:t>
            </w:r>
          </w:p>
        </w:tc>
        <w:tc>
          <w:tcPr>
            <w:tcW w:w="78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39,501</w:t>
            </w:r>
          </w:p>
        </w:tc>
      </w:tr>
      <w:tr>
        <w:trPr>
          <w:trHeight w:val="170"/>
        </w:trPr>
        <w:tc>
          <w:tcPr>
            <w:tcW w:w="500" w:type="dxa"/>
            <w:vAlign w:val="bottom"/>
          </w:tcPr>
          <w:p>
            <w:pPr>
              <w:jc w:val="right"/>
              <w:ind w:right="76"/>
              <w:spacing w:after="0"/>
              <w:rPr>
                <w:sz w:val="20"/>
                <w:szCs w:val="20"/>
                <w:color w:val="auto"/>
              </w:rPr>
            </w:pPr>
            <w:r>
              <w:rPr>
                <w:rFonts w:ascii="Times New Roman" w:cs="Times New Roman" w:eastAsia="Times New Roman" w:hAnsi="Times New Roman"/>
                <w:sz w:val="13"/>
                <w:szCs w:val="13"/>
                <w:color w:val="auto"/>
              </w:rPr>
              <w:t>—</w:t>
            </w:r>
          </w:p>
        </w:tc>
        <w:tc>
          <w:tcPr>
            <w:tcW w:w="580" w:type="dxa"/>
            <w:vAlign w:val="bottom"/>
          </w:tcPr>
          <w:p>
            <w:pPr>
              <w:jc w:val="right"/>
              <w:ind w:right="436"/>
              <w:spacing w:after="0"/>
              <w:rPr>
                <w:sz w:val="20"/>
                <w:szCs w:val="20"/>
                <w:color w:val="auto"/>
              </w:rPr>
            </w:pPr>
            <w:r>
              <w:rPr>
                <w:rFonts w:ascii="Times New Roman" w:cs="Times New Roman" w:eastAsia="Times New Roman" w:hAnsi="Times New Roman"/>
                <w:sz w:val="13"/>
                <w:szCs w:val="13"/>
                <w:color w:val="auto"/>
                <w:w w:val="91"/>
              </w:rPr>
              <w:t>$</w:t>
            </w:r>
          </w:p>
        </w:tc>
        <w:tc>
          <w:tcPr>
            <w:tcW w:w="94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4,284</w:t>
            </w:r>
          </w:p>
        </w:tc>
        <w:tc>
          <w:tcPr>
            <w:tcW w:w="100" w:type="dxa"/>
            <w:vAlign w:val="bottom"/>
          </w:tcPr>
          <w:p>
            <w:pPr>
              <w:spacing w:after="0"/>
              <w:rPr>
                <w:sz w:val="14"/>
                <w:szCs w:val="14"/>
                <w:color w:val="auto"/>
              </w:rPr>
            </w:pPr>
          </w:p>
        </w:tc>
        <w:tc>
          <w:tcPr>
            <w:tcW w:w="380" w:type="dxa"/>
            <w:vAlign w:val="bottom"/>
          </w:tcPr>
          <w:p>
            <w:pPr>
              <w:jc w:val="right"/>
              <w:ind w:right="236"/>
              <w:spacing w:after="0"/>
              <w:rPr>
                <w:sz w:val="20"/>
                <w:szCs w:val="20"/>
                <w:color w:val="auto"/>
              </w:rPr>
            </w:pPr>
            <w:r>
              <w:rPr>
                <w:rFonts w:ascii="Times New Roman" w:cs="Times New Roman" w:eastAsia="Times New Roman" w:hAnsi="Times New Roman"/>
                <w:sz w:val="13"/>
                <w:szCs w:val="13"/>
                <w:color w:val="auto"/>
                <w:w w:val="91"/>
              </w:rPr>
              <w:t>$</w:t>
            </w:r>
          </w:p>
        </w:tc>
        <w:tc>
          <w:tcPr>
            <w:tcW w:w="920" w:type="dxa"/>
            <w:vAlign w:val="bottom"/>
            <w:gridSpan w:val="2"/>
          </w:tcPr>
          <w:p>
            <w:pPr>
              <w:ind w:left="640"/>
              <w:spacing w:after="0"/>
              <w:rPr>
                <w:sz w:val="20"/>
                <w:szCs w:val="20"/>
                <w:color w:val="auto"/>
              </w:rPr>
            </w:pPr>
            <w:r>
              <w:rPr>
                <w:rFonts w:ascii="Times New Roman" w:cs="Times New Roman" w:eastAsia="Times New Roman" w:hAnsi="Times New Roman"/>
                <w:sz w:val="13"/>
                <w:szCs w:val="13"/>
                <w:color w:val="auto"/>
              </w:rPr>
              <w:t>—</w:t>
            </w:r>
          </w:p>
        </w:tc>
        <w:tc>
          <w:tcPr>
            <w:tcW w:w="400" w:type="dxa"/>
            <w:vAlign w:val="bottom"/>
          </w:tcPr>
          <w:p>
            <w:pPr>
              <w:jc w:val="right"/>
              <w:ind w:right="256"/>
              <w:spacing w:after="0"/>
              <w:rPr>
                <w:sz w:val="20"/>
                <w:szCs w:val="20"/>
                <w:color w:val="auto"/>
              </w:rPr>
            </w:pPr>
            <w:r>
              <w:rPr>
                <w:rFonts w:ascii="Times New Roman" w:cs="Times New Roman" w:eastAsia="Times New Roman" w:hAnsi="Times New Roman"/>
                <w:sz w:val="13"/>
                <w:szCs w:val="13"/>
                <w:color w:val="auto"/>
                <w:w w:val="91"/>
              </w:rPr>
              <w:t>$</w:t>
            </w:r>
          </w:p>
        </w:tc>
        <w:tc>
          <w:tcPr>
            <w:tcW w:w="78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4,284</w:t>
            </w:r>
          </w:p>
        </w:tc>
      </w:tr>
      <w:tr>
        <w:trPr>
          <w:trHeight w:val="170"/>
        </w:trPr>
        <w:tc>
          <w:tcPr>
            <w:tcW w:w="500" w:type="dxa"/>
            <w:vAlign w:val="bottom"/>
          </w:tcPr>
          <w:p>
            <w:pPr>
              <w:jc w:val="right"/>
              <w:ind w:right="76"/>
              <w:spacing w:after="0"/>
              <w:rPr>
                <w:sz w:val="20"/>
                <w:szCs w:val="20"/>
                <w:color w:val="auto"/>
              </w:rPr>
            </w:pPr>
            <w:r>
              <w:rPr>
                <w:rFonts w:ascii="Times New Roman" w:cs="Times New Roman" w:eastAsia="Times New Roman" w:hAnsi="Times New Roman"/>
                <w:sz w:val="13"/>
                <w:szCs w:val="13"/>
                <w:color w:val="auto"/>
              </w:rPr>
              <w:t>94</w:t>
            </w:r>
          </w:p>
        </w:tc>
        <w:tc>
          <w:tcPr>
            <w:tcW w:w="580" w:type="dxa"/>
            <w:vAlign w:val="bottom"/>
          </w:tcPr>
          <w:p>
            <w:pPr>
              <w:jc w:val="right"/>
              <w:ind w:right="436"/>
              <w:spacing w:after="0"/>
              <w:rPr>
                <w:sz w:val="20"/>
                <w:szCs w:val="20"/>
                <w:color w:val="auto"/>
              </w:rPr>
            </w:pPr>
            <w:r>
              <w:rPr>
                <w:rFonts w:ascii="Times New Roman" w:cs="Times New Roman" w:eastAsia="Times New Roman" w:hAnsi="Times New Roman"/>
                <w:sz w:val="13"/>
                <w:szCs w:val="13"/>
                <w:color w:val="auto"/>
                <w:w w:val="91"/>
              </w:rPr>
              <w:t>$</w:t>
            </w:r>
          </w:p>
        </w:tc>
        <w:tc>
          <w:tcPr>
            <w:tcW w:w="94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229</w:t>
            </w:r>
          </w:p>
        </w:tc>
        <w:tc>
          <w:tcPr>
            <w:tcW w:w="100" w:type="dxa"/>
            <w:vAlign w:val="bottom"/>
          </w:tcPr>
          <w:p>
            <w:pPr>
              <w:spacing w:after="0"/>
              <w:rPr>
                <w:sz w:val="14"/>
                <w:szCs w:val="14"/>
                <w:color w:val="auto"/>
              </w:rPr>
            </w:pPr>
          </w:p>
        </w:tc>
        <w:tc>
          <w:tcPr>
            <w:tcW w:w="380" w:type="dxa"/>
            <w:vAlign w:val="bottom"/>
          </w:tcPr>
          <w:p>
            <w:pPr>
              <w:jc w:val="right"/>
              <w:ind w:right="236"/>
              <w:spacing w:after="0"/>
              <w:rPr>
                <w:sz w:val="20"/>
                <w:szCs w:val="20"/>
                <w:color w:val="auto"/>
              </w:rPr>
            </w:pPr>
            <w:r>
              <w:rPr>
                <w:rFonts w:ascii="Times New Roman" w:cs="Times New Roman" w:eastAsia="Times New Roman" w:hAnsi="Times New Roman"/>
                <w:sz w:val="13"/>
                <w:szCs w:val="13"/>
                <w:color w:val="auto"/>
                <w:w w:val="91"/>
              </w:rPr>
              <w:t>$</w:t>
            </w:r>
          </w:p>
        </w:tc>
        <w:tc>
          <w:tcPr>
            <w:tcW w:w="82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(82)</w:t>
            </w:r>
          </w:p>
        </w:tc>
        <w:tc>
          <w:tcPr>
            <w:tcW w:w="100" w:type="dxa"/>
            <w:vAlign w:val="bottom"/>
          </w:tcPr>
          <w:p>
            <w:pPr>
              <w:spacing w:after="0"/>
              <w:rPr>
                <w:sz w:val="14"/>
                <w:szCs w:val="14"/>
                <w:color w:val="auto"/>
              </w:rPr>
            </w:pPr>
          </w:p>
        </w:tc>
        <w:tc>
          <w:tcPr>
            <w:tcW w:w="400" w:type="dxa"/>
            <w:vAlign w:val="bottom"/>
          </w:tcPr>
          <w:p>
            <w:pPr>
              <w:jc w:val="right"/>
              <w:ind w:right="256"/>
              <w:spacing w:after="0"/>
              <w:rPr>
                <w:sz w:val="20"/>
                <w:szCs w:val="20"/>
                <w:color w:val="auto"/>
              </w:rPr>
            </w:pPr>
            <w:r>
              <w:rPr>
                <w:rFonts w:ascii="Times New Roman" w:cs="Times New Roman" w:eastAsia="Times New Roman" w:hAnsi="Times New Roman"/>
                <w:sz w:val="13"/>
                <w:szCs w:val="13"/>
                <w:color w:val="auto"/>
                <w:w w:val="91"/>
              </w:rPr>
              <w:t>$</w:t>
            </w:r>
          </w:p>
        </w:tc>
        <w:tc>
          <w:tcPr>
            <w:tcW w:w="78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147</w:t>
            </w: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-288925</wp:posOffset>
            </wp:positionH>
            <wp:positionV relativeFrom="paragraph">
              <wp:posOffset>-757555</wp:posOffset>
            </wp:positionV>
            <wp:extent cx="754380" cy="6985"/>
            <wp:wrapNone/>
            <wp:docPr id="111" name="Picture 1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1"/>
                    <pic:cNvPicPr>
                      <a:picLocks noChangeAspect="1" noChangeArrowheads="1"/>
                    </pic:cNvPicPr>
                  </pic:nvPicPr>
                  <pic:blipFill>
                    <a:blip r:embed="rId118">
                      <a:extLst>
                        <a:ext uri="{28A0092B-C50C-407E-A947-70E740481C1C}"/>
                      </a:extLst>
                    </a:blip>
                    <a:srcRect/>
                    <a:stretch>
                      <a:fillRect/>
                    </a:stretch>
                  </pic:blipFill>
                  <pic:spPr bwMode="auto">
                    <a:xfrm>
                      <a:off x="0" y="0"/>
                      <a:ext cx="754380" cy="6985"/>
                    </a:xfrm>
                    <a:prstGeom prst="rect">
                      <a:avLst/>
                    </a:prstGeom>
                    <a:noFill/>
                  </pic:spPr>
                </pic:pic>
              </a:graphicData>
            </a:graphic>
          </wp:anchor>
        </w:drawing>
        <w:drawing>
          <wp:anchor simplePos="0" relativeHeight="251657728" behindDoc="1" locked="0" layoutInCell="0" allowOverlap="1">
            <wp:simplePos x="0" y="0"/>
            <wp:positionH relativeFrom="column">
              <wp:posOffset>-288925</wp:posOffset>
            </wp:positionH>
            <wp:positionV relativeFrom="paragraph">
              <wp:posOffset>-3560445</wp:posOffset>
            </wp:positionV>
            <wp:extent cx="754380" cy="6985"/>
            <wp:wrapNone/>
            <wp:docPr id="112" name="Picture 1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2"/>
                    <pic:cNvPicPr>
                      <a:picLocks noChangeAspect="1" noChangeArrowheads="1"/>
                    </pic:cNvPicPr>
                  </pic:nvPicPr>
                  <pic:blipFill>
                    <a:blip r:embed="rId119">
                      <a:extLst>
                        <a:ext uri="{28A0092B-C50C-407E-A947-70E740481C1C}"/>
                      </a:extLst>
                    </a:blip>
                    <a:srcRect/>
                    <a:stretch>
                      <a:fillRect/>
                    </a:stretch>
                  </pic:blipFill>
                  <pic:spPr bwMode="auto">
                    <a:xfrm>
                      <a:off x="0" y="0"/>
                      <a:ext cx="754380" cy="6985"/>
                    </a:xfrm>
                    <a:prstGeom prst="rect">
                      <a:avLst/>
                    </a:prstGeom>
                    <a:noFill/>
                  </pic:spPr>
                </pic:pic>
              </a:graphicData>
            </a:graphic>
          </wp:anchor>
        </w:drawing>
      </w:r>
    </w:p>
    <w:p>
      <w:pPr>
        <w:spacing w:after="0" w:line="149" w:lineRule="exact"/>
        <w:rPr>
          <w:sz w:val="20"/>
          <w:szCs w:val="20"/>
          <w:color w:val="auto"/>
        </w:rPr>
      </w:pPr>
    </w:p>
    <w:p>
      <w:pPr>
        <w:sectPr>
          <w:pgSz w:w="11900" w:h="16838" w:orient="portrait"/>
          <w:cols w:equalWidth="0" w:num="2">
            <w:col w:w="5980" w:space="380"/>
            <w:col w:w="4920"/>
          </w:cols>
          <w:pgMar w:left="300" w:top="123" w:right="319" w:bottom="1440" w:gutter="0" w:footer="0" w:header="0"/>
          <w:type w:val="continuous"/>
        </w:sectPr>
      </w:pPr>
    </w:p>
    <w:p>
      <w:pPr>
        <w:ind w:right="200" w:firstLine="382"/>
        <w:spacing w:after="0" w:line="287" w:lineRule="auto"/>
        <w:rPr>
          <w:sz w:val="20"/>
          <w:szCs w:val="20"/>
          <w:color w:val="auto"/>
        </w:rPr>
      </w:pPr>
      <w:r>
        <w:rPr>
          <w:rFonts w:ascii="Times New Roman" w:cs="Times New Roman" w:eastAsia="Times New Roman" w:hAnsi="Times New Roman"/>
          <w:sz w:val="14"/>
          <w:szCs w:val="14"/>
          <w:color w:val="auto"/>
        </w:rPr>
        <w:t>The "Other" column above contains activity related to our typical holding company expenses including employee compensation and benefits for holding company employees, directors’ fees and investor relations costs, along with intercompany eliminations.</w:t>
      </w:r>
    </w:p>
    <w:p>
      <w:pPr>
        <w:spacing w:after="0" w:line="37"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b w:val="1"/>
          <w:bCs w:val="1"/>
          <w:i w:val="1"/>
          <w:iCs w:val="1"/>
          <w:color w:val="auto"/>
        </w:rPr>
        <w:t>Geographical information</w:t>
      </w:r>
    </w:p>
    <w:p>
      <w:pPr>
        <w:spacing w:after="0" w:line="96" w:lineRule="exact"/>
        <w:rPr>
          <w:sz w:val="20"/>
          <w:szCs w:val="20"/>
          <w:color w:val="auto"/>
        </w:rPr>
      </w:pPr>
    </w:p>
    <w:p>
      <w:pPr>
        <w:ind w:left="380"/>
        <w:spacing w:after="0"/>
        <w:rPr>
          <w:sz w:val="20"/>
          <w:szCs w:val="20"/>
          <w:color w:val="auto"/>
        </w:rPr>
      </w:pPr>
      <w:r>
        <w:rPr>
          <w:rFonts w:ascii="Times New Roman" w:cs="Times New Roman" w:eastAsia="Times New Roman" w:hAnsi="Times New Roman"/>
          <w:sz w:val="14"/>
          <w:szCs w:val="14"/>
          <w:color w:val="auto"/>
        </w:rPr>
        <w:t>Refer to Note 4, “Revenue” for our revenue disaggregated by our clients' geographical locations. As of December 31, 2025 and 2024, all of our property and equipment was in the United</w:t>
      </w:r>
    </w:p>
    <w:p>
      <w:pPr>
        <w:spacing w:after="0" w:line="23"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color w:val="auto"/>
        </w:rPr>
        <w:t>States.</w:t>
      </w:r>
    </w:p>
    <w:p>
      <w:pPr>
        <w:spacing w:after="0" w:line="353" w:lineRule="exact"/>
        <w:rPr>
          <w:sz w:val="20"/>
          <w:szCs w:val="20"/>
          <w:color w:val="auto"/>
        </w:rPr>
      </w:pPr>
    </w:p>
    <w:p>
      <w:pPr>
        <w:ind w:left="140"/>
        <w:spacing w:after="0"/>
        <w:rPr>
          <w:sz w:val="20"/>
          <w:szCs w:val="20"/>
          <w:color w:val="auto"/>
        </w:rPr>
      </w:pPr>
      <w:r>
        <w:rPr>
          <w:rFonts w:ascii="Times New Roman" w:cs="Times New Roman" w:eastAsia="Times New Roman" w:hAnsi="Times New Roman"/>
          <w:sz w:val="14"/>
          <w:szCs w:val="14"/>
          <w:b w:val="1"/>
          <w:bCs w:val="1"/>
          <w:color w:val="auto"/>
        </w:rPr>
        <w:t>6. INVESTMENTS:</w:t>
      </w:r>
    </w:p>
    <w:p>
      <w:pPr>
        <w:spacing w:after="0" w:line="200" w:lineRule="exact"/>
        <w:rPr>
          <w:sz w:val="20"/>
          <w:szCs w:val="20"/>
          <w:color w:val="auto"/>
        </w:rPr>
      </w:pPr>
    </w:p>
    <w:p>
      <w:pPr>
        <w:spacing w:after="0" w:line="24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4"/>
          <w:szCs w:val="14"/>
          <w:color w:val="auto"/>
        </w:rPr>
        <w:t>17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-8890</wp:posOffset>
            </wp:positionH>
            <wp:positionV relativeFrom="paragraph">
              <wp:posOffset>55880</wp:posOffset>
            </wp:positionV>
            <wp:extent cx="7186930" cy="38735"/>
            <wp:wrapNone/>
            <wp:docPr id="113" name="Picture 1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3"/>
                    <pic:cNvPicPr>
                      <a:picLocks noChangeAspect="1" noChangeArrowheads="1"/>
                    </pic:cNvPicPr>
                  </pic:nvPicPr>
                  <pic:blipFill>
                    <a:blip r:embed="rId120">
                      <a:extLst>
                        <a:ext uri="{28A0092B-C50C-407E-A947-70E740481C1C}"/>
                      </a:extLst>
                    </a:blip>
                    <a:srcRect/>
                    <a:stretch>
                      <a:fillRect/>
                    </a:stretch>
                  </pic:blipFill>
                  <pic:spPr bwMode="auto">
                    <a:xfrm>
                      <a:off x="0" y="0"/>
                      <a:ext cx="7186930" cy="38735"/>
                    </a:xfrm>
                    <a:prstGeom prst="rect">
                      <a:avLst/>
                    </a:prstGeom>
                    <a:noFill/>
                  </pic:spPr>
                </pic:pic>
              </a:graphicData>
            </a:graphic>
          </wp:anchor>
        </w:drawing>
      </w:r>
    </w:p>
    <w:p>
      <w:pPr>
        <w:sectPr>
          <w:pgSz w:w="11900" w:h="16838" w:orient="portrait"/>
          <w:cols w:equalWidth="0" w:num="1">
            <w:col w:w="11280"/>
          </w:cols>
          <w:pgMar w:left="300" w:top="123" w:right="319" w:bottom="1440" w:gutter="0" w:footer="0" w:header="0"/>
          <w:type w:val="continuous"/>
        </w:sectPr>
      </w:pPr>
    </w:p>
    <w:bookmarkStart w:id="59" w:name="page60"/>
    <w:bookmarkEnd w:id="59"/>
    <w:p>
      <w:pPr>
        <w:jc w:val="center"/>
        <w:spacing w:after="0"/>
        <w:rPr>
          <w:sz w:val="20"/>
          <w:szCs w:val="20"/>
          <w:color w:val="auto"/>
        </w:rPr>
      </w:pPr>
      <w:r>
        <w:rPr>
          <w:rFonts w:ascii="Times New Roman" w:cs="Times New Roman" w:eastAsia="Times New Roman" w:hAnsi="Times New Roman"/>
          <w:sz w:val="14"/>
          <w:szCs w:val="14"/>
          <w:b w:val="1"/>
          <w:bCs w:val="1"/>
          <w:color w:val="auto"/>
        </w:rPr>
        <w:t>WESTWOOD HOLDINGS GROUP, INC.</w:t>
      </w:r>
    </w:p>
    <w:p>
      <w:pPr>
        <w:spacing w:after="0" w:line="5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4"/>
          <w:szCs w:val="14"/>
          <w:b w:val="1"/>
          <w:bCs w:val="1"/>
          <w:color w:val="auto"/>
        </w:rPr>
        <w:t>NOTES TO CONSOLIDATED FINANCIAL STATEMENTS — (Continued)</w:t>
      </w:r>
    </w:p>
    <w:p>
      <w:pPr>
        <w:sectPr>
          <w:pgSz w:w="11900" w:h="16838" w:orient="portrait"/>
          <w:cols w:equalWidth="0" w:num="1">
            <w:col w:w="11280"/>
          </w:cols>
          <w:pgMar w:left="300" w:top="123" w:right="319" w:bottom="1440" w:gutter="0" w:footer="0" w:header="0"/>
        </w:sectPr>
      </w:pPr>
    </w:p>
    <w:p>
      <w:pPr>
        <w:spacing w:after="0" w:line="318" w:lineRule="exact"/>
        <w:rPr>
          <w:sz w:val="20"/>
          <w:szCs w:val="20"/>
          <w:color w:val="auto"/>
        </w:rPr>
      </w:pPr>
    </w:p>
    <w:p>
      <w:pPr>
        <w:ind w:left="380"/>
        <w:spacing w:after="0"/>
        <w:rPr>
          <w:sz w:val="20"/>
          <w:szCs w:val="20"/>
          <w:color w:val="auto"/>
        </w:rPr>
      </w:pPr>
      <w:r>
        <w:rPr>
          <w:rFonts w:ascii="Times New Roman" w:cs="Times New Roman" w:eastAsia="Times New Roman" w:hAnsi="Times New Roman"/>
          <w:sz w:val="14"/>
          <w:szCs w:val="14"/>
          <w:color w:val="auto"/>
        </w:rPr>
        <w:t>Our investments consist of the following (in thousands):</w:t>
      </w:r>
    </w:p>
    <w:p>
      <w:pPr>
        <w:spacing w:after="0" w:line="200" w:lineRule="exact"/>
        <w:rPr>
          <w:sz w:val="20"/>
          <w:szCs w:val="20"/>
          <w:color w:val="auto"/>
        </w:rPr>
      </w:pPr>
    </w:p>
    <w:p>
      <w:pPr>
        <w:spacing w:after="0" w:line="276" w:lineRule="exact"/>
        <w:rPr>
          <w:sz w:val="20"/>
          <w:szCs w:val="20"/>
          <w:color w:val="auto"/>
        </w:rPr>
      </w:pPr>
    </w:p>
    <w:p>
      <w:pPr>
        <w:ind w:left="20"/>
        <w:spacing w:after="0"/>
        <w:rPr>
          <w:sz w:val="20"/>
          <w:szCs w:val="20"/>
          <w:color w:val="auto"/>
        </w:rPr>
      </w:pPr>
      <w:r>
        <w:rPr>
          <w:rFonts w:ascii="Times New Roman" w:cs="Times New Roman" w:eastAsia="Times New Roman" w:hAnsi="Times New Roman"/>
          <w:sz w:val="14"/>
          <w:szCs w:val="14"/>
          <w:color w:val="auto"/>
        </w:rPr>
        <w:t>Investments at fair value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-99060</wp:posOffset>
            </wp:positionV>
            <wp:extent cx="7161530" cy="114300"/>
            <wp:wrapNone/>
            <wp:docPr id="114" name="Picture 1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4"/>
                    <pic:cNvPicPr>
                      <a:picLocks noChangeAspect="1" noChangeArrowheads="1"/>
                    </pic:cNvPicPr>
                  </pic:nvPicPr>
                  <pic:blipFill>
                    <a:blip r:embed="rId121">
                      <a:extLst>
                        <a:ext uri="{28A0092B-C50C-407E-A947-70E740481C1C}"/>
                      </a:extLst>
                    </a:blip>
                    <a:srcRect/>
                    <a:stretch>
                      <a:fillRect/>
                    </a:stretch>
                  </pic:blipFill>
                  <pic:spPr bwMode="auto">
                    <a:xfrm>
                      <a:off x="0" y="0"/>
                      <a:ext cx="7161530" cy="114300"/>
                    </a:xfrm>
                    <a:prstGeom prst="rect">
                      <a:avLst/>
                    </a:prstGeom>
                    <a:noFill/>
                  </pic:spPr>
                </pic:pic>
              </a:graphicData>
            </a:graphic>
          </wp:anchor>
        </w:drawing>
      </w:r>
    </w:p>
    <w:p>
      <w:pPr>
        <w:spacing w:after="0" w:line="3" w:lineRule="exact"/>
        <w:rPr>
          <w:sz w:val="20"/>
          <w:szCs w:val="20"/>
          <w:color w:val="auto"/>
        </w:rPr>
      </w:pPr>
    </w:p>
    <w:p>
      <w:pPr>
        <w:ind w:left="20"/>
        <w:spacing w:after="0"/>
        <w:rPr>
          <w:sz w:val="20"/>
          <w:szCs w:val="20"/>
          <w:color w:val="auto"/>
        </w:rPr>
      </w:pPr>
      <w:r>
        <w:rPr>
          <w:rFonts w:ascii="Times New Roman" w:cs="Times New Roman" w:eastAsia="Times New Roman" w:hAnsi="Times New Roman"/>
          <w:sz w:val="14"/>
          <w:szCs w:val="14"/>
          <w:color w:val="auto"/>
        </w:rPr>
        <w:t>Investments under measurement alternative</w:t>
      </w:r>
    </w:p>
    <w:p>
      <w:pPr>
        <w:spacing w:after="0" w:line="19" w:lineRule="exact"/>
        <w:rPr>
          <w:sz w:val="20"/>
          <w:szCs w:val="20"/>
          <w:color w:val="auto"/>
        </w:rPr>
      </w:pPr>
    </w:p>
    <w:p>
      <w:pPr>
        <w:ind w:left="20"/>
        <w:spacing w:after="0"/>
        <w:rPr>
          <w:sz w:val="20"/>
          <w:szCs w:val="20"/>
          <w:color w:val="auto"/>
        </w:rPr>
      </w:pPr>
      <w:r>
        <w:rPr>
          <w:rFonts w:ascii="Times New Roman" w:cs="Times New Roman" w:eastAsia="Times New Roman" w:hAnsi="Times New Roman"/>
          <w:sz w:val="14"/>
          <w:szCs w:val="14"/>
          <w:color w:val="auto"/>
        </w:rPr>
        <w:t>Equity method investments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-101600</wp:posOffset>
            </wp:positionV>
            <wp:extent cx="7161530" cy="114300"/>
            <wp:wrapNone/>
            <wp:docPr id="115" name="Picture 1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5"/>
                    <pic:cNvPicPr>
                      <a:picLocks noChangeAspect="1" noChangeArrowheads="1"/>
                    </pic:cNvPicPr>
                  </pic:nvPicPr>
                  <pic:blipFill>
                    <a:blip r:embed="rId122">
                      <a:extLst>
                        <a:ext uri="{28A0092B-C50C-407E-A947-70E740481C1C}"/>
                      </a:extLst>
                    </a:blip>
                    <a:srcRect/>
                    <a:stretch>
                      <a:fillRect/>
                    </a:stretch>
                  </pic:blipFill>
                  <pic:spPr bwMode="auto">
                    <a:xfrm>
                      <a:off x="0" y="0"/>
                      <a:ext cx="7161530" cy="114300"/>
                    </a:xfrm>
                    <a:prstGeom prst="rect">
                      <a:avLst/>
                    </a:prstGeom>
                    <a:noFill/>
                  </pic:spPr>
                </pic:pic>
              </a:graphicData>
            </a:graphic>
          </wp:anchor>
        </w:drawing>
      </w:r>
    </w:p>
    <w:p>
      <w:pPr>
        <w:spacing w:after="0" w:line="17" w:lineRule="exact"/>
        <w:rPr>
          <w:sz w:val="20"/>
          <w:szCs w:val="20"/>
          <w:color w:val="auto"/>
        </w:rPr>
      </w:pPr>
    </w:p>
    <w:p>
      <w:pPr>
        <w:ind w:left="100"/>
        <w:spacing w:after="0"/>
        <w:rPr>
          <w:sz w:val="20"/>
          <w:szCs w:val="20"/>
          <w:color w:val="auto"/>
        </w:rPr>
      </w:pPr>
      <w:r>
        <w:rPr>
          <w:rFonts w:ascii="Times New Roman" w:cs="Times New Roman" w:eastAsia="Times New Roman" w:hAnsi="Times New Roman"/>
          <w:sz w:val="14"/>
          <w:szCs w:val="14"/>
          <w:color w:val="auto"/>
        </w:rPr>
        <w:t>Total investments</w:t>
      </w:r>
    </w:p>
    <w:p>
      <w:pPr>
        <w:spacing w:after="0" w:line="189"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u w:val="single" w:color="auto"/>
          <w:color w:val="auto"/>
        </w:rPr>
        <w:t>Investments at Fair Value</w:t>
      </w:r>
    </w:p>
    <w:p>
      <w:pPr>
        <w:spacing w:after="0" w:line="94" w:lineRule="exact"/>
        <w:rPr>
          <w:sz w:val="20"/>
          <w:szCs w:val="20"/>
          <w:color w:val="auto"/>
        </w:rPr>
      </w:pPr>
    </w:p>
    <w:p>
      <w:pPr>
        <w:ind w:left="380"/>
        <w:spacing w:after="0"/>
        <w:rPr>
          <w:sz w:val="20"/>
          <w:szCs w:val="20"/>
          <w:color w:val="auto"/>
        </w:rPr>
      </w:pPr>
      <w:r>
        <w:rPr>
          <w:rFonts w:ascii="Times New Roman" w:cs="Times New Roman" w:eastAsia="Times New Roman" w:hAnsi="Times New Roman"/>
          <w:sz w:val="14"/>
          <w:szCs w:val="14"/>
          <w:color w:val="auto"/>
        </w:rPr>
        <w:t>Investments carried at fair value are presented in the table below (in thousands):</w:t>
      </w:r>
    </w:p>
    <w:p>
      <w:pPr>
        <w:spacing w:after="0" w:line="20" w:lineRule="exact"/>
        <w:rPr>
          <w:sz w:val="20"/>
          <w:szCs w:val="20"/>
          <w:color w:val="auto"/>
        </w:rPr>
      </w:pPr>
      <w:r>
        <w:rPr>
          <w:sz w:val="20"/>
          <w:szCs w:val="20"/>
          <w:color w:val="auto"/>
        </w:rPr>
        <w:br w:type="column"/>
      </w:r>
    </w:p>
    <w:p>
      <w:pPr>
        <w:spacing w:after="0" w:line="200" w:lineRule="exact"/>
        <w:rPr>
          <w:sz w:val="20"/>
          <w:szCs w:val="20"/>
          <w:color w:val="auto"/>
        </w:rPr>
      </w:pPr>
    </w:p>
    <w:p>
      <w:pPr>
        <w:spacing w:after="0" w:line="387" w:lineRule="exact"/>
        <w:rPr>
          <w:sz w:val="20"/>
          <w:szCs w:val="20"/>
          <w:color w:val="auto"/>
        </w:rPr>
      </w:pPr>
    </w:p>
    <w:p>
      <w:pPr>
        <w:spacing w:after="0" w:line="1" w:lineRule="exact"/>
        <w:rPr>
          <w:sz w:val="1"/>
          <w:szCs w:val="1"/>
          <w:color w:val="auto"/>
        </w:rPr>
      </w:pPr>
    </w:p>
    <w:tbl>
      <w:tblPr>
        <w:tblLayout w:type="fixed"/>
        <w:tblInd w:w="0" w:type="dxa"/>
        <w:tblCellMar>
          <w:top w:w="0" w:type="dxa"/>
          <w:left w:w="0" w:type="dxa"/>
          <w:bottom w:w="0" w:type="dxa"/>
          <w:right w:w="0" w:type="dxa"/>
        </w:tblCellMar>
      </w:tblPr>
      <w:tr>
        <w:trPr>
          <w:trHeight w:val="170"/>
        </w:trPr>
        <w:tc>
          <w:tcPr>
            <w:tcW w:w="680" w:type="dxa"/>
            <w:vAlign w:val="bottom"/>
          </w:tcPr>
          <w:p>
            <w:pPr>
              <w:spacing w:after="0"/>
              <w:rPr>
                <w:sz w:val="14"/>
                <w:szCs w:val="14"/>
                <w:color w:val="auto"/>
              </w:rPr>
            </w:pPr>
          </w:p>
        </w:tc>
        <w:tc>
          <w:tcPr>
            <w:tcW w:w="800" w:type="dxa"/>
            <w:vAlign w:val="bottom"/>
          </w:tcPr>
          <w:p>
            <w:pPr>
              <w:spacing w:after="0"/>
              <w:rPr>
                <w:sz w:val="14"/>
                <w:szCs w:val="14"/>
                <w:color w:val="auto"/>
              </w:rPr>
            </w:pPr>
          </w:p>
        </w:tc>
        <w:tc>
          <w:tcPr>
            <w:tcW w:w="860" w:type="dxa"/>
            <w:vAlign w:val="bottom"/>
            <w:tcBorders>
              <w:bottom w:val="single" w:sz="8" w:color="auto"/>
            </w:tcBorders>
          </w:tcPr>
          <w:p>
            <w:pPr>
              <w:spacing w:after="0"/>
              <w:rPr>
                <w:sz w:val="14"/>
                <w:szCs w:val="14"/>
                <w:color w:val="auto"/>
              </w:rPr>
            </w:pPr>
          </w:p>
        </w:tc>
        <w:tc>
          <w:tcPr>
            <w:tcW w:w="1260" w:type="dxa"/>
            <w:vAlign w:val="bottom"/>
            <w:tcBorders>
              <w:bottom w:val="single" w:sz="8" w:color="auto"/>
            </w:tcBorders>
            <w:gridSpan w:val="3"/>
          </w:tcPr>
          <w:p>
            <w:pPr>
              <w:jc w:val="right"/>
              <w:ind w:right="27"/>
              <w:spacing w:after="0"/>
              <w:rPr>
                <w:sz w:val="20"/>
                <w:szCs w:val="20"/>
                <w:color w:val="auto"/>
              </w:rPr>
            </w:pPr>
            <w:r>
              <w:rPr>
                <w:rFonts w:ascii="Times New Roman" w:cs="Times New Roman" w:eastAsia="Times New Roman" w:hAnsi="Times New Roman"/>
                <w:sz w:val="13"/>
                <w:szCs w:val="13"/>
                <w:b w:val="1"/>
                <w:bCs w:val="1"/>
                <w:color w:val="auto"/>
              </w:rPr>
              <w:t>As of December 31,</w:t>
            </w:r>
          </w:p>
        </w:tc>
        <w:tc>
          <w:tcPr>
            <w:tcW w:w="900" w:type="dxa"/>
            <w:vAlign w:val="bottom"/>
            <w:tcBorders>
              <w:bottom w:val="single" w:sz="8" w:color="auto"/>
            </w:tcBorders>
          </w:tcPr>
          <w:p>
            <w:pPr>
              <w:spacing w:after="0"/>
              <w:rPr>
                <w:sz w:val="14"/>
                <w:szCs w:val="14"/>
                <w:color w:val="auto"/>
              </w:rPr>
            </w:pPr>
          </w:p>
        </w:tc>
        <w:tc>
          <w:tcPr>
            <w:tcW w:w="0" w:type="dxa"/>
            <w:vAlign w:val="bottom"/>
          </w:tcPr>
          <w:p>
            <w:pPr>
              <w:spacing w:after="0"/>
              <w:rPr>
                <w:sz w:val="1"/>
                <w:szCs w:val="1"/>
                <w:color w:val="auto"/>
              </w:rPr>
            </w:pPr>
          </w:p>
        </w:tc>
      </w:tr>
      <w:tr>
        <w:trPr>
          <w:trHeight w:val="161"/>
        </w:trPr>
        <w:tc>
          <w:tcPr>
            <w:tcW w:w="680" w:type="dxa"/>
            <w:vAlign w:val="bottom"/>
          </w:tcPr>
          <w:p>
            <w:pPr>
              <w:spacing w:after="0"/>
              <w:rPr>
                <w:sz w:val="14"/>
                <w:szCs w:val="14"/>
                <w:color w:val="auto"/>
              </w:rPr>
            </w:pPr>
          </w:p>
        </w:tc>
        <w:tc>
          <w:tcPr>
            <w:tcW w:w="800" w:type="dxa"/>
            <w:vAlign w:val="bottom"/>
          </w:tcPr>
          <w:p>
            <w:pPr>
              <w:spacing w:after="0"/>
              <w:rPr>
                <w:sz w:val="14"/>
                <w:szCs w:val="14"/>
                <w:color w:val="auto"/>
              </w:rPr>
            </w:pPr>
          </w:p>
        </w:tc>
        <w:tc>
          <w:tcPr>
            <w:tcW w:w="8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3"/>
                <w:szCs w:val="13"/>
                <w:b w:val="1"/>
                <w:bCs w:val="1"/>
                <w:color w:val="auto"/>
              </w:rPr>
              <w:t>2025</w:t>
            </w:r>
          </w:p>
        </w:tc>
        <w:tc>
          <w:tcPr>
            <w:tcW w:w="580" w:type="dxa"/>
            <w:vAlign w:val="bottom"/>
            <w:tcBorders>
              <w:bottom w:val="single" w:sz="8" w:color="auto"/>
            </w:tcBorders>
          </w:tcPr>
          <w:p>
            <w:pPr>
              <w:spacing w:after="0"/>
              <w:rPr>
                <w:sz w:val="14"/>
                <w:szCs w:val="14"/>
                <w:color w:val="auto"/>
              </w:rPr>
            </w:pPr>
          </w:p>
        </w:tc>
        <w:tc>
          <w:tcPr>
            <w:tcW w:w="160" w:type="dxa"/>
            <w:vAlign w:val="bottom"/>
          </w:tcPr>
          <w:p>
            <w:pPr>
              <w:spacing w:after="0"/>
              <w:rPr>
                <w:sz w:val="14"/>
                <w:szCs w:val="14"/>
                <w:color w:val="auto"/>
              </w:rPr>
            </w:pPr>
          </w:p>
        </w:tc>
        <w:tc>
          <w:tcPr>
            <w:tcW w:w="520" w:type="dxa"/>
            <w:vAlign w:val="bottom"/>
            <w:tcBorders>
              <w:bottom w:val="single" w:sz="8" w:color="auto"/>
            </w:tcBorders>
          </w:tcPr>
          <w:p>
            <w:pPr>
              <w:spacing w:after="0"/>
              <w:rPr>
                <w:sz w:val="14"/>
                <w:szCs w:val="14"/>
                <w:color w:val="auto"/>
              </w:rPr>
            </w:pPr>
          </w:p>
        </w:tc>
        <w:tc>
          <w:tcPr>
            <w:tcW w:w="900" w:type="dxa"/>
            <w:vAlign w:val="bottom"/>
            <w:tcBorders>
              <w:bottom w:val="single" w:sz="8" w:color="auto"/>
            </w:tcBorders>
          </w:tcPr>
          <w:p>
            <w:pPr>
              <w:jc w:val="right"/>
              <w:ind w:right="516"/>
              <w:spacing w:after="0"/>
              <w:rPr>
                <w:sz w:val="20"/>
                <w:szCs w:val="20"/>
                <w:color w:val="auto"/>
              </w:rPr>
            </w:pPr>
            <w:r>
              <w:rPr>
                <w:rFonts w:ascii="Times New Roman" w:cs="Times New Roman" w:eastAsia="Times New Roman" w:hAnsi="Times New Roman"/>
                <w:sz w:val="13"/>
                <w:szCs w:val="13"/>
                <w:b w:val="1"/>
                <w:bCs w:val="1"/>
                <w:color w:val="auto"/>
              </w:rPr>
              <w:t>2024</w:t>
            </w:r>
          </w:p>
        </w:tc>
        <w:tc>
          <w:tcPr>
            <w:tcW w:w="0" w:type="dxa"/>
            <w:vAlign w:val="bottom"/>
          </w:tcPr>
          <w:p>
            <w:pPr>
              <w:spacing w:after="0"/>
              <w:rPr>
                <w:sz w:val="1"/>
                <w:szCs w:val="1"/>
                <w:color w:val="auto"/>
              </w:rPr>
            </w:pPr>
          </w:p>
        </w:tc>
      </w:tr>
      <w:tr>
        <w:trPr>
          <w:trHeight w:val="157"/>
        </w:trPr>
        <w:tc>
          <w:tcPr>
            <w:tcW w:w="680" w:type="dxa"/>
            <w:vAlign w:val="bottom"/>
          </w:tcPr>
          <w:p>
            <w:pPr>
              <w:spacing w:after="0"/>
              <w:rPr>
                <w:sz w:val="13"/>
                <w:szCs w:val="13"/>
                <w:color w:val="auto"/>
              </w:rPr>
            </w:pPr>
          </w:p>
        </w:tc>
        <w:tc>
          <w:tcPr>
            <w:tcW w:w="800" w:type="dxa"/>
            <w:vAlign w:val="bottom"/>
          </w:tcPr>
          <w:p>
            <w:pPr>
              <w:spacing w:after="0"/>
              <w:rPr>
                <w:sz w:val="13"/>
                <w:szCs w:val="13"/>
                <w:color w:val="auto"/>
              </w:rPr>
            </w:pPr>
          </w:p>
        </w:tc>
        <w:tc>
          <w:tcPr>
            <w:tcW w:w="860" w:type="dxa"/>
            <w:vAlign w:val="bottom"/>
          </w:tcPr>
          <w:p>
            <w:pPr>
              <w:jc w:val="right"/>
              <w:ind w:right="716"/>
              <w:spacing w:after="0"/>
              <w:rPr>
                <w:sz w:val="20"/>
                <w:szCs w:val="20"/>
                <w:color w:val="auto"/>
              </w:rPr>
            </w:pPr>
            <w:r>
              <w:rPr>
                <w:rFonts w:ascii="Times New Roman" w:cs="Times New Roman" w:eastAsia="Times New Roman" w:hAnsi="Times New Roman"/>
                <w:sz w:val="13"/>
                <w:szCs w:val="13"/>
                <w:color w:val="auto"/>
                <w:w w:val="91"/>
              </w:rPr>
              <w:t>$</w:t>
            </w:r>
          </w:p>
        </w:tc>
        <w:tc>
          <w:tcPr>
            <w:tcW w:w="58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21,433</w:t>
            </w:r>
          </w:p>
        </w:tc>
        <w:tc>
          <w:tcPr>
            <w:tcW w:w="160" w:type="dxa"/>
            <w:vAlign w:val="bottom"/>
          </w:tcPr>
          <w:p>
            <w:pPr>
              <w:spacing w:after="0"/>
              <w:rPr>
                <w:sz w:val="13"/>
                <w:szCs w:val="13"/>
                <w:color w:val="auto"/>
              </w:rPr>
            </w:pPr>
          </w:p>
        </w:tc>
        <w:tc>
          <w:tcPr>
            <w:tcW w:w="520" w:type="dxa"/>
            <w:vAlign w:val="bottom"/>
          </w:tcPr>
          <w:p>
            <w:pPr>
              <w:jc w:val="right"/>
              <w:ind w:right="407"/>
              <w:spacing w:after="0"/>
              <w:rPr>
                <w:sz w:val="20"/>
                <w:szCs w:val="20"/>
                <w:color w:val="auto"/>
              </w:rPr>
            </w:pPr>
            <w:r>
              <w:rPr>
                <w:rFonts w:ascii="Times New Roman" w:cs="Times New Roman" w:eastAsia="Times New Roman" w:hAnsi="Times New Roman"/>
                <w:sz w:val="11"/>
                <w:szCs w:val="11"/>
                <w:color w:val="auto"/>
                <w:w w:val="71"/>
              </w:rPr>
              <w:t>$</w:t>
            </w:r>
          </w:p>
        </w:tc>
        <w:tc>
          <w:tcPr>
            <w:tcW w:w="90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27,694</w:t>
            </w:r>
          </w:p>
        </w:tc>
        <w:tc>
          <w:tcPr>
            <w:tcW w:w="0" w:type="dxa"/>
            <w:vAlign w:val="bottom"/>
          </w:tcPr>
          <w:p>
            <w:pPr>
              <w:spacing w:after="0"/>
              <w:rPr>
                <w:sz w:val="1"/>
                <w:szCs w:val="1"/>
                <w:color w:val="auto"/>
              </w:rPr>
            </w:pPr>
          </w:p>
        </w:tc>
      </w:tr>
      <w:tr>
        <w:trPr>
          <w:trHeight w:val="180"/>
        </w:trPr>
        <w:tc>
          <w:tcPr>
            <w:tcW w:w="680" w:type="dxa"/>
            <w:vAlign w:val="bottom"/>
          </w:tcPr>
          <w:p>
            <w:pPr>
              <w:spacing w:after="0"/>
              <w:rPr>
                <w:sz w:val="15"/>
                <w:szCs w:val="15"/>
                <w:color w:val="auto"/>
              </w:rPr>
            </w:pPr>
          </w:p>
        </w:tc>
        <w:tc>
          <w:tcPr>
            <w:tcW w:w="800" w:type="dxa"/>
            <w:vAlign w:val="bottom"/>
          </w:tcPr>
          <w:p>
            <w:pPr>
              <w:spacing w:after="0"/>
              <w:rPr>
                <w:sz w:val="15"/>
                <w:szCs w:val="15"/>
                <w:color w:val="auto"/>
              </w:rPr>
            </w:pPr>
          </w:p>
        </w:tc>
        <w:tc>
          <w:tcPr>
            <w:tcW w:w="860" w:type="dxa"/>
            <w:vAlign w:val="bottom"/>
          </w:tcPr>
          <w:p>
            <w:pPr>
              <w:spacing w:after="0"/>
              <w:rPr>
                <w:sz w:val="15"/>
                <w:szCs w:val="15"/>
                <w:color w:val="auto"/>
              </w:rPr>
            </w:pPr>
          </w:p>
        </w:tc>
        <w:tc>
          <w:tcPr>
            <w:tcW w:w="58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15,697</w:t>
            </w:r>
          </w:p>
        </w:tc>
        <w:tc>
          <w:tcPr>
            <w:tcW w:w="160" w:type="dxa"/>
            <w:vAlign w:val="bottom"/>
          </w:tcPr>
          <w:p>
            <w:pPr>
              <w:spacing w:after="0"/>
              <w:rPr>
                <w:sz w:val="15"/>
                <w:szCs w:val="15"/>
                <w:color w:val="auto"/>
              </w:rPr>
            </w:pPr>
          </w:p>
        </w:tc>
        <w:tc>
          <w:tcPr>
            <w:tcW w:w="520" w:type="dxa"/>
            <w:vAlign w:val="bottom"/>
          </w:tcPr>
          <w:p>
            <w:pPr>
              <w:spacing w:after="0"/>
              <w:rPr>
                <w:sz w:val="15"/>
                <w:szCs w:val="15"/>
                <w:color w:val="auto"/>
              </w:rPr>
            </w:pPr>
          </w:p>
        </w:tc>
        <w:tc>
          <w:tcPr>
            <w:tcW w:w="90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10,747</w:t>
            </w:r>
          </w:p>
        </w:tc>
        <w:tc>
          <w:tcPr>
            <w:tcW w:w="0" w:type="dxa"/>
            <w:vAlign w:val="bottom"/>
          </w:tcPr>
          <w:p>
            <w:pPr>
              <w:spacing w:after="0"/>
              <w:rPr>
                <w:sz w:val="1"/>
                <w:szCs w:val="1"/>
                <w:color w:val="auto"/>
              </w:rPr>
            </w:pPr>
          </w:p>
        </w:tc>
      </w:tr>
      <w:tr>
        <w:trPr>
          <w:trHeight w:val="183"/>
        </w:trPr>
        <w:tc>
          <w:tcPr>
            <w:tcW w:w="680" w:type="dxa"/>
            <w:vAlign w:val="bottom"/>
          </w:tcPr>
          <w:p>
            <w:pPr>
              <w:spacing w:after="0"/>
              <w:rPr>
                <w:sz w:val="15"/>
                <w:szCs w:val="15"/>
                <w:color w:val="auto"/>
              </w:rPr>
            </w:pPr>
          </w:p>
        </w:tc>
        <w:tc>
          <w:tcPr>
            <w:tcW w:w="800" w:type="dxa"/>
            <w:vAlign w:val="bottom"/>
          </w:tcPr>
          <w:p>
            <w:pPr>
              <w:spacing w:after="0"/>
              <w:rPr>
                <w:sz w:val="15"/>
                <w:szCs w:val="15"/>
                <w:color w:val="auto"/>
              </w:rPr>
            </w:pPr>
          </w:p>
        </w:tc>
        <w:tc>
          <w:tcPr>
            <w:tcW w:w="860" w:type="dxa"/>
            <w:vAlign w:val="bottom"/>
            <w:tcBorders>
              <w:bottom w:val="single" w:sz="8" w:color="auto"/>
            </w:tcBorders>
          </w:tcPr>
          <w:p>
            <w:pPr>
              <w:spacing w:after="0"/>
              <w:rPr>
                <w:sz w:val="15"/>
                <w:szCs w:val="15"/>
                <w:color w:val="auto"/>
              </w:rPr>
            </w:pPr>
          </w:p>
        </w:tc>
        <w:tc>
          <w:tcPr>
            <w:tcW w:w="5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3"/>
                <w:szCs w:val="13"/>
                <w:color w:val="auto"/>
              </w:rPr>
              <w:t>4,303</w:t>
            </w:r>
          </w:p>
        </w:tc>
        <w:tc>
          <w:tcPr>
            <w:tcW w:w="160" w:type="dxa"/>
            <w:vAlign w:val="bottom"/>
          </w:tcPr>
          <w:p>
            <w:pPr>
              <w:spacing w:after="0"/>
              <w:rPr>
                <w:sz w:val="15"/>
                <w:szCs w:val="15"/>
                <w:color w:val="auto"/>
              </w:rPr>
            </w:pPr>
          </w:p>
        </w:tc>
        <w:tc>
          <w:tcPr>
            <w:tcW w:w="520" w:type="dxa"/>
            <w:vAlign w:val="bottom"/>
            <w:tcBorders>
              <w:bottom w:val="single" w:sz="8" w:color="auto"/>
            </w:tcBorders>
          </w:tcPr>
          <w:p>
            <w:pPr>
              <w:spacing w:after="0"/>
              <w:rPr>
                <w:sz w:val="15"/>
                <w:szCs w:val="15"/>
                <w:color w:val="auto"/>
              </w:rPr>
            </w:pPr>
          </w:p>
        </w:tc>
        <w:tc>
          <w:tcPr>
            <w:tcW w:w="9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3"/>
                <w:szCs w:val="13"/>
                <w:color w:val="auto"/>
              </w:rPr>
              <w:t>4,250</w:t>
            </w:r>
          </w:p>
        </w:tc>
        <w:tc>
          <w:tcPr>
            <w:tcW w:w="0" w:type="dxa"/>
            <w:vAlign w:val="bottom"/>
          </w:tcPr>
          <w:p>
            <w:pPr>
              <w:spacing w:after="0"/>
              <w:rPr>
                <w:sz w:val="1"/>
                <w:szCs w:val="1"/>
                <w:color w:val="auto"/>
              </w:rPr>
            </w:pPr>
          </w:p>
        </w:tc>
      </w:tr>
      <w:tr>
        <w:trPr>
          <w:trHeight w:val="160"/>
        </w:trPr>
        <w:tc>
          <w:tcPr>
            <w:tcW w:w="680" w:type="dxa"/>
            <w:vAlign w:val="bottom"/>
          </w:tcPr>
          <w:p>
            <w:pPr>
              <w:spacing w:after="0"/>
              <w:rPr>
                <w:sz w:val="13"/>
                <w:szCs w:val="13"/>
                <w:color w:val="auto"/>
              </w:rPr>
            </w:pPr>
          </w:p>
        </w:tc>
        <w:tc>
          <w:tcPr>
            <w:tcW w:w="800" w:type="dxa"/>
            <w:vAlign w:val="bottom"/>
          </w:tcPr>
          <w:p>
            <w:pPr>
              <w:spacing w:after="0"/>
              <w:rPr>
                <w:sz w:val="13"/>
                <w:szCs w:val="13"/>
                <w:color w:val="auto"/>
              </w:rPr>
            </w:pPr>
          </w:p>
        </w:tc>
        <w:tc>
          <w:tcPr>
            <w:tcW w:w="860" w:type="dxa"/>
            <w:vAlign w:val="bottom"/>
            <w:tcBorders>
              <w:bottom w:val="single" w:sz="8" w:color="auto"/>
            </w:tcBorders>
          </w:tcPr>
          <w:p>
            <w:pPr>
              <w:jc w:val="right"/>
              <w:ind w:right="716"/>
              <w:spacing w:after="0"/>
              <w:rPr>
                <w:sz w:val="20"/>
                <w:szCs w:val="20"/>
                <w:color w:val="auto"/>
              </w:rPr>
            </w:pPr>
            <w:r>
              <w:rPr>
                <w:rFonts w:ascii="Times New Roman" w:cs="Times New Roman" w:eastAsia="Times New Roman" w:hAnsi="Times New Roman"/>
                <w:sz w:val="13"/>
                <w:szCs w:val="13"/>
                <w:color w:val="auto"/>
                <w:w w:val="91"/>
              </w:rPr>
              <w:t>$</w:t>
            </w:r>
          </w:p>
        </w:tc>
        <w:tc>
          <w:tcPr>
            <w:tcW w:w="5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3"/>
                <w:szCs w:val="13"/>
                <w:color w:val="auto"/>
              </w:rPr>
              <w:t>41,433</w:t>
            </w:r>
          </w:p>
        </w:tc>
        <w:tc>
          <w:tcPr>
            <w:tcW w:w="160" w:type="dxa"/>
            <w:vAlign w:val="bottom"/>
          </w:tcPr>
          <w:p>
            <w:pPr>
              <w:spacing w:after="0"/>
              <w:rPr>
                <w:sz w:val="13"/>
                <w:szCs w:val="13"/>
                <w:color w:val="auto"/>
              </w:rPr>
            </w:pPr>
          </w:p>
        </w:tc>
        <w:tc>
          <w:tcPr>
            <w:tcW w:w="520" w:type="dxa"/>
            <w:vAlign w:val="bottom"/>
            <w:tcBorders>
              <w:bottom w:val="single" w:sz="8" w:color="auto"/>
            </w:tcBorders>
          </w:tcPr>
          <w:p>
            <w:pPr>
              <w:jc w:val="right"/>
              <w:ind w:right="407"/>
              <w:spacing w:after="0"/>
              <w:rPr>
                <w:sz w:val="20"/>
                <w:szCs w:val="20"/>
                <w:color w:val="auto"/>
              </w:rPr>
            </w:pPr>
            <w:r>
              <w:rPr>
                <w:rFonts w:ascii="Times New Roman" w:cs="Times New Roman" w:eastAsia="Times New Roman" w:hAnsi="Times New Roman"/>
                <w:sz w:val="11"/>
                <w:szCs w:val="11"/>
                <w:color w:val="auto"/>
                <w:w w:val="71"/>
              </w:rPr>
              <w:t>$</w:t>
            </w:r>
          </w:p>
        </w:tc>
        <w:tc>
          <w:tcPr>
            <w:tcW w:w="9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3"/>
                <w:szCs w:val="13"/>
                <w:color w:val="auto"/>
              </w:rPr>
              <w:t>42,691</w:t>
            </w:r>
          </w:p>
        </w:tc>
        <w:tc>
          <w:tcPr>
            <w:tcW w:w="0" w:type="dxa"/>
            <w:vAlign w:val="bottom"/>
          </w:tcPr>
          <w:p>
            <w:pPr>
              <w:spacing w:after="0"/>
              <w:rPr>
                <w:sz w:val="1"/>
                <w:szCs w:val="1"/>
                <w:color w:val="auto"/>
              </w:rPr>
            </w:pPr>
          </w:p>
        </w:tc>
      </w:tr>
      <w:tr>
        <w:trPr>
          <w:trHeight w:val="20"/>
        </w:trPr>
        <w:tc>
          <w:tcPr>
            <w:tcW w:w="680" w:type="dxa"/>
            <w:vAlign w:val="bottom"/>
          </w:tcPr>
          <w:p>
            <w:pPr>
              <w:spacing w:after="0" w:line="20" w:lineRule="exact"/>
              <w:rPr>
                <w:sz w:val="1"/>
                <w:szCs w:val="1"/>
                <w:color w:val="auto"/>
              </w:rPr>
            </w:pPr>
          </w:p>
        </w:tc>
        <w:tc>
          <w:tcPr>
            <w:tcW w:w="800" w:type="dxa"/>
            <w:vAlign w:val="bottom"/>
          </w:tcPr>
          <w:p>
            <w:pPr>
              <w:spacing w:after="0" w:line="20" w:lineRule="exact"/>
              <w:rPr>
                <w:sz w:val="1"/>
                <w:szCs w:val="1"/>
                <w:color w:val="auto"/>
              </w:rPr>
            </w:pPr>
          </w:p>
        </w:tc>
        <w:tc>
          <w:tcPr>
            <w:tcW w:w="860" w:type="dxa"/>
            <w:vAlign w:val="bottom"/>
            <w:tcBorders>
              <w:bottom w:val="single" w:sz="8" w:color="auto"/>
            </w:tcBorders>
          </w:tcPr>
          <w:p>
            <w:pPr>
              <w:spacing w:after="0" w:line="20" w:lineRule="exact"/>
              <w:rPr>
                <w:sz w:val="1"/>
                <w:szCs w:val="1"/>
                <w:color w:val="auto"/>
              </w:rPr>
            </w:pPr>
          </w:p>
        </w:tc>
        <w:tc>
          <w:tcPr>
            <w:tcW w:w="580" w:type="dxa"/>
            <w:vAlign w:val="bottom"/>
            <w:tcBorders>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520" w:type="dxa"/>
            <w:vAlign w:val="bottom"/>
            <w:tcBorders>
              <w:bottom w:val="single" w:sz="8" w:color="auto"/>
            </w:tcBorders>
          </w:tcPr>
          <w:p>
            <w:pPr>
              <w:spacing w:after="0" w:line="20" w:lineRule="exact"/>
              <w:rPr>
                <w:sz w:val="1"/>
                <w:szCs w:val="1"/>
                <w:color w:val="auto"/>
              </w:rPr>
            </w:pPr>
          </w:p>
        </w:tc>
        <w:tc>
          <w:tcPr>
            <w:tcW w:w="90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717"/>
        </w:trPr>
        <w:tc>
          <w:tcPr>
            <w:tcW w:w="680" w:type="dxa"/>
            <w:vAlign w:val="bottom"/>
          </w:tcPr>
          <w:p>
            <w:pPr>
              <w:spacing w:after="0"/>
              <w:rPr>
                <w:sz w:val="24"/>
                <w:szCs w:val="24"/>
                <w:color w:val="auto"/>
              </w:rPr>
            </w:pPr>
          </w:p>
        </w:tc>
        <w:tc>
          <w:tcPr>
            <w:tcW w:w="1660" w:type="dxa"/>
            <w:vAlign w:val="bottom"/>
            <w:gridSpan w:val="2"/>
          </w:tcPr>
          <w:p>
            <w:pPr>
              <w:jc w:val="center"/>
              <w:ind w:right="156"/>
              <w:spacing w:after="0"/>
              <w:rPr>
                <w:sz w:val="20"/>
                <w:szCs w:val="20"/>
                <w:color w:val="auto"/>
              </w:rPr>
            </w:pPr>
            <w:r>
              <w:rPr>
                <w:rFonts w:ascii="Times New Roman" w:cs="Times New Roman" w:eastAsia="Times New Roman" w:hAnsi="Times New Roman"/>
                <w:sz w:val="13"/>
                <w:szCs w:val="13"/>
                <w:b w:val="1"/>
                <w:bCs w:val="1"/>
                <w:color w:val="auto"/>
                <w:w w:val="98"/>
              </w:rPr>
              <w:t>Gross</w:t>
            </w:r>
          </w:p>
        </w:tc>
        <w:tc>
          <w:tcPr>
            <w:tcW w:w="740" w:type="dxa"/>
            <w:vAlign w:val="bottom"/>
            <w:gridSpan w:val="2"/>
          </w:tcPr>
          <w:p>
            <w:pPr>
              <w:jc w:val="center"/>
              <w:ind w:right="100"/>
              <w:spacing w:after="0"/>
              <w:rPr>
                <w:sz w:val="20"/>
                <w:szCs w:val="20"/>
                <w:color w:val="auto"/>
              </w:rPr>
            </w:pPr>
            <w:r>
              <w:rPr>
                <w:rFonts w:ascii="Times New Roman" w:cs="Times New Roman" w:eastAsia="Times New Roman" w:hAnsi="Times New Roman"/>
                <w:sz w:val="13"/>
                <w:szCs w:val="13"/>
                <w:b w:val="1"/>
                <w:bCs w:val="1"/>
                <w:color w:val="auto"/>
                <w:w w:val="98"/>
              </w:rPr>
              <w:t>Gross</w:t>
            </w:r>
          </w:p>
        </w:tc>
        <w:tc>
          <w:tcPr>
            <w:tcW w:w="520" w:type="dxa"/>
            <w:vAlign w:val="bottom"/>
          </w:tcPr>
          <w:p>
            <w:pPr>
              <w:spacing w:after="0"/>
              <w:rPr>
                <w:sz w:val="24"/>
                <w:szCs w:val="24"/>
                <w:color w:val="auto"/>
              </w:rPr>
            </w:pPr>
          </w:p>
        </w:tc>
        <w:tc>
          <w:tcPr>
            <w:tcW w:w="900" w:type="dxa"/>
            <w:vAlign w:val="bottom"/>
            <w:vMerge w:val="restart"/>
          </w:tcPr>
          <w:p>
            <w:pPr>
              <w:jc w:val="right"/>
              <w:ind w:right="396"/>
              <w:spacing w:after="0"/>
              <w:rPr>
                <w:sz w:val="20"/>
                <w:szCs w:val="20"/>
                <w:color w:val="auto"/>
              </w:rPr>
            </w:pPr>
            <w:r>
              <w:rPr>
                <w:rFonts w:ascii="Times New Roman" w:cs="Times New Roman" w:eastAsia="Times New Roman" w:hAnsi="Times New Roman"/>
                <w:sz w:val="13"/>
                <w:szCs w:val="13"/>
                <w:b w:val="1"/>
                <w:bCs w:val="1"/>
                <w:color w:val="auto"/>
              </w:rPr>
              <w:t>Fair</w:t>
            </w:r>
          </w:p>
        </w:tc>
        <w:tc>
          <w:tcPr>
            <w:tcW w:w="0" w:type="dxa"/>
            <w:vAlign w:val="bottom"/>
          </w:tcPr>
          <w:p>
            <w:pPr>
              <w:spacing w:after="0"/>
              <w:rPr>
                <w:sz w:val="1"/>
                <w:szCs w:val="1"/>
                <w:color w:val="auto"/>
              </w:rPr>
            </w:pPr>
          </w:p>
        </w:tc>
      </w:tr>
      <w:tr>
        <w:trPr>
          <w:trHeight w:val="64"/>
        </w:trPr>
        <w:tc>
          <w:tcPr>
            <w:tcW w:w="680" w:type="dxa"/>
            <w:vAlign w:val="bottom"/>
          </w:tcPr>
          <w:p>
            <w:pPr>
              <w:spacing w:after="0"/>
              <w:rPr>
                <w:sz w:val="5"/>
                <w:szCs w:val="5"/>
                <w:color w:val="auto"/>
              </w:rPr>
            </w:pPr>
          </w:p>
        </w:tc>
        <w:tc>
          <w:tcPr>
            <w:tcW w:w="1660" w:type="dxa"/>
            <w:vAlign w:val="bottom"/>
            <w:gridSpan w:val="2"/>
            <w:vMerge w:val="restart"/>
          </w:tcPr>
          <w:p>
            <w:pPr>
              <w:jc w:val="center"/>
              <w:ind w:right="156"/>
              <w:spacing w:after="0" w:line="128" w:lineRule="exact"/>
              <w:rPr>
                <w:sz w:val="20"/>
                <w:szCs w:val="20"/>
                <w:color w:val="auto"/>
              </w:rPr>
            </w:pPr>
            <w:r>
              <w:rPr>
                <w:rFonts w:ascii="Times New Roman" w:cs="Times New Roman" w:eastAsia="Times New Roman" w:hAnsi="Times New Roman"/>
                <w:sz w:val="13"/>
                <w:szCs w:val="13"/>
                <w:b w:val="1"/>
                <w:bCs w:val="1"/>
                <w:color w:val="auto"/>
                <w:w w:val="98"/>
              </w:rPr>
              <w:t>Unrealized</w:t>
            </w:r>
          </w:p>
        </w:tc>
        <w:tc>
          <w:tcPr>
            <w:tcW w:w="740" w:type="dxa"/>
            <w:vAlign w:val="bottom"/>
            <w:gridSpan w:val="2"/>
            <w:vMerge w:val="restart"/>
          </w:tcPr>
          <w:p>
            <w:pPr>
              <w:jc w:val="center"/>
              <w:ind w:right="100"/>
              <w:spacing w:after="0" w:line="128" w:lineRule="exact"/>
              <w:rPr>
                <w:sz w:val="20"/>
                <w:szCs w:val="20"/>
                <w:color w:val="auto"/>
              </w:rPr>
            </w:pPr>
            <w:r>
              <w:rPr>
                <w:rFonts w:ascii="Times New Roman" w:cs="Times New Roman" w:eastAsia="Times New Roman" w:hAnsi="Times New Roman"/>
                <w:sz w:val="13"/>
                <w:szCs w:val="13"/>
                <w:b w:val="1"/>
                <w:bCs w:val="1"/>
                <w:color w:val="auto"/>
                <w:w w:val="98"/>
              </w:rPr>
              <w:t>Unrealized</w:t>
            </w:r>
          </w:p>
        </w:tc>
        <w:tc>
          <w:tcPr>
            <w:tcW w:w="520" w:type="dxa"/>
            <w:vAlign w:val="bottom"/>
          </w:tcPr>
          <w:p>
            <w:pPr>
              <w:spacing w:after="0"/>
              <w:rPr>
                <w:sz w:val="5"/>
                <w:szCs w:val="5"/>
                <w:color w:val="auto"/>
              </w:rPr>
            </w:pPr>
          </w:p>
        </w:tc>
        <w:tc>
          <w:tcPr>
            <w:tcW w:w="900" w:type="dxa"/>
            <w:vAlign w:val="bottom"/>
            <w:vMerge w:val="continue"/>
          </w:tcPr>
          <w:p>
            <w:pPr>
              <w:spacing w:after="0"/>
              <w:rPr>
                <w:sz w:val="5"/>
                <w:szCs w:val="5"/>
                <w:color w:val="auto"/>
              </w:rPr>
            </w:pPr>
          </w:p>
        </w:tc>
        <w:tc>
          <w:tcPr>
            <w:tcW w:w="0" w:type="dxa"/>
            <w:vAlign w:val="bottom"/>
          </w:tcPr>
          <w:p>
            <w:pPr>
              <w:spacing w:after="0"/>
              <w:rPr>
                <w:sz w:val="1"/>
                <w:szCs w:val="1"/>
                <w:color w:val="auto"/>
              </w:rPr>
            </w:pPr>
          </w:p>
        </w:tc>
      </w:tr>
      <w:tr>
        <w:trPr>
          <w:trHeight w:val="64"/>
        </w:trPr>
        <w:tc>
          <w:tcPr>
            <w:tcW w:w="680" w:type="dxa"/>
            <w:vAlign w:val="bottom"/>
          </w:tcPr>
          <w:p>
            <w:pPr>
              <w:spacing w:after="0"/>
              <w:rPr>
                <w:sz w:val="5"/>
                <w:szCs w:val="5"/>
                <w:color w:val="auto"/>
              </w:rPr>
            </w:pPr>
          </w:p>
        </w:tc>
        <w:tc>
          <w:tcPr>
            <w:tcW w:w="1660" w:type="dxa"/>
            <w:vAlign w:val="bottom"/>
            <w:gridSpan w:val="2"/>
            <w:vMerge w:val="continue"/>
          </w:tcPr>
          <w:p>
            <w:pPr>
              <w:spacing w:after="0"/>
              <w:rPr>
                <w:sz w:val="5"/>
                <w:szCs w:val="5"/>
                <w:color w:val="auto"/>
              </w:rPr>
            </w:pPr>
          </w:p>
        </w:tc>
        <w:tc>
          <w:tcPr>
            <w:tcW w:w="740" w:type="dxa"/>
            <w:vAlign w:val="bottom"/>
            <w:gridSpan w:val="2"/>
            <w:vMerge w:val="continue"/>
          </w:tcPr>
          <w:p>
            <w:pPr>
              <w:spacing w:after="0"/>
              <w:rPr>
                <w:sz w:val="5"/>
                <w:szCs w:val="5"/>
                <w:color w:val="auto"/>
              </w:rPr>
            </w:pPr>
          </w:p>
        </w:tc>
        <w:tc>
          <w:tcPr>
            <w:tcW w:w="520" w:type="dxa"/>
            <w:vAlign w:val="bottom"/>
          </w:tcPr>
          <w:p>
            <w:pPr>
              <w:spacing w:after="0"/>
              <w:rPr>
                <w:sz w:val="5"/>
                <w:szCs w:val="5"/>
                <w:color w:val="auto"/>
              </w:rPr>
            </w:pPr>
          </w:p>
        </w:tc>
        <w:tc>
          <w:tcPr>
            <w:tcW w:w="900" w:type="dxa"/>
            <w:vAlign w:val="bottom"/>
            <w:vMerge w:val="restart"/>
          </w:tcPr>
          <w:p>
            <w:pPr>
              <w:jc w:val="right"/>
              <w:ind w:right="356"/>
              <w:spacing w:after="0"/>
              <w:rPr>
                <w:sz w:val="20"/>
                <w:szCs w:val="20"/>
                <w:color w:val="auto"/>
              </w:rPr>
            </w:pPr>
            <w:r>
              <w:rPr>
                <w:rFonts w:ascii="Times New Roman" w:cs="Times New Roman" w:eastAsia="Times New Roman" w:hAnsi="Times New Roman"/>
                <w:sz w:val="13"/>
                <w:szCs w:val="13"/>
                <w:b w:val="1"/>
                <w:bCs w:val="1"/>
                <w:color w:val="auto"/>
              </w:rPr>
              <w:t>Value</w:t>
            </w:r>
          </w:p>
        </w:tc>
        <w:tc>
          <w:tcPr>
            <w:tcW w:w="0" w:type="dxa"/>
            <w:vAlign w:val="bottom"/>
          </w:tcPr>
          <w:p>
            <w:pPr>
              <w:spacing w:after="0"/>
              <w:rPr>
                <w:sz w:val="1"/>
                <w:szCs w:val="1"/>
                <w:color w:val="auto"/>
              </w:rPr>
            </w:pPr>
          </w:p>
        </w:tc>
      </w:tr>
      <w:tr>
        <w:trPr>
          <w:trHeight w:val="104"/>
        </w:trPr>
        <w:tc>
          <w:tcPr>
            <w:tcW w:w="680" w:type="dxa"/>
            <w:vAlign w:val="bottom"/>
            <w:vMerge w:val="restart"/>
          </w:tcPr>
          <w:p>
            <w:pPr>
              <w:spacing w:after="0"/>
              <w:rPr>
                <w:sz w:val="20"/>
                <w:szCs w:val="20"/>
                <w:color w:val="auto"/>
              </w:rPr>
            </w:pPr>
            <w:r>
              <w:rPr>
                <w:rFonts w:ascii="Times New Roman" w:cs="Times New Roman" w:eastAsia="Times New Roman" w:hAnsi="Times New Roman"/>
                <w:sz w:val="13"/>
                <w:szCs w:val="13"/>
                <w:b w:val="1"/>
                <w:bCs w:val="1"/>
                <w:color w:val="auto"/>
              </w:rPr>
              <w:t>Cost</w:t>
            </w:r>
          </w:p>
        </w:tc>
        <w:tc>
          <w:tcPr>
            <w:tcW w:w="1660" w:type="dxa"/>
            <w:vAlign w:val="bottom"/>
            <w:gridSpan w:val="2"/>
            <w:vMerge w:val="restart"/>
          </w:tcPr>
          <w:p>
            <w:pPr>
              <w:jc w:val="center"/>
              <w:ind w:right="156"/>
              <w:spacing w:after="0"/>
              <w:rPr>
                <w:sz w:val="20"/>
                <w:szCs w:val="20"/>
                <w:color w:val="auto"/>
              </w:rPr>
            </w:pPr>
            <w:r>
              <w:rPr>
                <w:rFonts w:ascii="Times New Roman" w:cs="Times New Roman" w:eastAsia="Times New Roman" w:hAnsi="Times New Roman"/>
                <w:sz w:val="13"/>
                <w:szCs w:val="13"/>
                <w:b w:val="1"/>
                <w:bCs w:val="1"/>
                <w:color w:val="auto"/>
                <w:w w:val="98"/>
              </w:rPr>
              <w:t>Gains</w:t>
            </w:r>
          </w:p>
        </w:tc>
        <w:tc>
          <w:tcPr>
            <w:tcW w:w="740" w:type="dxa"/>
            <w:vAlign w:val="bottom"/>
            <w:gridSpan w:val="2"/>
            <w:vMerge w:val="restart"/>
          </w:tcPr>
          <w:p>
            <w:pPr>
              <w:jc w:val="center"/>
              <w:ind w:right="100"/>
              <w:spacing w:after="0"/>
              <w:rPr>
                <w:sz w:val="20"/>
                <w:szCs w:val="20"/>
                <w:color w:val="auto"/>
              </w:rPr>
            </w:pPr>
            <w:r>
              <w:rPr>
                <w:rFonts w:ascii="Times New Roman" w:cs="Times New Roman" w:eastAsia="Times New Roman" w:hAnsi="Times New Roman"/>
                <w:sz w:val="13"/>
                <w:szCs w:val="13"/>
                <w:b w:val="1"/>
                <w:bCs w:val="1"/>
                <w:color w:val="auto"/>
                <w:w w:val="99"/>
              </w:rPr>
              <w:t>Losses</w:t>
            </w:r>
          </w:p>
        </w:tc>
        <w:tc>
          <w:tcPr>
            <w:tcW w:w="520" w:type="dxa"/>
            <w:vAlign w:val="bottom"/>
          </w:tcPr>
          <w:p>
            <w:pPr>
              <w:spacing w:after="0"/>
              <w:rPr>
                <w:sz w:val="9"/>
                <w:szCs w:val="9"/>
                <w:color w:val="auto"/>
              </w:rPr>
            </w:pPr>
          </w:p>
        </w:tc>
        <w:tc>
          <w:tcPr>
            <w:tcW w:w="900" w:type="dxa"/>
            <w:vAlign w:val="bottom"/>
            <w:vMerge w:val="continue"/>
          </w:tcPr>
          <w:p>
            <w:pPr>
              <w:spacing w:after="0"/>
              <w:rPr>
                <w:sz w:val="9"/>
                <w:szCs w:val="9"/>
                <w:color w:val="auto"/>
              </w:rPr>
            </w:pPr>
          </w:p>
        </w:tc>
        <w:tc>
          <w:tcPr>
            <w:tcW w:w="0" w:type="dxa"/>
            <w:vAlign w:val="bottom"/>
          </w:tcPr>
          <w:p>
            <w:pPr>
              <w:spacing w:after="0"/>
              <w:rPr>
                <w:sz w:val="1"/>
                <w:szCs w:val="1"/>
                <w:color w:val="auto"/>
              </w:rPr>
            </w:pPr>
          </w:p>
        </w:tc>
      </w:tr>
      <w:tr>
        <w:trPr>
          <w:trHeight w:val="64"/>
        </w:trPr>
        <w:tc>
          <w:tcPr>
            <w:tcW w:w="680" w:type="dxa"/>
            <w:vAlign w:val="bottom"/>
            <w:vMerge w:val="continue"/>
          </w:tcPr>
          <w:p>
            <w:pPr>
              <w:spacing w:after="0"/>
              <w:rPr>
                <w:sz w:val="5"/>
                <w:szCs w:val="5"/>
                <w:color w:val="auto"/>
              </w:rPr>
            </w:pPr>
          </w:p>
        </w:tc>
        <w:tc>
          <w:tcPr>
            <w:tcW w:w="1660" w:type="dxa"/>
            <w:vAlign w:val="bottom"/>
            <w:gridSpan w:val="2"/>
            <w:vMerge w:val="continue"/>
          </w:tcPr>
          <w:p>
            <w:pPr>
              <w:spacing w:after="0"/>
              <w:rPr>
                <w:sz w:val="5"/>
                <w:szCs w:val="5"/>
                <w:color w:val="auto"/>
              </w:rPr>
            </w:pPr>
          </w:p>
        </w:tc>
        <w:tc>
          <w:tcPr>
            <w:tcW w:w="740" w:type="dxa"/>
            <w:vAlign w:val="bottom"/>
            <w:gridSpan w:val="2"/>
            <w:vMerge w:val="continue"/>
          </w:tcPr>
          <w:p>
            <w:pPr>
              <w:spacing w:after="0"/>
              <w:rPr>
                <w:sz w:val="5"/>
                <w:szCs w:val="5"/>
                <w:color w:val="auto"/>
              </w:rPr>
            </w:pPr>
          </w:p>
        </w:tc>
        <w:tc>
          <w:tcPr>
            <w:tcW w:w="520" w:type="dxa"/>
            <w:vAlign w:val="bottom"/>
          </w:tcPr>
          <w:p>
            <w:pPr>
              <w:spacing w:after="0"/>
              <w:rPr>
                <w:sz w:val="5"/>
                <w:szCs w:val="5"/>
                <w:color w:val="auto"/>
              </w:rPr>
            </w:pPr>
          </w:p>
        </w:tc>
        <w:tc>
          <w:tcPr>
            <w:tcW w:w="900" w:type="dxa"/>
            <w:vAlign w:val="bottom"/>
          </w:tcPr>
          <w:p>
            <w:pPr>
              <w:spacing w:after="0"/>
              <w:rPr>
                <w:sz w:val="5"/>
                <w:szCs w:val="5"/>
                <w:color w:val="auto"/>
              </w:rPr>
            </w:pPr>
          </w:p>
        </w:tc>
        <w:tc>
          <w:tcPr>
            <w:tcW w:w="0" w:type="dxa"/>
            <w:vAlign w:val="bottom"/>
          </w:tcPr>
          <w:p>
            <w:pPr>
              <w:spacing w:after="0"/>
              <w:rPr>
                <w:sz w:val="1"/>
                <w:szCs w:val="1"/>
                <w:color w:val="auto"/>
              </w:rPr>
            </w:pPr>
          </w:p>
        </w:tc>
      </w:tr>
    </w:tbl>
    <w:p>
      <w:pPr>
        <w:spacing w:after="0" w:line="1" w:lineRule="exact"/>
        <w:rPr>
          <w:sz w:val="20"/>
          <w:szCs w:val="20"/>
          <w:color w:val="auto"/>
        </w:rPr>
      </w:pPr>
    </w:p>
    <w:p>
      <w:pPr>
        <w:sectPr>
          <w:pgSz w:w="11900" w:h="16838" w:orient="portrait"/>
          <w:cols w:equalWidth="0" w:num="2">
            <w:col w:w="6060" w:space="720"/>
            <w:col w:w="4500"/>
          </w:cols>
          <w:pgMar w:left="300" w:top="123" w:right="319" w:bottom="1440" w:gutter="0" w:footer="0" w:header="0"/>
          <w:type w:val="continuous"/>
        </w:sectPr>
      </w:pPr>
    </w:p>
    <w:tbl>
      <w:tblPr>
        <w:tblLayout w:type="fixed"/>
        <w:tblInd w:w="0" w:type="dxa"/>
        <w:tblCellMar>
          <w:top w:w="0" w:type="dxa"/>
          <w:left w:w="0" w:type="dxa"/>
          <w:bottom w:w="0" w:type="dxa"/>
          <w:right w:w="0" w:type="dxa"/>
        </w:tblCellMar>
      </w:tblPr>
      <w:tr>
        <w:trPr>
          <w:trHeight w:val="173"/>
        </w:trPr>
        <w:tc>
          <w:tcPr>
            <w:tcW w:w="6320" w:type="dxa"/>
            <w:vAlign w:val="bottom"/>
            <w:tcBorders>
              <w:top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4"/>
                <w:szCs w:val="14"/>
                <w:b w:val="1"/>
                <w:bCs w:val="1"/>
                <w:color w:val="auto"/>
              </w:rPr>
              <w:t>December 31, 2025:</w:t>
            </w:r>
          </w:p>
        </w:tc>
        <w:tc>
          <w:tcPr>
            <w:tcW w:w="420" w:type="dxa"/>
            <w:vAlign w:val="bottom"/>
            <w:tcBorders>
              <w:top w:val="single" w:sz="8" w:color="auto"/>
            </w:tcBorders>
            <w:shd w:val="clear" w:color="auto" w:fill="CCEEFF"/>
          </w:tcPr>
          <w:p>
            <w:pPr>
              <w:spacing w:after="0"/>
              <w:rPr>
                <w:sz w:val="15"/>
                <w:szCs w:val="15"/>
                <w:color w:val="auto"/>
              </w:rPr>
            </w:pPr>
          </w:p>
        </w:tc>
        <w:tc>
          <w:tcPr>
            <w:tcW w:w="760" w:type="dxa"/>
            <w:vAlign w:val="bottom"/>
            <w:tcBorders>
              <w:top w:val="single" w:sz="8" w:color="auto"/>
            </w:tcBorders>
            <w:shd w:val="clear" w:color="auto" w:fill="CCEEFF"/>
          </w:tcPr>
          <w:p>
            <w:pPr>
              <w:spacing w:after="0"/>
              <w:rPr>
                <w:sz w:val="15"/>
                <w:szCs w:val="15"/>
                <w:color w:val="auto"/>
              </w:rPr>
            </w:pPr>
          </w:p>
        </w:tc>
        <w:tc>
          <w:tcPr>
            <w:tcW w:w="100" w:type="dxa"/>
            <w:vAlign w:val="bottom"/>
            <w:tcBorders>
              <w:top w:val="single" w:sz="8" w:color="CCEEFF"/>
            </w:tcBorders>
            <w:shd w:val="clear" w:color="auto" w:fill="CCEEFF"/>
          </w:tcPr>
          <w:p>
            <w:pPr>
              <w:spacing w:after="0"/>
              <w:rPr>
                <w:sz w:val="15"/>
                <w:szCs w:val="15"/>
                <w:color w:val="auto"/>
              </w:rPr>
            </w:pPr>
          </w:p>
        </w:tc>
        <w:tc>
          <w:tcPr>
            <w:tcW w:w="420" w:type="dxa"/>
            <w:vAlign w:val="bottom"/>
            <w:tcBorders>
              <w:top w:val="single" w:sz="8" w:color="auto"/>
            </w:tcBorders>
            <w:shd w:val="clear" w:color="auto" w:fill="CCEEFF"/>
          </w:tcPr>
          <w:p>
            <w:pPr>
              <w:spacing w:after="0"/>
              <w:rPr>
                <w:sz w:val="15"/>
                <w:szCs w:val="15"/>
                <w:color w:val="auto"/>
              </w:rPr>
            </w:pPr>
          </w:p>
        </w:tc>
        <w:tc>
          <w:tcPr>
            <w:tcW w:w="740" w:type="dxa"/>
            <w:vAlign w:val="bottom"/>
            <w:tcBorders>
              <w:top w:val="single" w:sz="8" w:color="auto"/>
            </w:tcBorders>
            <w:shd w:val="clear" w:color="auto" w:fill="CCEEFF"/>
          </w:tcPr>
          <w:p>
            <w:pPr>
              <w:spacing w:after="0"/>
              <w:rPr>
                <w:sz w:val="15"/>
                <w:szCs w:val="15"/>
                <w:color w:val="auto"/>
              </w:rPr>
            </w:pPr>
          </w:p>
        </w:tc>
        <w:tc>
          <w:tcPr>
            <w:tcW w:w="100" w:type="dxa"/>
            <w:vAlign w:val="bottom"/>
            <w:tcBorders>
              <w:top w:val="single" w:sz="8" w:color="CCEEFF"/>
            </w:tcBorders>
            <w:shd w:val="clear" w:color="auto" w:fill="CCEEFF"/>
          </w:tcPr>
          <w:p>
            <w:pPr>
              <w:spacing w:after="0"/>
              <w:rPr>
                <w:sz w:val="15"/>
                <w:szCs w:val="15"/>
                <w:color w:val="auto"/>
              </w:rPr>
            </w:pPr>
          </w:p>
        </w:tc>
        <w:tc>
          <w:tcPr>
            <w:tcW w:w="460" w:type="dxa"/>
            <w:vAlign w:val="bottom"/>
            <w:tcBorders>
              <w:top w:val="single" w:sz="8" w:color="auto"/>
            </w:tcBorders>
            <w:shd w:val="clear" w:color="auto" w:fill="CCEEFF"/>
          </w:tcPr>
          <w:p>
            <w:pPr>
              <w:spacing w:after="0"/>
              <w:rPr>
                <w:sz w:val="15"/>
                <w:szCs w:val="15"/>
                <w:color w:val="auto"/>
              </w:rPr>
            </w:pPr>
          </w:p>
        </w:tc>
        <w:tc>
          <w:tcPr>
            <w:tcW w:w="700" w:type="dxa"/>
            <w:vAlign w:val="bottom"/>
            <w:tcBorders>
              <w:top w:val="single" w:sz="8" w:color="auto"/>
            </w:tcBorders>
            <w:shd w:val="clear" w:color="auto" w:fill="CCEEFF"/>
          </w:tcPr>
          <w:p>
            <w:pPr>
              <w:spacing w:after="0"/>
              <w:rPr>
                <w:sz w:val="15"/>
                <w:szCs w:val="15"/>
                <w:color w:val="auto"/>
              </w:rPr>
            </w:pPr>
          </w:p>
        </w:tc>
        <w:tc>
          <w:tcPr>
            <w:tcW w:w="100" w:type="dxa"/>
            <w:vAlign w:val="bottom"/>
            <w:tcBorders>
              <w:top w:val="single" w:sz="8" w:color="CCEEFF"/>
            </w:tcBorders>
            <w:shd w:val="clear" w:color="auto" w:fill="CCEEFF"/>
          </w:tcPr>
          <w:p>
            <w:pPr>
              <w:spacing w:after="0"/>
              <w:rPr>
                <w:sz w:val="15"/>
                <w:szCs w:val="15"/>
                <w:color w:val="auto"/>
              </w:rPr>
            </w:pPr>
          </w:p>
        </w:tc>
        <w:tc>
          <w:tcPr>
            <w:tcW w:w="400" w:type="dxa"/>
            <w:vAlign w:val="bottom"/>
            <w:tcBorders>
              <w:top w:val="single" w:sz="8" w:color="auto"/>
            </w:tcBorders>
            <w:shd w:val="clear" w:color="auto" w:fill="CCEEFF"/>
          </w:tcPr>
          <w:p>
            <w:pPr>
              <w:spacing w:after="0"/>
              <w:rPr>
                <w:sz w:val="15"/>
                <w:szCs w:val="15"/>
                <w:color w:val="auto"/>
              </w:rPr>
            </w:pPr>
          </w:p>
        </w:tc>
        <w:tc>
          <w:tcPr>
            <w:tcW w:w="760" w:type="dxa"/>
            <w:vAlign w:val="bottom"/>
            <w:tcBorders>
              <w:top w:val="single" w:sz="8" w:color="auto"/>
            </w:tcBorders>
            <w:shd w:val="clear" w:color="auto" w:fill="CCEEFF"/>
          </w:tcPr>
          <w:p>
            <w:pPr>
              <w:spacing w:after="0"/>
              <w:rPr>
                <w:sz w:val="15"/>
                <w:szCs w:val="15"/>
                <w:color w:val="auto"/>
              </w:rPr>
            </w:pPr>
          </w:p>
        </w:tc>
      </w:tr>
      <w:tr>
        <w:trPr>
          <w:trHeight w:val="180"/>
        </w:trPr>
        <w:tc>
          <w:tcPr>
            <w:tcW w:w="6320" w:type="dxa"/>
            <w:vAlign w:val="bottom"/>
          </w:tcPr>
          <w:p>
            <w:pPr>
              <w:ind w:left="20"/>
              <w:spacing w:after="0"/>
              <w:rPr>
                <w:sz w:val="20"/>
                <w:szCs w:val="20"/>
                <w:color w:val="auto"/>
              </w:rPr>
            </w:pPr>
            <w:r>
              <w:rPr>
                <w:rFonts w:ascii="Times New Roman" w:cs="Times New Roman" w:eastAsia="Times New Roman" w:hAnsi="Times New Roman"/>
                <w:sz w:val="14"/>
                <w:szCs w:val="14"/>
                <w:color w:val="auto"/>
              </w:rPr>
              <w:t>U.S. Government securities</w:t>
            </w:r>
          </w:p>
        </w:tc>
        <w:tc>
          <w:tcPr>
            <w:tcW w:w="420" w:type="dxa"/>
            <w:vAlign w:val="bottom"/>
          </w:tcPr>
          <w:p>
            <w:pPr>
              <w:jc w:val="right"/>
              <w:ind w:right="249"/>
              <w:spacing w:after="0"/>
              <w:rPr>
                <w:sz w:val="20"/>
                <w:szCs w:val="20"/>
                <w:color w:val="auto"/>
              </w:rPr>
            </w:pPr>
            <w:r>
              <w:rPr>
                <w:rFonts w:ascii="Times New Roman" w:cs="Times New Roman" w:eastAsia="Times New Roman" w:hAnsi="Times New Roman"/>
                <w:sz w:val="14"/>
                <w:szCs w:val="14"/>
                <w:color w:val="auto"/>
              </w:rPr>
              <w:t>$</w:t>
            </w:r>
          </w:p>
        </w:tc>
        <w:tc>
          <w:tcPr>
            <w:tcW w:w="76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11,712</w:t>
            </w:r>
          </w:p>
        </w:tc>
        <w:tc>
          <w:tcPr>
            <w:tcW w:w="100" w:type="dxa"/>
            <w:vAlign w:val="bottom"/>
          </w:tcPr>
          <w:p>
            <w:pPr>
              <w:spacing w:after="0"/>
              <w:rPr>
                <w:sz w:val="15"/>
                <w:szCs w:val="15"/>
                <w:color w:val="auto"/>
              </w:rPr>
            </w:pPr>
          </w:p>
        </w:tc>
        <w:tc>
          <w:tcPr>
            <w:tcW w:w="420" w:type="dxa"/>
            <w:vAlign w:val="bottom"/>
          </w:tcPr>
          <w:p>
            <w:pPr>
              <w:jc w:val="right"/>
              <w:ind w:right="269"/>
              <w:spacing w:after="0"/>
              <w:rPr>
                <w:sz w:val="20"/>
                <w:szCs w:val="20"/>
                <w:color w:val="auto"/>
              </w:rPr>
            </w:pPr>
            <w:r>
              <w:rPr>
                <w:rFonts w:ascii="Times New Roman" w:cs="Times New Roman" w:eastAsia="Times New Roman" w:hAnsi="Times New Roman"/>
                <w:sz w:val="14"/>
                <w:szCs w:val="14"/>
                <w:color w:val="auto"/>
                <w:w w:val="85"/>
              </w:rPr>
              <w:t>$</w:t>
            </w:r>
          </w:p>
        </w:tc>
        <w:tc>
          <w:tcPr>
            <w:tcW w:w="74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259</w:t>
            </w:r>
          </w:p>
        </w:tc>
        <w:tc>
          <w:tcPr>
            <w:tcW w:w="100" w:type="dxa"/>
            <w:vAlign w:val="bottom"/>
          </w:tcPr>
          <w:p>
            <w:pPr>
              <w:spacing w:after="0"/>
              <w:rPr>
                <w:sz w:val="15"/>
                <w:szCs w:val="15"/>
                <w:color w:val="auto"/>
              </w:rPr>
            </w:pPr>
          </w:p>
        </w:tc>
        <w:tc>
          <w:tcPr>
            <w:tcW w:w="460" w:type="dxa"/>
            <w:vAlign w:val="bottom"/>
          </w:tcPr>
          <w:p>
            <w:pPr>
              <w:jc w:val="right"/>
              <w:ind w:right="309"/>
              <w:spacing w:after="0"/>
              <w:rPr>
                <w:sz w:val="20"/>
                <w:szCs w:val="20"/>
                <w:color w:val="auto"/>
              </w:rPr>
            </w:pPr>
            <w:r>
              <w:rPr>
                <w:rFonts w:ascii="Times New Roman" w:cs="Times New Roman" w:eastAsia="Times New Roman" w:hAnsi="Times New Roman"/>
                <w:sz w:val="14"/>
                <w:szCs w:val="14"/>
                <w:color w:val="auto"/>
                <w:w w:val="85"/>
              </w:rPr>
              <w:t>$</w:t>
            </w:r>
          </w:p>
        </w:tc>
        <w:tc>
          <w:tcPr>
            <w:tcW w:w="70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(33)</w:t>
            </w:r>
          </w:p>
        </w:tc>
        <w:tc>
          <w:tcPr>
            <w:tcW w:w="100" w:type="dxa"/>
            <w:vAlign w:val="bottom"/>
          </w:tcPr>
          <w:p>
            <w:pPr>
              <w:spacing w:after="0"/>
              <w:rPr>
                <w:sz w:val="15"/>
                <w:szCs w:val="15"/>
                <w:color w:val="auto"/>
              </w:rPr>
            </w:pPr>
          </w:p>
        </w:tc>
        <w:tc>
          <w:tcPr>
            <w:tcW w:w="400" w:type="dxa"/>
            <w:vAlign w:val="bottom"/>
          </w:tcPr>
          <w:p>
            <w:pPr>
              <w:jc w:val="right"/>
              <w:ind w:right="249"/>
              <w:spacing w:after="0"/>
              <w:rPr>
                <w:sz w:val="20"/>
                <w:szCs w:val="20"/>
                <w:color w:val="auto"/>
              </w:rPr>
            </w:pPr>
            <w:r>
              <w:rPr>
                <w:rFonts w:ascii="Times New Roman" w:cs="Times New Roman" w:eastAsia="Times New Roman" w:hAnsi="Times New Roman"/>
                <w:sz w:val="14"/>
                <w:szCs w:val="14"/>
                <w:color w:val="auto"/>
                <w:w w:val="85"/>
              </w:rPr>
              <w:t>$</w:t>
            </w:r>
          </w:p>
        </w:tc>
        <w:tc>
          <w:tcPr>
            <w:tcW w:w="76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11,938</w:t>
            </w:r>
          </w:p>
        </w:tc>
      </w:tr>
      <w:tr>
        <w:trPr>
          <w:trHeight w:val="180"/>
        </w:trPr>
        <w:tc>
          <w:tcPr>
            <w:tcW w:w="632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4"/>
                <w:szCs w:val="14"/>
                <w:color w:val="auto"/>
              </w:rPr>
              <w:t>Money market funds</w:t>
            </w:r>
          </w:p>
        </w:tc>
        <w:tc>
          <w:tcPr>
            <w:tcW w:w="420" w:type="dxa"/>
            <w:vAlign w:val="bottom"/>
            <w:shd w:val="clear" w:color="auto" w:fill="CCEEFF"/>
          </w:tcPr>
          <w:p>
            <w:pPr>
              <w:spacing w:after="0"/>
              <w:rPr>
                <w:sz w:val="15"/>
                <w:szCs w:val="15"/>
                <w:color w:val="auto"/>
              </w:rPr>
            </w:pPr>
          </w:p>
        </w:tc>
        <w:tc>
          <w:tcPr>
            <w:tcW w:w="7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4,455</w:t>
            </w:r>
          </w:p>
        </w:tc>
        <w:tc>
          <w:tcPr>
            <w:tcW w:w="100" w:type="dxa"/>
            <w:vAlign w:val="bottom"/>
            <w:shd w:val="clear" w:color="auto" w:fill="CCEEFF"/>
          </w:tcPr>
          <w:p>
            <w:pPr>
              <w:spacing w:after="0"/>
              <w:rPr>
                <w:sz w:val="15"/>
                <w:szCs w:val="15"/>
                <w:color w:val="auto"/>
              </w:rPr>
            </w:pPr>
          </w:p>
        </w:tc>
        <w:tc>
          <w:tcPr>
            <w:tcW w:w="420" w:type="dxa"/>
            <w:vAlign w:val="bottom"/>
            <w:shd w:val="clear" w:color="auto" w:fill="CCEEFF"/>
          </w:tcPr>
          <w:p>
            <w:pPr>
              <w:spacing w:after="0"/>
              <w:rPr>
                <w:sz w:val="15"/>
                <w:szCs w:val="15"/>
                <w:color w:val="auto"/>
              </w:rPr>
            </w:pPr>
          </w:p>
        </w:tc>
        <w:tc>
          <w:tcPr>
            <w:tcW w:w="7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174</w:t>
            </w:r>
          </w:p>
        </w:tc>
        <w:tc>
          <w:tcPr>
            <w:tcW w:w="100" w:type="dxa"/>
            <w:vAlign w:val="bottom"/>
            <w:shd w:val="clear" w:color="auto" w:fill="CCEEFF"/>
          </w:tcPr>
          <w:p>
            <w:pPr>
              <w:spacing w:after="0"/>
              <w:rPr>
                <w:sz w:val="15"/>
                <w:szCs w:val="15"/>
                <w:color w:val="auto"/>
              </w:rPr>
            </w:pPr>
          </w:p>
        </w:tc>
        <w:tc>
          <w:tcPr>
            <w:tcW w:w="460" w:type="dxa"/>
            <w:vAlign w:val="bottom"/>
            <w:shd w:val="clear" w:color="auto" w:fill="CCEEFF"/>
          </w:tcPr>
          <w:p>
            <w:pPr>
              <w:spacing w:after="0"/>
              <w:rPr>
                <w:sz w:val="15"/>
                <w:szCs w:val="15"/>
                <w:color w:val="auto"/>
              </w:rPr>
            </w:pPr>
          </w:p>
        </w:tc>
        <w:tc>
          <w:tcPr>
            <w:tcW w:w="800" w:type="dxa"/>
            <w:vAlign w:val="bottom"/>
            <w:gridSpan w:val="2"/>
            <w:shd w:val="clear" w:color="auto" w:fill="CCEEFF"/>
          </w:tcPr>
          <w:p>
            <w:pPr>
              <w:ind w:left="500"/>
              <w:spacing w:after="0"/>
              <w:rPr>
                <w:sz w:val="20"/>
                <w:szCs w:val="20"/>
                <w:color w:val="auto"/>
              </w:rPr>
            </w:pPr>
            <w:r>
              <w:rPr>
                <w:rFonts w:ascii="Times New Roman" w:cs="Times New Roman" w:eastAsia="Times New Roman" w:hAnsi="Times New Roman"/>
                <w:sz w:val="14"/>
                <w:szCs w:val="14"/>
                <w:color w:val="auto"/>
              </w:rPr>
              <w:t>—</w:t>
            </w:r>
          </w:p>
        </w:tc>
        <w:tc>
          <w:tcPr>
            <w:tcW w:w="400" w:type="dxa"/>
            <w:vAlign w:val="bottom"/>
            <w:shd w:val="clear" w:color="auto" w:fill="CCEEFF"/>
          </w:tcPr>
          <w:p>
            <w:pPr>
              <w:spacing w:after="0"/>
              <w:rPr>
                <w:sz w:val="15"/>
                <w:szCs w:val="15"/>
                <w:color w:val="auto"/>
              </w:rPr>
            </w:pPr>
          </w:p>
        </w:tc>
        <w:tc>
          <w:tcPr>
            <w:tcW w:w="7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4,629</w:t>
            </w:r>
          </w:p>
        </w:tc>
      </w:tr>
      <w:tr>
        <w:trPr>
          <w:trHeight w:val="180"/>
        </w:trPr>
        <w:tc>
          <w:tcPr>
            <w:tcW w:w="6320" w:type="dxa"/>
            <w:vAlign w:val="bottom"/>
          </w:tcPr>
          <w:p>
            <w:pPr>
              <w:ind w:left="20"/>
              <w:spacing w:after="0"/>
              <w:rPr>
                <w:sz w:val="20"/>
                <w:szCs w:val="20"/>
                <w:color w:val="auto"/>
              </w:rPr>
            </w:pPr>
            <w:r>
              <w:rPr>
                <w:rFonts w:ascii="Times New Roman" w:cs="Times New Roman" w:eastAsia="Times New Roman" w:hAnsi="Times New Roman"/>
                <w:sz w:val="14"/>
                <w:szCs w:val="14"/>
                <w:color w:val="auto"/>
              </w:rPr>
              <w:t>Equity funds</w:t>
            </w:r>
          </w:p>
        </w:tc>
        <w:tc>
          <w:tcPr>
            <w:tcW w:w="420" w:type="dxa"/>
            <w:vAlign w:val="bottom"/>
          </w:tcPr>
          <w:p>
            <w:pPr>
              <w:spacing w:after="0"/>
              <w:rPr>
                <w:sz w:val="15"/>
                <w:szCs w:val="15"/>
                <w:color w:val="auto"/>
              </w:rPr>
            </w:pPr>
          </w:p>
        </w:tc>
        <w:tc>
          <w:tcPr>
            <w:tcW w:w="76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617</w:t>
            </w:r>
          </w:p>
        </w:tc>
        <w:tc>
          <w:tcPr>
            <w:tcW w:w="100" w:type="dxa"/>
            <w:vAlign w:val="bottom"/>
          </w:tcPr>
          <w:p>
            <w:pPr>
              <w:spacing w:after="0"/>
              <w:rPr>
                <w:sz w:val="15"/>
                <w:szCs w:val="15"/>
                <w:color w:val="auto"/>
              </w:rPr>
            </w:pPr>
          </w:p>
        </w:tc>
        <w:tc>
          <w:tcPr>
            <w:tcW w:w="420" w:type="dxa"/>
            <w:vAlign w:val="bottom"/>
          </w:tcPr>
          <w:p>
            <w:pPr>
              <w:spacing w:after="0"/>
              <w:rPr>
                <w:sz w:val="15"/>
                <w:szCs w:val="15"/>
                <w:color w:val="auto"/>
              </w:rPr>
            </w:pPr>
          </w:p>
        </w:tc>
        <w:tc>
          <w:tcPr>
            <w:tcW w:w="74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363</w:t>
            </w:r>
          </w:p>
        </w:tc>
        <w:tc>
          <w:tcPr>
            <w:tcW w:w="100" w:type="dxa"/>
            <w:vAlign w:val="bottom"/>
          </w:tcPr>
          <w:p>
            <w:pPr>
              <w:spacing w:after="0"/>
              <w:rPr>
                <w:sz w:val="15"/>
                <w:szCs w:val="15"/>
                <w:color w:val="auto"/>
              </w:rPr>
            </w:pPr>
          </w:p>
        </w:tc>
        <w:tc>
          <w:tcPr>
            <w:tcW w:w="460" w:type="dxa"/>
            <w:vAlign w:val="bottom"/>
          </w:tcPr>
          <w:p>
            <w:pPr>
              <w:spacing w:after="0"/>
              <w:rPr>
                <w:sz w:val="15"/>
                <w:szCs w:val="15"/>
                <w:color w:val="auto"/>
              </w:rPr>
            </w:pPr>
          </w:p>
        </w:tc>
        <w:tc>
          <w:tcPr>
            <w:tcW w:w="70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(127)</w:t>
            </w:r>
          </w:p>
        </w:tc>
        <w:tc>
          <w:tcPr>
            <w:tcW w:w="100" w:type="dxa"/>
            <w:vAlign w:val="bottom"/>
          </w:tcPr>
          <w:p>
            <w:pPr>
              <w:spacing w:after="0"/>
              <w:rPr>
                <w:sz w:val="15"/>
                <w:szCs w:val="15"/>
                <w:color w:val="auto"/>
              </w:rPr>
            </w:pPr>
          </w:p>
        </w:tc>
        <w:tc>
          <w:tcPr>
            <w:tcW w:w="400" w:type="dxa"/>
            <w:vAlign w:val="bottom"/>
          </w:tcPr>
          <w:p>
            <w:pPr>
              <w:spacing w:after="0"/>
              <w:rPr>
                <w:sz w:val="15"/>
                <w:szCs w:val="15"/>
                <w:color w:val="auto"/>
              </w:rPr>
            </w:pPr>
          </w:p>
        </w:tc>
        <w:tc>
          <w:tcPr>
            <w:tcW w:w="76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853</w:t>
            </w:r>
          </w:p>
        </w:tc>
      </w:tr>
      <w:tr>
        <w:trPr>
          <w:trHeight w:val="180"/>
        </w:trPr>
        <w:tc>
          <w:tcPr>
            <w:tcW w:w="632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4"/>
                <w:szCs w:val="14"/>
                <w:color w:val="auto"/>
              </w:rPr>
              <w:t>Equities</w:t>
            </w:r>
          </w:p>
        </w:tc>
        <w:tc>
          <w:tcPr>
            <w:tcW w:w="420" w:type="dxa"/>
            <w:vAlign w:val="bottom"/>
            <w:shd w:val="clear" w:color="auto" w:fill="CCEEFF"/>
          </w:tcPr>
          <w:p>
            <w:pPr>
              <w:spacing w:after="0"/>
              <w:rPr>
                <w:sz w:val="15"/>
                <w:szCs w:val="15"/>
                <w:color w:val="auto"/>
              </w:rPr>
            </w:pPr>
          </w:p>
        </w:tc>
        <w:tc>
          <w:tcPr>
            <w:tcW w:w="7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380</w:t>
            </w:r>
          </w:p>
        </w:tc>
        <w:tc>
          <w:tcPr>
            <w:tcW w:w="100" w:type="dxa"/>
            <w:vAlign w:val="bottom"/>
            <w:shd w:val="clear" w:color="auto" w:fill="CCEEFF"/>
          </w:tcPr>
          <w:p>
            <w:pPr>
              <w:spacing w:after="0"/>
              <w:rPr>
                <w:sz w:val="15"/>
                <w:szCs w:val="15"/>
                <w:color w:val="auto"/>
              </w:rPr>
            </w:pPr>
          </w:p>
        </w:tc>
        <w:tc>
          <w:tcPr>
            <w:tcW w:w="420" w:type="dxa"/>
            <w:vAlign w:val="bottom"/>
            <w:shd w:val="clear" w:color="auto" w:fill="CCEEFF"/>
          </w:tcPr>
          <w:p>
            <w:pPr>
              <w:spacing w:after="0"/>
              <w:rPr>
                <w:sz w:val="15"/>
                <w:szCs w:val="15"/>
                <w:color w:val="auto"/>
              </w:rPr>
            </w:pPr>
          </w:p>
        </w:tc>
        <w:tc>
          <w:tcPr>
            <w:tcW w:w="7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102</w:t>
            </w:r>
          </w:p>
        </w:tc>
        <w:tc>
          <w:tcPr>
            <w:tcW w:w="100" w:type="dxa"/>
            <w:vAlign w:val="bottom"/>
            <w:shd w:val="clear" w:color="auto" w:fill="CCEEFF"/>
          </w:tcPr>
          <w:p>
            <w:pPr>
              <w:spacing w:after="0"/>
              <w:rPr>
                <w:sz w:val="15"/>
                <w:szCs w:val="15"/>
                <w:color w:val="auto"/>
              </w:rPr>
            </w:pPr>
          </w:p>
        </w:tc>
        <w:tc>
          <w:tcPr>
            <w:tcW w:w="460" w:type="dxa"/>
            <w:vAlign w:val="bottom"/>
            <w:shd w:val="clear" w:color="auto" w:fill="CCEEFF"/>
          </w:tcPr>
          <w:p>
            <w:pPr>
              <w:spacing w:after="0"/>
              <w:rPr>
                <w:sz w:val="15"/>
                <w:szCs w:val="15"/>
                <w:color w:val="auto"/>
              </w:rPr>
            </w:pPr>
          </w:p>
        </w:tc>
        <w:tc>
          <w:tcPr>
            <w:tcW w:w="7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(164)</w:t>
            </w:r>
          </w:p>
        </w:tc>
        <w:tc>
          <w:tcPr>
            <w:tcW w:w="100" w:type="dxa"/>
            <w:vAlign w:val="bottom"/>
            <w:shd w:val="clear" w:color="auto" w:fill="CCEEFF"/>
          </w:tcPr>
          <w:p>
            <w:pPr>
              <w:spacing w:after="0"/>
              <w:rPr>
                <w:sz w:val="15"/>
                <w:szCs w:val="15"/>
                <w:color w:val="auto"/>
              </w:rPr>
            </w:pPr>
          </w:p>
        </w:tc>
        <w:tc>
          <w:tcPr>
            <w:tcW w:w="400" w:type="dxa"/>
            <w:vAlign w:val="bottom"/>
            <w:shd w:val="clear" w:color="auto" w:fill="CCEEFF"/>
          </w:tcPr>
          <w:p>
            <w:pPr>
              <w:spacing w:after="0"/>
              <w:rPr>
                <w:sz w:val="15"/>
                <w:szCs w:val="15"/>
                <w:color w:val="auto"/>
              </w:rPr>
            </w:pPr>
          </w:p>
        </w:tc>
        <w:tc>
          <w:tcPr>
            <w:tcW w:w="7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318</w:t>
            </w:r>
          </w:p>
        </w:tc>
      </w:tr>
      <w:tr>
        <w:trPr>
          <w:trHeight w:val="180"/>
        </w:trPr>
        <w:tc>
          <w:tcPr>
            <w:tcW w:w="6320" w:type="dxa"/>
            <w:vAlign w:val="bottom"/>
          </w:tcPr>
          <w:p>
            <w:pPr>
              <w:ind w:left="20"/>
              <w:spacing w:after="0"/>
              <w:rPr>
                <w:sz w:val="20"/>
                <w:szCs w:val="20"/>
                <w:color w:val="auto"/>
              </w:rPr>
            </w:pPr>
            <w:r>
              <w:rPr>
                <w:rFonts w:ascii="Times New Roman" w:cs="Times New Roman" w:eastAsia="Times New Roman" w:hAnsi="Times New Roman"/>
                <w:sz w:val="14"/>
                <w:szCs w:val="14"/>
                <w:color w:val="auto"/>
              </w:rPr>
              <w:t>Exchange-traded bond funds</w:t>
            </w:r>
          </w:p>
        </w:tc>
        <w:tc>
          <w:tcPr>
            <w:tcW w:w="420" w:type="dxa"/>
            <w:vAlign w:val="bottom"/>
          </w:tcPr>
          <w:p>
            <w:pPr>
              <w:spacing w:after="0"/>
              <w:rPr>
                <w:sz w:val="15"/>
                <w:szCs w:val="15"/>
                <w:color w:val="auto"/>
              </w:rPr>
            </w:pPr>
          </w:p>
        </w:tc>
        <w:tc>
          <w:tcPr>
            <w:tcW w:w="76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148</w:t>
            </w:r>
          </w:p>
        </w:tc>
        <w:tc>
          <w:tcPr>
            <w:tcW w:w="100" w:type="dxa"/>
            <w:vAlign w:val="bottom"/>
          </w:tcPr>
          <w:p>
            <w:pPr>
              <w:spacing w:after="0"/>
              <w:rPr>
                <w:sz w:val="15"/>
                <w:szCs w:val="15"/>
                <w:color w:val="auto"/>
              </w:rPr>
            </w:pPr>
          </w:p>
        </w:tc>
        <w:tc>
          <w:tcPr>
            <w:tcW w:w="420" w:type="dxa"/>
            <w:vAlign w:val="bottom"/>
          </w:tcPr>
          <w:p>
            <w:pPr>
              <w:spacing w:after="0"/>
              <w:rPr>
                <w:sz w:val="15"/>
                <w:szCs w:val="15"/>
                <w:color w:val="auto"/>
              </w:rPr>
            </w:pPr>
          </w:p>
        </w:tc>
        <w:tc>
          <w:tcPr>
            <w:tcW w:w="74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w:t>
            </w:r>
          </w:p>
        </w:tc>
        <w:tc>
          <w:tcPr>
            <w:tcW w:w="100" w:type="dxa"/>
            <w:vAlign w:val="bottom"/>
          </w:tcPr>
          <w:p>
            <w:pPr>
              <w:spacing w:after="0"/>
              <w:rPr>
                <w:sz w:val="15"/>
                <w:szCs w:val="15"/>
                <w:color w:val="auto"/>
              </w:rPr>
            </w:pPr>
          </w:p>
        </w:tc>
        <w:tc>
          <w:tcPr>
            <w:tcW w:w="460" w:type="dxa"/>
            <w:vAlign w:val="bottom"/>
          </w:tcPr>
          <w:p>
            <w:pPr>
              <w:spacing w:after="0"/>
              <w:rPr>
                <w:sz w:val="15"/>
                <w:szCs w:val="15"/>
                <w:color w:val="auto"/>
              </w:rPr>
            </w:pPr>
          </w:p>
        </w:tc>
        <w:tc>
          <w:tcPr>
            <w:tcW w:w="800" w:type="dxa"/>
            <w:vAlign w:val="bottom"/>
            <w:gridSpan w:val="2"/>
          </w:tcPr>
          <w:p>
            <w:pPr>
              <w:ind w:left="500"/>
              <w:spacing w:after="0"/>
              <w:rPr>
                <w:sz w:val="20"/>
                <w:szCs w:val="20"/>
                <w:color w:val="auto"/>
              </w:rPr>
            </w:pPr>
            <w:r>
              <w:rPr>
                <w:rFonts w:ascii="Times New Roman" w:cs="Times New Roman" w:eastAsia="Times New Roman" w:hAnsi="Times New Roman"/>
                <w:sz w:val="14"/>
                <w:szCs w:val="14"/>
                <w:color w:val="auto"/>
              </w:rPr>
              <w:t>—</w:t>
            </w:r>
          </w:p>
        </w:tc>
        <w:tc>
          <w:tcPr>
            <w:tcW w:w="400" w:type="dxa"/>
            <w:vAlign w:val="bottom"/>
          </w:tcPr>
          <w:p>
            <w:pPr>
              <w:spacing w:after="0"/>
              <w:rPr>
                <w:sz w:val="15"/>
                <w:szCs w:val="15"/>
                <w:color w:val="auto"/>
              </w:rPr>
            </w:pPr>
          </w:p>
        </w:tc>
        <w:tc>
          <w:tcPr>
            <w:tcW w:w="76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149</w:t>
            </w:r>
          </w:p>
        </w:tc>
      </w:tr>
      <w:tr>
        <w:trPr>
          <w:trHeight w:val="180"/>
        </w:trPr>
        <w:tc>
          <w:tcPr>
            <w:tcW w:w="632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4"/>
                <w:szCs w:val="14"/>
                <w:color w:val="auto"/>
              </w:rPr>
              <w:t>Private investment funds</w:t>
            </w:r>
          </w:p>
        </w:tc>
        <w:tc>
          <w:tcPr>
            <w:tcW w:w="420" w:type="dxa"/>
            <w:vAlign w:val="bottom"/>
            <w:tcBorders>
              <w:bottom w:val="single" w:sz="8" w:color="auto"/>
            </w:tcBorders>
            <w:shd w:val="clear" w:color="auto" w:fill="CCEEFF"/>
          </w:tcPr>
          <w:p>
            <w:pPr>
              <w:spacing w:after="0"/>
              <w:rPr>
                <w:sz w:val="15"/>
                <w:szCs w:val="15"/>
                <w:color w:val="auto"/>
              </w:rPr>
            </w:pPr>
          </w:p>
        </w:tc>
        <w:tc>
          <w:tcPr>
            <w:tcW w:w="7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2,611</w:t>
            </w:r>
          </w:p>
        </w:tc>
        <w:tc>
          <w:tcPr>
            <w:tcW w:w="100" w:type="dxa"/>
            <w:vAlign w:val="bottom"/>
            <w:shd w:val="clear" w:color="auto" w:fill="CCEEFF"/>
          </w:tcPr>
          <w:p>
            <w:pPr>
              <w:spacing w:after="0"/>
              <w:rPr>
                <w:sz w:val="15"/>
                <w:szCs w:val="15"/>
                <w:color w:val="auto"/>
              </w:rPr>
            </w:pPr>
          </w:p>
        </w:tc>
        <w:tc>
          <w:tcPr>
            <w:tcW w:w="420" w:type="dxa"/>
            <w:vAlign w:val="bottom"/>
            <w:tcBorders>
              <w:bottom w:val="single" w:sz="8" w:color="auto"/>
            </w:tcBorders>
            <w:shd w:val="clear" w:color="auto" w:fill="CCEEFF"/>
          </w:tcPr>
          <w:p>
            <w:pPr>
              <w:spacing w:after="0"/>
              <w:rPr>
                <w:sz w:val="15"/>
                <w:szCs w:val="15"/>
                <w:color w:val="auto"/>
              </w:rPr>
            </w:pPr>
          </w:p>
        </w:tc>
        <w:tc>
          <w:tcPr>
            <w:tcW w:w="7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965</w:t>
            </w:r>
          </w:p>
        </w:tc>
        <w:tc>
          <w:tcPr>
            <w:tcW w:w="100" w:type="dxa"/>
            <w:vAlign w:val="bottom"/>
            <w:shd w:val="clear" w:color="auto" w:fill="CCEEFF"/>
          </w:tcPr>
          <w:p>
            <w:pPr>
              <w:spacing w:after="0"/>
              <w:rPr>
                <w:sz w:val="15"/>
                <w:szCs w:val="15"/>
                <w:color w:val="auto"/>
              </w:rPr>
            </w:pPr>
          </w:p>
        </w:tc>
        <w:tc>
          <w:tcPr>
            <w:tcW w:w="460" w:type="dxa"/>
            <w:vAlign w:val="bottom"/>
            <w:tcBorders>
              <w:bottom w:val="single" w:sz="8" w:color="auto"/>
            </w:tcBorders>
            <w:shd w:val="clear" w:color="auto" w:fill="CCEEFF"/>
          </w:tcPr>
          <w:p>
            <w:pPr>
              <w:spacing w:after="0"/>
              <w:rPr>
                <w:sz w:val="15"/>
                <w:szCs w:val="15"/>
                <w:color w:val="auto"/>
              </w:rPr>
            </w:pPr>
          </w:p>
        </w:tc>
        <w:tc>
          <w:tcPr>
            <w:tcW w:w="7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(30)</w:t>
            </w:r>
          </w:p>
        </w:tc>
        <w:tc>
          <w:tcPr>
            <w:tcW w:w="100" w:type="dxa"/>
            <w:vAlign w:val="bottom"/>
            <w:shd w:val="clear" w:color="auto" w:fill="CCEEFF"/>
          </w:tcPr>
          <w:p>
            <w:pPr>
              <w:spacing w:after="0"/>
              <w:rPr>
                <w:sz w:val="15"/>
                <w:szCs w:val="15"/>
                <w:color w:val="auto"/>
              </w:rPr>
            </w:pPr>
          </w:p>
        </w:tc>
        <w:tc>
          <w:tcPr>
            <w:tcW w:w="400" w:type="dxa"/>
            <w:vAlign w:val="bottom"/>
            <w:tcBorders>
              <w:bottom w:val="single" w:sz="8" w:color="auto"/>
            </w:tcBorders>
            <w:shd w:val="clear" w:color="auto" w:fill="CCEEFF"/>
          </w:tcPr>
          <w:p>
            <w:pPr>
              <w:spacing w:after="0"/>
              <w:rPr>
                <w:sz w:val="15"/>
                <w:szCs w:val="15"/>
                <w:color w:val="auto"/>
              </w:rPr>
            </w:pPr>
          </w:p>
        </w:tc>
        <w:tc>
          <w:tcPr>
            <w:tcW w:w="7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3,546</w:t>
            </w:r>
          </w:p>
        </w:tc>
      </w:tr>
      <w:tr>
        <w:trPr>
          <w:trHeight w:val="171"/>
        </w:trPr>
        <w:tc>
          <w:tcPr>
            <w:tcW w:w="6320" w:type="dxa"/>
            <w:vAlign w:val="bottom"/>
          </w:tcPr>
          <w:p>
            <w:pPr>
              <w:ind w:left="280"/>
              <w:spacing w:after="0"/>
              <w:rPr>
                <w:sz w:val="20"/>
                <w:szCs w:val="20"/>
                <w:color w:val="auto"/>
              </w:rPr>
            </w:pPr>
            <w:r>
              <w:rPr>
                <w:rFonts w:ascii="Times New Roman" w:cs="Times New Roman" w:eastAsia="Times New Roman" w:hAnsi="Times New Roman"/>
                <w:sz w:val="14"/>
                <w:szCs w:val="14"/>
                <w:color w:val="auto"/>
              </w:rPr>
              <w:t>Total investments carried at fair value</w:t>
            </w:r>
          </w:p>
        </w:tc>
        <w:tc>
          <w:tcPr>
            <w:tcW w:w="420" w:type="dxa"/>
            <w:vAlign w:val="bottom"/>
            <w:tcBorders>
              <w:bottom w:val="single" w:sz="8" w:color="auto"/>
            </w:tcBorders>
          </w:tcPr>
          <w:p>
            <w:pPr>
              <w:jc w:val="right"/>
              <w:ind w:right="249"/>
              <w:spacing w:after="0"/>
              <w:rPr>
                <w:sz w:val="20"/>
                <w:szCs w:val="20"/>
                <w:color w:val="auto"/>
              </w:rPr>
            </w:pPr>
            <w:r>
              <w:rPr>
                <w:rFonts w:ascii="Times New Roman" w:cs="Times New Roman" w:eastAsia="Times New Roman" w:hAnsi="Times New Roman"/>
                <w:sz w:val="14"/>
                <w:szCs w:val="14"/>
                <w:color w:val="auto"/>
              </w:rPr>
              <w:t>$</w:t>
            </w:r>
          </w:p>
        </w:tc>
        <w:tc>
          <w:tcPr>
            <w:tcW w:w="7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19,923</w:t>
            </w:r>
          </w:p>
        </w:tc>
        <w:tc>
          <w:tcPr>
            <w:tcW w:w="100" w:type="dxa"/>
            <w:vAlign w:val="bottom"/>
          </w:tcPr>
          <w:p>
            <w:pPr>
              <w:spacing w:after="0"/>
              <w:rPr>
                <w:sz w:val="14"/>
                <w:szCs w:val="14"/>
                <w:color w:val="auto"/>
              </w:rPr>
            </w:pPr>
          </w:p>
        </w:tc>
        <w:tc>
          <w:tcPr>
            <w:tcW w:w="420" w:type="dxa"/>
            <w:vAlign w:val="bottom"/>
            <w:tcBorders>
              <w:bottom w:val="single" w:sz="8" w:color="auto"/>
            </w:tcBorders>
          </w:tcPr>
          <w:p>
            <w:pPr>
              <w:jc w:val="right"/>
              <w:ind w:right="269"/>
              <w:spacing w:after="0"/>
              <w:rPr>
                <w:sz w:val="20"/>
                <w:szCs w:val="20"/>
                <w:color w:val="auto"/>
              </w:rPr>
            </w:pPr>
            <w:r>
              <w:rPr>
                <w:rFonts w:ascii="Times New Roman" w:cs="Times New Roman" w:eastAsia="Times New Roman" w:hAnsi="Times New Roman"/>
                <w:sz w:val="14"/>
                <w:szCs w:val="14"/>
                <w:color w:val="auto"/>
                <w:w w:val="85"/>
              </w:rPr>
              <w:t>$</w:t>
            </w:r>
          </w:p>
        </w:tc>
        <w:tc>
          <w:tcPr>
            <w:tcW w:w="7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1,864</w:t>
            </w:r>
          </w:p>
        </w:tc>
        <w:tc>
          <w:tcPr>
            <w:tcW w:w="100" w:type="dxa"/>
            <w:vAlign w:val="bottom"/>
          </w:tcPr>
          <w:p>
            <w:pPr>
              <w:spacing w:after="0"/>
              <w:rPr>
                <w:sz w:val="14"/>
                <w:szCs w:val="14"/>
                <w:color w:val="auto"/>
              </w:rPr>
            </w:pPr>
          </w:p>
        </w:tc>
        <w:tc>
          <w:tcPr>
            <w:tcW w:w="460" w:type="dxa"/>
            <w:vAlign w:val="bottom"/>
            <w:tcBorders>
              <w:bottom w:val="single" w:sz="8" w:color="auto"/>
            </w:tcBorders>
          </w:tcPr>
          <w:p>
            <w:pPr>
              <w:jc w:val="right"/>
              <w:ind w:right="309"/>
              <w:spacing w:after="0"/>
              <w:rPr>
                <w:sz w:val="20"/>
                <w:szCs w:val="20"/>
                <w:color w:val="auto"/>
              </w:rPr>
            </w:pPr>
            <w:r>
              <w:rPr>
                <w:rFonts w:ascii="Times New Roman" w:cs="Times New Roman" w:eastAsia="Times New Roman" w:hAnsi="Times New Roman"/>
                <w:sz w:val="14"/>
                <w:szCs w:val="14"/>
                <w:color w:val="auto"/>
                <w:w w:val="85"/>
              </w:rPr>
              <w:t>$</w:t>
            </w:r>
          </w:p>
        </w:tc>
        <w:tc>
          <w:tcPr>
            <w:tcW w:w="7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(354)</w:t>
            </w:r>
          </w:p>
        </w:tc>
        <w:tc>
          <w:tcPr>
            <w:tcW w:w="100" w:type="dxa"/>
            <w:vAlign w:val="bottom"/>
          </w:tcPr>
          <w:p>
            <w:pPr>
              <w:spacing w:after="0"/>
              <w:rPr>
                <w:sz w:val="14"/>
                <w:szCs w:val="14"/>
                <w:color w:val="auto"/>
              </w:rPr>
            </w:pPr>
          </w:p>
        </w:tc>
        <w:tc>
          <w:tcPr>
            <w:tcW w:w="400" w:type="dxa"/>
            <w:vAlign w:val="bottom"/>
            <w:tcBorders>
              <w:bottom w:val="single" w:sz="8" w:color="auto"/>
            </w:tcBorders>
          </w:tcPr>
          <w:p>
            <w:pPr>
              <w:jc w:val="right"/>
              <w:ind w:right="249"/>
              <w:spacing w:after="0"/>
              <w:rPr>
                <w:sz w:val="20"/>
                <w:szCs w:val="20"/>
                <w:color w:val="auto"/>
              </w:rPr>
            </w:pPr>
            <w:r>
              <w:rPr>
                <w:rFonts w:ascii="Times New Roman" w:cs="Times New Roman" w:eastAsia="Times New Roman" w:hAnsi="Times New Roman"/>
                <w:sz w:val="14"/>
                <w:szCs w:val="14"/>
                <w:color w:val="auto"/>
                <w:w w:val="85"/>
              </w:rPr>
              <w:t>$</w:t>
            </w:r>
          </w:p>
        </w:tc>
        <w:tc>
          <w:tcPr>
            <w:tcW w:w="7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21,433</w:t>
            </w:r>
          </w:p>
        </w:tc>
      </w:tr>
      <w:tr>
        <w:trPr>
          <w:trHeight w:val="20"/>
        </w:trPr>
        <w:tc>
          <w:tcPr>
            <w:tcW w:w="6320" w:type="dxa"/>
            <w:vAlign w:val="bottom"/>
            <w:tcBorders>
              <w:bottom w:val="single" w:sz="8" w:color="CCEEFF"/>
            </w:tcBorders>
          </w:tcPr>
          <w:p>
            <w:pPr>
              <w:spacing w:after="0" w:line="20" w:lineRule="exact"/>
              <w:rPr>
                <w:sz w:val="1"/>
                <w:szCs w:val="1"/>
                <w:color w:val="auto"/>
              </w:rPr>
            </w:pPr>
          </w:p>
        </w:tc>
        <w:tc>
          <w:tcPr>
            <w:tcW w:w="420" w:type="dxa"/>
            <w:vAlign w:val="bottom"/>
            <w:tcBorders>
              <w:bottom w:val="single" w:sz="8" w:color="auto"/>
            </w:tcBorders>
          </w:tcPr>
          <w:p>
            <w:pPr>
              <w:spacing w:after="0" w:line="20" w:lineRule="exact"/>
              <w:rPr>
                <w:sz w:val="1"/>
                <w:szCs w:val="1"/>
                <w:color w:val="auto"/>
              </w:rPr>
            </w:pPr>
          </w:p>
        </w:tc>
        <w:tc>
          <w:tcPr>
            <w:tcW w:w="76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420" w:type="dxa"/>
            <w:vAlign w:val="bottom"/>
            <w:tcBorders>
              <w:bottom w:val="single" w:sz="8" w:color="auto"/>
            </w:tcBorders>
          </w:tcPr>
          <w:p>
            <w:pPr>
              <w:spacing w:after="0" w:line="20" w:lineRule="exact"/>
              <w:rPr>
                <w:sz w:val="1"/>
                <w:szCs w:val="1"/>
                <w:color w:val="auto"/>
              </w:rPr>
            </w:pPr>
          </w:p>
        </w:tc>
        <w:tc>
          <w:tcPr>
            <w:tcW w:w="74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460" w:type="dxa"/>
            <w:vAlign w:val="bottom"/>
            <w:tcBorders>
              <w:bottom w:val="single" w:sz="8" w:color="auto"/>
            </w:tcBorders>
          </w:tcPr>
          <w:p>
            <w:pPr>
              <w:spacing w:after="0" w:line="20" w:lineRule="exact"/>
              <w:rPr>
                <w:sz w:val="1"/>
                <w:szCs w:val="1"/>
                <w:color w:val="auto"/>
              </w:rPr>
            </w:pPr>
          </w:p>
        </w:tc>
        <w:tc>
          <w:tcPr>
            <w:tcW w:w="70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400" w:type="dxa"/>
            <w:vAlign w:val="bottom"/>
            <w:tcBorders>
              <w:bottom w:val="single" w:sz="8" w:color="auto"/>
            </w:tcBorders>
          </w:tcPr>
          <w:p>
            <w:pPr>
              <w:spacing w:after="0" w:line="20" w:lineRule="exact"/>
              <w:rPr>
                <w:sz w:val="1"/>
                <w:szCs w:val="1"/>
                <w:color w:val="auto"/>
              </w:rPr>
            </w:pPr>
          </w:p>
        </w:tc>
        <w:tc>
          <w:tcPr>
            <w:tcW w:w="760" w:type="dxa"/>
            <w:vAlign w:val="bottom"/>
            <w:tcBorders>
              <w:bottom w:val="single" w:sz="8" w:color="auto"/>
            </w:tcBorders>
          </w:tcPr>
          <w:p>
            <w:pPr>
              <w:spacing w:after="0" w:line="20" w:lineRule="exact"/>
              <w:rPr>
                <w:sz w:val="1"/>
                <w:szCs w:val="1"/>
                <w:color w:val="auto"/>
              </w:rPr>
            </w:pPr>
          </w:p>
        </w:tc>
      </w:tr>
      <w:tr>
        <w:trPr>
          <w:trHeight w:val="163"/>
        </w:trPr>
        <w:tc>
          <w:tcPr>
            <w:tcW w:w="6320" w:type="dxa"/>
            <w:vAlign w:val="bottom"/>
            <w:shd w:val="clear" w:color="auto" w:fill="CCEEFF"/>
          </w:tcPr>
          <w:p>
            <w:pPr>
              <w:spacing w:after="0"/>
              <w:rPr>
                <w:sz w:val="14"/>
                <w:szCs w:val="14"/>
                <w:color w:val="auto"/>
              </w:rPr>
            </w:pPr>
          </w:p>
        </w:tc>
        <w:tc>
          <w:tcPr>
            <w:tcW w:w="420" w:type="dxa"/>
            <w:vAlign w:val="bottom"/>
            <w:shd w:val="clear" w:color="auto" w:fill="CCEEFF"/>
          </w:tcPr>
          <w:p>
            <w:pPr>
              <w:spacing w:after="0"/>
              <w:rPr>
                <w:sz w:val="14"/>
                <w:szCs w:val="14"/>
                <w:color w:val="auto"/>
              </w:rPr>
            </w:pPr>
          </w:p>
        </w:tc>
        <w:tc>
          <w:tcPr>
            <w:tcW w:w="76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420" w:type="dxa"/>
            <w:vAlign w:val="bottom"/>
            <w:shd w:val="clear" w:color="auto" w:fill="CCEEFF"/>
          </w:tcPr>
          <w:p>
            <w:pPr>
              <w:spacing w:after="0"/>
              <w:rPr>
                <w:sz w:val="14"/>
                <w:szCs w:val="14"/>
                <w:color w:val="auto"/>
              </w:rPr>
            </w:pPr>
          </w:p>
        </w:tc>
        <w:tc>
          <w:tcPr>
            <w:tcW w:w="74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460" w:type="dxa"/>
            <w:vAlign w:val="bottom"/>
            <w:shd w:val="clear" w:color="auto" w:fill="CCEEFF"/>
          </w:tcPr>
          <w:p>
            <w:pPr>
              <w:spacing w:after="0"/>
              <w:rPr>
                <w:sz w:val="14"/>
                <w:szCs w:val="14"/>
                <w:color w:val="auto"/>
              </w:rPr>
            </w:pPr>
          </w:p>
        </w:tc>
        <w:tc>
          <w:tcPr>
            <w:tcW w:w="70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400" w:type="dxa"/>
            <w:vAlign w:val="bottom"/>
            <w:shd w:val="clear" w:color="auto" w:fill="CCEEFF"/>
          </w:tcPr>
          <w:p>
            <w:pPr>
              <w:spacing w:after="0"/>
              <w:rPr>
                <w:sz w:val="14"/>
                <w:szCs w:val="14"/>
                <w:color w:val="auto"/>
              </w:rPr>
            </w:pPr>
          </w:p>
        </w:tc>
        <w:tc>
          <w:tcPr>
            <w:tcW w:w="760" w:type="dxa"/>
            <w:vAlign w:val="bottom"/>
            <w:shd w:val="clear" w:color="auto" w:fill="CCEEFF"/>
          </w:tcPr>
          <w:p>
            <w:pPr>
              <w:spacing w:after="0"/>
              <w:rPr>
                <w:sz w:val="14"/>
                <w:szCs w:val="14"/>
                <w:color w:val="auto"/>
              </w:rPr>
            </w:pPr>
          </w:p>
        </w:tc>
      </w:tr>
      <w:tr>
        <w:trPr>
          <w:trHeight w:val="180"/>
        </w:trPr>
        <w:tc>
          <w:tcPr>
            <w:tcW w:w="6320" w:type="dxa"/>
            <w:vAlign w:val="bottom"/>
          </w:tcPr>
          <w:p>
            <w:pPr>
              <w:ind w:left="20"/>
              <w:spacing w:after="0"/>
              <w:rPr>
                <w:sz w:val="20"/>
                <w:szCs w:val="20"/>
                <w:color w:val="auto"/>
              </w:rPr>
            </w:pPr>
            <w:r>
              <w:rPr>
                <w:rFonts w:ascii="Times New Roman" w:cs="Times New Roman" w:eastAsia="Times New Roman" w:hAnsi="Times New Roman"/>
                <w:sz w:val="14"/>
                <w:szCs w:val="14"/>
                <w:b w:val="1"/>
                <w:bCs w:val="1"/>
                <w:color w:val="auto"/>
              </w:rPr>
              <w:t>December 31, 2024:</w:t>
            </w:r>
          </w:p>
        </w:tc>
        <w:tc>
          <w:tcPr>
            <w:tcW w:w="420" w:type="dxa"/>
            <w:vAlign w:val="bottom"/>
          </w:tcPr>
          <w:p>
            <w:pPr>
              <w:spacing w:after="0"/>
              <w:rPr>
                <w:sz w:val="15"/>
                <w:szCs w:val="15"/>
                <w:color w:val="auto"/>
              </w:rPr>
            </w:pPr>
          </w:p>
        </w:tc>
        <w:tc>
          <w:tcPr>
            <w:tcW w:w="76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420" w:type="dxa"/>
            <w:vAlign w:val="bottom"/>
          </w:tcPr>
          <w:p>
            <w:pPr>
              <w:spacing w:after="0"/>
              <w:rPr>
                <w:sz w:val="15"/>
                <w:szCs w:val="15"/>
                <w:color w:val="auto"/>
              </w:rPr>
            </w:pPr>
          </w:p>
        </w:tc>
        <w:tc>
          <w:tcPr>
            <w:tcW w:w="74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460" w:type="dxa"/>
            <w:vAlign w:val="bottom"/>
          </w:tcPr>
          <w:p>
            <w:pPr>
              <w:spacing w:after="0"/>
              <w:rPr>
                <w:sz w:val="15"/>
                <w:szCs w:val="15"/>
                <w:color w:val="auto"/>
              </w:rPr>
            </w:pPr>
          </w:p>
        </w:tc>
        <w:tc>
          <w:tcPr>
            <w:tcW w:w="70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400" w:type="dxa"/>
            <w:vAlign w:val="bottom"/>
          </w:tcPr>
          <w:p>
            <w:pPr>
              <w:spacing w:after="0"/>
              <w:rPr>
                <w:sz w:val="15"/>
                <w:szCs w:val="15"/>
                <w:color w:val="auto"/>
              </w:rPr>
            </w:pPr>
          </w:p>
        </w:tc>
        <w:tc>
          <w:tcPr>
            <w:tcW w:w="760" w:type="dxa"/>
            <w:vAlign w:val="bottom"/>
          </w:tcPr>
          <w:p>
            <w:pPr>
              <w:spacing w:after="0"/>
              <w:rPr>
                <w:sz w:val="15"/>
                <w:szCs w:val="15"/>
                <w:color w:val="auto"/>
              </w:rPr>
            </w:pPr>
          </w:p>
        </w:tc>
      </w:tr>
      <w:tr>
        <w:trPr>
          <w:trHeight w:val="180"/>
        </w:trPr>
        <w:tc>
          <w:tcPr>
            <w:tcW w:w="632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4"/>
                <w:szCs w:val="14"/>
                <w:color w:val="auto"/>
              </w:rPr>
              <w:t>U.S. Government securities</w:t>
            </w:r>
          </w:p>
        </w:tc>
        <w:tc>
          <w:tcPr>
            <w:tcW w:w="420" w:type="dxa"/>
            <w:vAlign w:val="bottom"/>
            <w:shd w:val="clear" w:color="auto" w:fill="CCEEFF"/>
          </w:tcPr>
          <w:p>
            <w:pPr>
              <w:jc w:val="right"/>
              <w:ind w:right="249"/>
              <w:spacing w:after="0"/>
              <w:rPr>
                <w:sz w:val="20"/>
                <w:szCs w:val="20"/>
                <w:color w:val="auto"/>
              </w:rPr>
            </w:pPr>
            <w:r>
              <w:rPr>
                <w:rFonts w:ascii="Times New Roman" w:cs="Times New Roman" w:eastAsia="Times New Roman" w:hAnsi="Times New Roman"/>
                <w:sz w:val="14"/>
                <w:szCs w:val="14"/>
                <w:color w:val="auto"/>
              </w:rPr>
              <w:t>$</w:t>
            </w:r>
          </w:p>
        </w:tc>
        <w:tc>
          <w:tcPr>
            <w:tcW w:w="7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15,859</w:t>
            </w:r>
          </w:p>
        </w:tc>
        <w:tc>
          <w:tcPr>
            <w:tcW w:w="100" w:type="dxa"/>
            <w:vAlign w:val="bottom"/>
            <w:shd w:val="clear" w:color="auto" w:fill="CCEEFF"/>
          </w:tcPr>
          <w:p>
            <w:pPr>
              <w:spacing w:after="0"/>
              <w:rPr>
                <w:sz w:val="15"/>
                <w:szCs w:val="15"/>
                <w:color w:val="auto"/>
              </w:rPr>
            </w:pPr>
          </w:p>
        </w:tc>
        <w:tc>
          <w:tcPr>
            <w:tcW w:w="420" w:type="dxa"/>
            <w:vAlign w:val="bottom"/>
            <w:shd w:val="clear" w:color="auto" w:fill="CCEEFF"/>
          </w:tcPr>
          <w:p>
            <w:pPr>
              <w:jc w:val="right"/>
              <w:ind w:right="269"/>
              <w:spacing w:after="0"/>
              <w:rPr>
                <w:sz w:val="20"/>
                <w:szCs w:val="20"/>
                <w:color w:val="auto"/>
              </w:rPr>
            </w:pPr>
            <w:r>
              <w:rPr>
                <w:rFonts w:ascii="Times New Roman" w:cs="Times New Roman" w:eastAsia="Times New Roman" w:hAnsi="Times New Roman"/>
                <w:sz w:val="14"/>
                <w:szCs w:val="14"/>
                <w:color w:val="auto"/>
                <w:w w:val="85"/>
              </w:rPr>
              <w:t>$</w:t>
            </w:r>
          </w:p>
        </w:tc>
        <w:tc>
          <w:tcPr>
            <w:tcW w:w="7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263</w:t>
            </w:r>
          </w:p>
        </w:tc>
        <w:tc>
          <w:tcPr>
            <w:tcW w:w="100" w:type="dxa"/>
            <w:vAlign w:val="bottom"/>
            <w:shd w:val="clear" w:color="auto" w:fill="CCEEFF"/>
          </w:tcPr>
          <w:p>
            <w:pPr>
              <w:spacing w:after="0"/>
              <w:rPr>
                <w:sz w:val="15"/>
                <w:szCs w:val="15"/>
                <w:color w:val="auto"/>
              </w:rPr>
            </w:pPr>
          </w:p>
        </w:tc>
        <w:tc>
          <w:tcPr>
            <w:tcW w:w="460" w:type="dxa"/>
            <w:vAlign w:val="bottom"/>
            <w:shd w:val="clear" w:color="auto" w:fill="CCEEFF"/>
          </w:tcPr>
          <w:p>
            <w:pPr>
              <w:jc w:val="right"/>
              <w:ind w:right="309"/>
              <w:spacing w:after="0"/>
              <w:rPr>
                <w:sz w:val="20"/>
                <w:szCs w:val="20"/>
                <w:color w:val="auto"/>
              </w:rPr>
            </w:pPr>
            <w:r>
              <w:rPr>
                <w:rFonts w:ascii="Times New Roman" w:cs="Times New Roman" w:eastAsia="Times New Roman" w:hAnsi="Times New Roman"/>
                <w:sz w:val="14"/>
                <w:szCs w:val="14"/>
                <w:color w:val="auto"/>
                <w:w w:val="85"/>
              </w:rPr>
              <w:t>$</w:t>
            </w:r>
          </w:p>
        </w:tc>
        <w:tc>
          <w:tcPr>
            <w:tcW w:w="7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(66)</w:t>
            </w:r>
          </w:p>
        </w:tc>
        <w:tc>
          <w:tcPr>
            <w:tcW w:w="100" w:type="dxa"/>
            <w:vAlign w:val="bottom"/>
            <w:shd w:val="clear" w:color="auto" w:fill="CCEEFF"/>
          </w:tcPr>
          <w:p>
            <w:pPr>
              <w:spacing w:after="0"/>
              <w:rPr>
                <w:sz w:val="15"/>
                <w:szCs w:val="15"/>
                <w:color w:val="auto"/>
              </w:rPr>
            </w:pPr>
          </w:p>
        </w:tc>
        <w:tc>
          <w:tcPr>
            <w:tcW w:w="400" w:type="dxa"/>
            <w:vAlign w:val="bottom"/>
            <w:shd w:val="clear" w:color="auto" w:fill="CCEEFF"/>
          </w:tcPr>
          <w:p>
            <w:pPr>
              <w:jc w:val="right"/>
              <w:ind w:right="249"/>
              <w:spacing w:after="0"/>
              <w:rPr>
                <w:sz w:val="20"/>
                <w:szCs w:val="20"/>
                <w:color w:val="auto"/>
              </w:rPr>
            </w:pPr>
            <w:r>
              <w:rPr>
                <w:rFonts w:ascii="Times New Roman" w:cs="Times New Roman" w:eastAsia="Times New Roman" w:hAnsi="Times New Roman"/>
                <w:sz w:val="14"/>
                <w:szCs w:val="14"/>
                <w:color w:val="auto"/>
                <w:w w:val="85"/>
              </w:rPr>
              <w:t>$</w:t>
            </w:r>
          </w:p>
        </w:tc>
        <w:tc>
          <w:tcPr>
            <w:tcW w:w="7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16,056</w:t>
            </w:r>
          </w:p>
        </w:tc>
      </w:tr>
      <w:tr>
        <w:trPr>
          <w:trHeight w:val="180"/>
        </w:trPr>
        <w:tc>
          <w:tcPr>
            <w:tcW w:w="6320" w:type="dxa"/>
            <w:vAlign w:val="bottom"/>
          </w:tcPr>
          <w:p>
            <w:pPr>
              <w:ind w:left="20"/>
              <w:spacing w:after="0"/>
              <w:rPr>
                <w:sz w:val="20"/>
                <w:szCs w:val="20"/>
                <w:color w:val="auto"/>
              </w:rPr>
            </w:pPr>
            <w:r>
              <w:rPr>
                <w:rFonts w:ascii="Times New Roman" w:cs="Times New Roman" w:eastAsia="Times New Roman" w:hAnsi="Times New Roman"/>
                <w:sz w:val="14"/>
                <w:szCs w:val="14"/>
                <w:color w:val="auto"/>
              </w:rPr>
              <w:t>Money market funds</w:t>
            </w:r>
          </w:p>
        </w:tc>
        <w:tc>
          <w:tcPr>
            <w:tcW w:w="420" w:type="dxa"/>
            <w:vAlign w:val="bottom"/>
          </w:tcPr>
          <w:p>
            <w:pPr>
              <w:spacing w:after="0"/>
              <w:rPr>
                <w:sz w:val="15"/>
                <w:szCs w:val="15"/>
                <w:color w:val="auto"/>
              </w:rPr>
            </w:pPr>
          </w:p>
        </w:tc>
        <w:tc>
          <w:tcPr>
            <w:tcW w:w="76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7,629</w:t>
            </w:r>
          </w:p>
        </w:tc>
        <w:tc>
          <w:tcPr>
            <w:tcW w:w="100" w:type="dxa"/>
            <w:vAlign w:val="bottom"/>
          </w:tcPr>
          <w:p>
            <w:pPr>
              <w:spacing w:after="0"/>
              <w:rPr>
                <w:sz w:val="15"/>
                <w:szCs w:val="15"/>
                <w:color w:val="auto"/>
              </w:rPr>
            </w:pPr>
          </w:p>
        </w:tc>
        <w:tc>
          <w:tcPr>
            <w:tcW w:w="420" w:type="dxa"/>
            <w:vAlign w:val="bottom"/>
          </w:tcPr>
          <w:p>
            <w:pPr>
              <w:spacing w:after="0"/>
              <w:rPr>
                <w:sz w:val="15"/>
                <w:szCs w:val="15"/>
                <w:color w:val="auto"/>
              </w:rPr>
            </w:pPr>
          </w:p>
        </w:tc>
        <w:tc>
          <w:tcPr>
            <w:tcW w:w="74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174</w:t>
            </w:r>
          </w:p>
        </w:tc>
        <w:tc>
          <w:tcPr>
            <w:tcW w:w="100" w:type="dxa"/>
            <w:vAlign w:val="bottom"/>
          </w:tcPr>
          <w:p>
            <w:pPr>
              <w:spacing w:after="0"/>
              <w:rPr>
                <w:sz w:val="15"/>
                <w:szCs w:val="15"/>
                <w:color w:val="auto"/>
              </w:rPr>
            </w:pPr>
          </w:p>
        </w:tc>
        <w:tc>
          <w:tcPr>
            <w:tcW w:w="460" w:type="dxa"/>
            <w:vAlign w:val="bottom"/>
          </w:tcPr>
          <w:p>
            <w:pPr>
              <w:spacing w:after="0"/>
              <w:rPr>
                <w:sz w:val="15"/>
                <w:szCs w:val="15"/>
                <w:color w:val="auto"/>
              </w:rPr>
            </w:pPr>
          </w:p>
        </w:tc>
        <w:tc>
          <w:tcPr>
            <w:tcW w:w="800" w:type="dxa"/>
            <w:vAlign w:val="bottom"/>
            <w:gridSpan w:val="2"/>
          </w:tcPr>
          <w:p>
            <w:pPr>
              <w:ind w:left="500"/>
              <w:spacing w:after="0"/>
              <w:rPr>
                <w:sz w:val="20"/>
                <w:szCs w:val="20"/>
                <w:color w:val="auto"/>
              </w:rPr>
            </w:pPr>
            <w:r>
              <w:rPr>
                <w:rFonts w:ascii="Times New Roman" w:cs="Times New Roman" w:eastAsia="Times New Roman" w:hAnsi="Times New Roman"/>
                <w:sz w:val="14"/>
                <w:szCs w:val="14"/>
                <w:color w:val="auto"/>
              </w:rPr>
              <w:t>—</w:t>
            </w:r>
          </w:p>
        </w:tc>
        <w:tc>
          <w:tcPr>
            <w:tcW w:w="400" w:type="dxa"/>
            <w:vAlign w:val="bottom"/>
          </w:tcPr>
          <w:p>
            <w:pPr>
              <w:spacing w:after="0"/>
              <w:rPr>
                <w:sz w:val="15"/>
                <w:szCs w:val="15"/>
                <w:color w:val="auto"/>
              </w:rPr>
            </w:pPr>
          </w:p>
        </w:tc>
        <w:tc>
          <w:tcPr>
            <w:tcW w:w="76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7,803</w:t>
            </w:r>
          </w:p>
        </w:tc>
      </w:tr>
      <w:tr>
        <w:trPr>
          <w:trHeight w:val="180"/>
        </w:trPr>
        <w:tc>
          <w:tcPr>
            <w:tcW w:w="632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4"/>
                <w:szCs w:val="14"/>
                <w:color w:val="auto"/>
              </w:rPr>
              <w:t>Equity funds</w:t>
            </w:r>
          </w:p>
        </w:tc>
        <w:tc>
          <w:tcPr>
            <w:tcW w:w="420" w:type="dxa"/>
            <w:vAlign w:val="bottom"/>
            <w:shd w:val="clear" w:color="auto" w:fill="CCEEFF"/>
          </w:tcPr>
          <w:p>
            <w:pPr>
              <w:spacing w:after="0"/>
              <w:rPr>
                <w:sz w:val="15"/>
                <w:szCs w:val="15"/>
                <w:color w:val="auto"/>
              </w:rPr>
            </w:pPr>
          </w:p>
        </w:tc>
        <w:tc>
          <w:tcPr>
            <w:tcW w:w="7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1,432</w:t>
            </w:r>
          </w:p>
        </w:tc>
        <w:tc>
          <w:tcPr>
            <w:tcW w:w="100" w:type="dxa"/>
            <w:vAlign w:val="bottom"/>
            <w:shd w:val="clear" w:color="auto" w:fill="CCEEFF"/>
          </w:tcPr>
          <w:p>
            <w:pPr>
              <w:spacing w:after="0"/>
              <w:rPr>
                <w:sz w:val="15"/>
                <w:szCs w:val="15"/>
                <w:color w:val="auto"/>
              </w:rPr>
            </w:pPr>
          </w:p>
        </w:tc>
        <w:tc>
          <w:tcPr>
            <w:tcW w:w="420" w:type="dxa"/>
            <w:vAlign w:val="bottom"/>
            <w:shd w:val="clear" w:color="auto" w:fill="CCEEFF"/>
          </w:tcPr>
          <w:p>
            <w:pPr>
              <w:spacing w:after="0"/>
              <w:rPr>
                <w:sz w:val="15"/>
                <w:szCs w:val="15"/>
                <w:color w:val="auto"/>
              </w:rPr>
            </w:pPr>
          </w:p>
        </w:tc>
        <w:tc>
          <w:tcPr>
            <w:tcW w:w="7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318</w:t>
            </w:r>
          </w:p>
        </w:tc>
        <w:tc>
          <w:tcPr>
            <w:tcW w:w="100" w:type="dxa"/>
            <w:vAlign w:val="bottom"/>
            <w:shd w:val="clear" w:color="auto" w:fill="CCEEFF"/>
          </w:tcPr>
          <w:p>
            <w:pPr>
              <w:spacing w:after="0"/>
              <w:rPr>
                <w:sz w:val="15"/>
                <w:szCs w:val="15"/>
                <w:color w:val="auto"/>
              </w:rPr>
            </w:pPr>
          </w:p>
        </w:tc>
        <w:tc>
          <w:tcPr>
            <w:tcW w:w="460" w:type="dxa"/>
            <w:vAlign w:val="bottom"/>
            <w:shd w:val="clear" w:color="auto" w:fill="CCEEFF"/>
          </w:tcPr>
          <w:p>
            <w:pPr>
              <w:spacing w:after="0"/>
              <w:rPr>
                <w:sz w:val="15"/>
                <w:szCs w:val="15"/>
                <w:color w:val="auto"/>
              </w:rPr>
            </w:pPr>
          </w:p>
        </w:tc>
        <w:tc>
          <w:tcPr>
            <w:tcW w:w="7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(132)</w:t>
            </w:r>
          </w:p>
        </w:tc>
        <w:tc>
          <w:tcPr>
            <w:tcW w:w="100" w:type="dxa"/>
            <w:vAlign w:val="bottom"/>
            <w:shd w:val="clear" w:color="auto" w:fill="CCEEFF"/>
          </w:tcPr>
          <w:p>
            <w:pPr>
              <w:spacing w:after="0"/>
              <w:rPr>
                <w:sz w:val="15"/>
                <w:szCs w:val="15"/>
                <w:color w:val="auto"/>
              </w:rPr>
            </w:pPr>
          </w:p>
        </w:tc>
        <w:tc>
          <w:tcPr>
            <w:tcW w:w="400" w:type="dxa"/>
            <w:vAlign w:val="bottom"/>
            <w:shd w:val="clear" w:color="auto" w:fill="CCEEFF"/>
          </w:tcPr>
          <w:p>
            <w:pPr>
              <w:spacing w:after="0"/>
              <w:rPr>
                <w:sz w:val="15"/>
                <w:szCs w:val="15"/>
                <w:color w:val="auto"/>
              </w:rPr>
            </w:pPr>
          </w:p>
        </w:tc>
        <w:tc>
          <w:tcPr>
            <w:tcW w:w="7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1,618</w:t>
            </w:r>
          </w:p>
        </w:tc>
      </w:tr>
      <w:tr>
        <w:trPr>
          <w:trHeight w:val="180"/>
        </w:trPr>
        <w:tc>
          <w:tcPr>
            <w:tcW w:w="6320" w:type="dxa"/>
            <w:vAlign w:val="bottom"/>
          </w:tcPr>
          <w:p>
            <w:pPr>
              <w:ind w:left="20"/>
              <w:spacing w:after="0"/>
              <w:rPr>
                <w:sz w:val="20"/>
                <w:szCs w:val="20"/>
                <w:color w:val="auto"/>
              </w:rPr>
            </w:pPr>
            <w:r>
              <w:rPr>
                <w:rFonts w:ascii="Times New Roman" w:cs="Times New Roman" w:eastAsia="Times New Roman" w:hAnsi="Times New Roman"/>
                <w:sz w:val="14"/>
                <w:szCs w:val="14"/>
                <w:color w:val="auto"/>
              </w:rPr>
              <w:t>Equities</w:t>
            </w:r>
          </w:p>
        </w:tc>
        <w:tc>
          <w:tcPr>
            <w:tcW w:w="420" w:type="dxa"/>
            <w:vAlign w:val="bottom"/>
          </w:tcPr>
          <w:p>
            <w:pPr>
              <w:spacing w:after="0"/>
              <w:rPr>
                <w:sz w:val="15"/>
                <w:szCs w:val="15"/>
                <w:color w:val="auto"/>
              </w:rPr>
            </w:pPr>
          </w:p>
        </w:tc>
        <w:tc>
          <w:tcPr>
            <w:tcW w:w="76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183</w:t>
            </w:r>
          </w:p>
        </w:tc>
        <w:tc>
          <w:tcPr>
            <w:tcW w:w="100" w:type="dxa"/>
            <w:vAlign w:val="bottom"/>
          </w:tcPr>
          <w:p>
            <w:pPr>
              <w:spacing w:after="0"/>
              <w:rPr>
                <w:sz w:val="15"/>
                <w:szCs w:val="15"/>
                <w:color w:val="auto"/>
              </w:rPr>
            </w:pPr>
          </w:p>
        </w:tc>
        <w:tc>
          <w:tcPr>
            <w:tcW w:w="420" w:type="dxa"/>
            <w:vAlign w:val="bottom"/>
          </w:tcPr>
          <w:p>
            <w:pPr>
              <w:spacing w:after="0"/>
              <w:rPr>
                <w:sz w:val="15"/>
                <w:szCs w:val="15"/>
                <w:color w:val="auto"/>
              </w:rPr>
            </w:pPr>
          </w:p>
        </w:tc>
        <w:tc>
          <w:tcPr>
            <w:tcW w:w="74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69</w:t>
            </w:r>
          </w:p>
        </w:tc>
        <w:tc>
          <w:tcPr>
            <w:tcW w:w="100" w:type="dxa"/>
            <w:vAlign w:val="bottom"/>
          </w:tcPr>
          <w:p>
            <w:pPr>
              <w:spacing w:after="0"/>
              <w:rPr>
                <w:sz w:val="15"/>
                <w:szCs w:val="15"/>
                <w:color w:val="auto"/>
              </w:rPr>
            </w:pPr>
          </w:p>
        </w:tc>
        <w:tc>
          <w:tcPr>
            <w:tcW w:w="460" w:type="dxa"/>
            <w:vAlign w:val="bottom"/>
          </w:tcPr>
          <w:p>
            <w:pPr>
              <w:spacing w:after="0"/>
              <w:rPr>
                <w:sz w:val="15"/>
                <w:szCs w:val="15"/>
                <w:color w:val="auto"/>
              </w:rPr>
            </w:pPr>
          </w:p>
        </w:tc>
        <w:tc>
          <w:tcPr>
            <w:tcW w:w="70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(108)</w:t>
            </w:r>
          </w:p>
        </w:tc>
        <w:tc>
          <w:tcPr>
            <w:tcW w:w="100" w:type="dxa"/>
            <w:vAlign w:val="bottom"/>
          </w:tcPr>
          <w:p>
            <w:pPr>
              <w:spacing w:after="0"/>
              <w:rPr>
                <w:sz w:val="15"/>
                <w:szCs w:val="15"/>
                <w:color w:val="auto"/>
              </w:rPr>
            </w:pPr>
          </w:p>
        </w:tc>
        <w:tc>
          <w:tcPr>
            <w:tcW w:w="400" w:type="dxa"/>
            <w:vAlign w:val="bottom"/>
          </w:tcPr>
          <w:p>
            <w:pPr>
              <w:spacing w:after="0"/>
              <w:rPr>
                <w:sz w:val="15"/>
                <w:szCs w:val="15"/>
                <w:color w:val="auto"/>
              </w:rPr>
            </w:pPr>
          </w:p>
        </w:tc>
        <w:tc>
          <w:tcPr>
            <w:tcW w:w="76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144</w:t>
            </w:r>
          </w:p>
        </w:tc>
      </w:tr>
      <w:tr>
        <w:trPr>
          <w:trHeight w:val="180"/>
        </w:trPr>
        <w:tc>
          <w:tcPr>
            <w:tcW w:w="632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4"/>
                <w:szCs w:val="14"/>
                <w:color w:val="auto"/>
              </w:rPr>
              <w:t>Exchange-traded bond funds</w:t>
            </w:r>
          </w:p>
        </w:tc>
        <w:tc>
          <w:tcPr>
            <w:tcW w:w="420" w:type="dxa"/>
            <w:vAlign w:val="bottom"/>
            <w:shd w:val="clear" w:color="auto" w:fill="CCEEFF"/>
          </w:tcPr>
          <w:p>
            <w:pPr>
              <w:spacing w:after="0"/>
              <w:rPr>
                <w:sz w:val="15"/>
                <w:szCs w:val="15"/>
                <w:color w:val="auto"/>
              </w:rPr>
            </w:pPr>
          </w:p>
        </w:tc>
        <w:tc>
          <w:tcPr>
            <w:tcW w:w="7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129</w:t>
            </w:r>
          </w:p>
        </w:tc>
        <w:tc>
          <w:tcPr>
            <w:tcW w:w="100" w:type="dxa"/>
            <w:vAlign w:val="bottom"/>
            <w:shd w:val="clear" w:color="auto" w:fill="CCEEFF"/>
          </w:tcPr>
          <w:p>
            <w:pPr>
              <w:spacing w:after="0"/>
              <w:rPr>
                <w:sz w:val="15"/>
                <w:szCs w:val="15"/>
                <w:color w:val="auto"/>
              </w:rPr>
            </w:pPr>
          </w:p>
        </w:tc>
        <w:tc>
          <w:tcPr>
            <w:tcW w:w="420" w:type="dxa"/>
            <w:vAlign w:val="bottom"/>
            <w:shd w:val="clear" w:color="auto" w:fill="CCEEFF"/>
          </w:tcPr>
          <w:p>
            <w:pPr>
              <w:spacing w:after="0"/>
              <w:rPr>
                <w:sz w:val="15"/>
                <w:szCs w:val="15"/>
                <w:color w:val="auto"/>
              </w:rPr>
            </w:pPr>
          </w:p>
        </w:tc>
        <w:tc>
          <w:tcPr>
            <w:tcW w:w="84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4"/>
                <w:szCs w:val="14"/>
                <w:color w:val="auto"/>
              </w:rPr>
              <w:t>—</w:t>
            </w:r>
          </w:p>
        </w:tc>
        <w:tc>
          <w:tcPr>
            <w:tcW w:w="460" w:type="dxa"/>
            <w:vAlign w:val="bottom"/>
            <w:shd w:val="clear" w:color="auto" w:fill="CCEEFF"/>
          </w:tcPr>
          <w:p>
            <w:pPr>
              <w:spacing w:after="0"/>
              <w:rPr>
                <w:sz w:val="15"/>
                <w:szCs w:val="15"/>
                <w:color w:val="auto"/>
              </w:rPr>
            </w:pPr>
          </w:p>
        </w:tc>
        <w:tc>
          <w:tcPr>
            <w:tcW w:w="7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(2)</w:t>
            </w:r>
          </w:p>
        </w:tc>
        <w:tc>
          <w:tcPr>
            <w:tcW w:w="100" w:type="dxa"/>
            <w:vAlign w:val="bottom"/>
            <w:shd w:val="clear" w:color="auto" w:fill="CCEEFF"/>
          </w:tcPr>
          <w:p>
            <w:pPr>
              <w:spacing w:after="0"/>
              <w:rPr>
                <w:sz w:val="15"/>
                <w:szCs w:val="15"/>
                <w:color w:val="auto"/>
              </w:rPr>
            </w:pPr>
          </w:p>
        </w:tc>
        <w:tc>
          <w:tcPr>
            <w:tcW w:w="400" w:type="dxa"/>
            <w:vAlign w:val="bottom"/>
            <w:shd w:val="clear" w:color="auto" w:fill="CCEEFF"/>
          </w:tcPr>
          <w:p>
            <w:pPr>
              <w:spacing w:after="0"/>
              <w:rPr>
                <w:sz w:val="15"/>
                <w:szCs w:val="15"/>
                <w:color w:val="auto"/>
              </w:rPr>
            </w:pPr>
          </w:p>
        </w:tc>
        <w:tc>
          <w:tcPr>
            <w:tcW w:w="7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127</w:t>
            </w:r>
          </w:p>
        </w:tc>
      </w:tr>
      <w:tr>
        <w:trPr>
          <w:trHeight w:val="180"/>
        </w:trPr>
        <w:tc>
          <w:tcPr>
            <w:tcW w:w="6320" w:type="dxa"/>
            <w:vAlign w:val="bottom"/>
            <w:tcBorders>
              <w:bottom w:val="single" w:sz="8" w:color="CCEEFF"/>
            </w:tcBorders>
          </w:tcPr>
          <w:p>
            <w:pPr>
              <w:ind w:left="20"/>
              <w:spacing w:after="0"/>
              <w:rPr>
                <w:sz w:val="20"/>
                <w:szCs w:val="20"/>
                <w:color w:val="auto"/>
              </w:rPr>
            </w:pPr>
            <w:r>
              <w:rPr>
                <w:rFonts w:ascii="Times New Roman" w:cs="Times New Roman" w:eastAsia="Times New Roman" w:hAnsi="Times New Roman"/>
                <w:sz w:val="14"/>
                <w:szCs w:val="14"/>
                <w:color w:val="auto"/>
              </w:rPr>
              <w:t>Private investment funds</w:t>
            </w:r>
          </w:p>
        </w:tc>
        <w:tc>
          <w:tcPr>
            <w:tcW w:w="420" w:type="dxa"/>
            <w:vAlign w:val="bottom"/>
            <w:tcBorders>
              <w:bottom w:val="single" w:sz="8" w:color="auto"/>
            </w:tcBorders>
          </w:tcPr>
          <w:p>
            <w:pPr>
              <w:spacing w:after="0"/>
              <w:rPr>
                <w:sz w:val="15"/>
                <w:szCs w:val="15"/>
                <w:color w:val="auto"/>
              </w:rPr>
            </w:pPr>
          </w:p>
        </w:tc>
        <w:tc>
          <w:tcPr>
            <w:tcW w:w="7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1,556</w:t>
            </w:r>
          </w:p>
        </w:tc>
        <w:tc>
          <w:tcPr>
            <w:tcW w:w="100" w:type="dxa"/>
            <w:vAlign w:val="bottom"/>
            <w:tcBorders>
              <w:bottom w:val="single" w:sz="8" w:color="CCEEFF"/>
            </w:tcBorders>
          </w:tcPr>
          <w:p>
            <w:pPr>
              <w:spacing w:after="0"/>
              <w:rPr>
                <w:sz w:val="15"/>
                <w:szCs w:val="15"/>
                <w:color w:val="auto"/>
              </w:rPr>
            </w:pPr>
          </w:p>
        </w:tc>
        <w:tc>
          <w:tcPr>
            <w:tcW w:w="420" w:type="dxa"/>
            <w:vAlign w:val="bottom"/>
            <w:tcBorders>
              <w:bottom w:val="single" w:sz="8" w:color="auto"/>
            </w:tcBorders>
          </w:tcPr>
          <w:p>
            <w:pPr>
              <w:spacing w:after="0"/>
              <w:rPr>
                <w:sz w:val="15"/>
                <w:szCs w:val="15"/>
                <w:color w:val="auto"/>
              </w:rPr>
            </w:pPr>
          </w:p>
        </w:tc>
        <w:tc>
          <w:tcPr>
            <w:tcW w:w="7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402</w:t>
            </w:r>
          </w:p>
        </w:tc>
        <w:tc>
          <w:tcPr>
            <w:tcW w:w="100" w:type="dxa"/>
            <w:vAlign w:val="bottom"/>
            <w:tcBorders>
              <w:bottom w:val="single" w:sz="8" w:color="CCEEFF"/>
            </w:tcBorders>
          </w:tcPr>
          <w:p>
            <w:pPr>
              <w:spacing w:after="0"/>
              <w:rPr>
                <w:sz w:val="15"/>
                <w:szCs w:val="15"/>
                <w:color w:val="auto"/>
              </w:rPr>
            </w:pPr>
          </w:p>
        </w:tc>
        <w:tc>
          <w:tcPr>
            <w:tcW w:w="460" w:type="dxa"/>
            <w:vAlign w:val="bottom"/>
            <w:tcBorders>
              <w:bottom w:val="single" w:sz="8" w:color="auto"/>
            </w:tcBorders>
          </w:tcPr>
          <w:p>
            <w:pPr>
              <w:spacing w:after="0"/>
              <w:rPr>
                <w:sz w:val="15"/>
                <w:szCs w:val="15"/>
                <w:color w:val="auto"/>
              </w:rPr>
            </w:pPr>
          </w:p>
        </w:tc>
        <w:tc>
          <w:tcPr>
            <w:tcW w:w="7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(12)</w:t>
            </w:r>
          </w:p>
        </w:tc>
        <w:tc>
          <w:tcPr>
            <w:tcW w:w="100" w:type="dxa"/>
            <w:vAlign w:val="bottom"/>
            <w:tcBorders>
              <w:bottom w:val="single" w:sz="8" w:color="CCEEFF"/>
            </w:tcBorders>
          </w:tcPr>
          <w:p>
            <w:pPr>
              <w:spacing w:after="0"/>
              <w:rPr>
                <w:sz w:val="15"/>
                <w:szCs w:val="15"/>
                <w:color w:val="auto"/>
              </w:rPr>
            </w:pPr>
          </w:p>
        </w:tc>
        <w:tc>
          <w:tcPr>
            <w:tcW w:w="400" w:type="dxa"/>
            <w:vAlign w:val="bottom"/>
            <w:tcBorders>
              <w:bottom w:val="single" w:sz="8" w:color="auto"/>
            </w:tcBorders>
          </w:tcPr>
          <w:p>
            <w:pPr>
              <w:spacing w:after="0"/>
              <w:rPr>
                <w:sz w:val="15"/>
                <w:szCs w:val="15"/>
                <w:color w:val="auto"/>
              </w:rPr>
            </w:pPr>
          </w:p>
        </w:tc>
        <w:tc>
          <w:tcPr>
            <w:tcW w:w="7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1,946</w:t>
            </w:r>
          </w:p>
        </w:tc>
      </w:tr>
      <w:tr>
        <w:trPr>
          <w:trHeight w:val="196"/>
        </w:trPr>
        <w:tc>
          <w:tcPr>
            <w:tcW w:w="6320" w:type="dxa"/>
            <w:vAlign w:val="bottom"/>
            <w:tcBorders>
              <w:bottom w:val="single" w:sz="8" w:color="CCEEFF"/>
            </w:tcBorders>
            <w:shd w:val="clear" w:color="auto" w:fill="CCEEFF"/>
          </w:tcPr>
          <w:p>
            <w:pPr>
              <w:ind w:left="280"/>
              <w:spacing w:after="0"/>
              <w:rPr>
                <w:sz w:val="20"/>
                <w:szCs w:val="20"/>
                <w:color w:val="auto"/>
              </w:rPr>
            </w:pPr>
            <w:r>
              <w:rPr>
                <w:rFonts w:ascii="Times New Roman" w:cs="Times New Roman" w:eastAsia="Times New Roman" w:hAnsi="Times New Roman"/>
                <w:sz w:val="14"/>
                <w:szCs w:val="14"/>
                <w:color w:val="auto"/>
              </w:rPr>
              <w:t>Total investments carried at fair value</w:t>
            </w:r>
          </w:p>
        </w:tc>
        <w:tc>
          <w:tcPr>
            <w:tcW w:w="420" w:type="dxa"/>
            <w:vAlign w:val="bottom"/>
            <w:tcBorders>
              <w:bottom w:val="single" w:sz="8" w:color="auto"/>
            </w:tcBorders>
            <w:shd w:val="clear" w:color="auto" w:fill="CCEEFF"/>
          </w:tcPr>
          <w:p>
            <w:pPr>
              <w:jc w:val="right"/>
              <w:ind w:right="249"/>
              <w:spacing w:after="0"/>
              <w:rPr>
                <w:sz w:val="20"/>
                <w:szCs w:val="20"/>
                <w:color w:val="auto"/>
              </w:rPr>
            </w:pPr>
            <w:r>
              <w:rPr>
                <w:rFonts w:ascii="Times New Roman" w:cs="Times New Roman" w:eastAsia="Times New Roman" w:hAnsi="Times New Roman"/>
                <w:sz w:val="14"/>
                <w:szCs w:val="14"/>
                <w:color w:val="auto"/>
              </w:rPr>
              <w:t>$</w:t>
            </w:r>
          </w:p>
        </w:tc>
        <w:tc>
          <w:tcPr>
            <w:tcW w:w="7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26,788</w:t>
            </w:r>
          </w:p>
        </w:tc>
        <w:tc>
          <w:tcPr>
            <w:tcW w:w="100" w:type="dxa"/>
            <w:vAlign w:val="bottom"/>
            <w:tcBorders>
              <w:bottom w:val="single" w:sz="8" w:color="CCEEFF"/>
            </w:tcBorders>
            <w:shd w:val="clear" w:color="auto" w:fill="CCEEFF"/>
          </w:tcPr>
          <w:p>
            <w:pPr>
              <w:spacing w:after="0"/>
              <w:rPr>
                <w:sz w:val="16"/>
                <w:szCs w:val="16"/>
                <w:color w:val="auto"/>
              </w:rPr>
            </w:pPr>
          </w:p>
        </w:tc>
        <w:tc>
          <w:tcPr>
            <w:tcW w:w="420" w:type="dxa"/>
            <w:vAlign w:val="bottom"/>
            <w:tcBorders>
              <w:bottom w:val="single" w:sz="8" w:color="auto"/>
            </w:tcBorders>
            <w:shd w:val="clear" w:color="auto" w:fill="CCEEFF"/>
          </w:tcPr>
          <w:p>
            <w:pPr>
              <w:jc w:val="right"/>
              <w:ind w:right="269"/>
              <w:spacing w:after="0"/>
              <w:rPr>
                <w:sz w:val="20"/>
                <w:szCs w:val="20"/>
                <w:color w:val="auto"/>
              </w:rPr>
            </w:pPr>
            <w:r>
              <w:rPr>
                <w:rFonts w:ascii="Times New Roman" w:cs="Times New Roman" w:eastAsia="Times New Roman" w:hAnsi="Times New Roman"/>
                <w:sz w:val="14"/>
                <w:szCs w:val="14"/>
                <w:color w:val="auto"/>
                <w:w w:val="85"/>
              </w:rPr>
              <w:t>$</w:t>
            </w:r>
          </w:p>
        </w:tc>
        <w:tc>
          <w:tcPr>
            <w:tcW w:w="7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1,226</w:t>
            </w:r>
          </w:p>
        </w:tc>
        <w:tc>
          <w:tcPr>
            <w:tcW w:w="100" w:type="dxa"/>
            <w:vAlign w:val="bottom"/>
            <w:tcBorders>
              <w:bottom w:val="single" w:sz="8" w:color="CCEEFF"/>
            </w:tcBorders>
            <w:shd w:val="clear" w:color="auto" w:fill="CCEEFF"/>
          </w:tcPr>
          <w:p>
            <w:pPr>
              <w:spacing w:after="0"/>
              <w:rPr>
                <w:sz w:val="16"/>
                <w:szCs w:val="16"/>
                <w:color w:val="auto"/>
              </w:rPr>
            </w:pPr>
          </w:p>
        </w:tc>
        <w:tc>
          <w:tcPr>
            <w:tcW w:w="460" w:type="dxa"/>
            <w:vAlign w:val="bottom"/>
            <w:tcBorders>
              <w:bottom w:val="single" w:sz="8" w:color="auto"/>
            </w:tcBorders>
            <w:shd w:val="clear" w:color="auto" w:fill="CCEEFF"/>
          </w:tcPr>
          <w:p>
            <w:pPr>
              <w:jc w:val="right"/>
              <w:ind w:right="309"/>
              <w:spacing w:after="0"/>
              <w:rPr>
                <w:sz w:val="20"/>
                <w:szCs w:val="20"/>
                <w:color w:val="auto"/>
              </w:rPr>
            </w:pPr>
            <w:r>
              <w:rPr>
                <w:rFonts w:ascii="Times New Roman" w:cs="Times New Roman" w:eastAsia="Times New Roman" w:hAnsi="Times New Roman"/>
                <w:sz w:val="14"/>
                <w:szCs w:val="14"/>
                <w:color w:val="auto"/>
                <w:w w:val="85"/>
              </w:rPr>
              <w:t>$</w:t>
            </w:r>
          </w:p>
        </w:tc>
        <w:tc>
          <w:tcPr>
            <w:tcW w:w="7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(320)</w:t>
            </w:r>
          </w:p>
        </w:tc>
        <w:tc>
          <w:tcPr>
            <w:tcW w:w="100" w:type="dxa"/>
            <w:vAlign w:val="bottom"/>
            <w:tcBorders>
              <w:bottom w:val="single" w:sz="8" w:color="CCEEFF"/>
            </w:tcBorders>
            <w:shd w:val="clear" w:color="auto" w:fill="CCEEFF"/>
          </w:tcPr>
          <w:p>
            <w:pPr>
              <w:spacing w:after="0"/>
              <w:rPr>
                <w:sz w:val="16"/>
                <w:szCs w:val="16"/>
                <w:color w:val="auto"/>
              </w:rPr>
            </w:pPr>
          </w:p>
        </w:tc>
        <w:tc>
          <w:tcPr>
            <w:tcW w:w="400" w:type="dxa"/>
            <w:vAlign w:val="bottom"/>
            <w:tcBorders>
              <w:bottom w:val="single" w:sz="8" w:color="auto"/>
            </w:tcBorders>
            <w:shd w:val="clear" w:color="auto" w:fill="CCEEFF"/>
          </w:tcPr>
          <w:p>
            <w:pPr>
              <w:jc w:val="right"/>
              <w:ind w:right="249"/>
              <w:spacing w:after="0"/>
              <w:rPr>
                <w:sz w:val="20"/>
                <w:szCs w:val="20"/>
                <w:color w:val="auto"/>
              </w:rPr>
            </w:pPr>
            <w:r>
              <w:rPr>
                <w:rFonts w:ascii="Times New Roman" w:cs="Times New Roman" w:eastAsia="Times New Roman" w:hAnsi="Times New Roman"/>
                <w:sz w:val="14"/>
                <w:szCs w:val="14"/>
                <w:color w:val="auto"/>
                <w:w w:val="85"/>
              </w:rPr>
              <w:t>$</w:t>
            </w:r>
          </w:p>
        </w:tc>
        <w:tc>
          <w:tcPr>
            <w:tcW w:w="7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27,694</w:t>
            </w:r>
          </w:p>
        </w:tc>
      </w:tr>
      <w:tr>
        <w:trPr>
          <w:trHeight w:val="20"/>
        </w:trPr>
        <w:tc>
          <w:tcPr>
            <w:tcW w:w="6320" w:type="dxa"/>
            <w:vAlign w:val="bottom"/>
            <w:tcBorders>
              <w:top w:val="single" w:sz="8" w:color="CCEEFF"/>
            </w:tcBorders>
          </w:tcPr>
          <w:p>
            <w:pPr>
              <w:spacing w:after="0" w:line="20" w:lineRule="exact"/>
              <w:rPr>
                <w:sz w:val="1"/>
                <w:szCs w:val="1"/>
                <w:color w:val="auto"/>
              </w:rPr>
            </w:pPr>
          </w:p>
        </w:tc>
        <w:tc>
          <w:tcPr>
            <w:tcW w:w="420" w:type="dxa"/>
            <w:vAlign w:val="bottom"/>
            <w:tcBorders>
              <w:top w:val="single" w:sz="8" w:color="CCEEFF"/>
              <w:bottom w:val="single" w:sz="8" w:color="auto"/>
            </w:tcBorders>
          </w:tcPr>
          <w:p>
            <w:pPr>
              <w:spacing w:after="0" w:line="20" w:lineRule="exact"/>
              <w:rPr>
                <w:sz w:val="1"/>
                <w:szCs w:val="1"/>
                <w:color w:val="auto"/>
              </w:rPr>
            </w:pPr>
          </w:p>
        </w:tc>
        <w:tc>
          <w:tcPr>
            <w:tcW w:w="76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420" w:type="dxa"/>
            <w:vAlign w:val="bottom"/>
            <w:tcBorders>
              <w:top w:val="single" w:sz="8" w:color="CCEEFF"/>
              <w:bottom w:val="single" w:sz="8" w:color="auto"/>
            </w:tcBorders>
          </w:tcPr>
          <w:p>
            <w:pPr>
              <w:spacing w:after="0" w:line="20" w:lineRule="exact"/>
              <w:rPr>
                <w:sz w:val="1"/>
                <w:szCs w:val="1"/>
                <w:color w:val="auto"/>
              </w:rPr>
            </w:pPr>
          </w:p>
        </w:tc>
        <w:tc>
          <w:tcPr>
            <w:tcW w:w="74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460" w:type="dxa"/>
            <w:vAlign w:val="bottom"/>
            <w:tcBorders>
              <w:top w:val="single" w:sz="8" w:color="CCEEFF"/>
              <w:bottom w:val="single" w:sz="8" w:color="auto"/>
            </w:tcBorders>
          </w:tcPr>
          <w:p>
            <w:pPr>
              <w:spacing w:after="0" w:line="20" w:lineRule="exact"/>
              <w:rPr>
                <w:sz w:val="1"/>
                <w:szCs w:val="1"/>
                <w:color w:val="auto"/>
              </w:rPr>
            </w:pPr>
          </w:p>
        </w:tc>
        <w:tc>
          <w:tcPr>
            <w:tcW w:w="70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400" w:type="dxa"/>
            <w:vAlign w:val="bottom"/>
            <w:tcBorders>
              <w:top w:val="single" w:sz="8" w:color="CCEEFF"/>
              <w:bottom w:val="single" w:sz="8" w:color="auto"/>
            </w:tcBorders>
          </w:tcPr>
          <w:p>
            <w:pPr>
              <w:spacing w:after="0" w:line="20" w:lineRule="exact"/>
              <w:rPr>
                <w:sz w:val="1"/>
                <w:szCs w:val="1"/>
                <w:color w:val="auto"/>
              </w:rPr>
            </w:pPr>
          </w:p>
        </w:tc>
        <w:tc>
          <w:tcPr>
            <w:tcW w:w="760" w:type="dxa"/>
            <w:vAlign w:val="bottom"/>
            <w:tcBorders>
              <w:top w:val="single" w:sz="8" w:color="CCEEFF"/>
              <w:bottom w:val="single" w:sz="8" w:color="auto"/>
            </w:tcBorders>
          </w:tcPr>
          <w:p>
            <w:pPr>
              <w:spacing w:after="0" w:line="20" w:lineRule="exact"/>
              <w:rPr>
                <w:sz w:val="1"/>
                <w:szCs w:val="1"/>
                <w:color w:val="auto"/>
              </w:rPr>
            </w:pPr>
          </w:p>
        </w:tc>
      </w:tr>
    </w:tbl>
    <w:p>
      <w:pPr>
        <w:spacing w:after="0" w:line="134"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u w:val="single" w:color="auto"/>
          <w:color w:val="auto"/>
        </w:rPr>
        <w:t>Investments Under Measurement Alternative</w:t>
      </w:r>
    </w:p>
    <w:p>
      <w:pPr>
        <w:spacing w:after="0" w:line="94" w:lineRule="exact"/>
        <w:rPr>
          <w:sz w:val="20"/>
          <w:szCs w:val="20"/>
          <w:color w:val="auto"/>
        </w:rPr>
      </w:pPr>
    </w:p>
    <w:p>
      <w:pPr>
        <w:ind w:right="160" w:firstLine="382"/>
        <w:spacing w:after="0" w:line="270" w:lineRule="auto"/>
        <w:rPr>
          <w:sz w:val="20"/>
          <w:szCs w:val="20"/>
          <w:color w:val="auto"/>
        </w:rPr>
      </w:pPr>
      <w:r>
        <w:rPr>
          <w:rFonts w:ascii="Times New Roman" w:cs="Times New Roman" w:eastAsia="Times New Roman" w:hAnsi="Times New Roman"/>
          <w:sz w:val="14"/>
          <w:szCs w:val="14"/>
          <w:color w:val="auto"/>
        </w:rPr>
        <w:t>Our investments below represent equity interests in private companies without readily determinable fair values. The Company has elected to apply the measurement alternative of cost minus impairment, if any, adjusted for any observable price changes in orderly transactions for these investments. The acquisition cost of WEBs is allocated using the relative fair value method between preferred stock and a call option.</w:t>
      </w:r>
    </w:p>
    <w:p>
      <w:pPr>
        <w:spacing w:after="0" w:line="51" w:lineRule="exact"/>
        <w:rPr>
          <w:sz w:val="20"/>
          <w:szCs w:val="20"/>
          <w:color w:val="auto"/>
        </w:rPr>
      </w:pPr>
    </w:p>
    <w:p>
      <w:pPr>
        <w:ind w:left="380"/>
        <w:spacing w:after="0"/>
        <w:rPr>
          <w:sz w:val="20"/>
          <w:szCs w:val="20"/>
          <w:color w:val="auto"/>
        </w:rPr>
      </w:pPr>
      <w:r>
        <w:rPr>
          <w:rFonts w:ascii="Times New Roman" w:cs="Times New Roman" w:eastAsia="Times New Roman" w:hAnsi="Times New Roman"/>
          <w:sz w:val="14"/>
          <w:szCs w:val="14"/>
          <w:color w:val="auto"/>
        </w:rPr>
        <w:t>During the year ended December 31, 2025, we recorded an unrealized gain of approximately $2.0 million for our investment in TXSE following observable price changes in the third quarter.</w:t>
      </w:r>
    </w:p>
    <w:p>
      <w:pPr>
        <w:spacing w:after="0" w:line="23"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color w:val="auto"/>
        </w:rPr>
        <w:t>No impairments of these investments were recorded during the years ended December 31, 2025, 2024 or 2023. Balances are shown below (in thousands):</w:t>
      </w:r>
    </w:p>
    <w:p>
      <w:pPr>
        <w:spacing w:after="0" w:line="200" w:lineRule="exact"/>
        <w:rPr>
          <w:sz w:val="20"/>
          <w:szCs w:val="20"/>
          <w:color w:val="auto"/>
        </w:rPr>
      </w:pPr>
    </w:p>
    <w:p>
      <w:pPr>
        <w:spacing w:after="0" w:line="230"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4"/>
          <w:szCs w:val="14"/>
          <w:color w:val="auto"/>
        </w:rPr>
        <w:t>18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-8890</wp:posOffset>
            </wp:positionH>
            <wp:positionV relativeFrom="paragraph">
              <wp:posOffset>55880</wp:posOffset>
            </wp:positionV>
            <wp:extent cx="7186930" cy="38735"/>
            <wp:wrapNone/>
            <wp:docPr id="116" name="Picture 1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6"/>
                    <pic:cNvPicPr>
                      <a:picLocks noChangeAspect="1" noChangeArrowheads="1"/>
                    </pic:cNvPicPr>
                  </pic:nvPicPr>
                  <pic:blipFill>
                    <a:blip r:embed="rId123">
                      <a:extLst>
                        <a:ext uri="{28A0092B-C50C-407E-A947-70E740481C1C}"/>
                      </a:extLst>
                    </a:blip>
                    <a:srcRect/>
                    <a:stretch>
                      <a:fillRect/>
                    </a:stretch>
                  </pic:blipFill>
                  <pic:spPr bwMode="auto">
                    <a:xfrm>
                      <a:off x="0" y="0"/>
                      <a:ext cx="7186930" cy="38735"/>
                    </a:xfrm>
                    <a:prstGeom prst="rect">
                      <a:avLst/>
                    </a:prstGeom>
                    <a:noFill/>
                  </pic:spPr>
                </pic:pic>
              </a:graphicData>
            </a:graphic>
          </wp:anchor>
        </w:drawing>
      </w:r>
    </w:p>
    <w:p>
      <w:pPr>
        <w:sectPr>
          <w:pgSz w:w="11900" w:h="16838" w:orient="portrait"/>
          <w:cols w:equalWidth="0" w:num="1">
            <w:col w:w="11280"/>
          </w:cols>
          <w:pgMar w:left="300" w:top="123" w:right="319" w:bottom="1440" w:gutter="0" w:footer="0" w:header="0"/>
          <w:type w:val="continuous"/>
        </w:sectPr>
      </w:pPr>
    </w:p>
    <w:bookmarkStart w:id="60" w:name="page61"/>
    <w:bookmarkEnd w:id="60"/>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84" w:lineRule="exact"/>
        <w:rPr>
          <w:sz w:val="20"/>
          <w:szCs w:val="20"/>
          <w:color w:val="auto"/>
        </w:rPr>
      </w:pPr>
    </w:p>
    <w:p>
      <w:pPr>
        <w:ind w:left="20"/>
        <w:spacing w:after="0"/>
        <w:rPr>
          <w:sz w:val="20"/>
          <w:szCs w:val="20"/>
          <w:color w:val="auto"/>
        </w:rPr>
      </w:pPr>
      <w:r>
        <w:rPr>
          <w:rFonts w:ascii="Times New Roman" w:cs="Times New Roman" w:eastAsia="Times New Roman" w:hAnsi="Times New Roman"/>
          <w:sz w:val="14"/>
          <w:szCs w:val="14"/>
          <w:color w:val="auto"/>
        </w:rPr>
        <w:t>InvestCloud, Inc.</w:t>
      </w:r>
    </w:p>
    <w:p>
      <w:pPr>
        <w:spacing w:after="0" w:line="23" w:lineRule="exact"/>
        <w:rPr>
          <w:sz w:val="20"/>
          <w:szCs w:val="20"/>
          <w:color w:val="auto"/>
        </w:rPr>
      </w:pPr>
    </w:p>
    <w:p>
      <w:pPr>
        <w:ind w:left="20"/>
        <w:spacing w:after="0"/>
        <w:rPr>
          <w:sz w:val="20"/>
          <w:szCs w:val="20"/>
          <w:color w:val="auto"/>
        </w:rPr>
      </w:pPr>
      <w:r>
        <w:rPr>
          <w:rFonts w:ascii="Times New Roman" w:cs="Times New Roman" w:eastAsia="Times New Roman" w:hAnsi="Times New Roman"/>
          <w:sz w:val="14"/>
          <w:szCs w:val="14"/>
          <w:color w:val="auto"/>
        </w:rPr>
        <w:t>Vista Bancshares, Inc.</w:t>
      </w:r>
    </w:p>
    <w:p>
      <w:pPr>
        <w:spacing w:after="0" w:line="19" w:lineRule="exact"/>
        <w:rPr>
          <w:sz w:val="20"/>
          <w:szCs w:val="20"/>
          <w:color w:val="auto"/>
        </w:rPr>
      </w:pPr>
    </w:p>
    <w:p>
      <w:pPr>
        <w:ind w:left="20"/>
        <w:spacing w:after="0"/>
        <w:rPr>
          <w:sz w:val="20"/>
          <w:szCs w:val="20"/>
          <w:color w:val="auto"/>
        </w:rPr>
      </w:pPr>
      <w:r>
        <w:rPr>
          <w:rFonts w:ascii="Times New Roman" w:cs="Times New Roman" w:eastAsia="Times New Roman" w:hAnsi="Times New Roman"/>
          <w:sz w:val="14"/>
          <w:szCs w:val="14"/>
          <w:color w:val="auto"/>
        </w:rPr>
        <w:t>WEBs - preferred stock</w:t>
      </w:r>
    </w:p>
    <w:p>
      <w:pPr>
        <w:spacing w:after="0" w:line="19" w:lineRule="exact"/>
        <w:rPr>
          <w:sz w:val="20"/>
          <w:szCs w:val="20"/>
          <w:color w:val="auto"/>
        </w:rPr>
      </w:pPr>
    </w:p>
    <w:p>
      <w:pPr>
        <w:ind w:left="20"/>
        <w:spacing w:after="0"/>
        <w:rPr>
          <w:sz w:val="20"/>
          <w:szCs w:val="20"/>
          <w:color w:val="auto"/>
        </w:rPr>
      </w:pPr>
      <w:r>
        <w:rPr>
          <w:rFonts w:ascii="Times New Roman" w:cs="Times New Roman" w:eastAsia="Times New Roman" w:hAnsi="Times New Roman"/>
          <w:sz w:val="14"/>
          <w:szCs w:val="14"/>
          <w:color w:val="auto"/>
        </w:rPr>
        <w:t>WEBs - call option</w:t>
      </w:r>
    </w:p>
    <w:p>
      <w:pPr>
        <w:spacing w:after="0" w:line="19" w:lineRule="exact"/>
        <w:rPr>
          <w:sz w:val="20"/>
          <w:szCs w:val="20"/>
          <w:color w:val="auto"/>
        </w:rPr>
      </w:pPr>
    </w:p>
    <w:p>
      <w:pPr>
        <w:ind w:left="20"/>
        <w:spacing w:after="0"/>
        <w:rPr>
          <w:sz w:val="20"/>
          <w:szCs w:val="20"/>
          <w:color w:val="auto"/>
        </w:rPr>
      </w:pPr>
      <w:r>
        <w:rPr>
          <w:rFonts w:ascii="Times New Roman" w:cs="Times New Roman" w:eastAsia="Times New Roman" w:hAnsi="Times New Roman"/>
          <w:sz w:val="14"/>
          <w:szCs w:val="14"/>
          <w:color w:val="auto"/>
        </w:rPr>
        <w:t>TXSE Group, Inc.</w:t>
      </w:r>
    </w:p>
    <w:p>
      <w:pPr>
        <w:spacing w:after="0" w:line="19" w:lineRule="exact"/>
        <w:rPr>
          <w:sz w:val="20"/>
          <w:szCs w:val="20"/>
          <w:color w:val="auto"/>
        </w:rPr>
      </w:pPr>
    </w:p>
    <w:p>
      <w:pPr>
        <w:ind w:left="20"/>
        <w:spacing w:after="0"/>
        <w:rPr>
          <w:sz w:val="20"/>
          <w:szCs w:val="20"/>
          <w:color w:val="auto"/>
        </w:rPr>
      </w:pPr>
      <w:r>
        <w:rPr>
          <w:rFonts w:ascii="Times New Roman" w:cs="Times New Roman" w:eastAsia="Times New Roman" w:hAnsi="Times New Roman"/>
          <w:sz w:val="14"/>
          <w:szCs w:val="14"/>
          <w:color w:val="auto"/>
        </w:rPr>
        <w:t>Ridgeline, Inc.</w:t>
      </w:r>
    </w:p>
    <w:p>
      <w:pPr>
        <w:spacing w:after="0" w:line="48" w:lineRule="exact"/>
        <w:rPr>
          <w:sz w:val="20"/>
          <w:szCs w:val="20"/>
          <w:color w:val="auto"/>
        </w:rPr>
      </w:pPr>
    </w:p>
    <w:p>
      <w:pPr>
        <w:ind w:left="280"/>
        <w:spacing w:after="0"/>
        <w:rPr>
          <w:sz w:val="20"/>
          <w:szCs w:val="20"/>
          <w:color w:val="auto"/>
        </w:rPr>
      </w:pPr>
      <w:r>
        <w:rPr>
          <w:rFonts w:ascii="Times New Roman" w:cs="Times New Roman" w:eastAsia="Times New Roman" w:hAnsi="Times New Roman"/>
          <w:sz w:val="14"/>
          <w:szCs w:val="14"/>
          <w:color w:val="auto"/>
        </w:rPr>
        <w:t>Total investments under measurement alternative</w:t>
      </w:r>
    </w:p>
    <w:p>
      <w:pPr>
        <w:spacing w:after="0" w:line="189"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u w:val="single" w:color="auto"/>
          <w:color w:val="auto"/>
        </w:rPr>
        <w:t>Equity Method Investments</w:t>
      </w:r>
    </w:p>
    <w:p>
      <w:pPr>
        <w:spacing w:after="0" w:line="20" w:lineRule="exact"/>
        <w:rPr>
          <w:sz w:val="20"/>
          <w:szCs w:val="20"/>
          <w:color w:val="auto"/>
        </w:rPr>
      </w:pPr>
      <w:r>
        <w:rPr>
          <w:sz w:val="20"/>
          <w:szCs w:val="20"/>
          <w:color w:val="auto"/>
        </w:rPr>
        <w:br w:type="column"/>
      </w:r>
    </w:p>
    <w:p>
      <w:pPr>
        <w:jc w:val="center"/>
        <w:ind w:right="3320"/>
        <w:spacing w:after="0"/>
        <w:rPr>
          <w:sz w:val="20"/>
          <w:szCs w:val="20"/>
          <w:color w:val="auto"/>
        </w:rPr>
      </w:pPr>
      <w:r>
        <w:rPr>
          <w:rFonts w:ascii="Times New Roman" w:cs="Times New Roman" w:eastAsia="Times New Roman" w:hAnsi="Times New Roman"/>
          <w:sz w:val="14"/>
          <w:szCs w:val="14"/>
          <w:b w:val="1"/>
          <w:bCs w:val="1"/>
          <w:color w:val="auto"/>
        </w:rPr>
        <w:t>WESTWOOD HOLDINGS GROUP, INC.</w:t>
      </w:r>
    </w:p>
    <w:p>
      <w:pPr>
        <w:spacing w:after="0" w:line="51" w:lineRule="exact"/>
        <w:rPr>
          <w:sz w:val="20"/>
          <w:szCs w:val="20"/>
          <w:color w:val="auto"/>
        </w:rPr>
      </w:pPr>
    </w:p>
    <w:p>
      <w:pPr>
        <w:jc w:val="center"/>
        <w:ind w:right="3320"/>
        <w:spacing w:after="0"/>
        <w:rPr>
          <w:sz w:val="20"/>
          <w:szCs w:val="20"/>
          <w:color w:val="auto"/>
        </w:rPr>
      </w:pPr>
      <w:r>
        <w:rPr>
          <w:rFonts w:ascii="Times New Roman" w:cs="Times New Roman" w:eastAsia="Times New Roman" w:hAnsi="Times New Roman"/>
          <w:sz w:val="14"/>
          <w:szCs w:val="14"/>
          <w:b w:val="1"/>
          <w:bCs w:val="1"/>
          <w:color w:val="auto"/>
        </w:rPr>
        <w:t>NOTES TO CONSOLIDATED FINANCIAL STATEMENTS — (Continued)</w:t>
      </w:r>
    </w:p>
    <w:p>
      <w:pPr>
        <w:spacing w:after="0" w:line="352" w:lineRule="exact"/>
        <w:rPr>
          <w:sz w:val="20"/>
          <w:szCs w:val="20"/>
          <w:color w:val="auto"/>
        </w:rPr>
      </w:pPr>
    </w:p>
    <w:p>
      <w:pPr>
        <w:ind w:left="5860"/>
        <w:spacing w:after="0"/>
        <w:rPr>
          <w:sz w:val="20"/>
          <w:szCs w:val="20"/>
          <w:color w:val="auto"/>
        </w:rPr>
      </w:pPr>
      <w:r>
        <w:rPr>
          <w:rFonts w:ascii="Times New Roman" w:cs="Times New Roman" w:eastAsia="Times New Roman" w:hAnsi="Times New Roman"/>
          <w:sz w:val="13"/>
          <w:szCs w:val="13"/>
          <w:b w:val="1"/>
          <w:bCs w:val="1"/>
          <w:color w:val="auto"/>
        </w:rPr>
        <w:t>As of December 31,</w:t>
      </w:r>
    </w:p>
    <w:p>
      <w:pPr>
        <w:spacing w:after="0" w:line="18" w:lineRule="exact"/>
        <w:rPr>
          <w:sz w:val="20"/>
          <w:szCs w:val="20"/>
          <w:color w:val="auto"/>
        </w:rPr>
      </w:pPr>
    </w:p>
    <w:tbl>
      <w:tblPr>
        <w:tblLayout w:type="fixed"/>
        <w:tblInd w:w="4820" w:type="dxa"/>
        <w:tblCellMar>
          <w:top w:w="0" w:type="dxa"/>
          <w:left w:w="0" w:type="dxa"/>
          <w:bottom w:w="0" w:type="dxa"/>
          <w:right w:w="0" w:type="dxa"/>
        </w:tblCellMar>
      </w:tblPr>
      <w:tr>
        <w:trPr>
          <w:trHeight w:val="165"/>
        </w:trPr>
        <w:tc>
          <w:tcPr>
            <w:tcW w:w="360" w:type="dxa"/>
            <w:vAlign w:val="bottom"/>
            <w:tcBorders>
              <w:top w:val="single" w:sz="8" w:color="auto"/>
              <w:bottom w:val="single" w:sz="8" w:color="auto"/>
            </w:tcBorders>
          </w:tcPr>
          <w:p>
            <w:pPr>
              <w:spacing w:after="0"/>
              <w:rPr>
                <w:sz w:val="14"/>
                <w:szCs w:val="14"/>
                <w:color w:val="auto"/>
              </w:rPr>
            </w:pPr>
          </w:p>
        </w:tc>
        <w:tc>
          <w:tcPr>
            <w:tcW w:w="1160" w:type="dxa"/>
            <w:vAlign w:val="bottom"/>
            <w:tcBorders>
              <w:top w:val="single" w:sz="8" w:color="auto"/>
              <w:bottom w:val="single" w:sz="8" w:color="auto"/>
            </w:tcBorders>
          </w:tcPr>
          <w:p>
            <w:pPr>
              <w:jc w:val="right"/>
              <w:ind w:right="570"/>
              <w:spacing w:after="0"/>
              <w:rPr>
                <w:sz w:val="20"/>
                <w:szCs w:val="20"/>
                <w:color w:val="auto"/>
              </w:rPr>
            </w:pPr>
            <w:r>
              <w:rPr>
                <w:rFonts w:ascii="Times New Roman" w:cs="Times New Roman" w:eastAsia="Times New Roman" w:hAnsi="Times New Roman"/>
                <w:sz w:val="13"/>
                <w:szCs w:val="13"/>
                <w:b w:val="1"/>
                <w:bCs w:val="1"/>
                <w:color w:val="auto"/>
              </w:rPr>
              <w:t>2025</w:t>
            </w:r>
          </w:p>
        </w:tc>
        <w:tc>
          <w:tcPr>
            <w:tcW w:w="100" w:type="dxa"/>
            <w:vAlign w:val="bottom"/>
            <w:tcBorders>
              <w:top w:val="single" w:sz="8" w:color="auto"/>
            </w:tcBorders>
          </w:tcPr>
          <w:p>
            <w:pPr>
              <w:spacing w:after="0"/>
              <w:rPr>
                <w:sz w:val="14"/>
                <w:szCs w:val="14"/>
                <w:color w:val="auto"/>
              </w:rPr>
            </w:pPr>
          </w:p>
        </w:tc>
        <w:tc>
          <w:tcPr>
            <w:tcW w:w="360" w:type="dxa"/>
            <w:vAlign w:val="bottom"/>
            <w:tcBorders>
              <w:top w:val="single" w:sz="8" w:color="auto"/>
              <w:bottom w:val="single" w:sz="8" w:color="auto"/>
            </w:tcBorders>
          </w:tcPr>
          <w:p>
            <w:pPr>
              <w:spacing w:after="0"/>
              <w:rPr>
                <w:sz w:val="14"/>
                <w:szCs w:val="14"/>
                <w:color w:val="auto"/>
              </w:rPr>
            </w:pPr>
          </w:p>
        </w:tc>
        <w:tc>
          <w:tcPr>
            <w:tcW w:w="1160" w:type="dxa"/>
            <w:vAlign w:val="bottom"/>
            <w:tcBorders>
              <w:top w:val="single" w:sz="8" w:color="auto"/>
              <w:bottom w:val="single" w:sz="8" w:color="auto"/>
            </w:tcBorders>
          </w:tcPr>
          <w:p>
            <w:pPr>
              <w:jc w:val="right"/>
              <w:ind w:right="570"/>
              <w:spacing w:after="0"/>
              <w:rPr>
                <w:sz w:val="20"/>
                <w:szCs w:val="20"/>
                <w:color w:val="auto"/>
              </w:rPr>
            </w:pPr>
            <w:r>
              <w:rPr>
                <w:rFonts w:ascii="Times New Roman" w:cs="Times New Roman" w:eastAsia="Times New Roman" w:hAnsi="Times New Roman"/>
                <w:sz w:val="13"/>
                <w:szCs w:val="13"/>
                <w:b w:val="1"/>
                <w:bCs w:val="1"/>
                <w:color w:val="auto"/>
              </w:rPr>
              <w:t>2024</w:t>
            </w:r>
          </w:p>
        </w:tc>
      </w:tr>
      <w:tr>
        <w:trPr>
          <w:trHeight w:val="167"/>
        </w:trPr>
        <w:tc>
          <w:tcPr>
            <w:tcW w:w="360" w:type="dxa"/>
            <w:vAlign w:val="bottom"/>
          </w:tcPr>
          <w:p>
            <w:pPr>
              <w:jc w:val="right"/>
              <w:ind w:right="209"/>
              <w:spacing w:after="0"/>
              <w:rPr>
                <w:sz w:val="20"/>
                <w:szCs w:val="20"/>
                <w:color w:val="auto"/>
              </w:rPr>
            </w:pPr>
            <w:r>
              <w:rPr>
                <w:rFonts w:ascii="Times New Roman" w:cs="Times New Roman" w:eastAsia="Times New Roman" w:hAnsi="Times New Roman"/>
                <w:sz w:val="14"/>
                <w:szCs w:val="14"/>
                <w:color w:val="auto"/>
                <w:w w:val="85"/>
              </w:rPr>
              <w:t>$</w:t>
            </w:r>
          </w:p>
        </w:tc>
        <w:tc>
          <w:tcPr>
            <w:tcW w:w="116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4,455</w:t>
            </w:r>
          </w:p>
        </w:tc>
        <w:tc>
          <w:tcPr>
            <w:tcW w:w="100" w:type="dxa"/>
            <w:vAlign w:val="bottom"/>
          </w:tcPr>
          <w:p>
            <w:pPr>
              <w:spacing w:after="0"/>
              <w:rPr>
                <w:sz w:val="14"/>
                <w:szCs w:val="14"/>
                <w:color w:val="auto"/>
              </w:rPr>
            </w:pPr>
          </w:p>
        </w:tc>
        <w:tc>
          <w:tcPr>
            <w:tcW w:w="360" w:type="dxa"/>
            <w:vAlign w:val="bottom"/>
          </w:tcPr>
          <w:p>
            <w:pPr>
              <w:jc w:val="right"/>
              <w:ind w:right="209"/>
              <w:spacing w:after="0"/>
              <w:rPr>
                <w:sz w:val="20"/>
                <w:szCs w:val="20"/>
                <w:color w:val="auto"/>
              </w:rPr>
            </w:pPr>
            <w:r>
              <w:rPr>
                <w:rFonts w:ascii="Times New Roman" w:cs="Times New Roman" w:eastAsia="Times New Roman" w:hAnsi="Times New Roman"/>
                <w:sz w:val="14"/>
                <w:szCs w:val="14"/>
                <w:color w:val="auto"/>
                <w:w w:val="85"/>
              </w:rPr>
              <w:t>$</w:t>
            </w:r>
          </w:p>
        </w:tc>
        <w:tc>
          <w:tcPr>
            <w:tcW w:w="116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4,455</w:t>
            </w:r>
          </w:p>
        </w:tc>
      </w:tr>
      <w:tr>
        <w:trPr>
          <w:trHeight w:val="180"/>
        </w:trPr>
        <w:tc>
          <w:tcPr>
            <w:tcW w:w="360" w:type="dxa"/>
            <w:vAlign w:val="bottom"/>
          </w:tcPr>
          <w:p>
            <w:pPr>
              <w:spacing w:after="0"/>
              <w:rPr>
                <w:sz w:val="15"/>
                <w:szCs w:val="15"/>
                <w:color w:val="auto"/>
              </w:rPr>
            </w:pPr>
          </w:p>
        </w:tc>
        <w:tc>
          <w:tcPr>
            <w:tcW w:w="116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2,792</w:t>
            </w:r>
          </w:p>
        </w:tc>
        <w:tc>
          <w:tcPr>
            <w:tcW w:w="100" w:type="dxa"/>
            <w:vAlign w:val="bottom"/>
          </w:tcPr>
          <w:p>
            <w:pPr>
              <w:spacing w:after="0"/>
              <w:rPr>
                <w:sz w:val="15"/>
                <w:szCs w:val="15"/>
                <w:color w:val="auto"/>
              </w:rPr>
            </w:pPr>
          </w:p>
        </w:tc>
        <w:tc>
          <w:tcPr>
            <w:tcW w:w="360" w:type="dxa"/>
            <w:vAlign w:val="bottom"/>
          </w:tcPr>
          <w:p>
            <w:pPr>
              <w:spacing w:after="0"/>
              <w:rPr>
                <w:sz w:val="15"/>
                <w:szCs w:val="15"/>
                <w:color w:val="auto"/>
              </w:rPr>
            </w:pPr>
          </w:p>
        </w:tc>
        <w:tc>
          <w:tcPr>
            <w:tcW w:w="116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2,792</w:t>
            </w:r>
          </w:p>
        </w:tc>
      </w:tr>
      <w:tr>
        <w:trPr>
          <w:trHeight w:val="180"/>
        </w:trPr>
        <w:tc>
          <w:tcPr>
            <w:tcW w:w="360" w:type="dxa"/>
            <w:vAlign w:val="bottom"/>
          </w:tcPr>
          <w:p>
            <w:pPr>
              <w:spacing w:after="0"/>
              <w:rPr>
                <w:sz w:val="15"/>
                <w:szCs w:val="15"/>
                <w:color w:val="auto"/>
              </w:rPr>
            </w:pPr>
          </w:p>
        </w:tc>
        <w:tc>
          <w:tcPr>
            <w:tcW w:w="116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3,799</w:t>
            </w:r>
          </w:p>
        </w:tc>
        <w:tc>
          <w:tcPr>
            <w:tcW w:w="100" w:type="dxa"/>
            <w:vAlign w:val="bottom"/>
          </w:tcPr>
          <w:p>
            <w:pPr>
              <w:spacing w:after="0"/>
              <w:rPr>
                <w:sz w:val="15"/>
                <w:szCs w:val="15"/>
                <w:color w:val="auto"/>
              </w:rPr>
            </w:pPr>
          </w:p>
        </w:tc>
        <w:tc>
          <w:tcPr>
            <w:tcW w:w="360" w:type="dxa"/>
            <w:vAlign w:val="bottom"/>
          </w:tcPr>
          <w:p>
            <w:pPr>
              <w:spacing w:after="0"/>
              <w:rPr>
                <w:sz w:val="15"/>
                <w:szCs w:val="15"/>
                <w:color w:val="auto"/>
              </w:rPr>
            </w:pPr>
          </w:p>
        </w:tc>
        <w:tc>
          <w:tcPr>
            <w:tcW w:w="116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1,799</w:t>
            </w:r>
          </w:p>
        </w:tc>
      </w:tr>
      <w:tr>
        <w:trPr>
          <w:trHeight w:val="180"/>
        </w:trPr>
        <w:tc>
          <w:tcPr>
            <w:tcW w:w="360" w:type="dxa"/>
            <w:vAlign w:val="bottom"/>
          </w:tcPr>
          <w:p>
            <w:pPr>
              <w:spacing w:after="0"/>
              <w:rPr>
                <w:sz w:val="15"/>
                <w:szCs w:val="15"/>
                <w:color w:val="auto"/>
              </w:rPr>
            </w:pPr>
          </w:p>
        </w:tc>
        <w:tc>
          <w:tcPr>
            <w:tcW w:w="116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201</w:t>
            </w:r>
          </w:p>
        </w:tc>
        <w:tc>
          <w:tcPr>
            <w:tcW w:w="100" w:type="dxa"/>
            <w:vAlign w:val="bottom"/>
          </w:tcPr>
          <w:p>
            <w:pPr>
              <w:spacing w:after="0"/>
              <w:rPr>
                <w:sz w:val="15"/>
                <w:szCs w:val="15"/>
                <w:color w:val="auto"/>
              </w:rPr>
            </w:pPr>
          </w:p>
        </w:tc>
        <w:tc>
          <w:tcPr>
            <w:tcW w:w="360" w:type="dxa"/>
            <w:vAlign w:val="bottom"/>
          </w:tcPr>
          <w:p>
            <w:pPr>
              <w:spacing w:after="0"/>
              <w:rPr>
                <w:sz w:val="15"/>
                <w:szCs w:val="15"/>
                <w:color w:val="auto"/>
              </w:rPr>
            </w:pPr>
          </w:p>
        </w:tc>
        <w:tc>
          <w:tcPr>
            <w:tcW w:w="116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201</w:t>
            </w:r>
          </w:p>
        </w:tc>
      </w:tr>
      <w:tr>
        <w:trPr>
          <w:trHeight w:val="180"/>
        </w:trPr>
        <w:tc>
          <w:tcPr>
            <w:tcW w:w="360" w:type="dxa"/>
            <w:vAlign w:val="bottom"/>
          </w:tcPr>
          <w:p>
            <w:pPr>
              <w:spacing w:after="0"/>
              <w:rPr>
                <w:sz w:val="15"/>
                <w:szCs w:val="15"/>
                <w:color w:val="auto"/>
              </w:rPr>
            </w:pPr>
          </w:p>
        </w:tc>
        <w:tc>
          <w:tcPr>
            <w:tcW w:w="116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3,450</w:t>
            </w:r>
          </w:p>
        </w:tc>
        <w:tc>
          <w:tcPr>
            <w:tcW w:w="100" w:type="dxa"/>
            <w:vAlign w:val="bottom"/>
          </w:tcPr>
          <w:p>
            <w:pPr>
              <w:spacing w:after="0"/>
              <w:rPr>
                <w:sz w:val="15"/>
                <w:szCs w:val="15"/>
                <w:color w:val="auto"/>
              </w:rPr>
            </w:pPr>
          </w:p>
        </w:tc>
        <w:tc>
          <w:tcPr>
            <w:tcW w:w="360" w:type="dxa"/>
            <w:vAlign w:val="bottom"/>
          </w:tcPr>
          <w:p>
            <w:pPr>
              <w:spacing w:after="0"/>
              <w:rPr>
                <w:sz w:val="15"/>
                <w:szCs w:val="15"/>
                <w:color w:val="auto"/>
              </w:rPr>
            </w:pPr>
          </w:p>
        </w:tc>
        <w:tc>
          <w:tcPr>
            <w:tcW w:w="116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1,500</w:t>
            </w:r>
          </w:p>
        </w:tc>
      </w:tr>
      <w:tr>
        <w:trPr>
          <w:trHeight w:val="184"/>
        </w:trPr>
        <w:tc>
          <w:tcPr>
            <w:tcW w:w="360" w:type="dxa"/>
            <w:vAlign w:val="bottom"/>
            <w:tcBorders>
              <w:bottom w:val="single" w:sz="8" w:color="auto"/>
            </w:tcBorders>
          </w:tcPr>
          <w:p>
            <w:pPr>
              <w:spacing w:after="0"/>
              <w:rPr>
                <w:sz w:val="16"/>
                <w:szCs w:val="16"/>
                <w:color w:val="auto"/>
              </w:rPr>
            </w:pPr>
          </w:p>
        </w:tc>
        <w:tc>
          <w:tcPr>
            <w:tcW w:w="11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1,000</w:t>
            </w:r>
          </w:p>
        </w:tc>
        <w:tc>
          <w:tcPr>
            <w:tcW w:w="100" w:type="dxa"/>
            <w:vAlign w:val="bottom"/>
          </w:tcPr>
          <w:p>
            <w:pPr>
              <w:spacing w:after="0"/>
              <w:rPr>
                <w:sz w:val="16"/>
                <w:szCs w:val="16"/>
                <w:color w:val="auto"/>
              </w:rPr>
            </w:pPr>
          </w:p>
        </w:tc>
        <w:tc>
          <w:tcPr>
            <w:tcW w:w="360" w:type="dxa"/>
            <w:vAlign w:val="bottom"/>
            <w:tcBorders>
              <w:bottom w:val="single" w:sz="8" w:color="auto"/>
            </w:tcBorders>
          </w:tcPr>
          <w:p>
            <w:pPr>
              <w:spacing w:after="0"/>
              <w:rPr>
                <w:sz w:val="16"/>
                <w:szCs w:val="16"/>
                <w:color w:val="auto"/>
              </w:rPr>
            </w:pPr>
          </w:p>
        </w:tc>
        <w:tc>
          <w:tcPr>
            <w:tcW w:w="11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w:t>
            </w:r>
          </w:p>
        </w:tc>
      </w:tr>
      <w:tr>
        <w:trPr>
          <w:trHeight w:val="171"/>
        </w:trPr>
        <w:tc>
          <w:tcPr>
            <w:tcW w:w="360" w:type="dxa"/>
            <w:vAlign w:val="bottom"/>
            <w:tcBorders>
              <w:bottom w:val="single" w:sz="8" w:color="auto"/>
            </w:tcBorders>
          </w:tcPr>
          <w:p>
            <w:pPr>
              <w:jc w:val="right"/>
              <w:ind w:right="209"/>
              <w:spacing w:after="0"/>
              <w:rPr>
                <w:sz w:val="20"/>
                <w:szCs w:val="20"/>
                <w:color w:val="auto"/>
              </w:rPr>
            </w:pPr>
            <w:r>
              <w:rPr>
                <w:rFonts w:ascii="Times New Roman" w:cs="Times New Roman" w:eastAsia="Times New Roman" w:hAnsi="Times New Roman"/>
                <w:sz w:val="14"/>
                <w:szCs w:val="14"/>
                <w:color w:val="auto"/>
                <w:w w:val="85"/>
              </w:rPr>
              <w:t>$</w:t>
            </w:r>
          </w:p>
        </w:tc>
        <w:tc>
          <w:tcPr>
            <w:tcW w:w="11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15,697</w:t>
            </w:r>
          </w:p>
        </w:tc>
        <w:tc>
          <w:tcPr>
            <w:tcW w:w="100" w:type="dxa"/>
            <w:vAlign w:val="bottom"/>
          </w:tcPr>
          <w:p>
            <w:pPr>
              <w:spacing w:after="0"/>
              <w:rPr>
                <w:sz w:val="14"/>
                <w:szCs w:val="14"/>
                <w:color w:val="auto"/>
              </w:rPr>
            </w:pPr>
          </w:p>
        </w:tc>
        <w:tc>
          <w:tcPr>
            <w:tcW w:w="360" w:type="dxa"/>
            <w:vAlign w:val="bottom"/>
            <w:tcBorders>
              <w:bottom w:val="single" w:sz="8" w:color="auto"/>
            </w:tcBorders>
          </w:tcPr>
          <w:p>
            <w:pPr>
              <w:jc w:val="right"/>
              <w:ind w:right="209"/>
              <w:spacing w:after="0"/>
              <w:rPr>
                <w:sz w:val="20"/>
                <w:szCs w:val="20"/>
                <w:color w:val="auto"/>
              </w:rPr>
            </w:pPr>
            <w:r>
              <w:rPr>
                <w:rFonts w:ascii="Times New Roman" w:cs="Times New Roman" w:eastAsia="Times New Roman" w:hAnsi="Times New Roman"/>
                <w:sz w:val="14"/>
                <w:szCs w:val="14"/>
                <w:color w:val="auto"/>
                <w:w w:val="85"/>
              </w:rPr>
              <w:t>$</w:t>
            </w:r>
          </w:p>
        </w:tc>
        <w:tc>
          <w:tcPr>
            <w:tcW w:w="11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10,747</w:t>
            </w:r>
          </w:p>
        </w:tc>
      </w:tr>
      <w:tr>
        <w:trPr>
          <w:trHeight w:val="20"/>
        </w:trPr>
        <w:tc>
          <w:tcPr>
            <w:tcW w:w="360" w:type="dxa"/>
            <w:vAlign w:val="bottom"/>
            <w:tcBorders>
              <w:bottom w:val="single" w:sz="8" w:color="auto"/>
            </w:tcBorders>
          </w:tcPr>
          <w:p>
            <w:pPr>
              <w:spacing w:after="0" w:line="20" w:lineRule="exact"/>
              <w:rPr>
                <w:sz w:val="1"/>
                <w:szCs w:val="1"/>
                <w:color w:val="auto"/>
              </w:rPr>
            </w:pPr>
          </w:p>
        </w:tc>
        <w:tc>
          <w:tcPr>
            <w:tcW w:w="116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60" w:type="dxa"/>
            <w:vAlign w:val="bottom"/>
            <w:tcBorders>
              <w:bottom w:val="single" w:sz="8" w:color="auto"/>
            </w:tcBorders>
          </w:tcPr>
          <w:p>
            <w:pPr>
              <w:spacing w:after="0" w:line="20" w:lineRule="exact"/>
              <w:rPr>
                <w:sz w:val="1"/>
                <w:szCs w:val="1"/>
                <w:color w:val="auto"/>
              </w:rPr>
            </w:pPr>
          </w:p>
        </w:tc>
        <w:tc>
          <w:tcPr>
            <w:tcW w:w="1160" w:type="dxa"/>
            <w:vAlign w:val="bottom"/>
            <w:tcBorders>
              <w:bottom w:val="single" w:sz="8" w:color="auto"/>
            </w:tcBorders>
          </w:tcPr>
          <w:p>
            <w:pPr>
              <w:spacing w:after="0" w:line="20" w:lineRule="exact"/>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-2104390</wp:posOffset>
            </wp:positionH>
            <wp:positionV relativeFrom="paragraph">
              <wp:posOffset>-841375</wp:posOffset>
            </wp:positionV>
            <wp:extent cx="7161530" cy="121285"/>
            <wp:wrapNone/>
            <wp:docPr id="117" name="Picture 1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7"/>
                    <pic:cNvPicPr>
                      <a:picLocks noChangeAspect="1" noChangeArrowheads="1"/>
                    </pic:cNvPicPr>
                  </pic:nvPicPr>
                  <pic:blipFill>
                    <a:blip r:embed="rId124">
                      <a:extLst>
                        <a:ext uri="{28A0092B-C50C-407E-A947-70E740481C1C}"/>
                      </a:extLst>
                    </a:blip>
                    <a:srcRect/>
                    <a:stretch>
                      <a:fillRect/>
                    </a:stretch>
                  </pic:blipFill>
                  <pic:spPr bwMode="auto">
                    <a:xfrm>
                      <a:off x="0" y="0"/>
                      <a:ext cx="7161530" cy="121285"/>
                    </a:xfrm>
                    <a:prstGeom prst="rect">
                      <a:avLst/>
                    </a:prstGeom>
                    <a:noFill/>
                  </pic:spPr>
                </pic:pic>
              </a:graphicData>
            </a:graphic>
          </wp:anchor>
        </w:drawing>
        <w:drawing>
          <wp:anchor simplePos="0" relativeHeight="251657728" behindDoc="1" locked="0" layoutInCell="0" allowOverlap="1">
            <wp:simplePos x="0" y="0"/>
            <wp:positionH relativeFrom="column">
              <wp:posOffset>-2104390</wp:posOffset>
            </wp:positionH>
            <wp:positionV relativeFrom="paragraph">
              <wp:posOffset>-605790</wp:posOffset>
            </wp:positionV>
            <wp:extent cx="7161530" cy="114300"/>
            <wp:wrapNone/>
            <wp:docPr id="118" name="Picture 1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8"/>
                    <pic:cNvPicPr>
                      <a:picLocks noChangeAspect="1" noChangeArrowheads="1"/>
                    </pic:cNvPicPr>
                  </pic:nvPicPr>
                  <pic:blipFill>
                    <a:blip r:embed="rId125">
                      <a:extLst>
                        <a:ext uri="{28A0092B-C50C-407E-A947-70E740481C1C}"/>
                      </a:extLst>
                    </a:blip>
                    <a:srcRect/>
                    <a:stretch>
                      <a:fillRect/>
                    </a:stretch>
                  </pic:blipFill>
                  <pic:spPr bwMode="auto">
                    <a:xfrm>
                      <a:off x="0" y="0"/>
                      <a:ext cx="7161530" cy="114300"/>
                    </a:xfrm>
                    <a:prstGeom prst="rect">
                      <a:avLst/>
                    </a:prstGeom>
                    <a:noFill/>
                  </pic:spPr>
                </pic:pic>
              </a:graphicData>
            </a:graphic>
          </wp:anchor>
        </w:drawing>
        <w:drawing>
          <wp:anchor simplePos="0" relativeHeight="251657728" behindDoc="1" locked="0" layoutInCell="0" allowOverlap="1">
            <wp:simplePos x="0" y="0"/>
            <wp:positionH relativeFrom="column">
              <wp:posOffset>-2104390</wp:posOffset>
            </wp:positionH>
            <wp:positionV relativeFrom="paragraph">
              <wp:posOffset>-376555</wp:posOffset>
            </wp:positionV>
            <wp:extent cx="7161530" cy="114300"/>
            <wp:wrapNone/>
            <wp:docPr id="119" name="Picture 1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9"/>
                    <pic:cNvPicPr>
                      <a:picLocks noChangeAspect="1" noChangeArrowheads="1"/>
                    </pic:cNvPicPr>
                  </pic:nvPicPr>
                  <pic:blipFill>
                    <a:blip r:embed="rId126">
                      <a:extLst>
                        <a:ext uri="{28A0092B-C50C-407E-A947-70E740481C1C}"/>
                      </a:extLst>
                    </a:blip>
                    <a:srcRect/>
                    <a:stretch>
                      <a:fillRect/>
                    </a:stretch>
                  </pic:blipFill>
                  <pic:spPr bwMode="auto">
                    <a:xfrm>
                      <a:off x="0" y="0"/>
                      <a:ext cx="7161530" cy="114300"/>
                    </a:xfrm>
                    <a:prstGeom prst="rect">
                      <a:avLst/>
                    </a:prstGeom>
                    <a:noFill/>
                  </pic:spPr>
                </pic:pic>
              </a:graphicData>
            </a:graphic>
          </wp:anchor>
        </w:drawing>
        <w:drawing>
          <wp:anchor simplePos="0" relativeHeight="251657728" behindDoc="1" locked="0" layoutInCell="0" allowOverlap="1">
            <wp:simplePos x="0" y="0"/>
            <wp:positionH relativeFrom="column">
              <wp:posOffset>-2104390</wp:posOffset>
            </wp:positionH>
            <wp:positionV relativeFrom="paragraph">
              <wp:posOffset>-147320</wp:posOffset>
            </wp:positionV>
            <wp:extent cx="7161530" cy="134620"/>
            <wp:wrapNone/>
            <wp:docPr id="120" name="Picture 1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0"/>
                    <pic:cNvPicPr>
                      <a:picLocks noChangeAspect="1" noChangeArrowheads="1"/>
                    </pic:cNvPicPr>
                  </pic:nvPicPr>
                  <pic:blipFill>
                    <a:blip r:embed="rId127">
                      <a:extLst>
                        <a:ext uri="{28A0092B-C50C-407E-A947-70E740481C1C}"/>
                      </a:extLst>
                    </a:blip>
                    <a:srcRect/>
                    <a:stretch>
                      <a:fillRect/>
                    </a:stretch>
                  </pic:blipFill>
                  <pic:spPr bwMode="auto">
                    <a:xfrm>
                      <a:off x="0" y="0"/>
                      <a:ext cx="7161530" cy="134620"/>
                    </a:xfrm>
                    <a:prstGeom prst="rect">
                      <a:avLst/>
                    </a:prstGeom>
                    <a:noFill/>
                  </pic:spPr>
                </pic:pic>
              </a:graphicData>
            </a:graphic>
          </wp:anchor>
        </w:drawing>
      </w:r>
    </w:p>
    <w:p>
      <w:pPr>
        <w:spacing w:after="0" w:line="399" w:lineRule="exact"/>
        <w:rPr>
          <w:sz w:val="20"/>
          <w:szCs w:val="20"/>
          <w:color w:val="auto"/>
        </w:rPr>
      </w:pPr>
    </w:p>
    <w:p>
      <w:pPr>
        <w:sectPr>
          <w:pgSz w:w="11900" w:h="16838" w:orient="portrait"/>
          <w:cols w:equalWidth="0" w:num="2">
            <w:col w:w="3060" w:space="260"/>
            <w:col w:w="7960"/>
          </w:cols>
          <w:pgMar w:left="300" w:top="123" w:right="319" w:bottom="1440" w:gutter="0" w:footer="0" w:header="0"/>
        </w:sectPr>
      </w:pPr>
    </w:p>
    <w:p>
      <w:pPr>
        <w:ind w:right="180" w:firstLine="382"/>
        <w:spacing w:after="0" w:line="270" w:lineRule="auto"/>
        <w:rPr>
          <w:sz w:val="20"/>
          <w:szCs w:val="20"/>
          <w:color w:val="auto"/>
        </w:rPr>
      </w:pPr>
      <w:r>
        <w:rPr>
          <w:rFonts w:ascii="Times New Roman" w:cs="Times New Roman" w:eastAsia="Times New Roman" w:hAnsi="Times New Roman"/>
          <w:sz w:val="14"/>
          <w:szCs w:val="14"/>
          <w:color w:val="auto"/>
        </w:rPr>
        <w:t>These investments represent ownership interests in non-controlled partnerships and are measured based on our share of the net earnings or losses of the investee. Investment balances are included in “Equity method investments” on our Consolidated Balance Sheets and income and expenses are included in our Consolidated Statements of Operations under "Other income." Balances are shown below (in thousands):</w:t>
      </w:r>
    </w:p>
    <w:p>
      <w:pPr>
        <w:sectPr>
          <w:pgSz w:w="11900" w:h="16838" w:orient="portrait"/>
          <w:cols w:equalWidth="0" w:num="1">
            <w:col w:w="11280"/>
          </w:cols>
          <w:pgMar w:left="300" w:top="123" w:right="319" w:bottom="1440" w:gutter="0" w:footer="0" w:header="0"/>
          <w:type w:val="continuous"/>
        </w:sectPr>
      </w:pPr>
    </w:p>
    <w:p>
      <w:pPr>
        <w:spacing w:after="0" w:line="85" w:lineRule="exact"/>
        <w:rPr>
          <w:sz w:val="20"/>
          <w:szCs w:val="20"/>
          <w:color w:val="auto"/>
        </w:rPr>
      </w:pPr>
    </w:p>
    <w:p>
      <w:pPr>
        <w:ind w:left="5660"/>
        <w:spacing w:after="0"/>
        <w:rPr>
          <w:sz w:val="20"/>
          <w:szCs w:val="20"/>
          <w:color w:val="auto"/>
        </w:rPr>
      </w:pPr>
      <w:r>
        <w:rPr>
          <w:rFonts w:ascii="Times New Roman" w:cs="Times New Roman" w:eastAsia="Times New Roman" w:hAnsi="Times New Roman"/>
          <w:sz w:val="13"/>
          <w:szCs w:val="13"/>
          <w:b w:val="1"/>
          <w:bCs w:val="1"/>
          <w:color w:val="auto"/>
        </w:rPr>
        <w:t>December 31, 2025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2853055</wp:posOffset>
            </wp:positionH>
            <wp:positionV relativeFrom="paragraph">
              <wp:posOffset>13970</wp:posOffset>
            </wp:positionV>
            <wp:extent cx="2129155" cy="6985"/>
            <wp:wrapNone/>
            <wp:docPr id="121" name="Picture 1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1"/>
                    <pic:cNvPicPr>
                      <a:picLocks noChangeAspect="1" noChangeArrowheads="1"/>
                    </pic:cNvPicPr>
                  </pic:nvPicPr>
                  <pic:blipFill>
                    <a:blip r:embed="rId128">
                      <a:extLst>
                        <a:ext uri="{28A0092B-C50C-407E-A947-70E740481C1C}"/>
                      </a:extLst>
                    </a:blip>
                    <a:srcRect/>
                    <a:stretch>
                      <a:fillRect/>
                    </a:stretch>
                  </pic:blipFill>
                  <pic:spPr bwMode="auto">
                    <a:xfrm>
                      <a:off x="0" y="0"/>
                      <a:ext cx="2129155" cy="6985"/>
                    </a:xfrm>
                    <a:prstGeom prst="rect">
                      <a:avLst/>
                    </a:prstGeom>
                    <a:noFill/>
                  </pic:spPr>
                </pic:pic>
              </a:graphicData>
            </a:graphic>
          </wp:anchor>
        </w:drawing>
      </w:r>
    </w:p>
    <w:p>
      <w:pPr>
        <w:spacing w:after="0" w:line="11" w:lineRule="exact"/>
        <w:rPr>
          <w:sz w:val="20"/>
          <w:szCs w:val="20"/>
          <w:color w:val="auto"/>
        </w:rPr>
      </w:pPr>
    </w:p>
    <w:p>
      <w:pPr>
        <w:ind w:left="4880"/>
        <w:spacing w:after="0"/>
        <w:tabs>
          <w:tab w:leader="none" w:pos="6660" w:val="left"/>
        </w:tabs>
        <w:rPr>
          <w:sz w:val="20"/>
          <w:szCs w:val="20"/>
          <w:color w:val="auto"/>
        </w:rPr>
      </w:pPr>
      <w:r>
        <w:rPr>
          <w:rFonts w:ascii="Times New Roman" w:cs="Times New Roman" w:eastAsia="Times New Roman" w:hAnsi="Times New Roman"/>
          <w:sz w:val="13"/>
          <w:szCs w:val="13"/>
          <w:b w:val="1"/>
          <w:bCs w:val="1"/>
          <w:color w:val="auto"/>
        </w:rPr>
        <w:t>Carrying value</w:t>
      </w:r>
      <w:r>
        <w:rPr>
          <w:sz w:val="20"/>
          <w:szCs w:val="20"/>
          <w:color w:val="auto"/>
        </w:rPr>
        <w:tab/>
      </w:r>
      <w:r>
        <w:rPr>
          <w:rFonts w:ascii="Times New Roman" w:cs="Times New Roman" w:eastAsia="Times New Roman" w:hAnsi="Times New Roman"/>
          <w:sz w:val="12"/>
          <w:szCs w:val="12"/>
          <w:b w:val="1"/>
          <w:bCs w:val="1"/>
          <w:color w:val="auto"/>
        </w:rPr>
        <w:t>Ownership</w:t>
      </w:r>
    </w:p>
    <w:p>
      <w:pPr>
        <w:spacing w:after="0" w:line="20" w:lineRule="exact"/>
        <w:rPr>
          <w:sz w:val="20"/>
          <w:szCs w:val="20"/>
          <w:color w:val="auto"/>
        </w:rPr>
      </w:pPr>
      <w:r>
        <w:rPr>
          <w:sz w:val="20"/>
          <w:szCs w:val="20"/>
          <w:color w:val="auto"/>
        </w:rPr>
        <w:br w:type="column"/>
      </w:r>
    </w:p>
    <w:p>
      <w:pPr>
        <w:spacing w:after="0" w:line="65" w:lineRule="exact"/>
        <w:rPr>
          <w:sz w:val="20"/>
          <w:szCs w:val="20"/>
          <w:color w:val="auto"/>
        </w:rPr>
      </w:pPr>
    </w:p>
    <w:p>
      <w:pPr>
        <w:ind w:left="780"/>
        <w:spacing w:after="0"/>
        <w:rPr>
          <w:sz w:val="20"/>
          <w:szCs w:val="20"/>
          <w:color w:val="auto"/>
        </w:rPr>
      </w:pPr>
      <w:r>
        <w:rPr>
          <w:rFonts w:ascii="Times New Roman" w:cs="Times New Roman" w:eastAsia="Times New Roman" w:hAnsi="Times New Roman"/>
          <w:sz w:val="13"/>
          <w:szCs w:val="13"/>
          <w:b w:val="1"/>
          <w:bCs w:val="1"/>
          <w:color w:val="auto"/>
        </w:rPr>
        <w:t>December 31, 2024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-247015</wp:posOffset>
            </wp:positionH>
            <wp:positionV relativeFrom="paragraph">
              <wp:posOffset>13970</wp:posOffset>
            </wp:positionV>
            <wp:extent cx="2129155" cy="6985"/>
            <wp:wrapNone/>
            <wp:docPr id="122" name="Picture 1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2"/>
                    <pic:cNvPicPr>
                      <a:picLocks noChangeAspect="1" noChangeArrowheads="1"/>
                    </pic:cNvPicPr>
                  </pic:nvPicPr>
                  <pic:blipFill>
                    <a:blip r:embed="rId129">
                      <a:extLst>
                        <a:ext uri="{28A0092B-C50C-407E-A947-70E740481C1C}"/>
                      </a:extLst>
                    </a:blip>
                    <a:srcRect/>
                    <a:stretch>
                      <a:fillRect/>
                    </a:stretch>
                  </pic:blipFill>
                  <pic:spPr bwMode="auto">
                    <a:xfrm>
                      <a:off x="0" y="0"/>
                      <a:ext cx="2129155" cy="6985"/>
                    </a:xfrm>
                    <a:prstGeom prst="rect">
                      <a:avLst/>
                    </a:prstGeom>
                    <a:noFill/>
                  </pic:spPr>
                </pic:pic>
              </a:graphicData>
            </a:graphic>
          </wp:anchor>
        </w:drawing>
      </w:r>
    </w:p>
    <w:p>
      <w:pPr>
        <w:spacing w:after="0" w:line="11" w:lineRule="exact"/>
        <w:rPr>
          <w:sz w:val="20"/>
          <w:szCs w:val="20"/>
          <w:color w:val="auto"/>
        </w:rPr>
      </w:pPr>
    </w:p>
    <w:p>
      <w:pPr>
        <w:spacing w:after="0"/>
        <w:tabs>
          <w:tab w:leader="none" w:pos="1780" w:val="left"/>
        </w:tabs>
        <w:rPr>
          <w:sz w:val="20"/>
          <w:szCs w:val="20"/>
          <w:color w:val="auto"/>
        </w:rPr>
      </w:pPr>
      <w:r>
        <w:rPr>
          <w:rFonts w:ascii="Times New Roman" w:cs="Times New Roman" w:eastAsia="Times New Roman" w:hAnsi="Times New Roman"/>
          <w:sz w:val="13"/>
          <w:szCs w:val="13"/>
          <w:b w:val="1"/>
          <w:bCs w:val="1"/>
          <w:color w:val="auto"/>
        </w:rPr>
        <w:t>Carrying value</w:t>
      </w:r>
      <w:r>
        <w:rPr>
          <w:sz w:val="20"/>
          <w:szCs w:val="20"/>
          <w:color w:val="auto"/>
        </w:rPr>
        <w:tab/>
      </w:r>
      <w:r>
        <w:rPr>
          <w:rFonts w:ascii="Times New Roman" w:cs="Times New Roman" w:eastAsia="Times New Roman" w:hAnsi="Times New Roman"/>
          <w:sz w:val="12"/>
          <w:szCs w:val="12"/>
          <w:b w:val="1"/>
          <w:bCs w:val="1"/>
          <w:color w:val="auto"/>
        </w:rPr>
        <w:t>Ownership</w:t>
      </w:r>
    </w:p>
    <w:p>
      <w:pPr>
        <w:spacing w:after="0" w:line="38" w:lineRule="exact"/>
        <w:rPr>
          <w:sz w:val="20"/>
          <w:szCs w:val="20"/>
          <w:color w:val="auto"/>
        </w:rPr>
      </w:pPr>
    </w:p>
    <w:p>
      <w:pPr>
        <w:sectPr>
          <w:pgSz w:w="11900" w:h="16838" w:orient="portrait"/>
          <w:cols w:equalWidth="0" w:num="2">
            <w:col w:w="7600" w:space="720"/>
            <w:col w:w="2960"/>
          </w:cols>
          <w:pgMar w:left="300" w:top="123" w:right="319" w:bottom="1440" w:gutter="0" w:footer="0" w:header="0"/>
          <w:type w:val="continuous"/>
        </w:sectPr>
      </w:pPr>
    </w:p>
    <w:tbl>
      <w:tblPr>
        <w:tblLayout w:type="fixed"/>
        <w:tblInd w:w="0" w:type="dxa"/>
        <w:tblCellMar>
          <w:top w:w="0" w:type="dxa"/>
          <w:left w:w="0" w:type="dxa"/>
          <w:bottom w:w="0" w:type="dxa"/>
          <w:right w:w="0" w:type="dxa"/>
        </w:tblCellMar>
      </w:tblPr>
      <w:tr>
        <w:trPr>
          <w:trHeight w:val="20"/>
        </w:trPr>
        <w:tc>
          <w:tcPr>
            <w:tcW w:w="4500" w:type="dxa"/>
            <w:vAlign w:val="bottom"/>
            <w:shd w:val="clear" w:color="auto" w:fill="CCEEFF"/>
          </w:tcPr>
          <w:p>
            <w:pPr>
              <w:spacing w:after="0" w:line="20" w:lineRule="exact"/>
              <w:rPr>
                <w:sz w:val="1"/>
                <w:szCs w:val="1"/>
                <w:color w:val="auto"/>
              </w:rPr>
            </w:pPr>
          </w:p>
        </w:tc>
        <w:tc>
          <w:tcPr>
            <w:tcW w:w="660" w:type="dxa"/>
            <w:vAlign w:val="bottom"/>
            <w:shd w:val="clear" w:color="auto" w:fill="000000"/>
          </w:tcPr>
          <w:p>
            <w:pPr>
              <w:spacing w:after="0" w:line="20" w:lineRule="exact"/>
              <w:rPr>
                <w:sz w:val="1"/>
                <w:szCs w:val="1"/>
                <w:color w:val="auto"/>
              </w:rPr>
            </w:pPr>
          </w:p>
        </w:tc>
        <w:tc>
          <w:tcPr>
            <w:tcW w:w="940" w:type="dxa"/>
            <w:vAlign w:val="bottom"/>
            <w:shd w:val="clear" w:color="auto" w:fill="000000"/>
          </w:tcPr>
          <w:p>
            <w:pPr>
              <w:spacing w:after="0" w:line="20" w:lineRule="exact"/>
              <w:rPr>
                <w:sz w:val="1"/>
                <w:szCs w:val="1"/>
                <w:color w:val="auto"/>
              </w:rPr>
            </w:pPr>
          </w:p>
        </w:tc>
        <w:tc>
          <w:tcPr>
            <w:tcW w:w="1740" w:type="dxa"/>
            <w:vAlign w:val="bottom"/>
            <w:shd w:val="clear" w:color="auto" w:fill="000000"/>
          </w:tcPr>
          <w:p>
            <w:pPr>
              <w:spacing w:after="0" w:line="20" w:lineRule="exact"/>
              <w:rPr>
                <w:sz w:val="1"/>
                <w:szCs w:val="1"/>
                <w:color w:val="auto"/>
              </w:rPr>
            </w:pPr>
          </w:p>
        </w:tc>
        <w:tc>
          <w:tcPr>
            <w:tcW w:w="100" w:type="dxa"/>
            <w:vAlign w:val="bottom"/>
            <w:shd w:val="clear" w:color="auto" w:fill="CCEEFF"/>
          </w:tcPr>
          <w:p>
            <w:pPr>
              <w:spacing w:after="0" w:line="20" w:lineRule="exact"/>
              <w:rPr>
                <w:sz w:val="1"/>
                <w:szCs w:val="1"/>
                <w:color w:val="auto"/>
              </w:rPr>
            </w:pPr>
          </w:p>
        </w:tc>
        <w:tc>
          <w:tcPr>
            <w:tcW w:w="660" w:type="dxa"/>
            <w:vAlign w:val="bottom"/>
            <w:shd w:val="clear" w:color="auto" w:fill="000000"/>
          </w:tcPr>
          <w:p>
            <w:pPr>
              <w:spacing w:after="0" w:line="20" w:lineRule="exact"/>
              <w:rPr>
                <w:sz w:val="1"/>
                <w:szCs w:val="1"/>
                <w:color w:val="auto"/>
              </w:rPr>
            </w:pPr>
          </w:p>
        </w:tc>
        <w:tc>
          <w:tcPr>
            <w:tcW w:w="940" w:type="dxa"/>
            <w:vAlign w:val="bottom"/>
            <w:shd w:val="clear" w:color="auto" w:fill="000000"/>
          </w:tcPr>
          <w:p>
            <w:pPr>
              <w:spacing w:after="0" w:line="20" w:lineRule="exact"/>
              <w:rPr>
                <w:sz w:val="1"/>
                <w:szCs w:val="1"/>
                <w:color w:val="auto"/>
              </w:rPr>
            </w:pPr>
          </w:p>
        </w:tc>
        <w:tc>
          <w:tcPr>
            <w:tcW w:w="1740" w:type="dxa"/>
            <w:vAlign w:val="bottom"/>
            <w:shd w:val="clear" w:color="auto" w:fill="000000"/>
          </w:tcPr>
          <w:p>
            <w:pPr>
              <w:spacing w:after="0" w:line="20" w:lineRule="exact"/>
              <w:rPr>
                <w:sz w:val="1"/>
                <w:szCs w:val="1"/>
                <w:color w:val="auto"/>
              </w:rPr>
            </w:pPr>
          </w:p>
        </w:tc>
      </w:tr>
      <w:tr>
        <w:trPr>
          <w:trHeight w:val="155"/>
        </w:trPr>
        <w:tc>
          <w:tcPr>
            <w:tcW w:w="4500" w:type="dxa"/>
            <w:vAlign w:val="bottom"/>
            <w:shd w:val="clear" w:color="auto" w:fill="CCEEFF"/>
          </w:tcPr>
          <w:p>
            <w:pPr>
              <w:ind w:left="20"/>
              <w:spacing w:after="0" w:line="155" w:lineRule="exact"/>
              <w:rPr>
                <w:sz w:val="20"/>
                <w:szCs w:val="20"/>
                <w:color w:val="auto"/>
              </w:rPr>
            </w:pPr>
            <w:r>
              <w:rPr>
                <w:rFonts w:ascii="Times New Roman" w:cs="Times New Roman" w:eastAsia="Times New Roman" w:hAnsi="Times New Roman"/>
                <w:sz w:val="14"/>
                <w:szCs w:val="14"/>
                <w:color w:val="auto"/>
              </w:rPr>
              <w:t>Zarvona Energy Fund GP , L.P .</w:t>
            </w:r>
          </w:p>
        </w:tc>
        <w:tc>
          <w:tcPr>
            <w:tcW w:w="660" w:type="dxa"/>
            <w:vAlign w:val="bottom"/>
            <w:shd w:val="clear" w:color="auto" w:fill="CCEEFF"/>
          </w:tcPr>
          <w:p>
            <w:pPr>
              <w:jc w:val="right"/>
              <w:ind w:right="509"/>
              <w:spacing w:after="0" w:line="155" w:lineRule="exact"/>
              <w:rPr>
                <w:sz w:val="20"/>
                <w:szCs w:val="20"/>
                <w:color w:val="auto"/>
              </w:rPr>
            </w:pPr>
            <w:r>
              <w:rPr>
                <w:rFonts w:ascii="Times New Roman" w:cs="Times New Roman" w:eastAsia="Times New Roman" w:hAnsi="Times New Roman"/>
                <w:sz w:val="14"/>
                <w:szCs w:val="14"/>
                <w:color w:val="auto"/>
                <w:w w:val="85"/>
              </w:rPr>
              <w:t>$</w:t>
            </w:r>
          </w:p>
        </w:tc>
        <w:tc>
          <w:tcPr>
            <w:tcW w:w="940" w:type="dxa"/>
            <w:vAlign w:val="bottom"/>
            <w:shd w:val="clear" w:color="auto" w:fill="CCEEFF"/>
          </w:tcPr>
          <w:p>
            <w:pPr>
              <w:jc w:val="right"/>
              <w:spacing w:after="0" w:line="155" w:lineRule="exact"/>
              <w:rPr>
                <w:sz w:val="20"/>
                <w:szCs w:val="20"/>
                <w:color w:val="auto"/>
              </w:rPr>
            </w:pPr>
            <w:r>
              <w:rPr>
                <w:rFonts w:ascii="Times New Roman" w:cs="Times New Roman" w:eastAsia="Times New Roman" w:hAnsi="Times New Roman"/>
                <w:sz w:val="14"/>
                <w:szCs w:val="14"/>
                <w:color w:val="auto"/>
              </w:rPr>
              <w:t>3,544</w:t>
            </w:r>
          </w:p>
        </w:tc>
        <w:tc>
          <w:tcPr>
            <w:tcW w:w="2500" w:type="dxa"/>
            <w:vAlign w:val="bottom"/>
            <w:gridSpan w:val="3"/>
            <w:shd w:val="clear" w:color="auto" w:fill="CCEEFF"/>
          </w:tcPr>
          <w:p>
            <w:pPr>
              <w:jc w:val="right"/>
              <w:ind w:right="509"/>
              <w:spacing w:after="0" w:line="155" w:lineRule="exact"/>
              <w:rPr>
                <w:sz w:val="20"/>
                <w:szCs w:val="20"/>
                <w:color w:val="auto"/>
              </w:rPr>
            </w:pPr>
            <w:r>
              <w:rPr>
                <w:rFonts w:ascii="Times New Roman" w:cs="Times New Roman" w:eastAsia="Times New Roman" w:hAnsi="Times New Roman"/>
                <w:sz w:val="14"/>
                <w:szCs w:val="14"/>
                <w:color w:val="auto"/>
              </w:rPr>
              <w:t>50.0 %  $</w:t>
            </w:r>
          </w:p>
        </w:tc>
        <w:tc>
          <w:tcPr>
            <w:tcW w:w="940" w:type="dxa"/>
            <w:vAlign w:val="bottom"/>
            <w:shd w:val="clear" w:color="auto" w:fill="CCEEFF"/>
          </w:tcPr>
          <w:p>
            <w:pPr>
              <w:jc w:val="right"/>
              <w:spacing w:after="0" w:line="155" w:lineRule="exact"/>
              <w:rPr>
                <w:sz w:val="20"/>
                <w:szCs w:val="20"/>
                <w:color w:val="auto"/>
              </w:rPr>
            </w:pPr>
            <w:r>
              <w:rPr>
                <w:rFonts w:ascii="Times New Roman" w:cs="Times New Roman" w:eastAsia="Times New Roman" w:hAnsi="Times New Roman"/>
                <w:sz w:val="14"/>
                <w:szCs w:val="14"/>
                <w:color w:val="auto"/>
              </w:rPr>
              <w:t>3,524</w:t>
            </w:r>
          </w:p>
        </w:tc>
        <w:tc>
          <w:tcPr>
            <w:tcW w:w="1740" w:type="dxa"/>
            <w:vAlign w:val="bottom"/>
            <w:shd w:val="clear" w:color="auto" w:fill="CCEEFF"/>
          </w:tcPr>
          <w:p>
            <w:pPr>
              <w:jc w:val="right"/>
              <w:spacing w:after="0" w:line="155" w:lineRule="exact"/>
              <w:rPr>
                <w:sz w:val="20"/>
                <w:szCs w:val="20"/>
                <w:color w:val="auto"/>
              </w:rPr>
            </w:pPr>
            <w:r>
              <w:rPr>
                <w:rFonts w:ascii="Times New Roman" w:cs="Times New Roman" w:eastAsia="Times New Roman" w:hAnsi="Times New Roman"/>
                <w:sz w:val="14"/>
                <w:szCs w:val="14"/>
                <w:color w:val="auto"/>
              </w:rPr>
              <w:t>50.0 %</w:t>
            </w:r>
          </w:p>
        </w:tc>
      </w:tr>
      <w:tr>
        <w:trPr>
          <w:trHeight w:val="180"/>
        </w:trPr>
        <w:tc>
          <w:tcPr>
            <w:tcW w:w="4500" w:type="dxa"/>
            <w:vAlign w:val="bottom"/>
          </w:tcPr>
          <w:p>
            <w:pPr>
              <w:ind w:left="20"/>
              <w:spacing w:after="0"/>
              <w:rPr>
                <w:sz w:val="20"/>
                <w:szCs w:val="20"/>
                <w:color w:val="auto"/>
              </w:rPr>
            </w:pPr>
            <w:r>
              <w:rPr>
                <w:rFonts w:ascii="Times New Roman" w:cs="Times New Roman" w:eastAsia="Times New Roman" w:hAnsi="Times New Roman"/>
                <w:sz w:val="14"/>
                <w:szCs w:val="14"/>
                <w:color w:val="auto"/>
              </w:rPr>
              <w:t>Zarvona Energy Fund II-A, L.P .</w:t>
            </w:r>
          </w:p>
        </w:tc>
        <w:tc>
          <w:tcPr>
            <w:tcW w:w="660" w:type="dxa"/>
            <w:vAlign w:val="bottom"/>
          </w:tcPr>
          <w:p>
            <w:pPr>
              <w:spacing w:after="0"/>
              <w:rPr>
                <w:sz w:val="15"/>
                <w:szCs w:val="15"/>
                <w:color w:val="auto"/>
              </w:rPr>
            </w:pPr>
          </w:p>
        </w:tc>
        <w:tc>
          <w:tcPr>
            <w:tcW w:w="94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740</w:t>
            </w:r>
          </w:p>
        </w:tc>
        <w:tc>
          <w:tcPr>
            <w:tcW w:w="174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0.5 %</w:t>
            </w:r>
          </w:p>
        </w:tc>
        <w:tc>
          <w:tcPr>
            <w:tcW w:w="100" w:type="dxa"/>
            <w:vAlign w:val="bottom"/>
          </w:tcPr>
          <w:p>
            <w:pPr>
              <w:spacing w:after="0"/>
              <w:rPr>
                <w:sz w:val="15"/>
                <w:szCs w:val="15"/>
                <w:color w:val="auto"/>
              </w:rPr>
            </w:pPr>
          </w:p>
        </w:tc>
        <w:tc>
          <w:tcPr>
            <w:tcW w:w="660" w:type="dxa"/>
            <w:vAlign w:val="bottom"/>
          </w:tcPr>
          <w:p>
            <w:pPr>
              <w:spacing w:after="0"/>
              <w:rPr>
                <w:sz w:val="15"/>
                <w:szCs w:val="15"/>
                <w:color w:val="auto"/>
              </w:rPr>
            </w:pPr>
          </w:p>
        </w:tc>
        <w:tc>
          <w:tcPr>
            <w:tcW w:w="94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707</w:t>
            </w:r>
          </w:p>
        </w:tc>
        <w:tc>
          <w:tcPr>
            <w:tcW w:w="174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0.5 %</w:t>
            </w:r>
          </w:p>
        </w:tc>
      </w:tr>
      <w:tr>
        <w:trPr>
          <w:trHeight w:val="180"/>
        </w:trPr>
        <w:tc>
          <w:tcPr>
            <w:tcW w:w="450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4"/>
                <w:szCs w:val="14"/>
                <w:color w:val="auto"/>
              </w:rPr>
              <w:t>Salient MLP Total Return Fund, L.P.</w:t>
            </w:r>
          </w:p>
        </w:tc>
        <w:tc>
          <w:tcPr>
            <w:tcW w:w="660" w:type="dxa"/>
            <w:vAlign w:val="bottom"/>
            <w:shd w:val="clear" w:color="auto" w:fill="CCEEFF"/>
          </w:tcPr>
          <w:p>
            <w:pPr>
              <w:spacing w:after="0"/>
              <w:rPr>
                <w:sz w:val="15"/>
                <w:szCs w:val="15"/>
                <w:color w:val="auto"/>
              </w:rPr>
            </w:pPr>
          </w:p>
        </w:tc>
        <w:tc>
          <w:tcPr>
            <w:tcW w:w="9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11</w:t>
            </w:r>
          </w:p>
        </w:tc>
        <w:tc>
          <w:tcPr>
            <w:tcW w:w="2500" w:type="dxa"/>
            <w:vAlign w:val="bottom"/>
            <w:gridSpan w:val="3"/>
            <w:shd w:val="clear" w:color="auto" w:fill="CCEEFF"/>
          </w:tcPr>
          <w:p>
            <w:pPr>
              <w:jc w:val="right"/>
              <w:ind w:right="689"/>
              <w:spacing w:after="0"/>
              <w:rPr>
                <w:sz w:val="20"/>
                <w:szCs w:val="20"/>
                <w:color w:val="auto"/>
              </w:rPr>
            </w:pPr>
            <w:r>
              <w:rPr>
                <w:rFonts w:ascii="Times New Roman" w:cs="Times New Roman" w:eastAsia="Times New Roman" w:hAnsi="Times New Roman"/>
                <w:sz w:val="14"/>
                <w:szCs w:val="14"/>
                <w:color w:val="auto"/>
              </w:rPr>
              <w:t>— %</w:t>
            </w:r>
          </w:p>
        </w:tc>
        <w:tc>
          <w:tcPr>
            <w:tcW w:w="9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11</w:t>
            </w:r>
          </w:p>
        </w:tc>
        <w:tc>
          <w:tcPr>
            <w:tcW w:w="17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 %</w:t>
            </w:r>
          </w:p>
        </w:tc>
      </w:tr>
      <w:tr>
        <w:trPr>
          <w:trHeight w:val="180"/>
        </w:trPr>
        <w:tc>
          <w:tcPr>
            <w:tcW w:w="4500" w:type="dxa"/>
            <w:vAlign w:val="bottom"/>
            <w:tcBorders>
              <w:bottom w:val="single" w:sz="8" w:color="CCEEFF"/>
            </w:tcBorders>
          </w:tcPr>
          <w:p>
            <w:pPr>
              <w:ind w:left="20"/>
              <w:spacing w:after="0"/>
              <w:rPr>
                <w:sz w:val="20"/>
                <w:szCs w:val="20"/>
                <w:color w:val="auto"/>
              </w:rPr>
            </w:pPr>
            <w:r>
              <w:rPr>
                <w:rFonts w:ascii="Times New Roman" w:cs="Times New Roman" w:eastAsia="Times New Roman" w:hAnsi="Times New Roman"/>
                <w:sz w:val="14"/>
                <w:szCs w:val="14"/>
                <w:color w:val="auto"/>
              </w:rPr>
              <w:t>Salient MLP Total Return TE Fund, L.P.</w:t>
            </w:r>
          </w:p>
        </w:tc>
        <w:tc>
          <w:tcPr>
            <w:tcW w:w="660" w:type="dxa"/>
            <w:vAlign w:val="bottom"/>
            <w:tcBorders>
              <w:bottom w:val="single" w:sz="8" w:color="auto"/>
            </w:tcBorders>
          </w:tcPr>
          <w:p>
            <w:pPr>
              <w:spacing w:after="0"/>
              <w:rPr>
                <w:sz w:val="15"/>
                <w:szCs w:val="15"/>
                <w:color w:val="auto"/>
              </w:rPr>
            </w:pPr>
          </w:p>
        </w:tc>
        <w:tc>
          <w:tcPr>
            <w:tcW w:w="9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8</w:t>
            </w:r>
          </w:p>
        </w:tc>
        <w:tc>
          <w:tcPr>
            <w:tcW w:w="1740" w:type="dxa"/>
            <w:vAlign w:val="bottom"/>
            <w:tcBorders>
              <w:bottom w:val="single" w:sz="8" w:color="CCEEFF"/>
            </w:tcBorders>
          </w:tcPr>
          <w:p>
            <w:pPr>
              <w:jc w:val="right"/>
              <w:spacing w:after="0"/>
              <w:rPr>
                <w:sz w:val="20"/>
                <w:szCs w:val="20"/>
                <w:color w:val="auto"/>
              </w:rPr>
            </w:pPr>
            <w:r>
              <w:rPr>
                <w:rFonts w:ascii="Times New Roman" w:cs="Times New Roman" w:eastAsia="Times New Roman" w:hAnsi="Times New Roman"/>
                <w:sz w:val="14"/>
                <w:szCs w:val="14"/>
                <w:color w:val="auto"/>
              </w:rPr>
              <w:t>0.2 %</w:t>
            </w:r>
          </w:p>
        </w:tc>
        <w:tc>
          <w:tcPr>
            <w:tcW w:w="100" w:type="dxa"/>
            <w:vAlign w:val="bottom"/>
            <w:tcBorders>
              <w:bottom w:val="single" w:sz="8" w:color="CCEEFF"/>
            </w:tcBorders>
          </w:tcPr>
          <w:p>
            <w:pPr>
              <w:spacing w:after="0"/>
              <w:rPr>
                <w:sz w:val="15"/>
                <w:szCs w:val="15"/>
                <w:color w:val="auto"/>
              </w:rPr>
            </w:pPr>
          </w:p>
        </w:tc>
        <w:tc>
          <w:tcPr>
            <w:tcW w:w="660" w:type="dxa"/>
            <w:vAlign w:val="bottom"/>
            <w:tcBorders>
              <w:bottom w:val="single" w:sz="8" w:color="auto"/>
            </w:tcBorders>
          </w:tcPr>
          <w:p>
            <w:pPr>
              <w:spacing w:after="0"/>
              <w:rPr>
                <w:sz w:val="15"/>
                <w:szCs w:val="15"/>
                <w:color w:val="auto"/>
              </w:rPr>
            </w:pPr>
          </w:p>
        </w:tc>
        <w:tc>
          <w:tcPr>
            <w:tcW w:w="9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8</w:t>
            </w:r>
          </w:p>
        </w:tc>
        <w:tc>
          <w:tcPr>
            <w:tcW w:w="1740" w:type="dxa"/>
            <w:vAlign w:val="bottom"/>
            <w:tcBorders>
              <w:bottom w:val="single" w:sz="8" w:color="CCEEFF"/>
            </w:tcBorders>
          </w:tcPr>
          <w:p>
            <w:pPr>
              <w:jc w:val="right"/>
              <w:spacing w:after="0"/>
              <w:rPr>
                <w:sz w:val="20"/>
                <w:szCs w:val="20"/>
                <w:color w:val="auto"/>
              </w:rPr>
            </w:pPr>
            <w:r>
              <w:rPr>
                <w:rFonts w:ascii="Times New Roman" w:cs="Times New Roman" w:eastAsia="Times New Roman" w:hAnsi="Times New Roman"/>
                <w:sz w:val="14"/>
                <w:szCs w:val="14"/>
                <w:color w:val="auto"/>
              </w:rPr>
              <w:t>0.2 %</w:t>
            </w:r>
          </w:p>
        </w:tc>
      </w:tr>
      <w:tr>
        <w:trPr>
          <w:trHeight w:val="196"/>
        </w:trPr>
        <w:tc>
          <w:tcPr>
            <w:tcW w:w="4500" w:type="dxa"/>
            <w:vAlign w:val="bottom"/>
            <w:tcBorders>
              <w:bottom w:val="single" w:sz="8" w:color="CCEEFF"/>
            </w:tcBorders>
            <w:shd w:val="clear" w:color="auto" w:fill="CCEEFF"/>
          </w:tcPr>
          <w:p>
            <w:pPr>
              <w:ind w:left="280"/>
              <w:spacing w:after="0"/>
              <w:rPr>
                <w:sz w:val="20"/>
                <w:szCs w:val="20"/>
                <w:color w:val="auto"/>
              </w:rPr>
            </w:pPr>
            <w:r>
              <w:rPr>
                <w:rFonts w:ascii="Times New Roman" w:cs="Times New Roman" w:eastAsia="Times New Roman" w:hAnsi="Times New Roman"/>
                <w:sz w:val="14"/>
                <w:szCs w:val="14"/>
                <w:color w:val="auto"/>
              </w:rPr>
              <w:t>Total equity method investments</w:t>
            </w:r>
          </w:p>
        </w:tc>
        <w:tc>
          <w:tcPr>
            <w:tcW w:w="660" w:type="dxa"/>
            <w:vAlign w:val="bottom"/>
            <w:tcBorders>
              <w:bottom w:val="single" w:sz="8" w:color="auto"/>
            </w:tcBorders>
            <w:shd w:val="clear" w:color="auto" w:fill="CCEEFF"/>
          </w:tcPr>
          <w:p>
            <w:pPr>
              <w:jc w:val="right"/>
              <w:ind w:right="509"/>
              <w:spacing w:after="0"/>
              <w:rPr>
                <w:sz w:val="20"/>
                <w:szCs w:val="20"/>
                <w:color w:val="auto"/>
              </w:rPr>
            </w:pPr>
            <w:r>
              <w:rPr>
                <w:rFonts w:ascii="Times New Roman" w:cs="Times New Roman" w:eastAsia="Times New Roman" w:hAnsi="Times New Roman"/>
                <w:sz w:val="14"/>
                <w:szCs w:val="14"/>
                <w:color w:val="auto"/>
                <w:w w:val="85"/>
              </w:rPr>
              <w:t>$</w:t>
            </w:r>
          </w:p>
        </w:tc>
        <w:tc>
          <w:tcPr>
            <w:tcW w:w="9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4,303</w:t>
            </w:r>
          </w:p>
        </w:tc>
        <w:tc>
          <w:tcPr>
            <w:tcW w:w="1740" w:type="dxa"/>
            <w:vAlign w:val="bottom"/>
            <w:tcBorders>
              <w:bottom w:val="single" w:sz="8" w:color="CCEEFF"/>
            </w:tcBorders>
            <w:shd w:val="clear" w:color="auto" w:fill="CCEEFF"/>
          </w:tcPr>
          <w:p>
            <w:pPr>
              <w:spacing w:after="0"/>
              <w:rPr>
                <w:sz w:val="16"/>
                <w:szCs w:val="16"/>
                <w:color w:val="auto"/>
              </w:rPr>
            </w:pPr>
          </w:p>
        </w:tc>
        <w:tc>
          <w:tcPr>
            <w:tcW w:w="100" w:type="dxa"/>
            <w:vAlign w:val="bottom"/>
            <w:tcBorders>
              <w:bottom w:val="single" w:sz="8" w:color="CCEEFF"/>
            </w:tcBorders>
            <w:shd w:val="clear" w:color="auto" w:fill="CCEEFF"/>
          </w:tcPr>
          <w:p>
            <w:pPr>
              <w:spacing w:after="0"/>
              <w:rPr>
                <w:sz w:val="16"/>
                <w:szCs w:val="16"/>
                <w:color w:val="auto"/>
              </w:rPr>
            </w:pPr>
          </w:p>
        </w:tc>
        <w:tc>
          <w:tcPr>
            <w:tcW w:w="660" w:type="dxa"/>
            <w:vAlign w:val="bottom"/>
            <w:tcBorders>
              <w:bottom w:val="single" w:sz="8" w:color="auto"/>
            </w:tcBorders>
            <w:shd w:val="clear" w:color="auto" w:fill="CCEEFF"/>
          </w:tcPr>
          <w:p>
            <w:pPr>
              <w:jc w:val="right"/>
              <w:ind w:right="509"/>
              <w:spacing w:after="0"/>
              <w:rPr>
                <w:sz w:val="20"/>
                <w:szCs w:val="20"/>
                <w:color w:val="auto"/>
              </w:rPr>
            </w:pPr>
            <w:r>
              <w:rPr>
                <w:rFonts w:ascii="Times New Roman" w:cs="Times New Roman" w:eastAsia="Times New Roman" w:hAnsi="Times New Roman"/>
                <w:sz w:val="14"/>
                <w:szCs w:val="14"/>
                <w:color w:val="auto"/>
                <w:w w:val="85"/>
              </w:rPr>
              <w:t>$</w:t>
            </w:r>
          </w:p>
        </w:tc>
        <w:tc>
          <w:tcPr>
            <w:tcW w:w="9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4,250</w:t>
            </w:r>
          </w:p>
        </w:tc>
        <w:tc>
          <w:tcPr>
            <w:tcW w:w="1740" w:type="dxa"/>
            <w:vAlign w:val="bottom"/>
            <w:tcBorders>
              <w:bottom w:val="single" w:sz="8" w:color="CCEEFF"/>
            </w:tcBorders>
            <w:shd w:val="clear" w:color="auto" w:fill="CCEEFF"/>
          </w:tcPr>
          <w:p>
            <w:pPr>
              <w:spacing w:after="0"/>
              <w:rPr>
                <w:sz w:val="16"/>
                <w:szCs w:val="16"/>
                <w:color w:val="auto"/>
              </w:rPr>
            </w:pPr>
          </w:p>
        </w:tc>
      </w:tr>
      <w:tr>
        <w:trPr>
          <w:trHeight w:val="20"/>
        </w:trPr>
        <w:tc>
          <w:tcPr>
            <w:tcW w:w="4500" w:type="dxa"/>
            <w:vAlign w:val="bottom"/>
            <w:tcBorders>
              <w:top w:val="single" w:sz="8" w:color="CCEEFF"/>
            </w:tcBorders>
          </w:tcPr>
          <w:p>
            <w:pPr>
              <w:spacing w:after="0" w:line="20" w:lineRule="exact"/>
              <w:rPr>
                <w:sz w:val="1"/>
                <w:szCs w:val="1"/>
                <w:color w:val="auto"/>
              </w:rPr>
            </w:pPr>
          </w:p>
        </w:tc>
        <w:tc>
          <w:tcPr>
            <w:tcW w:w="660" w:type="dxa"/>
            <w:vAlign w:val="bottom"/>
            <w:tcBorders>
              <w:top w:val="single" w:sz="8" w:color="CCEEFF"/>
              <w:bottom w:val="single" w:sz="8" w:color="auto"/>
            </w:tcBorders>
          </w:tcPr>
          <w:p>
            <w:pPr>
              <w:spacing w:after="0" w:line="20" w:lineRule="exact"/>
              <w:rPr>
                <w:sz w:val="1"/>
                <w:szCs w:val="1"/>
                <w:color w:val="auto"/>
              </w:rPr>
            </w:pPr>
          </w:p>
        </w:tc>
        <w:tc>
          <w:tcPr>
            <w:tcW w:w="940" w:type="dxa"/>
            <w:vAlign w:val="bottom"/>
            <w:tcBorders>
              <w:top w:val="single" w:sz="8" w:color="CCEEFF"/>
              <w:bottom w:val="single" w:sz="8" w:color="auto"/>
            </w:tcBorders>
          </w:tcPr>
          <w:p>
            <w:pPr>
              <w:spacing w:after="0" w:line="20" w:lineRule="exact"/>
              <w:rPr>
                <w:sz w:val="1"/>
                <w:szCs w:val="1"/>
                <w:color w:val="auto"/>
              </w:rPr>
            </w:pPr>
          </w:p>
        </w:tc>
        <w:tc>
          <w:tcPr>
            <w:tcW w:w="1740" w:type="dxa"/>
            <w:vAlign w:val="bottom"/>
            <w:tcBorders>
              <w:top w:val="single" w:sz="8" w:color="CCEEFF"/>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660" w:type="dxa"/>
            <w:vAlign w:val="bottom"/>
            <w:tcBorders>
              <w:top w:val="single" w:sz="8" w:color="CCEEFF"/>
              <w:bottom w:val="single" w:sz="8" w:color="auto"/>
            </w:tcBorders>
          </w:tcPr>
          <w:p>
            <w:pPr>
              <w:spacing w:after="0" w:line="20" w:lineRule="exact"/>
              <w:rPr>
                <w:sz w:val="1"/>
                <w:szCs w:val="1"/>
                <w:color w:val="auto"/>
              </w:rPr>
            </w:pPr>
          </w:p>
        </w:tc>
        <w:tc>
          <w:tcPr>
            <w:tcW w:w="940" w:type="dxa"/>
            <w:vAlign w:val="bottom"/>
            <w:tcBorders>
              <w:top w:val="single" w:sz="8" w:color="CCEEFF"/>
              <w:bottom w:val="single" w:sz="8" w:color="auto"/>
            </w:tcBorders>
          </w:tcPr>
          <w:p>
            <w:pPr>
              <w:spacing w:after="0" w:line="20" w:lineRule="exact"/>
              <w:rPr>
                <w:sz w:val="1"/>
                <w:szCs w:val="1"/>
                <w:color w:val="auto"/>
              </w:rPr>
            </w:pPr>
          </w:p>
        </w:tc>
        <w:tc>
          <w:tcPr>
            <w:tcW w:w="1740" w:type="dxa"/>
            <w:vAlign w:val="bottom"/>
            <w:tcBorders>
              <w:top w:val="single" w:sz="8" w:color="CCEEFF"/>
            </w:tcBorders>
          </w:tcPr>
          <w:p>
            <w:pPr>
              <w:spacing w:after="0" w:line="20" w:lineRule="exact"/>
              <w:rPr>
                <w:sz w:val="1"/>
                <w:szCs w:val="1"/>
                <w:color w:val="auto"/>
              </w:rPr>
            </w:pPr>
          </w:p>
        </w:tc>
      </w:tr>
    </w:tbl>
    <w:p>
      <w:pPr>
        <w:spacing w:after="0" w:line="325" w:lineRule="exact"/>
        <w:rPr>
          <w:sz w:val="20"/>
          <w:szCs w:val="20"/>
          <w:color w:val="auto"/>
        </w:rPr>
      </w:pPr>
    </w:p>
    <w:p>
      <w:pPr>
        <w:ind w:right="140" w:firstLine="382"/>
        <w:spacing w:after="0" w:line="287" w:lineRule="auto"/>
        <w:rPr>
          <w:sz w:val="20"/>
          <w:szCs w:val="20"/>
          <w:color w:val="auto"/>
        </w:rPr>
      </w:pPr>
      <w:r>
        <w:rPr>
          <w:rFonts w:ascii="Times New Roman" w:cs="Times New Roman" w:eastAsia="Times New Roman" w:hAnsi="Times New Roman"/>
          <w:sz w:val="14"/>
          <w:szCs w:val="14"/>
          <w:color w:val="auto"/>
        </w:rPr>
        <w:t>The following amounts represent income from all investments, except for income tax amounts and equity method investments, and are included in our Consolidated Statements of Operations under the headings “Other revenues, net," "Net change in unrealized appreciation on private investments," or "Net investment income (loss)" (in thousands):</w:t>
      </w:r>
    </w:p>
    <w:p>
      <w:pPr>
        <w:spacing w:after="0" w:line="73" w:lineRule="exact"/>
        <w:rPr>
          <w:sz w:val="20"/>
          <w:szCs w:val="20"/>
          <w:color w:val="auto"/>
        </w:rPr>
      </w:pPr>
    </w:p>
    <w:tbl>
      <w:tblPr>
        <w:tblLayout w:type="fixed"/>
        <w:tblInd w:w="0" w:type="dxa"/>
        <w:tblCellMar>
          <w:top w:w="0" w:type="dxa"/>
          <w:left w:w="0" w:type="dxa"/>
          <w:bottom w:w="0" w:type="dxa"/>
          <w:right w:w="0" w:type="dxa"/>
        </w:tblCellMar>
      </w:tblPr>
      <w:tr>
        <w:trPr>
          <w:trHeight w:val="170"/>
        </w:trPr>
        <w:tc>
          <w:tcPr>
            <w:tcW w:w="7680" w:type="dxa"/>
            <w:vAlign w:val="bottom"/>
          </w:tcPr>
          <w:p>
            <w:pPr>
              <w:spacing w:after="0"/>
              <w:rPr>
                <w:sz w:val="14"/>
                <w:szCs w:val="14"/>
                <w:color w:val="auto"/>
              </w:rPr>
            </w:pPr>
          </w:p>
        </w:tc>
        <w:tc>
          <w:tcPr>
            <w:tcW w:w="780" w:type="dxa"/>
            <w:vAlign w:val="bottom"/>
            <w:tcBorders>
              <w:bottom w:val="single" w:sz="8" w:color="auto"/>
            </w:tcBorders>
          </w:tcPr>
          <w:p>
            <w:pPr>
              <w:spacing w:after="0"/>
              <w:rPr>
                <w:sz w:val="14"/>
                <w:szCs w:val="14"/>
                <w:color w:val="auto"/>
              </w:rPr>
            </w:pPr>
          </w:p>
        </w:tc>
        <w:tc>
          <w:tcPr>
            <w:tcW w:w="2060" w:type="dxa"/>
            <w:vAlign w:val="bottom"/>
            <w:tcBorders>
              <w:bottom w:val="single" w:sz="8" w:color="auto"/>
            </w:tcBorders>
            <w:gridSpan w:val="6"/>
          </w:tcPr>
          <w:p>
            <w:pPr>
              <w:jc w:val="right"/>
              <w:ind w:right="9"/>
              <w:spacing w:after="0"/>
              <w:rPr>
                <w:sz w:val="20"/>
                <w:szCs w:val="20"/>
                <w:color w:val="auto"/>
              </w:rPr>
            </w:pPr>
            <w:r>
              <w:rPr>
                <w:rFonts w:ascii="Times New Roman" w:cs="Times New Roman" w:eastAsia="Times New Roman" w:hAnsi="Times New Roman"/>
                <w:sz w:val="13"/>
                <w:szCs w:val="13"/>
                <w:b w:val="1"/>
                <w:bCs w:val="1"/>
                <w:color w:val="auto"/>
              </w:rPr>
              <w:t>For the Years Ended December 31,</w:t>
            </w:r>
          </w:p>
        </w:tc>
        <w:tc>
          <w:tcPr>
            <w:tcW w:w="760" w:type="dxa"/>
            <w:vAlign w:val="bottom"/>
            <w:tcBorders>
              <w:bottom w:val="single" w:sz="8" w:color="auto"/>
            </w:tcBorders>
          </w:tcPr>
          <w:p>
            <w:pPr>
              <w:spacing w:after="0"/>
              <w:rPr>
                <w:sz w:val="14"/>
                <w:szCs w:val="14"/>
                <w:color w:val="auto"/>
              </w:rPr>
            </w:pPr>
          </w:p>
        </w:tc>
      </w:tr>
      <w:tr>
        <w:trPr>
          <w:trHeight w:val="161"/>
        </w:trPr>
        <w:tc>
          <w:tcPr>
            <w:tcW w:w="7680" w:type="dxa"/>
            <w:vAlign w:val="bottom"/>
            <w:tcBorders>
              <w:bottom w:val="single" w:sz="8" w:color="CCEEFF"/>
            </w:tcBorders>
          </w:tcPr>
          <w:p>
            <w:pPr>
              <w:spacing w:after="0"/>
              <w:rPr>
                <w:sz w:val="14"/>
                <w:szCs w:val="14"/>
                <w:color w:val="auto"/>
              </w:rPr>
            </w:pPr>
          </w:p>
        </w:tc>
        <w:tc>
          <w:tcPr>
            <w:tcW w:w="780" w:type="dxa"/>
            <w:vAlign w:val="bottom"/>
            <w:tcBorders>
              <w:bottom w:val="single" w:sz="8" w:color="auto"/>
            </w:tcBorders>
          </w:tcPr>
          <w:p>
            <w:pPr>
              <w:jc w:val="right"/>
              <w:ind w:right="10"/>
              <w:spacing w:after="0"/>
              <w:rPr>
                <w:sz w:val="20"/>
                <w:szCs w:val="20"/>
                <w:color w:val="auto"/>
              </w:rPr>
            </w:pPr>
            <w:r>
              <w:rPr>
                <w:rFonts w:ascii="Times New Roman" w:cs="Times New Roman" w:eastAsia="Times New Roman" w:hAnsi="Times New Roman"/>
                <w:sz w:val="13"/>
                <w:szCs w:val="13"/>
                <w:b w:val="1"/>
                <w:bCs w:val="1"/>
                <w:color w:val="auto"/>
              </w:rPr>
              <w:t>2025</w:t>
            </w:r>
          </w:p>
        </w:tc>
        <w:tc>
          <w:tcPr>
            <w:tcW w:w="360" w:type="dxa"/>
            <w:vAlign w:val="bottom"/>
            <w:tcBorders>
              <w:bottom w:val="single" w:sz="8" w:color="auto"/>
            </w:tcBorders>
          </w:tcPr>
          <w:p>
            <w:pPr>
              <w:spacing w:after="0"/>
              <w:rPr>
                <w:sz w:val="14"/>
                <w:szCs w:val="14"/>
                <w:color w:val="auto"/>
              </w:rPr>
            </w:pPr>
          </w:p>
        </w:tc>
        <w:tc>
          <w:tcPr>
            <w:tcW w:w="100" w:type="dxa"/>
            <w:vAlign w:val="bottom"/>
            <w:tcBorders>
              <w:bottom w:val="single" w:sz="8" w:color="CCEEFF"/>
            </w:tcBorders>
          </w:tcPr>
          <w:p>
            <w:pPr>
              <w:spacing w:after="0"/>
              <w:rPr>
                <w:sz w:val="14"/>
                <w:szCs w:val="14"/>
                <w:color w:val="auto"/>
              </w:rPr>
            </w:pPr>
          </w:p>
        </w:tc>
        <w:tc>
          <w:tcPr>
            <w:tcW w:w="260" w:type="dxa"/>
            <w:vAlign w:val="bottom"/>
            <w:tcBorders>
              <w:bottom w:val="single" w:sz="8" w:color="auto"/>
            </w:tcBorders>
          </w:tcPr>
          <w:p>
            <w:pPr>
              <w:spacing w:after="0"/>
              <w:rPr>
                <w:sz w:val="14"/>
                <w:szCs w:val="14"/>
                <w:color w:val="auto"/>
              </w:rPr>
            </w:pPr>
          </w:p>
        </w:tc>
        <w:tc>
          <w:tcPr>
            <w:tcW w:w="880" w:type="dxa"/>
            <w:vAlign w:val="bottom"/>
            <w:tcBorders>
              <w:bottom w:val="single" w:sz="8" w:color="auto"/>
            </w:tcBorders>
          </w:tcPr>
          <w:p>
            <w:pPr>
              <w:jc w:val="right"/>
              <w:ind w:right="370"/>
              <w:spacing w:after="0"/>
              <w:rPr>
                <w:sz w:val="20"/>
                <w:szCs w:val="20"/>
                <w:color w:val="auto"/>
              </w:rPr>
            </w:pPr>
            <w:r>
              <w:rPr>
                <w:rFonts w:ascii="Times New Roman" w:cs="Times New Roman" w:eastAsia="Times New Roman" w:hAnsi="Times New Roman"/>
                <w:sz w:val="13"/>
                <w:szCs w:val="13"/>
                <w:b w:val="1"/>
                <w:bCs w:val="1"/>
                <w:color w:val="auto"/>
              </w:rPr>
              <w:t>2024</w:t>
            </w:r>
          </w:p>
        </w:tc>
        <w:tc>
          <w:tcPr>
            <w:tcW w:w="80" w:type="dxa"/>
            <w:vAlign w:val="bottom"/>
            <w:tcBorders>
              <w:bottom w:val="single" w:sz="8" w:color="CCEEFF"/>
            </w:tcBorders>
          </w:tcPr>
          <w:p>
            <w:pPr>
              <w:spacing w:after="0"/>
              <w:rPr>
                <w:sz w:val="14"/>
                <w:szCs w:val="14"/>
                <w:color w:val="auto"/>
              </w:rPr>
            </w:pPr>
          </w:p>
        </w:tc>
        <w:tc>
          <w:tcPr>
            <w:tcW w:w="380" w:type="dxa"/>
            <w:vAlign w:val="bottom"/>
            <w:tcBorders>
              <w:bottom w:val="single" w:sz="8" w:color="auto"/>
            </w:tcBorders>
          </w:tcPr>
          <w:p>
            <w:pPr>
              <w:spacing w:after="0"/>
              <w:rPr>
                <w:sz w:val="14"/>
                <w:szCs w:val="14"/>
                <w:color w:val="auto"/>
              </w:rPr>
            </w:pPr>
          </w:p>
        </w:tc>
        <w:tc>
          <w:tcPr>
            <w:tcW w:w="760" w:type="dxa"/>
            <w:vAlign w:val="bottom"/>
            <w:tcBorders>
              <w:bottom w:val="single" w:sz="8" w:color="auto"/>
            </w:tcBorders>
          </w:tcPr>
          <w:p>
            <w:pPr>
              <w:jc w:val="right"/>
              <w:ind w:right="370"/>
              <w:spacing w:after="0"/>
              <w:rPr>
                <w:sz w:val="20"/>
                <w:szCs w:val="20"/>
                <w:color w:val="auto"/>
              </w:rPr>
            </w:pPr>
            <w:r>
              <w:rPr>
                <w:rFonts w:ascii="Times New Roman" w:cs="Times New Roman" w:eastAsia="Times New Roman" w:hAnsi="Times New Roman"/>
                <w:sz w:val="13"/>
                <w:szCs w:val="13"/>
                <w:b w:val="1"/>
                <w:bCs w:val="1"/>
                <w:color w:val="auto"/>
              </w:rPr>
              <w:t>2023</w:t>
            </w:r>
          </w:p>
        </w:tc>
      </w:tr>
      <w:tr>
        <w:trPr>
          <w:trHeight w:val="172"/>
        </w:trPr>
        <w:tc>
          <w:tcPr>
            <w:tcW w:w="768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4"/>
                <w:szCs w:val="14"/>
                <w:color w:val="auto"/>
              </w:rPr>
              <w:t>Realized gains</w:t>
            </w:r>
          </w:p>
        </w:tc>
        <w:tc>
          <w:tcPr>
            <w:tcW w:w="780" w:type="dxa"/>
            <w:vAlign w:val="bottom"/>
            <w:shd w:val="clear" w:color="auto" w:fill="CCEEFF"/>
          </w:tcPr>
          <w:p>
            <w:pPr>
              <w:jc w:val="right"/>
              <w:ind w:right="610"/>
              <w:spacing w:after="0"/>
              <w:rPr>
                <w:sz w:val="20"/>
                <w:szCs w:val="20"/>
                <w:color w:val="auto"/>
              </w:rPr>
            </w:pPr>
            <w:r>
              <w:rPr>
                <w:rFonts w:ascii="Times New Roman" w:cs="Times New Roman" w:eastAsia="Times New Roman" w:hAnsi="Times New Roman"/>
                <w:sz w:val="14"/>
                <w:szCs w:val="14"/>
                <w:color w:val="auto"/>
              </w:rPr>
              <w:t>$</w:t>
            </w:r>
          </w:p>
        </w:tc>
        <w:tc>
          <w:tcPr>
            <w:tcW w:w="3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110</w:t>
            </w:r>
          </w:p>
        </w:tc>
        <w:tc>
          <w:tcPr>
            <w:tcW w:w="100" w:type="dxa"/>
            <w:vAlign w:val="bottom"/>
            <w:shd w:val="clear" w:color="auto" w:fill="CCEEFF"/>
          </w:tcPr>
          <w:p>
            <w:pPr>
              <w:spacing w:after="0"/>
              <w:rPr>
                <w:sz w:val="14"/>
                <w:szCs w:val="14"/>
                <w:color w:val="auto"/>
              </w:rPr>
            </w:pPr>
          </w:p>
        </w:tc>
        <w:tc>
          <w:tcPr>
            <w:tcW w:w="260" w:type="dxa"/>
            <w:vAlign w:val="bottom"/>
            <w:shd w:val="clear" w:color="auto" w:fill="CCEEFF"/>
          </w:tcPr>
          <w:p>
            <w:pPr>
              <w:jc w:val="right"/>
              <w:ind w:right="109"/>
              <w:spacing w:after="0"/>
              <w:rPr>
                <w:sz w:val="20"/>
                <w:szCs w:val="20"/>
                <w:color w:val="auto"/>
              </w:rPr>
            </w:pPr>
            <w:r>
              <w:rPr>
                <w:rFonts w:ascii="Times New Roman" w:cs="Times New Roman" w:eastAsia="Times New Roman" w:hAnsi="Times New Roman"/>
                <w:sz w:val="14"/>
                <w:szCs w:val="14"/>
                <w:color w:val="auto"/>
                <w:w w:val="85"/>
              </w:rPr>
              <w:t>$</w:t>
            </w:r>
          </w:p>
        </w:tc>
        <w:tc>
          <w:tcPr>
            <w:tcW w:w="8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172</w:t>
            </w:r>
          </w:p>
        </w:tc>
        <w:tc>
          <w:tcPr>
            <w:tcW w:w="80" w:type="dxa"/>
            <w:vAlign w:val="bottom"/>
            <w:shd w:val="clear" w:color="auto" w:fill="CCEEFF"/>
          </w:tcPr>
          <w:p>
            <w:pPr>
              <w:spacing w:after="0"/>
              <w:rPr>
                <w:sz w:val="14"/>
                <w:szCs w:val="14"/>
                <w:color w:val="auto"/>
              </w:rPr>
            </w:pPr>
          </w:p>
        </w:tc>
        <w:tc>
          <w:tcPr>
            <w:tcW w:w="380" w:type="dxa"/>
            <w:vAlign w:val="bottom"/>
            <w:shd w:val="clear" w:color="auto" w:fill="CCEEFF"/>
          </w:tcPr>
          <w:p>
            <w:pPr>
              <w:jc w:val="right"/>
              <w:ind w:right="209"/>
              <w:spacing w:after="0"/>
              <w:rPr>
                <w:sz w:val="20"/>
                <w:szCs w:val="20"/>
                <w:color w:val="auto"/>
              </w:rPr>
            </w:pPr>
            <w:r>
              <w:rPr>
                <w:rFonts w:ascii="Times New Roman" w:cs="Times New Roman" w:eastAsia="Times New Roman" w:hAnsi="Times New Roman"/>
                <w:sz w:val="14"/>
                <w:szCs w:val="14"/>
                <w:color w:val="auto"/>
              </w:rPr>
              <w:t>$</w:t>
            </w:r>
          </w:p>
        </w:tc>
        <w:tc>
          <w:tcPr>
            <w:tcW w:w="7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73</w:t>
            </w:r>
          </w:p>
        </w:tc>
      </w:tr>
      <w:tr>
        <w:trPr>
          <w:trHeight w:val="180"/>
        </w:trPr>
        <w:tc>
          <w:tcPr>
            <w:tcW w:w="7680" w:type="dxa"/>
            <w:vAlign w:val="bottom"/>
            <w:tcBorders>
              <w:bottom w:val="single" w:sz="8" w:color="CCEEFF"/>
            </w:tcBorders>
          </w:tcPr>
          <w:p>
            <w:pPr>
              <w:ind w:left="20"/>
              <w:spacing w:after="0"/>
              <w:rPr>
                <w:sz w:val="20"/>
                <w:szCs w:val="20"/>
                <w:color w:val="auto"/>
              </w:rPr>
            </w:pPr>
            <w:r>
              <w:rPr>
                <w:rFonts w:ascii="Times New Roman" w:cs="Times New Roman" w:eastAsia="Times New Roman" w:hAnsi="Times New Roman"/>
                <w:sz w:val="14"/>
                <w:szCs w:val="14"/>
                <w:color w:val="auto"/>
              </w:rPr>
              <w:t>Realized losses</w:t>
            </w:r>
          </w:p>
        </w:tc>
        <w:tc>
          <w:tcPr>
            <w:tcW w:w="780" w:type="dxa"/>
            <w:vAlign w:val="bottom"/>
            <w:tcBorders>
              <w:bottom w:val="single" w:sz="8" w:color="auto"/>
            </w:tcBorders>
          </w:tcPr>
          <w:p>
            <w:pPr>
              <w:spacing w:after="0"/>
              <w:rPr>
                <w:sz w:val="15"/>
                <w:szCs w:val="15"/>
                <w:color w:val="auto"/>
              </w:rPr>
            </w:pPr>
          </w:p>
        </w:tc>
        <w:tc>
          <w:tcPr>
            <w:tcW w:w="3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(78)</w:t>
            </w:r>
          </w:p>
        </w:tc>
        <w:tc>
          <w:tcPr>
            <w:tcW w:w="100" w:type="dxa"/>
            <w:vAlign w:val="bottom"/>
            <w:tcBorders>
              <w:bottom w:val="single" w:sz="8" w:color="CCEEFF"/>
            </w:tcBorders>
          </w:tcPr>
          <w:p>
            <w:pPr>
              <w:spacing w:after="0"/>
              <w:rPr>
                <w:sz w:val="15"/>
                <w:szCs w:val="15"/>
                <w:color w:val="auto"/>
              </w:rPr>
            </w:pPr>
          </w:p>
        </w:tc>
        <w:tc>
          <w:tcPr>
            <w:tcW w:w="260" w:type="dxa"/>
            <w:vAlign w:val="bottom"/>
            <w:tcBorders>
              <w:bottom w:val="single" w:sz="8" w:color="auto"/>
            </w:tcBorders>
          </w:tcPr>
          <w:p>
            <w:pPr>
              <w:spacing w:after="0"/>
              <w:rPr>
                <w:sz w:val="15"/>
                <w:szCs w:val="15"/>
                <w:color w:val="auto"/>
              </w:rPr>
            </w:pPr>
          </w:p>
        </w:tc>
        <w:tc>
          <w:tcPr>
            <w:tcW w:w="8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(4)</w:t>
            </w:r>
          </w:p>
        </w:tc>
        <w:tc>
          <w:tcPr>
            <w:tcW w:w="80" w:type="dxa"/>
            <w:vAlign w:val="bottom"/>
            <w:tcBorders>
              <w:bottom w:val="single" w:sz="8" w:color="CCEEFF"/>
            </w:tcBorders>
          </w:tcPr>
          <w:p>
            <w:pPr>
              <w:spacing w:after="0"/>
              <w:rPr>
                <w:sz w:val="15"/>
                <w:szCs w:val="15"/>
                <w:color w:val="auto"/>
              </w:rPr>
            </w:pPr>
          </w:p>
        </w:tc>
        <w:tc>
          <w:tcPr>
            <w:tcW w:w="380" w:type="dxa"/>
            <w:vAlign w:val="bottom"/>
            <w:tcBorders>
              <w:bottom w:val="single" w:sz="8" w:color="auto"/>
            </w:tcBorders>
          </w:tcPr>
          <w:p>
            <w:pPr>
              <w:spacing w:after="0"/>
              <w:rPr>
                <w:sz w:val="15"/>
                <w:szCs w:val="15"/>
                <w:color w:val="auto"/>
              </w:rPr>
            </w:pPr>
          </w:p>
        </w:tc>
        <w:tc>
          <w:tcPr>
            <w:tcW w:w="7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(190)</w:t>
            </w:r>
          </w:p>
        </w:tc>
      </w:tr>
      <w:tr>
        <w:trPr>
          <w:trHeight w:val="171"/>
        </w:trPr>
        <w:tc>
          <w:tcPr>
            <w:tcW w:w="768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4"/>
                <w:szCs w:val="14"/>
                <w:color w:val="auto"/>
              </w:rPr>
              <w:t>Net realized gains (losses)</w:t>
            </w:r>
          </w:p>
        </w:tc>
        <w:tc>
          <w:tcPr>
            <w:tcW w:w="780" w:type="dxa"/>
            <w:vAlign w:val="bottom"/>
            <w:shd w:val="clear" w:color="auto" w:fill="CCEEFF"/>
          </w:tcPr>
          <w:p>
            <w:pPr>
              <w:jc w:val="right"/>
              <w:ind w:right="610"/>
              <w:spacing w:after="0"/>
              <w:rPr>
                <w:sz w:val="20"/>
                <w:szCs w:val="20"/>
                <w:color w:val="auto"/>
              </w:rPr>
            </w:pPr>
            <w:r>
              <w:rPr>
                <w:rFonts w:ascii="Times New Roman" w:cs="Times New Roman" w:eastAsia="Times New Roman" w:hAnsi="Times New Roman"/>
                <w:sz w:val="14"/>
                <w:szCs w:val="14"/>
                <w:color w:val="auto"/>
              </w:rPr>
              <w:t>$</w:t>
            </w:r>
          </w:p>
        </w:tc>
        <w:tc>
          <w:tcPr>
            <w:tcW w:w="3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32</w:t>
            </w:r>
          </w:p>
        </w:tc>
        <w:tc>
          <w:tcPr>
            <w:tcW w:w="100" w:type="dxa"/>
            <w:vAlign w:val="bottom"/>
            <w:shd w:val="clear" w:color="auto" w:fill="CCEEFF"/>
          </w:tcPr>
          <w:p>
            <w:pPr>
              <w:spacing w:after="0"/>
              <w:rPr>
                <w:sz w:val="14"/>
                <w:szCs w:val="14"/>
                <w:color w:val="auto"/>
              </w:rPr>
            </w:pPr>
          </w:p>
        </w:tc>
        <w:tc>
          <w:tcPr>
            <w:tcW w:w="260" w:type="dxa"/>
            <w:vAlign w:val="bottom"/>
            <w:shd w:val="clear" w:color="auto" w:fill="CCEEFF"/>
          </w:tcPr>
          <w:p>
            <w:pPr>
              <w:jc w:val="right"/>
              <w:ind w:right="109"/>
              <w:spacing w:after="0"/>
              <w:rPr>
                <w:sz w:val="20"/>
                <w:szCs w:val="20"/>
                <w:color w:val="auto"/>
              </w:rPr>
            </w:pPr>
            <w:r>
              <w:rPr>
                <w:rFonts w:ascii="Times New Roman" w:cs="Times New Roman" w:eastAsia="Times New Roman" w:hAnsi="Times New Roman"/>
                <w:sz w:val="14"/>
                <w:szCs w:val="14"/>
                <w:color w:val="auto"/>
                <w:w w:val="85"/>
              </w:rPr>
              <w:t>$</w:t>
            </w:r>
          </w:p>
        </w:tc>
        <w:tc>
          <w:tcPr>
            <w:tcW w:w="8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168</w:t>
            </w:r>
          </w:p>
        </w:tc>
        <w:tc>
          <w:tcPr>
            <w:tcW w:w="80" w:type="dxa"/>
            <w:vAlign w:val="bottom"/>
            <w:shd w:val="clear" w:color="auto" w:fill="CCEEFF"/>
          </w:tcPr>
          <w:p>
            <w:pPr>
              <w:spacing w:after="0"/>
              <w:rPr>
                <w:sz w:val="14"/>
                <w:szCs w:val="14"/>
                <w:color w:val="auto"/>
              </w:rPr>
            </w:pPr>
          </w:p>
        </w:tc>
        <w:tc>
          <w:tcPr>
            <w:tcW w:w="380" w:type="dxa"/>
            <w:vAlign w:val="bottom"/>
            <w:shd w:val="clear" w:color="auto" w:fill="CCEEFF"/>
          </w:tcPr>
          <w:p>
            <w:pPr>
              <w:jc w:val="right"/>
              <w:ind w:right="209"/>
              <w:spacing w:after="0"/>
              <w:rPr>
                <w:sz w:val="20"/>
                <w:szCs w:val="20"/>
                <w:color w:val="auto"/>
              </w:rPr>
            </w:pPr>
            <w:r>
              <w:rPr>
                <w:rFonts w:ascii="Times New Roman" w:cs="Times New Roman" w:eastAsia="Times New Roman" w:hAnsi="Times New Roman"/>
                <w:sz w:val="14"/>
                <w:szCs w:val="14"/>
                <w:color w:val="auto"/>
              </w:rPr>
              <w:t>$</w:t>
            </w:r>
          </w:p>
        </w:tc>
        <w:tc>
          <w:tcPr>
            <w:tcW w:w="7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(117)</w:t>
            </w:r>
          </w:p>
        </w:tc>
      </w:tr>
      <w:tr>
        <w:trPr>
          <w:trHeight w:val="180"/>
        </w:trPr>
        <w:tc>
          <w:tcPr>
            <w:tcW w:w="7680" w:type="dxa"/>
            <w:vAlign w:val="bottom"/>
          </w:tcPr>
          <w:p>
            <w:pPr>
              <w:ind w:left="20"/>
              <w:spacing w:after="0"/>
              <w:rPr>
                <w:sz w:val="20"/>
                <w:szCs w:val="20"/>
                <w:color w:val="auto"/>
              </w:rPr>
            </w:pPr>
            <w:r>
              <w:rPr>
                <w:rFonts w:ascii="Times New Roman" w:cs="Times New Roman" w:eastAsia="Times New Roman" w:hAnsi="Times New Roman"/>
                <w:sz w:val="14"/>
                <w:szCs w:val="14"/>
                <w:color w:val="auto"/>
              </w:rPr>
              <w:t>Income tax expense from gains (losses)</w:t>
            </w:r>
          </w:p>
        </w:tc>
        <w:tc>
          <w:tcPr>
            <w:tcW w:w="780" w:type="dxa"/>
            <w:vAlign w:val="bottom"/>
          </w:tcPr>
          <w:p>
            <w:pPr>
              <w:jc w:val="right"/>
              <w:ind w:right="610"/>
              <w:spacing w:after="0"/>
              <w:rPr>
                <w:sz w:val="20"/>
                <w:szCs w:val="20"/>
                <w:color w:val="auto"/>
              </w:rPr>
            </w:pPr>
            <w:r>
              <w:rPr>
                <w:rFonts w:ascii="Times New Roman" w:cs="Times New Roman" w:eastAsia="Times New Roman" w:hAnsi="Times New Roman"/>
                <w:sz w:val="14"/>
                <w:szCs w:val="14"/>
                <w:color w:val="auto"/>
              </w:rPr>
              <w:t>$</w:t>
            </w:r>
          </w:p>
        </w:tc>
        <w:tc>
          <w:tcPr>
            <w:tcW w:w="36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7</w:t>
            </w:r>
          </w:p>
        </w:tc>
        <w:tc>
          <w:tcPr>
            <w:tcW w:w="100" w:type="dxa"/>
            <w:vAlign w:val="bottom"/>
          </w:tcPr>
          <w:p>
            <w:pPr>
              <w:spacing w:after="0"/>
              <w:rPr>
                <w:sz w:val="15"/>
                <w:szCs w:val="15"/>
                <w:color w:val="auto"/>
              </w:rPr>
            </w:pPr>
          </w:p>
        </w:tc>
        <w:tc>
          <w:tcPr>
            <w:tcW w:w="260" w:type="dxa"/>
            <w:vAlign w:val="bottom"/>
          </w:tcPr>
          <w:p>
            <w:pPr>
              <w:jc w:val="right"/>
              <w:ind w:right="109"/>
              <w:spacing w:after="0"/>
              <w:rPr>
                <w:sz w:val="20"/>
                <w:szCs w:val="20"/>
                <w:color w:val="auto"/>
              </w:rPr>
            </w:pPr>
            <w:r>
              <w:rPr>
                <w:rFonts w:ascii="Times New Roman" w:cs="Times New Roman" w:eastAsia="Times New Roman" w:hAnsi="Times New Roman"/>
                <w:sz w:val="14"/>
                <w:szCs w:val="14"/>
                <w:color w:val="auto"/>
                <w:w w:val="85"/>
              </w:rPr>
              <w:t>$</w:t>
            </w:r>
          </w:p>
        </w:tc>
        <w:tc>
          <w:tcPr>
            <w:tcW w:w="88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35</w:t>
            </w:r>
          </w:p>
        </w:tc>
        <w:tc>
          <w:tcPr>
            <w:tcW w:w="80" w:type="dxa"/>
            <w:vAlign w:val="bottom"/>
          </w:tcPr>
          <w:p>
            <w:pPr>
              <w:spacing w:after="0"/>
              <w:rPr>
                <w:sz w:val="15"/>
                <w:szCs w:val="15"/>
                <w:color w:val="auto"/>
              </w:rPr>
            </w:pPr>
          </w:p>
        </w:tc>
        <w:tc>
          <w:tcPr>
            <w:tcW w:w="380" w:type="dxa"/>
            <w:vAlign w:val="bottom"/>
          </w:tcPr>
          <w:p>
            <w:pPr>
              <w:jc w:val="right"/>
              <w:ind w:right="209"/>
              <w:spacing w:after="0"/>
              <w:rPr>
                <w:sz w:val="20"/>
                <w:szCs w:val="20"/>
                <w:color w:val="auto"/>
              </w:rPr>
            </w:pPr>
            <w:r>
              <w:rPr>
                <w:rFonts w:ascii="Times New Roman" w:cs="Times New Roman" w:eastAsia="Times New Roman" w:hAnsi="Times New Roman"/>
                <w:sz w:val="14"/>
                <w:szCs w:val="14"/>
                <w:color w:val="auto"/>
              </w:rPr>
              <w:t>$</w:t>
            </w:r>
          </w:p>
        </w:tc>
        <w:tc>
          <w:tcPr>
            <w:tcW w:w="76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(25)</w:t>
            </w:r>
          </w:p>
        </w:tc>
      </w:tr>
      <w:tr>
        <w:trPr>
          <w:trHeight w:val="180"/>
        </w:trPr>
        <w:tc>
          <w:tcPr>
            <w:tcW w:w="768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4"/>
                <w:szCs w:val="14"/>
                <w:color w:val="auto"/>
              </w:rPr>
              <w:t>Interest income – equity investments</w:t>
            </w:r>
          </w:p>
        </w:tc>
        <w:tc>
          <w:tcPr>
            <w:tcW w:w="780" w:type="dxa"/>
            <w:vAlign w:val="bottom"/>
            <w:shd w:val="clear" w:color="auto" w:fill="CCEEFF"/>
          </w:tcPr>
          <w:p>
            <w:pPr>
              <w:jc w:val="right"/>
              <w:ind w:right="610"/>
              <w:spacing w:after="0"/>
              <w:rPr>
                <w:sz w:val="20"/>
                <w:szCs w:val="20"/>
                <w:color w:val="auto"/>
              </w:rPr>
            </w:pPr>
            <w:r>
              <w:rPr>
                <w:rFonts w:ascii="Times New Roman" w:cs="Times New Roman" w:eastAsia="Times New Roman" w:hAnsi="Times New Roman"/>
                <w:sz w:val="14"/>
                <w:szCs w:val="14"/>
                <w:color w:val="auto"/>
              </w:rPr>
              <w:t>$</w:t>
            </w:r>
          </w:p>
        </w:tc>
        <w:tc>
          <w:tcPr>
            <w:tcW w:w="3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569</w:t>
            </w:r>
          </w:p>
        </w:tc>
        <w:tc>
          <w:tcPr>
            <w:tcW w:w="100" w:type="dxa"/>
            <w:vAlign w:val="bottom"/>
            <w:shd w:val="clear" w:color="auto" w:fill="CCEEFF"/>
          </w:tcPr>
          <w:p>
            <w:pPr>
              <w:spacing w:after="0"/>
              <w:rPr>
                <w:sz w:val="15"/>
                <w:szCs w:val="15"/>
                <w:color w:val="auto"/>
              </w:rPr>
            </w:pPr>
          </w:p>
        </w:tc>
        <w:tc>
          <w:tcPr>
            <w:tcW w:w="260" w:type="dxa"/>
            <w:vAlign w:val="bottom"/>
            <w:shd w:val="clear" w:color="auto" w:fill="CCEEFF"/>
          </w:tcPr>
          <w:p>
            <w:pPr>
              <w:jc w:val="right"/>
              <w:ind w:right="109"/>
              <w:spacing w:after="0"/>
              <w:rPr>
                <w:sz w:val="20"/>
                <w:szCs w:val="20"/>
                <w:color w:val="auto"/>
              </w:rPr>
            </w:pPr>
            <w:r>
              <w:rPr>
                <w:rFonts w:ascii="Times New Roman" w:cs="Times New Roman" w:eastAsia="Times New Roman" w:hAnsi="Times New Roman"/>
                <w:sz w:val="14"/>
                <w:szCs w:val="14"/>
                <w:color w:val="auto"/>
                <w:w w:val="85"/>
              </w:rPr>
              <w:t>$</w:t>
            </w:r>
          </w:p>
        </w:tc>
        <w:tc>
          <w:tcPr>
            <w:tcW w:w="8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793</w:t>
            </w:r>
          </w:p>
        </w:tc>
        <w:tc>
          <w:tcPr>
            <w:tcW w:w="80" w:type="dxa"/>
            <w:vAlign w:val="bottom"/>
            <w:shd w:val="clear" w:color="auto" w:fill="CCEEFF"/>
          </w:tcPr>
          <w:p>
            <w:pPr>
              <w:spacing w:after="0"/>
              <w:rPr>
                <w:sz w:val="15"/>
                <w:szCs w:val="15"/>
                <w:color w:val="auto"/>
              </w:rPr>
            </w:pPr>
          </w:p>
        </w:tc>
        <w:tc>
          <w:tcPr>
            <w:tcW w:w="380" w:type="dxa"/>
            <w:vAlign w:val="bottom"/>
            <w:shd w:val="clear" w:color="auto" w:fill="CCEEFF"/>
          </w:tcPr>
          <w:p>
            <w:pPr>
              <w:jc w:val="right"/>
              <w:ind w:right="209"/>
              <w:spacing w:after="0"/>
              <w:rPr>
                <w:sz w:val="20"/>
                <w:szCs w:val="20"/>
                <w:color w:val="auto"/>
              </w:rPr>
            </w:pPr>
            <w:r>
              <w:rPr>
                <w:rFonts w:ascii="Times New Roman" w:cs="Times New Roman" w:eastAsia="Times New Roman" w:hAnsi="Times New Roman"/>
                <w:sz w:val="14"/>
                <w:szCs w:val="14"/>
                <w:color w:val="auto"/>
              </w:rPr>
              <w:t>$</w:t>
            </w:r>
          </w:p>
        </w:tc>
        <w:tc>
          <w:tcPr>
            <w:tcW w:w="7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640</w:t>
            </w:r>
          </w:p>
        </w:tc>
      </w:tr>
      <w:tr>
        <w:trPr>
          <w:trHeight w:val="180"/>
        </w:trPr>
        <w:tc>
          <w:tcPr>
            <w:tcW w:w="7680" w:type="dxa"/>
            <w:vAlign w:val="bottom"/>
          </w:tcPr>
          <w:p>
            <w:pPr>
              <w:ind w:left="20"/>
              <w:spacing w:after="0"/>
              <w:rPr>
                <w:sz w:val="20"/>
                <w:szCs w:val="20"/>
                <w:color w:val="auto"/>
              </w:rPr>
            </w:pPr>
            <w:r>
              <w:rPr>
                <w:rFonts w:ascii="Times New Roman" w:cs="Times New Roman" w:eastAsia="Times New Roman" w:hAnsi="Times New Roman"/>
                <w:sz w:val="14"/>
                <w:szCs w:val="14"/>
                <w:color w:val="auto"/>
              </w:rPr>
              <w:t>Dividend income</w:t>
            </w:r>
          </w:p>
        </w:tc>
        <w:tc>
          <w:tcPr>
            <w:tcW w:w="780" w:type="dxa"/>
            <w:vAlign w:val="bottom"/>
          </w:tcPr>
          <w:p>
            <w:pPr>
              <w:jc w:val="right"/>
              <w:ind w:right="610"/>
              <w:spacing w:after="0"/>
              <w:rPr>
                <w:sz w:val="20"/>
                <w:szCs w:val="20"/>
                <w:color w:val="auto"/>
              </w:rPr>
            </w:pPr>
            <w:r>
              <w:rPr>
                <w:rFonts w:ascii="Times New Roman" w:cs="Times New Roman" w:eastAsia="Times New Roman" w:hAnsi="Times New Roman"/>
                <w:sz w:val="14"/>
                <w:szCs w:val="14"/>
                <w:color w:val="auto"/>
              </w:rPr>
              <w:t>$</w:t>
            </w:r>
          </w:p>
        </w:tc>
        <w:tc>
          <w:tcPr>
            <w:tcW w:w="36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476</w:t>
            </w:r>
          </w:p>
        </w:tc>
        <w:tc>
          <w:tcPr>
            <w:tcW w:w="100" w:type="dxa"/>
            <w:vAlign w:val="bottom"/>
          </w:tcPr>
          <w:p>
            <w:pPr>
              <w:spacing w:after="0"/>
              <w:rPr>
                <w:sz w:val="15"/>
                <w:szCs w:val="15"/>
                <w:color w:val="auto"/>
              </w:rPr>
            </w:pPr>
          </w:p>
        </w:tc>
        <w:tc>
          <w:tcPr>
            <w:tcW w:w="260" w:type="dxa"/>
            <w:vAlign w:val="bottom"/>
          </w:tcPr>
          <w:p>
            <w:pPr>
              <w:jc w:val="right"/>
              <w:ind w:right="109"/>
              <w:spacing w:after="0"/>
              <w:rPr>
                <w:sz w:val="20"/>
                <w:szCs w:val="20"/>
                <w:color w:val="auto"/>
              </w:rPr>
            </w:pPr>
            <w:r>
              <w:rPr>
                <w:rFonts w:ascii="Times New Roman" w:cs="Times New Roman" w:eastAsia="Times New Roman" w:hAnsi="Times New Roman"/>
                <w:sz w:val="14"/>
                <w:szCs w:val="14"/>
                <w:color w:val="auto"/>
                <w:w w:val="85"/>
              </w:rPr>
              <w:t>$</w:t>
            </w:r>
          </w:p>
        </w:tc>
        <w:tc>
          <w:tcPr>
            <w:tcW w:w="88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147</w:t>
            </w:r>
          </w:p>
        </w:tc>
        <w:tc>
          <w:tcPr>
            <w:tcW w:w="80" w:type="dxa"/>
            <w:vAlign w:val="bottom"/>
          </w:tcPr>
          <w:p>
            <w:pPr>
              <w:spacing w:after="0"/>
              <w:rPr>
                <w:sz w:val="15"/>
                <w:szCs w:val="15"/>
                <w:color w:val="auto"/>
              </w:rPr>
            </w:pPr>
          </w:p>
        </w:tc>
        <w:tc>
          <w:tcPr>
            <w:tcW w:w="380" w:type="dxa"/>
            <w:vAlign w:val="bottom"/>
          </w:tcPr>
          <w:p>
            <w:pPr>
              <w:jc w:val="right"/>
              <w:ind w:right="209"/>
              <w:spacing w:after="0"/>
              <w:rPr>
                <w:sz w:val="20"/>
                <w:szCs w:val="20"/>
                <w:color w:val="auto"/>
              </w:rPr>
            </w:pPr>
            <w:r>
              <w:rPr>
                <w:rFonts w:ascii="Times New Roman" w:cs="Times New Roman" w:eastAsia="Times New Roman" w:hAnsi="Times New Roman"/>
                <w:sz w:val="14"/>
                <w:szCs w:val="14"/>
                <w:color w:val="auto"/>
              </w:rPr>
              <w:t>$</w:t>
            </w:r>
          </w:p>
        </w:tc>
        <w:tc>
          <w:tcPr>
            <w:tcW w:w="76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61</w:t>
            </w:r>
          </w:p>
        </w:tc>
      </w:tr>
      <w:tr>
        <w:trPr>
          <w:trHeight w:val="180"/>
        </w:trPr>
        <w:tc>
          <w:tcPr>
            <w:tcW w:w="768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4"/>
                <w:szCs w:val="14"/>
                <w:color w:val="auto"/>
              </w:rPr>
              <w:t>Unrealized gains/(losses)</w:t>
            </w:r>
          </w:p>
        </w:tc>
        <w:tc>
          <w:tcPr>
            <w:tcW w:w="780" w:type="dxa"/>
            <w:vAlign w:val="bottom"/>
            <w:shd w:val="clear" w:color="auto" w:fill="CCEEFF"/>
          </w:tcPr>
          <w:p>
            <w:pPr>
              <w:jc w:val="right"/>
              <w:ind w:right="610"/>
              <w:spacing w:after="0"/>
              <w:rPr>
                <w:sz w:val="20"/>
                <w:szCs w:val="20"/>
                <w:color w:val="auto"/>
              </w:rPr>
            </w:pPr>
            <w:r>
              <w:rPr>
                <w:rFonts w:ascii="Times New Roman" w:cs="Times New Roman" w:eastAsia="Times New Roman" w:hAnsi="Times New Roman"/>
                <w:sz w:val="14"/>
                <w:szCs w:val="14"/>
                <w:color w:val="auto"/>
              </w:rPr>
              <w:t>$</w:t>
            </w:r>
          </w:p>
        </w:tc>
        <w:tc>
          <w:tcPr>
            <w:tcW w:w="3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604</w:t>
            </w:r>
          </w:p>
        </w:tc>
        <w:tc>
          <w:tcPr>
            <w:tcW w:w="100" w:type="dxa"/>
            <w:vAlign w:val="bottom"/>
            <w:shd w:val="clear" w:color="auto" w:fill="CCEEFF"/>
          </w:tcPr>
          <w:p>
            <w:pPr>
              <w:spacing w:after="0"/>
              <w:rPr>
                <w:sz w:val="15"/>
                <w:szCs w:val="15"/>
                <w:color w:val="auto"/>
              </w:rPr>
            </w:pPr>
          </w:p>
        </w:tc>
        <w:tc>
          <w:tcPr>
            <w:tcW w:w="260" w:type="dxa"/>
            <w:vAlign w:val="bottom"/>
            <w:shd w:val="clear" w:color="auto" w:fill="CCEEFF"/>
          </w:tcPr>
          <w:p>
            <w:pPr>
              <w:jc w:val="right"/>
              <w:ind w:right="109"/>
              <w:spacing w:after="0"/>
              <w:rPr>
                <w:sz w:val="20"/>
                <w:szCs w:val="20"/>
                <w:color w:val="auto"/>
              </w:rPr>
            </w:pPr>
            <w:r>
              <w:rPr>
                <w:rFonts w:ascii="Times New Roman" w:cs="Times New Roman" w:eastAsia="Times New Roman" w:hAnsi="Times New Roman"/>
                <w:sz w:val="14"/>
                <w:szCs w:val="14"/>
                <w:color w:val="auto"/>
                <w:w w:val="85"/>
              </w:rPr>
              <w:t>$</w:t>
            </w:r>
          </w:p>
        </w:tc>
        <w:tc>
          <w:tcPr>
            <w:tcW w:w="8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973</w:t>
            </w:r>
          </w:p>
        </w:tc>
        <w:tc>
          <w:tcPr>
            <w:tcW w:w="80" w:type="dxa"/>
            <w:vAlign w:val="bottom"/>
            <w:shd w:val="clear" w:color="auto" w:fill="CCEEFF"/>
          </w:tcPr>
          <w:p>
            <w:pPr>
              <w:spacing w:after="0"/>
              <w:rPr>
                <w:sz w:val="15"/>
                <w:szCs w:val="15"/>
                <w:color w:val="auto"/>
              </w:rPr>
            </w:pPr>
          </w:p>
        </w:tc>
        <w:tc>
          <w:tcPr>
            <w:tcW w:w="380" w:type="dxa"/>
            <w:vAlign w:val="bottom"/>
            <w:shd w:val="clear" w:color="auto" w:fill="CCEEFF"/>
          </w:tcPr>
          <w:p>
            <w:pPr>
              <w:jc w:val="right"/>
              <w:ind w:right="209"/>
              <w:spacing w:after="0"/>
              <w:rPr>
                <w:sz w:val="20"/>
                <w:szCs w:val="20"/>
                <w:color w:val="auto"/>
              </w:rPr>
            </w:pPr>
            <w:r>
              <w:rPr>
                <w:rFonts w:ascii="Times New Roman" w:cs="Times New Roman" w:eastAsia="Times New Roman" w:hAnsi="Times New Roman"/>
                <w:sz w:val="14"/>
                <w:szCs w:val="14"/>
                <w:color w:val="auto"/>
              </w:rPr>
              <w:t>$</w:t>
            </w:r>
          </w:p>
        </w:tc>
        <w:tc>
          <w:tcPr>
            <w:tcW w:w="7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1,425</w:t>
            </w:r>
          </w:p>
        </w:tc>
      </w:tr>
    </w:tbl>
    <w:p>
      <w:pPr>
        <w:spacing w:after="0" w:line="200" w:lineRule="exact"/>
        <w:rPr>
          <w:sz w:val="20"/>
          <w:szCs w:val="20"/>
          <w:color w:val="auto"/>
        </w:rPr>
      </w:pPr>
    </w:p>
    <w:p>
      <w:pPr>
        <w:spacing w:after="0" w:line="218"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b w:val="1"/>
          <w:bCs w:val="1"/>
          <w:color w:val="auto"/>
        </w:rPr>
        <w:t>7. FAIR VALUE MEASUREMENTS:</w:t>
      </w:r>
    </w:p>
    <w:p>
      <w:pPr>
        <w:spacing w:after="0" w:line="96" w:lineRule="exact"/>
        <w:rPr>
          <w:sz w:val="20"/>
          <w:szCs w:val="20"/>
          <w:color w:val="auto"/>
        </w:rPr>
      </w:pPr>
    </w:p>
    <w:p>
      <w:pPr>
        <w:ind w:right="220" w:firstLine="382"/>
        <w:spacing w:after="0" w:line="287" w:lineRule="auto"/>
        <w:rPr>
          <w:sz w:val="20"/>
          <w:szCs w:val="20"/>
          <w:color w:val="auto"/>
        </w:rPr>
      </w:pPr>
      <w:r>
        <w:rPr>
          <w:rFonts w:ascii="Times New Roman" w:cs="Times New Roman" w:eastAsia="Times New Roman" w:hAnsi="Times New Roman"/>
          <w:sz w:val="14"/>
          <w:szCs w:val="14"/>
          <w:color w:val="auto"/>
        </w:rPr>
        <w:t>ASC 820 defines fair value, establishes a framework for measuring fair value and requires additional disclosures regarding certain fair value measurements. ASC 820 establishes a three-tier hierarchy for measuring fair value, as follows:</w:t>
      </w:r>
    </w:p>
    <w:p>
      <w:pPr>
        <w:spacing w:after="0" w:line="82" w:lineRule="exact"/>
        <w:rPr>
          <w:sz w:val="20"/>
          <w:szCs w:val="20"/>
          <w:color w:val="auto"/>
        </w:rPr>
      </w:pPr>
    </w:p>
    <w:p>
      <w:pPr>
        <w:ind w:left="480" w:hanging="252"/>
        <w:spacing w:after="0"/>
        <w:tabs>
          <w:tab w:leader="none" w:pos="480" w:val="left"/>
        </w:tabs>
        <w:numPr>
          <w:ilvl w:val="0"/>
          <w:numId w:val="21"/>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Level 1 – quoted market prices in active markets for identical assets and liabilities</w:t>
      </w:r>
    </w:p>
    <w:p>
      <w:pPr>
        <w:spacing w:after="0" w:line="93" w:lineRule="exact"/>
        <w:rPr>
          <w:rFonts w:ascii="Times New Roman" w:cs="Times New Roman" w:eastAsia="Times New Roman" w:hAnsi="Times New Roman"/>
          <w:sz w:val="14"/>
          <w:szCs w:val="14"/>
          <w:color w:val="auto"/>
        </w:rPr>
      </w:pPr>
    </w:p>
    <w:p>
      <w:pPr>
        <w:ind w:left="480" w:hanging="252"/>
        <w:spacing w:after="0"/>
        <w:tabs>
          <w:tab w:leader="none" w:pos="480" w:val="left"/>
        </w:tabs>
        <w:numPr>
          <w:ilvl w:val="0"/>
          <w:numId w:val="21"/>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Level 2 – inputs other than quoted prices that are directly or indirectly observable</w:t>
      </w:r>
    </w:p>
    <w:p>
      <w:pPr>
        <w:spacing w:after="0" w:line="93" w:lineRule="exact"/>
        <w:rPr>
          <w:rFonts w:ascii="Times New Roman" w:cs="Times New Roman" w:eastAsia="Times New Roman" w:hAnsi="Times New Roman"/>
          <w:sz w:val="14"/>
          <w:szCs w:val="14"/>
          <w:color w:val="auto"/>
        </w:rPr>
      </w:pPr>
    </w:p>
    <w:p>
      <w:pPr>
        <w:ind w:left="480" w:hanging="252"/>
        <w:spacing w:after="0"/>
        <w:tabs>
          <w:tab w:leader="none" w:pos="480" w:val="left"/>
        </w:tabs>
        <w:numPr>
          <w:ilvl w:val="0"/>
          <w:numId w:val="21"/>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Level 3 – unobservable inputs where there is little or no market activity</w:t>
      </w:r>
    </w:p>
    <w:p>
      <w:pPr>
        <w:spacing w:after="0" w:line="94" w:lineRule="exact"/>
        <w:rPr>
          <w:sz w:val="20"/>
          <w:szCs w:val="20"/>
          <w:color w:val="auto"/>
        </w:rPr>
      </w:pPr>
    </w:p>
    <w:p>
      <w:pPr>
        <w:ind w:right="40" w:firstLine="509"/>
        <w:spacing w:after="0" w:line="287" w:lineRule="auto"/>
        <w:rPr>
          <w:sz w:val="20"/>
          <w:szCs w:val="20"/>
          <w:color w:val="auto"/>
        </w:rPr>
      </w:pPr>
      <w:r>
        <w:rPr>
          <w:rFonts w:ascii="Times New Roman" w:cs="Times New Roman" w:eastAsia="Times New Roman" w:hAnsi="Times New Roman"/>
          <w:sz w:val="14"/>
          <w:szCs w:val="14"/>
          <w:color w:val="auto"/>
        </w:rPr>
        <w:t>Our equity interests in private companies without readily determinable fair values are excluded from the recurring fair value table shown below, as we have elected to apply the measurement alternative for those investments.</w:t>
      </w:r>
    </w:p>
    <w:p>
      <w:pPr>
        <w:spacing w:after="0" w:line="38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4"/>
          <w:szCs w:val="14"/>
          <w:color w:val="auto"/>
        </w:rPr>
        <w:t>19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-8890</wp:posOffset>
            </wp:positionH>
            <wp:positionV relativeFrom="paragraph">
              <wp:posOffset>55880</wp:posOffset>
            </wp:positionV>
            <wp:extent cx="7186930" cy="38735"/>
            <wp:wrapNone/>
            <wp:docPr id="123" name="Picture 1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3"/>
                    <pic:cNvPicPr>
                      <a:picLocks noChangeAspect="1" noChangeArrowheads="1"/>
                    </pic:cNvPicPr>
                  </pic:nvPicPr>
                  <pic:blipFill>
                    <a:blip r:embed="rId130">
                      <a:extLst>
                        <a:ext uri="{28A0092B-C50C-407E-A947-70E740481C1C}"/>
                      </a:extLst>
                    </a:blip>
                    <a:srcRect/>
                    <a:stretch>
                      <a:fillRect/>
                    </a:stretch>
                  </pic:blipFill>
                  <pic:spPr bwMode="auto">
                    <a:xfrm>
                      <a:off x="0" y="0"/>
                      <a:ext cx="7186930" cy="38735"/>
                    </a:xfrm>
                    <a:prstGeom prst="rect">
                      <a:avLst/>
                    </a:prstGeom>
                    <a:noFill/>
                  </pic:spPr>
                </pic:pic>
              </a:graphicData>
            </a:graphic>
          </wp:anchor>
        </w:drawing>
      </w:r>
    </w:p>
    <w:p>
      <w:pPr>
        <w:sectPr>
          <w:pgSz w:w="11900" w:h="16838" w:orient="portrait"/>
          <w:cols w:equalWidth="0" w:num="1">
            <w:col w:w="11280"/>
          </w:cols>
          <w:pgMar w:left="300" w:top="123" w:right="319" w:bottom="1440" w:gutter="0" w:footer="0" w:header="0"/>
          <w:type w:val="continuous"/>
        </w:sectPr>
      </w:pPr>
    </w:p>
    <w:bookmarkStart w:id="61" w:name="page62"/>
    <w:bookmarkEnd w:id="61"/>
    <w:p>
      <w:pPr>
        <w:jc w:val="center"/>
        <w:spacing w:after="0"/>
        <w:rPr>
          <w:sz w:val="20"/>
          <w:szCs w:val="20"/>
          <w:color w:val="auto"/>
        </w:rPr>
      </w:pPr>
      <w:r>
        <w:rPr>
          <w:rFonts w:ascii="Times New Roman" w:cs="Times New Roman" w:eastAsia="Times New Roman" w:hAnsi="Times New Roman"/>
          <w:sz w:val="14"/>
          <w:szCs w:val="14"/>
          <w:b w:val="1"/>
          <w:bCs w:val="1"/>
          <w:color w:val="auto"/>
        </w:rPr>
        <w:t>WESTWOOD HOLDINGS GROUP, INC.</w:t>
      </w:r>
    </w:p>
    <w:p>
      <w:pPr>
        <w:spacing w:after="0" w:line="5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4"/>
          <w:szCs w:val="14"/>
          <w:b w:val="1"/>
          <w:bCs w:val="1"/>
          <w:color w:val="auto"/>
        </w:rPr>
        <w:t>NOTES TO CONSOLIDATED FINANCIAL STATEMENTS — (Continued)</w:t>
      </w:r>
    </w:p>
    <w:p>
      <w:pPr>
        <w:spacing w:after="0" w:line="318" w:lineRule="exact"/>
        <w:rPr>
          <w:sz w:val="20"/>
          <w:szCs w:val="20"/>
          <w:color w:val="auto"/>
        </w:rPr>
      </w:pPr>
    </w:p>
    <w:p>
      <w:pPr>
        <w:ind w:left="380"/>
        <w:spacing w:after="0"/>
        <w:rPr>
          <w:sz w:val="20"/>
          <w:szCs w:val="20"/>
          <w:color w:val="auto"/>
        </w:rPr>
      </w:pPr>
      <w:r>
        <w:rPr>
          <w:rFonts w:ascii="Times New Roman" w:cs="Times New Roman" w:eastAsia="Times New Roman" w:hAnsi="Times New Roman"/>
          <w:sz w:val="14"/>
          <w:szCs w:val="14"/>
          <w:color w:val="auto"/>
        </w:rPr>
        <w:t>The following table summarizes our assets and liabilities measured at fair value on a recurring basis, as of the dates indicated within the fair value hierarchy (in thousands):</w:t>
      </w:r>
    </w:p>
    <w:p>
      <w:pPr>
        <w:spacing w:after="0" w:line="41" w:lineRule="exact"/>
        <w:rPr>
          <w:sz w:val="20"/>
          <w:szCs w:val="20"/>
          <w:color w:val="auto"/>
        </w:rPr>
      </w:pPr>
    </w:p>
    <w:tbl>
      <w:tblPr>
        <w:tblLayout w:type="fixed"/>
        <w:tblInd w:w="0" w:type="dxa"/>
        <w:tblCellMar>
          <w:top w:w="0" w:type="dxa"/>
          <w:left w:w="0" w:type="dxa"/>
          <w:bottom w:w="0" w:type="dxa"/>
          <w:right w:w="0" w:type="dxa"/>
        </w:tblCellMar>
      </w:tblPr>
      <w:tr>
        <w:trPr>
          <w:trHeight w:val="184"/>
        </w:trPr>
        <w:tc>
          <w:tcPr>
            <w:tcW w:w="4640" w:type="dxa"/>
            <w:vAlign w:val="bottom"/>
          </w:tcPr>
          <w:p>
            <w:pPr>
              <w:spacing w:after="0"/>
              <w:rPr>
                <w:sz w:val="16"/>
                <w:szCs w:val="16"/>
                <w:color w:val="auto"/>
              </w:rPr>
            </w:pPr>
          </w:p>
        </w:tc>
        <w:tc>
          <w:tcPr>
            <w:tcW w:w="260" w:type="dxa"/>
            <w:vAlign w:val="bottom"/>
          </w:tcPr>
          <w:p>
            <w:pPr>
              <w:spacing w:after="0"/>
              <w:rPr>
                <w:sz w:val="16"/>
                <w:szCs w:val="16"/>
                <w:color w:val="auto"/>
              </w:rPr>
            </w:pPr>
          </w:p>
        </w:tc>
        <w:tc>
          <w:tcPr>
            <w:tcW w:w="1080" w:type="dxa"/>
            <w:vAlign w:val="bottom"/>
            <w:gridSpan w:val="2"/>
          </w:tcPr>
          <w:p>
            <w:pPr>
              <w:ind w:left="180"/>
              <w:spacing w:after="0"/>
              <w:rPr>
                <w:sz w:val="20"/>
                <w:szCs w:val="20"/>
                <w:color w:val="auto"/>
              </w:rPr>
            </w:pPr>
            <w:r>
              <w:rPr>
                <w:rFonts w:ascii="Times New Roman" w:cs="Times New Roman" w:eastAsia="Times New Roman" w:hAnsi="Times New Roman"/>
                <w:sz w:val="13"/>
                <w:szCs w:val="13"/>
                <w:b w:val="1"/>
                <w:bCs w:val="1"/>
                <w:color w:val="auto"/>
              </w:rPr>
              <w:t>Level 1</w:t>
            </w:r>
          </w:p>
        </w:tc>
        <w:tc>
          <w:tcPr>
            <w:tcW w:w="260" w:type="dxa"/>
            <w:vAlign w:val="bottom"/>
          </w:tcPr>
          <w:p>
            <w:pPr>
              <w:spacing w:after="0"/>
              <w:rPr>
                <w:sz w:val="16"/>
                <w:szCs w:val="16"/>
                <w:color w:val="auto"/>
              </w:rPr>
            </w:pPr>
          </w:p>
        </w:tc>
        <w:tc>
          <w:tcPr>
            <w:tcW w:w="1100" w:type="dxa"/>
            <w:vAlign w:val="bottom"/>
            <w:gridSpan w:val="2"/>
          </w:tcPr>
          <w:p>
            <w:pPr>
              <w:ind w:left="180"/>
              <w:spacing w:after="0"/>
              <w:rPr>
                <w:sz w:val="20"/>
                <w:szCs w:val="20"/>
                <w:color w:val="auto"/>
              </w:rPr>
            </w:pPr>
            <w:r>
              <w:rPr>
                <w:rFonts w:ascii="Times New Roman" w:cs="Times New Roman" w:eastAsia="Times New Roman" w:hAnsi="Times New Roman"/>
                <w:sz w:val="13"/>
                <w:szCs w:val="13"/>
                <w:b w:val="1"/>
                <w:bCs w:val="1"/>
                <w:color w:val="auto"/>
              </w:rPr>
              <w:t>Level 2</w:t>
            </w:r>
          </w:p>
        </w:tc>
        <w:tc>
          <w:tcPr>
            <w:tcW w:w="260" w:type="dxa"/>
            <w:vAlign w:val="bottom"/>
          </w:tcPr>
          <w:p>
            <w:pPr>
              <w:spacing w:after="0"/>
              <w:rPr>
                <w:sz w:val="16"/>
                <w:szCs w:val="16"/>
                <w:color w:val="auto"/>
              </w:rPr>
            </w:pPr>
          </w:p>
        </w:tc>
        <w:tc>
          <w:tcPr>
            <w:tcW w:w="1080" w:type="dxa"/>
            <w:vAlign w:val="bottom"/>
            <w:gridSpan w:val="2"/>
          </w:tcPr>
          <w:p>
            <w:pPr>
              <w:ind w:left="160"/>
              <w:spacing w:after="0"/>
              <w:rPr>
                <w:sz w:val="20"/>
                <w:szCs w:val="20"/>
                <w:color w:val="auto"/>
              </w:rPr>
            </w:pPr>
            <w:r>
              <w:rPr>
                <w:rFonts w:ascii="Times New Roman" w:cs="Times New Roman" w:eastAsia="Times New Roman" w:hAnsi="Times New Roman"/>
                <w:sz w:val="13"/>
                <w:szCs w:val="13"/>
                <w:b w:val="1"/>
                <w:bCs w:val="1"/>
                <w:color w:val="auto"/>
              </w:rPr>
              <w:t>Level 3</w:t>
            </w:r>
          </w:p>
        </w:tc>
        <w:tc>
          <w:tcPr>
            <w:tcW w:w="1360" w:type="dxa"/>
            <w:vAlign w:val="bottom"/>
            <w:gridSpan w:val="3"/>
          </w:tcPr>
          <w:p>
            <w:pPr>
              <w:ind w:left="80"/>
              <w:spacing w:after="0"/>
              <w:rPr>
                <w:sz w:val="20"/>
                <w:szCs w:val="20"/>
                <w:color w:val="auto"/>
              </w:rPr>
            </w:pPr>
            <w:r>
              <w:rPr>
                <w:rFonts w:ascii="Times New Roman" w:cs="Times New Roman" w:eastAsia="Times New Roman" w:hAnsi="Times New Roman"/>
                <w:sz w:val="13"/>
                <w:szCs w:val="13"/>
                <w:b w:val="1"/>
                <w:bCs w:val="1"/>
                <w:color w:val="auto"/>
              </w:rPr>
              <w:t xml:space="preserve">Measured at NAV </w:t>
            </w:r>
            <w:r>
              <w:rPr>
                <w:rFonts w:ascii="Times New Roman" w:cs="Times New Roman" w:eastAsia="Times New Roman" w:hAnsi="Times New Roman"/>
                <w:sz w:val="16"/>
                <w:szCs w:val="16"/>
                <w:b w:val="1"/>
                <w:bCs w:val="1"/>
                <w:color w:val="auto"/>
                <w:vertAlign w:val="superscript"/>
              </w:rPr>
              <w:t>(1)</w:t>
            </w:r>
          </w:p>
        </w:tc>
        <w:tc>
          <w:tcPr>
            <w:tcW w:w="280" w:type="dxa"/>
            <w:vAlign w:val="bottom"/>
          </w:tcPr>
          <w:p>
            <w:pPr>
              <w:spacing w:after="0"/>
              <w:rPr>
                <w:sz w:val="16"/>
                <w:szCs w:val="16"/>
                <w:color w:val="auto"/>
              </w:rPr>
            </w:pPr>
          </w:p>
        </w:tc>
        <w:tc>
          <w:tcPr>
            <w:tcW w:w="960" w:type="dxa"/>
            <w:vAlign w:val="bottom"/>
          </w:tcPr>
          <w:p>
            <w:pPr>
              <w:jc w:val="right"/>
              <w:ind w:right="410"/>
              <w:spacing w:after="0"/>
              <w:rPr>
                <w:sz w:val="20"/>
                <w:szCs w:val="20"/>
                <w:color w:val="auto"/>
              </w:rPr>
            </w:pPr>
            <w:r>
              <w:rPr>
                <w:rFonts w:ascii="Times New Roman" w:cs="Times New Roman" w:eastAsia="Times New Roman" w:hAnsi="Times New Roman"/>
                <w:sz w:val="13"/>
                <w:szCs w:val="13"/>
                <w:b w:val="1"/>
                <w:bCs w:val="1"/>
                <w:color w:val="auto"/>
              </w:rPr>
              <w:t>Total</w:t>
            </w:r>
          </w:p>
        </w:tc>
        <w:tc>
          <w:tcPr>
            <w:tcW w:w="0" w:type="dxa"/>
            <w:vAlign w:val="bottom"/>
          </w:tcPr>
          <w:p>
            <w:pPr>
              <w:spacing w:after="0"/>
              <w:rPr>
                <w:sz w:val="1"/>
                <w:szCs w:val="1"/>
                <w:color w:val="auto"/>
              </w:rPr>
            </w:pPr>
          </w:p>
        </w:tc>
      </w:tr>
      <w:tr>
        <w:trPr>
          <w:trHeight w:val="171"/>
        </w:trPr>
        <w:tc>
          <w:tcPr>
            <w:tcW w:w="4640" w:type="dxa"/>
            <w:vAlign w:val="bottom"/>
            <w:tcBorders>
              <w:top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4"/>
                <w:szCs w:val="14"/>
                <w:b w:val="1"/>
                <w:bCs w:val="1"/>
                <w:color w:val="auto"/>
              </w:rPr>
              <w:t>As of December 31, 2025</w:t>
            </w:r>
          </w:p>
        </w:tc>
        <w:tc>
          <w:tcPr>
            <w:tcW w:w="260" w:type="dxa"/>
            <w:vAlign w:val="bottom"/>
            <w:tcBorders>
              <w:top w:val="single" w:sz="8" w:color="auto"/>
            </w:tcBorders>
            <w:shd w:val="clear" w:color="auto" w:fill="CCEEFF"/>
          </w:tcPr>
          <w:p>
            <w:pPr>
              <w:spacing w:after="0"/>
              <w:rPr>
                <w:sz w:val="14"/>
                <w:szCs w:val="14"/>
                <w:color w:val="auto"/>
              </w:rPr>
            </w:pPr>
          </w:p>
        </w:tc>
        <w:tc>
          <w:tcPr>
            <w:tcW w:w="1000" w:type="dxa"/>
            <w:vAlign w:val="bottom"/>
            <w:tcBorders>
              <w:top w:val="single" w:sz="8" w:color="auto"/>
            </w:tcBorders>
            <w:shd w:val="clear" w:color="auto" w:fill="CCEEFF"/>
          </w:tcPr>
          <w:p>
            <w:pPr>
              <w:spacing w:after="0"/>
              <w:rPr>
                <w:sz w:val="14"/>
                <w:szCs w:val="14"/>
                <w:color w:val="auto"/>
              </w:rPr>
            </w:pPr>
          </w:p>
        </w:tc>
        <w:tc>
          <w:tcPr>
            <w:tcW w:w="80" w:type="dxa"/>
            <w:vAlign w:val="bottom"/>
            <w:tcBorders>
              <w:top w:val="single" w:sz="8" w:color="CCEEFF"/>
            </w:tcBorders>
            <w:shd w:val="clear" w:color="auto" w:fill="CCEEFF"/>
          </w:tcPr>
          <w:p>
            <w:pPr>
              <w:spacing w:after="0"/>
              <w:rPr>
                <w:sz w:val="14"/>
                <w:szCs w:val="14"/>
                <w:color w:val="auto"/>
              </w:rPr>
            </w:pPr>
          </w:p>
        </w:tc>
        <w:tc>
          <w:tcPr>
            <w:tcW w:w="260" w:type="dxa"/>
            <w:vAlign w:val="bottom"/>
            <w:tcBorders>
              <w:top w:val="single" w:sz="8" w:color="auto"/>
            </w:tcBorders>
            <w:shd w:val="clear" w:color="auto" w:fill="CCEEFF"/>
          </w:tcPr>
          <w:p>
            <w:pPr>
              <w:spacing w:after="0"/>
              <w:rPr>
                <w:sz w:val="14"/>
                <w:szCs w:val="14"/>
                <w:color w:val="auto"/>
              </w:rPr>
            </w:pPr>
          </w:p>
        </w:tc>
        <w:tc>
          <w:tcPr>
            <w:tcW w:w="1000" w:type="dxa"/>
            <w:vAlign w:val="bottom"/>
            <w:tcBorders>
              <w:top w:val="single" w:sz="8" w:color="auto"/>
            </w:tcBorders>
            <w:shd w:val="clear" w:color="auto" w:fill="CCEEFF"/>
          </w:tcPr>
          <w:p>
            <w:pPr>
              <w:spacing w:after="0"/>
              <w:rPr>
                <w:sz w:val="14"/>
                <w:szCs w:val="14"/>
                <w:color w:val="auto"/>
              </w:rPr>
            </w:pPr>
          </w:p>
        </w:tc>
        <w:tc>
          <w:tcPr>
            <w:tcW w:w="100" w:type="dxa"/>
            <w:vAlign w:val="bottom"/>
            <w:tcBorders>
              <w:top w:val="single" w:sz="8" w:color="CCEEFF"/>
            </w:tcBorders>
            <w:shd w:val="clear" w:color="auto" w:fill="CCEEFF"/>
          </w:tcPr>
          <w:p>
            <w:pPr>
              <w:spacing w:after="0"/>
              <w:rPr>
                <w:sz w:val="14"/>
                <w:szCs w:val="14"/>
                <w:color w:val="auto"/>
              </w:rPr>
            </w:pPr>
          </w:p>
        </w:tc>
        <w:tc>
          <w:tcPr>
            <w:tcW w:w="260" w:type="dxa"/>
            <w:vAlign w:val="bottom"/>
            <w:tcBorders>
              <w:top w:val="single" w:sz="8" w:color="auto"/>
            </w:tcBorders>
            <w:shd w:val="clear" w:color="auto" w:fill="CCEEFF"/>
          </w:tcPr>
          <w:p>
            <w:pPr>
              <w:spacing w:after="0"/>
              <w:rPr>
                <w:sz w:val="14"/>
                <w:szCs w:val="14"/>
                <w:color w:val="auto"/>
              </w:rPr>
            </w:pPr>
          </w:p>
        </w:tc>
        <w:tc>
          <w:tcPr>
            <w:tcW w:w="980" w:type="dxa"/>
            <w:vAlign w:val="bottom"/>
            <w:tcBorders>
              <w:top w:val="single" w:sz="8" w:color="auto"/>
            </w:tcBorders>
            <w:shd w:val="clear" w:color="auto" w:fill="CCEEFF"/>
          </w:tcPr>
          <w:p>
            <w:pPr>
              <w:spacing w:after="0"/>
              <w:rPr>
                <w:sz w:val="14"/>
                <w:szCs w:val="14"/>
                <w:color w:val="auto"/>
              </w:rPr>
            </w:pPr>
          </w:p>
        </w:tc>
        <w:tc>
          <w:tcPr>
            <w:tcW w:w="100" w:type="dxa"/>
            <w:vAlign w:val="bottom"/>
            <w:tcBorders>
              <w:top w:val="single" w:sz="8" w:color="CCEEFF"/>
            </w:tcBorders>
            <w:shd w:val="clear" w:color="auto" w:fill="CCEEFF"/>
          </w:tcPr>
          <w:p>
            <w:pPr>
              <w:spacing w:after="0"/>
              <w:rPr>
                <w:sz w:val="14"/>
                <w:szCs w:val="14"/>
                <w:color w:val="auto"/>
              </w:rPr>
            </w:pPr>
          </w:p>
        </w:tc>
        <w:tc>
          <w:tcPr>
            <w:tcW w:w="480" w:type="dxa"/>
            <w:vAlign w:val="bottom"/>
            <w:tcBorders>
              <w:top w:val="single" w:sz="8" w:color="auto"/>
            </w:tcBorders>
            <w:shd w:val="clear" w:color="auto" w:fill="CCEEFF"/>
          </w:tcPr>
          <w:p>
            <w:pPr>
              <w:spacing w:after="0"/>
              <w:rPr>
                <w:sz w:val="14"/>
                <w:szCs w:val="14"/>
                <w:color w:val="auto"/>
              </w:rPr>
            </w:pPr>
          </w:p>
        </w:tc>
        <w:tc>
          <w:tcPr>
            <w:tcW w:w="780" w:type="dxa"/>
            <w:vAlign w:val="bottom"/>
            <w:tcBorders>
              <w:top w:val="single" w:sz="8" w:color="auto"/>
            </w:tcBorders>
            <w:shd w:val="clear" w:color="auto" w:fill="CCEEFF"/>
          </w:tcPr>
          <w:p>
            <w:pPr>
              <w:spacing w:after="0"/>
              <w:rPr>
                <w:sz w:val="14"/>
                <w:szCs w:val="14"/>
                <w:color w:val="auto"/>
              </w:rPr>
            </w:pPr>
          </w:p>
        </w:tc>
        <w:tc>
          <w:tcPr>
            <w:tcW w:w="100" w:type="dxa"/>
            <w:vAlign w:val="bottom"/>
            <w:tcBorders>
              <w:top w:val="single" w:sz="8" w:color="CCEEFF"/>
            </w:tcBorders>
            <w:shd w:val="clear" w:color="auto" w:fill="CCEEFF"/>
          </w:tcPr>
          <w:p>
            <w:pPr>
              <w:spacing w:after="0"/>
              <w:rPr>
                <w:sz w:val="14"/>
                <w:szCs w:val="14"/>
                <w:color w:val="auto"/>
              </w:rPr>
            </w:pPr>
          </w:p>
        </w:tc>
        <w:tc>
          <w:tcPr>
            <w:tcW w:w="280" w:type="dxa"/>
            <w:vAlign w:val="bottom"/>
            <w:tcBorders>
              <w:top w:val="single" w:sz="8" w:color="auto"/>
            </w:tcBorders>
            <w:shd w:val="clear" w:color="auto" w:fill="CCEEFF"/>
          </w:tcPr>
          <w:p>
            <w:pPr>
              <w:spacing w:after="0"/>
              <w:rPr>
                <w:sz w:val="14"/>
                <w:szCs w:val="14"/>
                <w:color w:val="auto"/>
              </w:rPr>
            </w:pPr>
          </w:p>
        </w:tc>
        <w:tc>
          <w:tcPr>
            <w:tcW w:w="960" w:type="dxa"/>
            <w:vAlign w:val="bottom"/>
            <w:tcBorders>
              <w:top w:val="single" w:sz="8" w:color="auto"/>
            </w:tcBorders>
            <w:shd w:val="clear" w:color="auto" w:fill="CCEEFF"/>
          </w:tcPr>
          <w:p>
            <w:pPr>
              <w:spacing w:after="0"/>
              <w:rPr>
                <w:sz w:val="14"/>
                <w:szCs w:val="14"/>
                <w:color w:val="auto"/>
              </w:rPr>
            </w:pPr>
          </w:p>
        </w:tc>
        <w:tc>
          <w:tcPr>
            <w:tcW w:w="0" w:type="dxa"/>
            <w:vAlign w:val="bottom"/>
          </w:tcPr>
          <w:p>
            <w:pPr>
              <w:spacing w:after="0"/>
              <w:rPr>
                <w:sz w:val="1"/>
                <w:szCs w:val="1"/>
                <w:color w:val="auto"/>
              </w:rPr>
            </w:pPr>
          </w:p>
        </w:tc>
      </w:tr>
      <w:tr>
        <w:trPr>
          <w:trHeight w:val="180"/>
        </w:trPr>
        <w:tc>
          <w:tcPr>
            <w:tcW w:w="4640" w:type="dxa"/>
            <w:vAlign w:val="bottom"/>
          </w:tcPr>
          <w:p>
            <w:pPr>
              <w:ind w:left="20"/>
              <w:spacing w:after="0"/>
              <w:rPr>
                <w:sz w:val="20"/>
                <w:szCs w:val="20"/>
                <w:color w:val="auto"/>
              </w:rPr>
            </w:pPr>
            <w:r>
              <w:rPr>
                <w:rFonts w:ascii="Times New Roman" w:cs="Times New Roman" w:eastAsia="Times New Roman" w:hAnsi="Times New Roman"/>
                <w:sz w:val="14"/>
                <w:szCs w:val="14"/>
                <w:color w:val="auto"/>
              </w:rPr>
              <w:t>Equity investments</w:t>
            </w:r>
          </w:p>
        </w:tc>
        <w:tc>
          <w:tcPr>
            <w:tcW w:w="260" w:type="dxa"/>
            <w:vAlign w:val="bottom"/>
          </w:tcPr>
          <w:p>
            <w:pPr>
              <w:jc w:val="right"/>
              <w:ind w:right="109"/>
              <w:spacing w:after="0"/>
              <w:rPr>
                <w:sz w:val="20"/>
                <w:szCs w:val="20"/>
                <w:color w:val="auto"/>
              </w:rPr>
            </w:pPr>
            <w:r>
              <w:rPr>
                <w:rFonts w:ascii="Times New Roman" w:cs="Times New Roman" w:eastAsia="Times New Roman" w:hAnsi="Times New Roman"/>
                <w:sz w:val="14"/>
                <w:szCs w:val="14"/>
                <w:color w:val="auto"/>
                <w:w w:val="85"/>
              </w:rPr>
              <w:t>$</w:t>
            </w:r>
          </w:p>
        </w:tc>
        <w:tc>
          <w:tcPr>
            <w:tcW w:w="100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17,731</w:t>
            </w:r>
          </w:p>
        </w:tc>
        <w:tc>
          <w:tcPr>
            <w:tcW w:w="80" w:type="dxa"/>
            <w:vAlign w:val="bottom"/>
          </w:tcPr>
          <w:p>
            <w:pPr>
              <w:spacing w:after="0"/>
              <w:rPr>
                <w:sz w:val="15"/>
                <w:szCs w:val="15"/>
                <w:color w:val="auto"/>
              </w:rPr>
            </w:pPr>
          </w:p>
        </w:tc>
        <w:tc>
          <w:tcPr>
            <w:tcW w:w="260" w:type="dxa"/>
            <w:vAlign w:val="bottom"/>
          </w:tcPr>
          <w:p>
            <w:pPr>
              <w:jc w:val="right"/>
              <w:ind w:right="89"/>
              <w:spacing w:after="0"/>
              <w:rPr>
                <w:sz w:val="20"/>
                <w:szCs w:val="20"/>
                <w:color w:val="auto"/>
              </w:rPr>
            </w:pPr>
            <w:r>
              <w:rPr>
                <w:rFonts w:ascii="Times New Roman" w:cs="Times New Roman" w:eastAsia="Times New Roman" w:hAnsi="Times New Roman"/>
                <w:sz w:val="14"/>
                <w:szCs w:val="14"/>
                <w:color w:val="auto"/>
              </w:rPr>
              <w:t>$</w:t>
            </w:r>
          </w:p>
        </w:tc>
        <w:tc>
          <w:tcPr>
            <w:tcW w:w="100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156</w:t>
            </w:r>
          </w:p>
        </w:tc>
        <w:tc>
          <w:tcPr>
            <w:tcW w:w="100" w:type="dxa"/>
            <w:vAlign w:val="bottom"/>
          </w:tcPr>
          <w:p>
            <w:pPr>
              <w:spacing w:after="0"/>
              <w:rPr>
                <w:sz w:val="15"/>
                <w:szCs w:val="15"/>
                <w:color w:val="auto"/>
              </w:rPr>
            </w:pPr>
          </w:p>
        </w:tc>
        <w:tc>
          <w:tcPr>
            <w:tcW w:w="260" w:type="dxa"/>
            <w:vAlign w:val="bottom"/>
          </w:tcPr>
          <w:p>
            <w:pPr>
              <w:jc w:val="right"/>
              <w:ind w:right="109"/>
              <w:spacing w:after="0"/>
              <w:rPr>
                <w:sz w:val="20"/>
                <w:szCs w:val="20"/>
                <w:color w:val="auto"/>
              </w:rPr>
            </w:pPr>
            <w:r>
              <w:rPr>
                <w:rFonts w:ascii="Times New Roman" w:cs="Times New Roman" w:eastAsia="Times New Roman" w:hAnsi="Times New Roman"/>
                <w:sz w:val="14"/>
                <w:szCs w:val="14"/>
                <w:color w:val="auto"/>
                <w:w w:val="85"/>
              </w:rPr>
              <w:t>$</w:t>
            </w:r>
          </w:p>
        </w:tc>
        <w:tc>
          <w:tcPr>
            <w:tcW w:w="1080" w:type="dxa"/>
            <w:vAlign w:val="bottom"/>
            <w:gridSpan w:val="2"/>
          </w:tcPr>
          <w:p>
            <w:pPr>
              <w:jc w:val="right"/>
              <w:ind w:right="140"/>
              <w:spacing w:after="0"/>
              <w:rPr>
                <w:sz w:val="20"/>
                <w:szCs w:val="20"/>
                <w:color w:val="auto"/>
              </w:rPr>
            </w:pPr>
            <w:r>
              <w:rPr>
                <w:rFonts w:ascii="Times New Roman" w:cs="Times New Roman" w:eastAsia="Times New Roman" w:hAnsi="Times New Roman"/>
                <w:sz w:val="14"/>
                <w:szCs w:val="14"/>
                <w:color w:val="auto"/>
              </w:rPr>
              <w:t>—</w:t>
            </w:r>
          </w:p>
        </w:tc>
        <w:tc>
          <w:tcPr>
            <w:tcW w:w="480" w:type="dxa"/>
            <w:vAlign w:val="bottom"/>
          </w:tcPr>
          <w:p>
            <w:pPr>
              <w:jc w:val="right"/>
              <w:ind w:right="330"/>
              <w:spacing w:after="0"/>
              <w:rPr>
                <w:sz w:val="20"/>
                <w:szCs w:val="20"/>
                <w:color w:val="auto"/>
              </w:rPr>
            </w:pPr>
            <w:r>
              <w:rPr>
                <w:rFonts w:ascii="Times New Roman" w:cs="Times New Roman" w:eastAsia="Times New Roman" w:hAnsi="Times New Roman"/>
                <w:sz w:val="14"/>
                <w:szCs w:val="14"/>
                <w:color w:val="auto"/>
                <w:w w:val="85"/>
              </w:rPr>
              <w:t>$</w:t>
            </w:r>
          </w:p>
        </w:tc>
        <w:tc>
          <w:tcPr>
            <w:tcW w:w="880" w:type="dxa"/>
            <w:vAlign w:val="bottom"/>
            <w:gridSpan w:val="2"/>
          </w:tcPr>
          <w:p>
            <w:pPr>
              <w:jc w:val="right"/>
              <w:ind w:right="160"/>
              <w:spacing w:after="0"/>
              <w:rPr>
                <w:sz w:val="20"/>
                <w:szCs w:val="20"/>
                <w:color w:val="auto"/>
              </w:rPr>
            </w:pPr>
            <w:r>
              <w:rPr>
                <w:rFonts w:ascii="Times New Roman" w:cs="Times New Roman" w:eastAsia="Times New Roman" w:hAnsi="Times New Roman"/>
                <w:sz w:val="14"/>
                <w:szCs w:val="14"/>
                <w:color w:val="auto"/>
              </w:rPr>
              <w:t>—</w:t>
            </w:r>
          </w:p>
        </w:tc>
        <w:tc>
          <w:tcPr>
            <w:tcW w:w="280" w:type="dxa"/>
            <w:vAlign w:val="bottom"/>
          </w:tcPr>
          <w:p>
            <w:pPr>
              <w:jc w:val="right"/>
              <w:ind w:right="129"/>
              <w:spacing w:after="0"/>
              <w:rPr>
                <w:sz w:val="20"/>
                <w:szCs w:val="20"/>
                <w:color w:val="auto"/>
              </w:rPr>
            </w:pPr>
            <w:r>
              <w:rPr>
                <w:rFonts w:ascii="Times New Roman" w:cs="Times New Roman" w:eastAsia="Times New Roman" w:hAnsi="Times New Roman"/>
                <w:sz w:val="14"/>
                <w:szCs w:val="14"/>
                <w:color w:val="auto"/>
                <w:w w:val="85"/>
              </w:rPr>
              <w:t>$</w:t>
            </w:r>
          </w:p>
        </w:tc>
        <w:tc>
          <w:tcPr>
            <w:tcW w:w="96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17,887</w:t>
            </w:r>
          </w:p>
        </w:tc>
        <w:tc>
          <w:tcPr>
            <w:tcW w:w="0" w:type="dxa"/>
            <w:vAlign w:val="bottom"/>
          </w:tcPr>
          <w:p>
            <w:pPr>
              <w:spacing w:after="0"/>
              <w:rPr>
                <w:sz w:val="1"/>
                <w:szCs w:val="1"/>
                <w:color w:val="auto"/>
              </w:rPr>
            </w:pPr>
          </w:p>
        </w:tc>
      </w:tr>
      <w:tr>
        <w:trPr>
          <w:trHeight w:val="180"/>
        </w:trPr>
        <w:tc>
          <w:tcPr>
            <w:tcW w:w="464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4"/>
                <w:szCs w:val="14"/>
                <w:color w:val="auto"/>
              </w:rPr>
              <w:t>Private investment funds</w:t>
            </w:r>
          </w:p>
        </w:tc>
        <w:tc>
          <w:tcPr>
            <w:tcW w:w="260" w:type="dxa"/>
            <w:vAlign w:val="bottom"/>
            <w:shd w:val="clear" w:color="auto" w:fill="CCEEFF"/>
          </w:tcPr>
          <w:p>
            <w:pPr>
              <w:spacing w:after="0"/>
              <w:rPr>
                <w:sz w:val="15"/>
                <w:szCs w:val="15"/>
                <w:color w:val="auto"/>
              </w:rPr>
            </w:pPr>
          </w:p>
        </w:tc>
        <w:tc>
          <w:tcPr>
            <w:tcW w:w="1080" w:type="dxa"/>
            <w:vAlign w:val="bottom"/>
            <w:gridSpan w:val="2"/>
            <w:shd w:val="clear" w:color="auto" w:fill="CCEEFF"/>
          </w:tcPr>
          <w:p>
            <w:pPr>
              <w:jc w:val="right"/>
              <w:ind w:right="140"/>
              <w:spacing w:after="0"/>
              <w:rPr>
                <w:sz w:val="20"/>
                <w:szCs w:val="20"/>
                <w:color w:val="auto"/>
              </w:rPr>
            </w:pPr>
            <w:r>
              <w:rPr>
                <w:rFonts w:ascii="Times New Roman" w:cs="Times New Roman" w:eastAsia="Times New Roman" w:hAnsi="Times New Roman"/>
                <w:sz w:val="14"/>
                <w:szCs w:val="14"/>
                <w:color w:val="auto"/>
              </w:rPr>
              <w:t>—</w:t>
            </w:r>
          </w:p>
        </w:tc>
        <w:tc>
          <w:tcPr>
            <w:tcW w:w="260" w:type="dxa"/>
            <w:vAlign w:val="bottom"/>
            <w:shd w:val="clear" w:color="auto" w:fill="CCEEFF"/>
          </w:tcPr>
          <w:p>
            <w:pPr>
              <w:spacing w:after="0"/>
              <w:rPr>
                <w:sz w:val="15"/>
                <w:szCs w:val="15"/>
                <w:color w:val="auto"/>
              </w:rPr>
            </w:pPr>
          </w:p>
        </w:tc>
        <w:tc>
          <w:tcPr>
            <w:tcW w:w="110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4"/>
                <w:szCs w:val="14"/>
                <w:color w:val="auto"/>
              </w:rPr>
              <w:t>—</w:t>
            </w:r>
          </w:p>
        </w:tc>
        <w:tc>
          <w:tcPr>
            <w:tcW w:w="260" w:type="dxa"/>
            <w:vAlign w:val="bottom"/>
            <w:shd w:val="clear" w:color="auto" w:fill="CCEEFF"/>
          </w:tcPr>
          <w:p>
            <w:pPr>
              <w:spacing w:after="0"/>
              <w:rPr>
                <w:sz w:val="15"/>
                <w:szCs w:val="15"/>
                <w:color w:val="auto"/>
              </w:rPr>
            </w:pPr>
          </w:p>
        </w:tc>
        <w:tc>
          <w:tcPr>
            <w:tcW w:w="1080" w:type="dxa"/>
            <w:vAlign w:val="bottom"/>
            <w:gridSpan w:val="2"/>
            <w:shd w:val="clear" w:color="auto" w:fill="CCEEFF"/>
          </w:tcPr>
          <w:p>
            <w:pPr>
              <w:jc w:val="right"/>
              <w:ind w:right="140"/>
              <w:spacing w:after="0"/>
              <w:rPr>
                <w:sz w:val="20"/>
                <w:szCs w:val="20"/>
                <w:color w:val="auto"/>
              </w:rPr>
            </w:pPr>
            <w:r>
              <w:rPr>
                <w:rFonts w:ascii="Times New Roman" w:cs="Times New Roman" w:eastAsia="Times New Roman" w:hAnsi="Times New Roman"/>
                <w:sz w:val="14"/>
                <w:szCs w:val="14"/>
                <w:color w:val="auto"/>
              </w:rPr>
              <w:t>—</w:t>
            </w:r>
          </w:p>
        </w:tc>
        <w:tc>
          <w:tcPr>
            <w:tcW w:w="480" w:type="dxa"/>
            <w:vAlign w:val="bottom"/>
            <w:shd w:val="clear" w:color="auto" w:fill="CCEEFF"/>
          </w:tcPr>
          <w:p>
            <w:pPr>
              <w:spacing w:after="0"/>
              <w:rPr>
                <w:sz w:val="15"/>
                <w:szCs w:val="15"/>
                <w:color w:val="auto"/>
              </w:rPr>
            </w:pPr>
          </w:p>
        </w:tc>
        <w:tc>
          <w:tcPr>
            <w:tcW w:w="7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3,546</w:t>
            </w:r>
          </w:p>
        </w:tc>
        <w:tc>
          <w:tcPr>
            <w:tcW w:w="100" w:type="dxa"/>
            <w:vAlign w:val="bottom"/>
            <w:shd w:val="clear" w:color="auto" w:fill="CCEEFF"/>
          </w:tcPr>
          <w:p>
            <w:pPr>
              <w:spacing w:after="0"/>
              <w:rPr>
                <w:sz w:val="15"/>
                <w:szCs w:val="15"/>
                <w:color w:val="auto"/>
              </w:rPr>
            </w:pPr>
          </w:p>
        </w:tc>
        <w:tc>
          <w:tcPr>
            <w:tcW w:w="280" w:type="dxa"/>
            <w:vAlign w:val="bottom"/>
            <w:shd w:val="clear" w:color="auto" w:fill="CCEEFF"/>
          </w:tcPr>
          <w:p>
            <w:pPr>
              <w:spacing w:after="0"/>
              <w:rPr>
                <w:sz w:val="15"/>
                <w:szCs w:val="15"/>
                <w:color w:val="auto"/>
              </w:rPr>
            </w:pPr>
          </w:p>
        </w:tc>
        <w:tc>
          <w:tcPr>
            <w:tcW w:w="9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3,546</w:t>
            </w:r>
          </w:p>
        </w:tc>
        <w:tc>
          <w:tcPr>
            <w:tcW w:w="0" w:type="dxa"/>
            <w:vAlign w:val="bottom"/>
          </w:tcPr>
          <w:p>
            <w:pPr>
              <w:spacing w:after="0"/>
              <w:rPr>
                <w:sz w:val="1"/>
                <w:szCs w:val="1"/>
                <w:color w:val="auto"/>
              </w:rPr>
            </w:pPr>
          </w:p>
        </w:tc>
      </w:tr>
      <w:tr>
        <w:trPr>
          <w:trHeight w:val="150"/>
        </w:trPr>
        <w:tc>
          <w:tcPr>
            <w:tcW w:w="4640" w:type="dxa"/>
            <w:vAlign w:val="bottom"/>
          </w:tcPr>
          <w:p>
            <w:pPr>
              <w:ind w:left="280"/>
              <w:spacing w:after="0" w:line="150" w:lineRule="exact"/>
              <w:rPr>
                <w:sz w:val="20"/>
                <w:szCs w:val="20"/>
                <w:color w:val="auto"/>
              </w:rPr>
            </w:pPr>
            <w:r>
              <w:rPr>
                <w:rFonts w:ascii="Times New Roman" w:cs="Times New Roman" w:eastAsia="Times New Roman" w:hAnsi="Times New Roman"/>
                <w:sz w:val="14"/>
                <w:szCs w:val="14"/>
                <w:color w:val="auto"/>
              </w:rPr>
              <w:t>Total assets measured at fair value</w:t>
            </w:r>
          </w:p>
        </w:tc>
        <w:tc>
          <w:tcPr>
            <w:tcW w:w="260" w:type="dxa"/>
            <w:vAlign w:val="bottom"/>
            <w:tcBorders>
              <w:top w:val="single" w:sz="8" w:color="auto"/>
              <w:bottom w:val="single" w:sz="8" w:color="auto"/>
            </w:tcBorders>
          </w:tcPr>
          <w:p>
            <w:pPr>
              <w:jc w:val="right"/>
              <w:ind w:right="109"/>
              <w:spacing w:after="0" w:line="150" w:lineRule="exact"/>
              <w:rPr>
                <w:sz w:val="20"/>
                <w:szCs w:val="20"/>
                <w:color w:val="auto"/>
              </w:rPr>
            </w:pPr>
            <w:r>
              <w:rPr>
                <w:rFonts w:ascii="Times New Roman" w:cs="Times New Roman" w:eastAsia="Times New Roman" w:hAnsi="Times New Roman"/>
                <w:sz w:val="14"/>
                <w:szCs w:val="14"/>
                <w:color w:val="auto"/>
                <w:w w:val="85"/>
              </w:rPr>
              <w:t>$</w:t>
            </w:r>
          </w:p>
        </w:tc>
        <w:tc>
          <w:tcPr>
            <w:tcW w:w="1000" w:type="dxa"/>
            <w:vAlign w:val="bottom"/>
            <w:tcBorders>
              <w:top w:val="single" w:sz="8" w:color="auto"/>
              <w:bottom w:val="single" w:sz="8" w:color="auto"/>
            </w:tcBorders>
          </w:tcPr>
          <w:p>
            <w:pPr>
              <w:jc w:val="right"/>
              <w:spacing w:after="0" w:line="150" w:lineRule="exact"/>
              <w:rPr>
                <w:sz w:val="20"/>
                <w:szCs w:val="20"/>
                <w:color w:val="auto"/>
              </w:rPr>
            </w:pPr>
            <w:r>
              <w:rPr>
                <w:rFonts w:ascii="Times New Roman" w:cs="Times New Roman" w:eastAsia="Times New Roman" w:hAnsi="Times New Roman"/>
                <w:sz w:val="14"/>
                <w:szCs w:val="14"/>
                <w:color w:val="auto"/>
              </w:rPr>
              <w:t>17,731</w:t>
            </w:r>
          </w:p>
        </w:tc>
        <w:tc>
          <w:tcPr>
            <w:tcW w:w="80" w:type="dxa"/>
            <w:vAlign w:val="bottom"/>
          </w:tcPr>
          <w:p>
            <w:pPr>
              <w:spacing w:after="0"/>
              <w:rPr>
                <w:sz w:val="13"/>
                <w:szCs w:val="13"/>
                <w:color w:val="auto"/>
              </w:rPr>
            </w:pPr>
          </w:p>
        </w:tc>
        <w:tc>
          <w:tcPr>
            <w:tcW w:w="260" w:type="dxa"/>
            <w:vAlign w:val="bottom"/>
            <w:tcBorders>
              <w:top w:val="single" w:sz="8" w:color="auto"/>
              <w:bottom w:val="single" w:sz="8" w:color="auto"/>
            </w:tcBorders>
          </w:tcPr>
          <w:p>
            <w:pPr>
              <w:jc w:val="right"/>
              <w:ind w:right="89"/>
              <w:spacing w:after="0" w:line="150" w:lineRule="exact"/>
              <w:rPr>
                <w:sz w:val="20"/>
                <w:szCs w:val="20"/>
                <w:color w:val="auto"/>
              </w:rPr>
            </w:pPr>
            <w:r>
              <w:rPr>
                <w:rFonts w:ascii="Times New Roman" w:cs="Times New Roman" w:eastAsia="Times New Roman" w:hAnsi="Times New Roman"/>
                <w:sz w:val="14"/>
                <w:szCs w:val="14"/>
                <w:color w:val="auto"/>
              </w:rPr>
              <w:t>$</w:t>
            </w:r>
          </w:p>
        </w:tc>
        <w:tc>
          <w:tcPr>
            <w:tcW w:w="1000" w:type="dxa"/>
            <w:vAlign w:val="bottom"/>
            <w:tcBorders>
              <w:top w:val="single" w:sz="8" w:color="auto"/>
              <w:bottom w:val="single" w:sz="8" w:color="auto"/>
            </w:tcBorders>
          </w:tcPr>
          <w:p>
            <w:pPr>
              <w:jc w:val="right"/>
              <w:spacing w:after="0" w:line="150" w:lineRule="exact"/>
              <w:rPr>
                <w:sz w:val="20"/>
                <w:szCs w:val="20"/>
                <w:color w:val="auto"/>
              </w:rPr>
            </w:pPr>
            <w:r>
              <w:rPr>
                <w:rFonts w:ascii="Times New Roman" w:cs="Times New Roman" w:eastAsia="Times New Roman" w:hAnsi="Times New Roman"/>
                <w:sz w:val="14"/>
                <w:szCs w:val="14"/>
                <w:color w:val="auto"/>
              </w:rPr>
              <w:t>156</w:t>
            </w:r>
          </w:p>
        </w:tc>
        <w:tc>
          <w:tcPr>
            <w:tcW w:w="100" w:type="dxa"/>
            <w:vAlign w:val="bottom"/>
          </w:tcPr>
          <w:p>
            <w:pPr>
              <w:spacing w:after="0"/>
              <w:rPr>
                <w:sz w:val="13"/>
                <w:szCs w:val="13"/>
                <w:color w:val="auto"/>
              </w:rPr>
            </w:pPr>
          </w:p>
        </w:tc>
        <w:tc>
          <w:tcPr>
            <w:tcW w:w="260" w:type="dxa"/>
            <w:vAlign w:val="bottom"/>
            <w:tcBorders>
              <w:top w:val="single" w:sz="8" w:color="auto"/>
              <w:bottom w:val="single" w:sz="8" w:color="auto"/>
            </w:tcBorders>
          </w:tcPr>
          <w:p>
            <w:pPr>
              <w:jc w:val="right"/>
              <w:ind w:right="109"/>
              <w:spacing w:after="0" w:line="150" w:lineRule="exact"/>
              <w:rPr>
                <w:sz w:val="20"/>
                <w:szCs w:val="20"/>
                <w:color w:val="auto"/>
              </w:rPr>
            </w:pPr>
            <w:r>
              <w:rPr>
                <w:rFonts w:ascii="Times New Roman" w:cs="Times New Roman" w:eastAsia="Times New Roman" w:hAnsi="Times New Roman"/>
                <w:sz w:val="14"/>
                <w:szCs w:val="14"/>
                <w:color w:val="auto"/>
                <w:w w:val="85"/>
              </w:rPr>
              <w:t>$</w:t>
            </w:r>
          </w:p>
        </w:tc>
        <w:tc>
          <w:tcPr>
            <w:tcW w:w="980" w:type="dxa"/>
            <w:vAlign w:val="bottom"/>
            <w:tcBorders>
              <w:top w:val="single" w:sz="8" w:color="auto"/>
              <w:bottom w:val="single" w:sz="8" w:color="auto"/>
            </w:tcBorders>
          </w:tcPr>
          <w:p>
            <w:pPr>
              <w:jc w:val="right"/>
              <w:spacing w:after="0" w:line="150" w:lineRule="exact"/>
              <w:rPr>
                <w:sz w:val="20"/>
                <w:szCs w:val="20"/>
                <w:color w:val="auto"/>
              </w:rPr>
            </w:pPr>
            <w:r>
              <w:rPr>
                <w:rFonts w:ascii="Times New Roman" w:cs="Times New Roman" w:eastAsia="Times New Roman" w:hAnsi="Times New Roman"/>
                <w:sz w:val="14"/>
                <w:szCs w:val="14"/>
                <w:color w:val="auto"/>
              </w:rPr>
              <w:t>—</w:t>
            </w:r>
          </w:p>
        </w:tc>
        <w:tc>
          <w:tcPr>
            <w:tcW w:w="100" w:type="dxa"/>
            <w:vAlign w:val="bottom"/>
          </w:tcPr>
          <w:p>
            <w:pPr>
              <w:spacing w:after="0"/>
              <w:rPr>
                <w:sz w:val="13"/>
                <w:szCs w:val="13"/>
                <w:color w:val="auto"/>
              </w:rPr>
            </w:pPr>
          </w:p>
        </w:tc>
        <w:tc>
          <w:tcPr>
            <w:tcW w:w="480" w:type="dxa"/>
            <w:vAlign w:val="bottom"/>
            <w:tcBorders>
              <w:top w:val="single" w:sz="8" w:color="auto"/>
              <w:bottom w:val="single" w:sz="8" w:color="auto"/>
            </w:tcBorders>
          </w:tcPr>
          <w:p>
            <w:pPr>
              <w:jc w:val="right"/>
              <w:ind w:right="330"/>
              <w:spacing w:after="0" w:line="150" w:lineRule="exact"/>
              <w:rPr>
                <w:sz w:val="20"/>
                <w:szCs w:val="20"/>
                <w:color w:val="auto"/>
              </w:rPr>
            </w:pPr>
            <w:r>
              <w:rPr>
                <w:rFonts w:ascii="Times New Roman" w:cs="Times New Roman" w:eastAsia="Times New Roman" w:hAnsi="Times New Roman"/>
                <w:sz w:val="14"/>
                <w:szCs w:val="14"/>
                <w:color w:val="auto"/>
                <w:w w:val="85"/>
              </w:rPr>
              <w:t>$</w:t>
            </w:r>
          </w:p>
        </w:tc>
        <w:tc>
          <w:tcPr>
            <w:tcW w:w="780" w:type="dxa"/>
            <w:vAlign w:val="bottom"/>
            <w:tcBorders>
              <w:top w:val="single" w:sz="8" w:color="auto"/>
              <w:bottom w:val="single" w:sz="8" w:color="auto"/>
            </w:tcBorders>
          </w:tcPr>
          <w:p>
            <w:pPr>
              <w:jc w:val="right"/>
              <w:spacing w:after="0" w:line="150" w:lineRule="exact"/>
              <w:rPr>
                <w:sz w:val="20"/>
                <w:szCs w:val="20"/>
                <w:color w:val="auto"/>
              </w:rPr>
            </w:pPr>
            <w:r>
              <w:rPr>
                <w:rFonts w:ascii="Times New Roman" w:cs="Times New Roman" w:eastAsia="Times New Roman" w:hAnsi="Times New Roman"/>
                <w:sz w:val="14"/>
                <w:szCs w:val="14"/>
                <w:color w:val="auto"/>
              </w:rPr>
              <w:t>3,546</w:t>
            </w:r>
          </w:p>
        </w:tc>
        <w:tc>
          <w:tcPr>
            <w:tcW w:w="100" w:type="dxa"/>
            <w:vAlign w:val="bottom"/>
          </w:tcPr>
          <w:p>
            <w:pPr>
              <w:spacing w:after="0"/>
              <w:rPr>
                <w:sz w:val="13"/>
                <w:szCs w:val="13"/>
                <w:color w:val="auto"/>
              </w:rPr>
            </w:pPr>
          </w:p>
        </w:tc>
        <w:tc>
          <w:tcPr>
            <w:tcW w:w="280" w:type="dxa"/>
            <w:vAlign w:val="bottom"/>
            <w:tcBorders>
              <w:top w:val="single" w:sz="8" w:color="auto"/>
              <w:bottom w:val="single" w:sz="8" w:color="auto"/>
            </w:tcBorders>
          </w:tcPr>
          <w:p>
            <w:pPr>
              <w:jc w:val="right"/>
              <w:ind w:right="129"/>
              <w:spacing w:after="0" w:line="150" w:lineRule="exact"/>
              <w:rPr>
                <w:sz w:val="20"/>
                <w:szCs w:val="20"/>
                <w:color w:val="auto"/>
              </w:rPr>
            </w:pPr>
            <w:r>
              <w:rPr>
                <w:rFonts w:ascii="Times New Roman" w:cs="Times New Roman" w:eastAsia="Times New Roman" w:hAnsi="Times New Roman"/>
                <w:sz w:val="14"/>
                <w:szCs w:val="14"/>
                <w:color w:val="auto"/>
                <w:w w:val="85"/>
              </w:rPr>
              <w:t>$</w:t>
            </w:r>
          </w:p>
        </w:tc>
        <w:tc>
          <w:tcPr>
            <w:tcW w:w="960" w:type="dxa"/>
            <w:vAlign w:val="bottom"/>
            <w:tcBorders>
              <w:top w:val="single" w:sz="8" w:color="auto"/>
              <w:bottom w:val="single" w:sz="8" w:color="auto"/>
            </w:tcBorders>
          </w:tcPr>
          <w:p>
            <w:pPr>
              <w:jc w:val="right"/>
              <w:spacing w:after="0" w:line="150" w:lineRule="exact"/>
              <w:rPr>
                <w:sz w:val="20"/>
                <w:szCs w:val="20"/>
                <w:color w:val="auto"/>
              </w:rPr>
            </w:pPr>
            <w:r>
              <w:rPr>
                <w:rFonts w:ascii="Times New Roman" w:cs="Times New Roman" w:eastAsia="Times New Roman" w:hAnsi="Times New Roman"/>
                <w:sz w:val="14"/>
                <w:szCs w:val="14"/>
                <w:color w:val="auto"/>
              </w:rPr>
              <w:t>21,433</w:t>
            </w:r>
          </w:p>
        </w:tc>
        <w:tc>
          <w:tcPr>
            <w:tcW w:w="0" w:type="dxa"/>
            <w:vAlign w:val="bottom"/>
          </w:tcPr>
          <w:p>
            <w:pPr>
              <w:spacing w:after="0"/>
              <w:rPr>
                <w:sz w:val="1"/>
                <w:szCs w:val="1"/>
                <w:color w:val="auto"/>
              </w:rPr>
            </w:pPr>
          </w:p>
        </w:tc>
      </w:tr>
      <w:tr>
        <w:trPr>
          <w:trHeight w:val="20"/>
        </w:trPr>
        <w:tc>
          <w:tcPr>
            <w:tcW w:w="4640" w:type="dxa"/>
            <w:vAlign w:val="bottom"/>
            <w:tcBorders>
              <w:bottom w:val="single" w:sz="8" w:color="CCEEFF"/>
            </w:tcBorders>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c>
          <w:tcPr>
            <w:tcW w:w="1000" w:type="dxa"/>
            <w:vAlign w:val="bottom"/>
            <w:tcBorders>
              <w:bottom w:val="single" w:sz="8" w:color="auto"/>
            </w:tcBorders>
          </w:tcPr>
          <w:p>
            <w:pPr>
              <w:spacing w:after="0" w:line="20" w:lineRule="exact"/>
              <w:rPr>
                <w:sz w:val="1"/>
                <w:szCs w:val="1"/>
                <w:color w:val="auto"/>
              </w:rPr>
            </w:pPr>
          </w:p>
        </w:tc>
        <w:tc>
          <w:tcPr>
            <w:tcW w:w="80" w:type="dxa"/>
            <w:vAlign w:val="bottom"/>
            <w:tcBorders>
              <w:bottom w:val="single" w:sz="8" w:color="CCEEFF"/>
            </w:tcBorders>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c>
          <w:tcPr>
            <w:tcW w:w="100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c>
          <w:tcPr>
            <w:tcW w:w="98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480" w:type="dxa"/>
            <w:vAlign w:val="bottom"/>
            <w:tcBorders>
              <w:bottom w:val="single" w:sz="8" w:color="auto"/>
            </w:tcBorders>
          </w:tcPr>
          <w:p>
            <w:pPr>
              <w:spacing w:after="0" w:line="20" w:lineRule="exact"/>
              <w:rPr>
                <w:sz w:val="1"/>
                <w:szCs w:val="1"/>
                <w:color w:val="auto"/>
              </w:rPr>
            </w:pPr>
          </w:p>
        </w:tc>
        <w:tc>
          <w:tcPr>
            <w:tcW w:w="78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280" w:type="dxa"/>
            <w:vAlign w:val="bottom"/>
            <w:tcBorders>
              <w:bottom w:val="single" w:sz="8" w:color="auto"/>
            </w:tcBorders>
          </w:tcPr>
          <w:p>
            <w:pPr>
              <w:spacing w:after="0" w:line="20" w:lineRule="exact"/>
              <w:rPr>
                <w:sz w:val="1"/>
                <w:szCs w:val="1"/>
                <w:color w:val="auto"/>
              </w:rPr>
            </w:pPr>
          </w:p>
        </w:tc>
        <w:tc>
          <w:tcPr>
            <w:tcW w:w="96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73"/>
        </w:trPr>
        <w:tc>
          <w:tcPr>
            <w:tcW w:w="4640" w:type="dxa"/>
            <w:vAlign w:val="bottom"/>
            <w:shd w:val="clear" w:color="auto" w:fill="CCEEFF"/>
          </w:tcPr>
          <w:p>
            <w:pPr>
              <w:spacing w:after="0"/>
              <w:rPr>
                <w:sz w:val="15"/>
                <w:szCs w:val="15"/>
                <w:color w:val="auto"/>
              </w:rPr>
            </w:pPr>
          </w:p>
        </w:tc>
        <w:tc>
          <w:tcPr>
            <w:tcW w:w="260" w:type="dxa"/>
            <w:vAlign w:val="bottom"/>
            <w:shd w:val="clear" w:color="auto" w:fill="CCEEFF"/>
          </w:tcPr>
          <w:p>
            <w:pPr>
              <w:spacing w:after="0"/>
              <w:rPr>
                <w:sz w:val="15"/>
                <w:szCs w:val="15"/>
                <w:color w:val="auto"/>
              </w:rPr>
            </w:pPr>
          </w:p>
        </w:tc>
        <w:tc>
          <w:tcPr>
            <w:tcW w:w="1000" w:type="dxa"/>
            <w:vAlign w:val="bottom"/>
            <w:shd w:val="clear" w:color="auto" w:fill="CCEEFF"/>
          </w:tcPr>
          <w:p>
            <w:pPr>
              <w:spacing w:after="0"/>
              <w:rPr>
                <w:sz w:val="15"/>
                <w:szCs w:val="15"/>
                <w:color w:val="auto"/>
              </w:rPr>
            </w:pPr>
          </w:p>
        </w:tc>
        <w:tc>
          <w:tcPr>
            <w:tcW w:w="80" w:type="dxa"/>
            <w:vAlign w:val="bottom"/>
            <w:shd w:val="clear" w:color="auto" w:fill="CCEEFF"/>
          </w:tcPr>
          <w:p>
            <w:pPr>
              <w:spacing w:after="0"/>
              <w:rPr>
                <w:sz w:val="15"/>
                <w:szCs w:val="15"/>
                <w:color w:val="auto"/>
              </w:rPr>
            </w:pPr>
          </w:p>
        </w:tc>
        <w:tc>
          <w:tcPr>
            <w:tcW w:w="260" w:type="dxa"/>
            <w:vAlign w:val="bottom"/>
            <w:shd w:val="clear" w:color="auto" w:fill="CCEEFF"/>
          </w:tcPr>
          <w:p>
            <w:pPr>
              <w:spacing w:after="0"/>
              <w:rPr>
                <w:sz w:val="15"/>
                <w:szCs w:val="15"/>
                <w:color w:val="auto"/>
              </w:rPr>
            </w:pPr>
          </w:p>
        </w:tc>
        <w:tc>
          <w:tcPr>
            <w:tcW w:w="100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260" w:type="dxa"/>
            <w:vAlign w:val="bottom"/>
            <w:shd w:val="clear" w:color="auto" w:fill="CCEEFF"/>
          </w:tcPr>
          <w:p>
            <w:pPr>
              <w:spacing w:after="0"/>
              <w:rPr>
                <w:sz w:val="15"/>
                <w:szCs w:val="15"/>
                <w:color w:val="auto"/>
              </w:rPr>
            </w:pPr>
          </w:p>
        </w:tc>
        <w:tc>
          <w:tcPr>
            <w:tcW w:w="98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480" w:type="dxa"/>
            <w:vAlign w:val="bottom"/>
            <w:shd w:val="clear" w:color="auto" w:fill="CCEEFF"/>
          </w:tcPr>
          <w:p>
            <w:pPr>
              <w:spacing w:after="0"/>
              <w:rPr>
                <w:sz w:val="15"/>
                <w:szCs w:val="15"/>
                <w:color w:val="auto"/>
              </w:rPr>
            </w:pPr>
          </w:p>
        </w:tc>
        <w:tc>
          <w:tcPr>
            <w:tcW w:w="78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280" w:type="dxa"/>
            <w:vAlign w:val="bottom"/>
            <w:shd w:val="clear" w:color="auto" w:fill="CCEEFF"/>
          </w:tcPr>
          <w:p>
            <w:pPr>
              <w:spacing w:after="0"/>
              <w:rPr>
                <w:sz w:val="15"/>
                <w:szCs w:val="15"/>
                <w:color w:val="auto"/>
              </w:rPr>
            </w:pPr>
          </w:p>
        </w:tc>
        <w:tc>
          <w:tcPr>
            <w:tcW w:w="960" w:type="dxa"/>
            <w:vAlign w:val="bottom"/>
            <w:shd w:val="clear" w:color="auto" w:fill="CCEEFF"/>
          </w:tcPr>
          <w:p>
            <w:pPr>
              <w:spacing w:after="0"/>
              <w:rPr>
                <w:sz w:val="15"/>
                <w:szCs w:val="15"/>
                <w:color w:val="auto"/>
              </w:rPr>
            </w:pPr>
          </w:p>
        </w:tc>
        <w:tc>
          <w:tcPr>
            <w:tcW w:w="0" w:type="dxa"/>
            <w:vAlign w:val="bottom"/>
          </w:tcPr>
          <w:p>
            <w:pPr>
              <w:spacing w:after="0"/>
              <w:rPr>
                <w:sz w:val="1"/>
                <w:szCs w:val="1"/>
                <w:color w:val="auto"/>
              </w:rPr>
            </w:pPr>
          </w:p>
        </w:tc>
      </w:tr>
      <w:tr>
        <w:trPr>
          <w:trHeight w:val="180"/>
        </w:trPr>
        <w:tc>
          <w:tcPr>
            <w:tcW w:w="4640" w:type="dxa"/>
            <w:vAlign w:val="bottom"/>
          </w:tcPr>
          <w:p>
            <w:pPr>
              <w:ind w:left="20"/>
              <w:spacing w:after="0"/>
              <w:rPr>
                <w:sz w:val="20"/>
                <w:szCs w:val="20"/>
                <w:color w:val="auto"/>
              </w:rPr>
            </w:pPr>
            <w:r>
              <w:rPr>
                <w:rFonts w:ascii="Times New Roman" w:cs="Times New Roman" w:eastAsia="Times New Roman" w:hAnsi="Times New Roman"/>
                <w:sz w:val="14"/>
                <w:szCs w:val="14"/>
                <w:b w:val="1"/>
                <w:bCs w:val="1"/>
                <w:color w:val="auto"/>
              </w:rPr>
              <w:t>As of December 31, 2024</w:t>
            </w:r>
          </w:p>
        </w:tc>
        <w:tc>
          <w:tcPr>
            <w:tcW w:w="260" w:type="dxa"/>
            <w:vAlign w:val="bottom"/>
          </w:tcPr>
          <w:p>
            <w:pPr>
              <w:spacing w:after="0"/>
              <w:rPr>
                <w:sz w:val="15"/>
                <w:szCs w:val="15"/>
                <w:color w:val="auto"/>
              </w:rPr>
            </w:pPr>
          </w:p>
        </w:tc>
        <w:tc>
          <w:tcPr>
            <w:tcW w:w="100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260" w:type="dxa"/>
            <w:vAlign w:val="bottom"/>
          </w:tcPr>
          <w:p>
            <w:pPr>
              <w:spacing w:after="0"/>
              <w:rPr>
                <w:sz w:val="15"/>
                <w:szCs w:val="15"/>
                <w:color w:val="auto"/>
              </w:rPr>
            </w:pPr>
          </w:p>
        </w:tc>
        <w:tc>
          <w:tcPr>
            <w:tcW w:w="100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260" w:type="dxa"/>
            <w:vAlign w:val="bottom"/>
          </w:tcPr>
          <w:p>
            <w:pPr>
              <w:spacing w:after="0"/>
              <w:rPr>
                <w:sz w:val="15"/>
                <w:szCs w:val="15"/>
                <w:color w:val="auto"/>
              </w:rPr>
            </w:pPr>
          </w:p>
        </w:tc>
        <w:tc>
          <w:tcPr>
            <w:tcW w:w="98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480" w:type="dxa"/>
            <w:vAlign w:val="bottom"/>
          </w:tcPr>
          <w:p>
            <w:pPr>
              <w:spacing w:after="0"/>
              <w:rPr>
                <w:sz w:val="15"/>
                <w:szCs w:val="15"/>
                <w:color w:val="auto"/>
              </w:rPr>
            </w:pPr>
          </w:p>
        </w:tc>
        <w:tc>
          <w:tcPr>
            <w:tcW w:w="78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280" w:type="dxa"/>
            <w:vAlign w:val="bottom"/>
          </w:tcPr>
          <w:p>
            <w:pPr>
              <w:spacing w:after="0"/>
              <w:rPr>
                <w:sz w:val="15"/>
                <w:szCs w:val="15"/>
                <w:color w:val="auto"/>
              </w:rPr>
            </w:pPr>
          </w:p>
        </w:tc>
        <w:tc>
          <w:tcPr>
            <w:tcW w:w="96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80"/>
        </w:trPr>
        <w:tc>
          <w:tcPr>
            <w:tcW w:w="464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4"/>
                <w:szCs w:val="14"/>
                <w:color w:val="auto"/>
              </w:rPr>
              <w:t>Equity investments</w:t>
            </w:r>
          </w:p>
        </w:tc>
        <w:tc>
          <w:tcPr>
            <w:tcW w:w="260" w:type="dxa"/>
            <w:vAlign w:val="bottom"/>
            <w:shd w:val="clear" w:color="auto" w:fill="CCEEFF"/>
          </w:tcPr>
          <w:p>
            <w:pPr>
              <w:jc w:val="right"/>
              <w:ind w:right="109"/>
              <w:spacing w:after="0"/>
              <w:rPr>
                <w:sz w:val="20"/>
                <w:szCs w:val="20"/>
                <w:color w:val="auto"/>
              </w:rPr>
            </w:pPr>
            <w:r>
              <w:rPr>
                <w:rFonts w:ascii="Times New Roman" w:cs="Times New Roman" w:eastAsia="Times New Roman" w:hAnsi="Times New Roman"/>
                <w:sz w:val="14"/>
                <w:szCs w:val="14"/>
                <w:color w:val="auto"/>
                <w:w w:val="85"/>
              </w:rPr>
              <w:t>$</w:t>
            </w:r>
          </w:p>
        </w:tc>
        <w:tc>
          <w:tcPr>
            <w:tcW w:w="10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25,748</w:t>
            </w:r>
          </w:p>
        </w:tc>
        <w:tc>
          <w:tcPr>
            <w:tcW w:w="80" w:type="dxa"/>
            <w:vAlign w:val="bottom"/>
            <w:shd w:val="clear" w:color="auto" w:fill="CCEEFF"/>
          </w:tcPr>
          <w:p>
            <w:pPr>
              <w:spacing w:after="0"/>
              <w:rPr>
                <w:sz w:val="15"/>
                <w:szCs w:val="15"/>
                <w:color w:val="auto"/>
              </w:rPr>
            </w:pPr>
          </w:p>
        </w:tc>
        <w:tc>
          <w:tcPr>
            <w:tcW w:w="260" w:type="dxa"/>
            <w:vAlign w:val="bottom"/>
            <w:shd w:val="clear" w:color="auto" w:fill="CCEEFF"/>
          </w:tcPr>
          <w:p>
            <w:pPr>
              <w:jc w:val="right"/>
              <w:ind w:right="89"/>
              <w:spacing w:after="0"/>
              <w:rPr>
                <w:sz w:val="20"/>
                <w:szCs w:val="20"/>
                <w:color w:val="auto"/>
              </w:rPr>
            </w:pPr>
            <w:r>
              <w:rPr>
                <w:rFonts w:ascii="Times New Roman" w:cs="Times New Roman" w:eastAsia="Times New Roman" w:hAnsi="Times New Roman"/>
                <w:sz w:val="14"/>
                <w:szCs w:val="14"/>
                <w:color w:val="auto"/>
              </w:rPr>
              <w:t>$</w:t>
            </w:r>
          </w:p>
        </w:tc>
        <w:tc>
          <w:tcPr>
            <w:tcW w:w="110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4"/>
                <w:szCs w:val="14"/>
                <w:color w:val="auto"/>
              </w:rPr>
              <w:t>—</w:t>
            </w:r>
          </w:p>
        </w:tc>
        <w:tc>
          <w:tcPr>
            <w:tcW w:w="260" w:type="dxa"/>
            <w:vAlign w:val="bottom"/>
            <w:shd w:val="clear" w:color="auto" w:fill="CCEEFF"/>
          </w:tcPr>
          <w:p>
            <w:pPr>
              <w:jc w:val="right"/>
              <w:ind w:right="109"/>
              <w:spacing w:after="0"/>
              <w:rPr>
                <w:sz w:val="20"/>
                <w:szCs w:val="20"/>
                <w:color w:val="auto"/>
              </w:rPr>
            </w:pPr>
            <w:r>
              <w:rPr>
                <w:rFonts w:ascii="Times New Roman" w:cs="Times New Roman" w:eastAsia="Times New Roman" w:hAnsi="Times New Roman"/>
                <w:sz w:val="14"/>
                <w:szCs w:val="14"/>
                <w:color w:val="auto"/>
                <w:w w:val="85"/>
              </w:rPr>
              <w:t>$</w:t>
            </w:r>
          </w:p>
        </w:tc>
        <w:tc>
          <w:tcPr>
            <w:tcW w:w="1080" w:type="dxa"/>
            <w:vAlign w:val="bottom"/>
            <w:gridSpan w:val="2"/>
            <w:shd w:val="clear" w:color="auto" w:fill="CCEEFF"/>
          </w:tcPr>
          <w:p>
            <w:pPr>
              <w:jc w:val="right"/>
              <w:ind w:right="140"/>
              <w:spacing w:after="0"/>
              <w:rPr>
                <w:sz w:val="20"/>
                <w:szCs w:val="20"/>
                <w:color w:val="auto"/>
              </w:rPr>
            </w:pPr>
            <w:r>
              <w:rPr>
                <w:rFonts w:ascii="Times New Roman" w:cs="Times New Roman" w:eastAsia="Times New Roman" w:hAnsi="Times New Roman"/>
                <w:sz w:val="14"/>
                <w:szCs w:val="14"/>
                <w:color w:val="auto"/>
              </w:rPr>
              <w:t>—</w:t>
            </w:r>
          </w:p>
        </w:tc>
        <w:tc>
          <w:tcPr>
            <w:tcW w:w="480" w:type="dxa"/>
            <w:vAlign w:val="bottom"/>
            <w:shd w:val="clear" w:color="auto" w:fill="CCEEFF"/>
          </w:tcPr>
          <w:p>
            <w:pPr>
              <w:jc w:val="right"/>
              <w:ind w:right="330"/>
              <w:spacing w:after="0"/>
              <w:rPr>
                <w:sz w:val="20"/>
                <w:szCs w:val="20"/>
                <w:color w:val="auto"/>
              </w:rPr>
            </w:pPr>
            <w:r>
              <w:rPr>
                <w:rFonts w:ascii="Times New Roman" w:cs="Times New Roman" w:eastAsia="Times New Roman" w:hAnsi="Times New Roman"/>
                <w:sz w:val="14"/>
                <w:szCs w:val="14"/>
                <w:color w:val="auto"/>
                <w:w w:val="85"/>
              </w:rPr>
              <w:t>$</w:t>
            </w:r>
          </w:p>
        </w:tc>
        <w:tc>
          <w:tcPr>
            <w:tcW w:w="88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4"/>
                <w:szCs w:val="14"/>
                <w:color w:val="auto"/>
              </w:rPr>
              <w:t>—</w:t>
            </w:r>
          </w:p>
        </w:tc>
        <w:tc>
          <w:tcPr>
            <w:tcW w:w="280" w:type="dxa"/>
            <w:vAlign w:val="bottom"/>
            <w:shd w:val="clear" w:color="auto" w:fill="CCEEFF"/>
          </w:tcPr>
          <w:p>
            <w:pPr>
              <w:jc w:val="right"/>
              <w:ind w:right="129"/>
              <w:spacing w:after="0"/>
              <w:rPr>
                <w:sz w:val="20"/>
                <w:szCs w:val="20"/>
                <w:color w:val="auto"/>
              </w:rPr>
            </w:pPr>
            <w:r>
              <w:rPr>
                <w:rFonts w:ascii="Times New Roman" w:cs="Times New Roman" w:eastAsia="Times New Roman" w:hAnsi="Times New Roman"/>
                <w:sz w:val="14"/>
                <w:szCs w:val="14"/>
                <w:color w:val="auto"/>
                <w:w w:val="85"/>
              </w:rPr>
              <w:t>$</w:t>
            </w:r>
          </w:p>
        </w:tc>
        <w:tc>
          <w:tcPr>
            <w:tcW w:w="9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25,748</w:t>
            </w:r>
          </w:p>
        </w:tc>
        <w:tc>
          <w:tcPr>
            <w:tcW w:w="0" w:type="dxa"/>
            <w:vAlign w:val="bottom"/>
          </w:tcPr>
          <w:p>
            <w:pPr>
              <w:spacing w:after="0"/>
              <w:rPr>
                <w:sz w:val="1"/>
                <w:szCs w:val="1"/>
                <w:color w:val="auto"/>
              </w:rPr>
            </w:pPr>
          </w:p>
        </w:tc>
      </w:tr>
      <w:tr>
        <w:trPr>
          <w:trHeight w:val="180"/>
        </w:trPr>
        <w:tc>
          <w:tcPr>
            <w:tcW w:w="4640" w:type="dxa"/>
            <w:vAlign w:val="bottom"/>
          </w:tcPr>
          <w:p>
            <w:pPr>
              <w:ind w:left="20"/>
              <w:spacing w:after="0"/>
              <w:rPr>
                <w:sz w:val="20"/>
                <w:szCs w:val="20"/>
                <w:color w:val="auto"/>
              </w:rPr>
            </w:pPr>
            <w:r>
              <w:rPr>
                <w:rFonts w:ascii="Times New Roman" w:cs="Times New Roman" w:eastAsia="Times New Roman" w:hAnsi="Times New Roman"/>
                <w:sz w:val="14"/>
                <w:szCs w:val="14"/>
                <w:color w:val="auto"/>
              </w:rPr>
              <w:t>Private investment funds</w:t>
            </w:r>
          </w:p>
        </w:tc>
        <w:tc>
          <w:tcPr>
            <w:tcW w:w="260" w:type="dxa"/>
            <w:vAlign w:val="bottom"/>
          </w:tcPr>
          <w:p>
            <w:pPr>
              <w:spacing w:after="0"/>
              <w:rPr>
                <w:sz w:val="15"/>
                <w:szCs w:val="15"/>
                <w:color w:val="auto"/>
              </w:rPr>
            </w:pPr>
          </w:p>
        </w:tc>
        <w:tc>
          <w:tcPr>
            <w:tcW w:w="1080" w:type="dxa"/>
            <w:vAlign w:val="bottom"/>
            <w:gridSpan w:val="2"/>
          </w:tcPr>
          <w:p>
            <w:pPr>
              <w:jc w:val="right"/>
              <w:ind w:right="140"/>
              <w:spacing w:after="0"/>
              <w:rPr>
                <w:sz w:val="20"/>
                <w:szCs w:val="20"/>
                <w:color w:val="auto"/>
              </w:rPr>
            </w:pPr>
            <w:r>
              <w:rPr>
                <w:rFonts w:ascii="Times New Roman" w:cs="Times New Roman" w:eastAsia="Times New Roman" w:hAnsi="Times New Roman"/>
                <w:sz w:val="14"/>
                <w:szCs w:val="14"/>
                <w:color w:val="auto"/>
              </w:rPr>
              <w:t>—</w:t>
            </w:r>
          </w:p>
        </w:tc>
        <w:tc>
          <w:tcPr>
            <w:tcW w:w="260" w:type="dxa"/>
            <w:vAlign w:val="bottom"/>
          </w:tcPr>
          <w:p>
            <w:pPr>
              <w:spacing w:after="0"/>
              <w:rPr>
                <w:sz w:val="15"/>
                <w:szCs w:val="15"/>
                <w:color w:val="auto"/>
              </w:rPr>
            </w:pPr>
          </w:p>
        </w:tc>
        <w:tc>
          <w:tcPr>
            <w:tcW w:w="1100" w:type="dxa"/>
            <w:vAlign w:val="bottom"/>
            <w:gridSpan w:val="2"/>
          </w:tcPr>
          <w:p>
            <w:pPr>
              <w:jc w:val="right"/>
              <w:ind w:right="160"/>
              <w:spacing w:after="0"/>
              <w:rPr>
                <w:sz w:val="20"/>
                <w:szCs w:val="20"/>
                <w:color w:val="auto"/>
              </w:rPr>
            </w:pPr>
            <w:r>
              <w:rPr>
                <w:rFonts w:ascii="Times New Roman" w:cs="Times New Roman" w:eastAsia="Times New Roman" w:hAnsi="Times New Roman"/>
                <w:sz w:val="14"/>
                <w:szCs w:val="14"/>
                <w:color w:val="auto"/>
              </w:rPr>
              <w:t>—</w:t>
            </w:r>
          </w:p>
        </w:tc>
        <w:tc>
          <w:tcPr>
            <w:tcW w:w="260" w:type="dxa"/>
            <w:vAlign w:val="bottom"/>
          </w:tcPr>
          <w:p>
            <w:pPr>
              <w:spacing w:after="0"/>
              <w:rPr>
                <w:sz w:val="15"/>
                <w:szCs w:val="15"/>
                <w:color w:val="auto"/>
              </w:rPr>
            </w:pPr>
          </w:p>
        </w:tc>
        <w:tc>
          <w:tcPr>
            <w:tcW w:w="1080" w:type="dxa"/>
            <w:vAlign w:val="bottom"/>
            <w:gridSpan w:val="2"/>
          </w:tcPr>
          <w:p>
            <w:pPr>
              <w:jc w:val="right"/>
              <w:ind w:right="140"/>
              <w:spacing w:after="0"/>
              <w:rPr>
                <w:sz w:val="20"/>
                <w:szCs w:val="20"/>
                <w:color w:val="auto"/>
              </w:rPr>
            </w:pPr>
            <w:r>
              <w:rPr>
                <w:rFonts w:ascii="Times New Roman" w:cs="Times New Roman" w:eastAsia="Times New Roman" w:hAnsi="Times New Roman"/>
                <w:sz w:val="14"/>
                <w:szCs w:val="14"/>
                <w:color w:val="auto"/>
              </w:rPr>
              <w:t>—</w:t>
            </w:r>
          </w:p>
        </w:tc>
        <w:tc>
          <w:tcPr>
            <w:tcW w:w="480" w:type="dxa"/>
            <w:vAlign w:val="bottom"/>
          </w:tcPr>
          <w:p>
            <w:pPr>
              <w:spacing w:after="0"/>
              <w:rPr>
                <w:sz w:val="15"/>
                <w:szCs w:val="15"/>
                <w:color w:val="auto"/>
              </w:rPr>
            </w:pPr>
          </w:p>
        </w:tc>
        <w:tc>
          <w:tcPr>
            <w:tcW w:w="78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1,946</w:t>
            </w:r>
          </w:p>
        </w:tc>
        <w:tc>
          <w:tcPr>
            <w:tcW w:w="100" w:type="dxa"/>
            <w:vAlign w:val="bottom"/>
          </w:tcPr>
          <w:p>
            <w:pPr>
              <w:spacing w:after="0"/>
              <w:rPr>
                <w:sz w:val="15"/>
                <w:szCs w:val="15"/>
                <w:color w:val="auto"/>
              </w:rPr>
            </w:pPr>
          </w:p>
        </w:tc>
        <w:tc>
          <w:tcPr>
            <w:tcW w:w="280" w:type="dxa"/>
            <w:vAlign w:val="bottom"/>
          </w:tcPr>
          <w:p>
            <w:pPr>
              <w:spacing w:after="0"/>
              <w:rPr>
                <w:sz w:val="15"/>
                <w:szCs w:val="15"/>
                <w:color w:val="auto"/>
              </w:rPr>
            </w:pPr>
          </w:p>
        </w:tc>
        <w:tc>
          <w:tcPr>
            <w:tcW w:w="96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1,946</w:t>
            </w:r>
          </w:p>
        </w:tc>
        <w:tc>
          <w:tcPr>
            <w:tcW w:w="0" w:type="dxa"/>
            <w:vAlign w:val="bottom"/>
          </w:tcPr>
          <w:p>
            <w:pPr>
              <w:spacing w:after="0"/>
              <w:rPr>
                <w:sz w:val="1"/>
                <w:szCs w:val="1"/>
                <w:color w:val="auto"/>
              </w:rPr>
            </w:pPr>
          </w:p>
        </w:tc>
      </w:tr>
      <w:tr>
        <w:trPr>
          <w:trHeight w:val="196"/>
        </w:trPr>
        <w:tc>
          <w:tcPr>
            <w:tcW w:w="4640" w:type="dxa"/>
            <w:vAlign w:val="bottom"/>
            <w:tcBorders>
              <w:top w:val="single" w:sz="8" w:color="CCEEFF"/>
              <w:bottom w:val="single" w:sz="8" w:color="CCEEFF"/>
            </w:tcBorders>
            <w:shd w:val="clear" w:color="auto" w:fill="CCEEFF"/>
          </w:tcPr>
          <w:p>
            <w:pPr>
              <w:ind w:left="280"/>
              <w:spacing w:after="0"/>
              <w:rPr>
                <w:sz w:val="20"/>
                <w:szCs w:val="20"/>
                <w:color w:val="auto"/>
              </w:rPr>
            </w:pPr>
            <w:r>
              <w:rPr>
                <w:rFonts w:ascii="Times New Roman" w:cs="Times New Roman" w:eastAsia="Times New Roman" w:hAnsi="Times New Roman"/>
                <w:sz w:val="14"/>
                <w:szCs w:val="14"/>
                <w:color w:val="auto"/>
              </w:rPr>
              <w:t>Total assets measured at fair value</w:t>
            </w:r>
          </w:p>
        </w:tc>
        <w:tc>
          <w:tcPr>
            <w:tcW w:w="260" w:type="dxa"/>
            <w:vAlign w:val="bottom"/>
            <w:tcBorders>
              <w:top w:val="single" w:sz="8" w:color="auto"/>
              <w:bottom w:val="single" w:sz="8" w:color="auto"/>
            </w:tcBorders>
            <w:shd w:val="clear" w:color="auto" w:fill="CCEEFF"/>
          </w:tcPr>
          <w:p>
            <w:pPr>
              <w:jc w:val="right"/>
              <w:ind w:right="109"/>
              <w:spacing w:after="0"/>
              <w:rPr>
                <w:sz w:val="20"/>
                <w:szCs w:val="20"/>
                <w:color w:val="auto"/>
              </w:rPr>
            </w:pPr>
            <w:r>
              <w:rPr>
                <w:rFonts w:ascii="Times New Roman" w:cs="Times New Roman" w:eastAsia="Times New Roman" w:hAnsi="Times New Roman"/>
                <w:sz w:val="14"/>
                <w:szCs w:val="14"/>
                <w:color w:val="auto"/>
                <w:w w:val="85"/>
              </w:rPr>
              <w:t>$</w:t>
            </w:r>
          </w:p>
        </w:tc>
        <w:tc>
          <w:tcPr>
            <w:tcW w:w="10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25,748</w:t>
            </w:r>
          </w:p>
        </w:tc>
        <w:tc>
          <w:tcPr>
            <w:tcW w:w="80" w:type="dxa"/>
            <w:vAlign w:val="bottom"/>
            <w:tcBorders>
              <w:top w:val="single" w:sz="8" w:color="CCEEFF"/>
              <w:bottom w:val="single" w:sz="8" w:color="CCEEFF"/>
            </w:tcBorders>
            <w:shd w:val="clear" w:color="auto" w:fill="CCEEFF"/>
          </w:tcPr>
          <w:p>
            <w:pPr>
              <w:spacing w:after="0"/>
              <w:rPr>
                <w:sz w:val="16"/>
                <w:szCs w:val="16"/>
                <w:color w:val="auto"/>
              </w:rPr>
            </w:pPr>
          </w:p>
        </w:tc>
        <w:tc>
          <w:tcPr>
            <w:tcW w:w="260" w:type="dxa"/>
            <w:vAlign w:val="bottom"/>
            <w:tcBorders>
              <w:top w:val="single" w:sz="8" w:color="auto"/>
              <w:bottom w:val="single" w:sz="8" w:color="auto"/>
            </w:tcBorders>
            <w:shd w:val="clear" w:color="auto" w:fill="CCEEFF"/>
          </w:tcPr>
          <w:p>
            <w:pPr>
              <w:jc w:val="right"/>
              <w:ind w:right="89"/>
              <w:spacing w:after="0"/>
              <w:rPr>
                <w:sz w:val="20"/>
                <w:szCs w:val="20"/>
                <w:color w:val="auto"/>
              </w:rPr>
            </w:pPr>
            <w:r>
              <w:rPr>
                <w:rFonts w:ascii="Times New Roman" w:cs="Times New Roman" w:eastAsia="Times New Roman" w:hAnsi="Times New Roman"/>
                <w:sz w:val="14"/>
                <w:szCs w:val="14"/>
                <w:color w:val="auto"/>
              </w:rPr>
              <w:t>$</w:t>
            </w:r>
          </w:p>
        </w:tc>
        <w:tc>
          <w:tcPr>
            <w:tcW w:w="10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100" w:type="dxa"/>
            <w:vAlign w:val="bottom"/>
            <w:tcBorders>
              <w:top w:val="single" w:sz="8" w:color="CCEEFF"/>
              <w:bottom w:val="single" w:sz="8" w:color="CCEEFF"/>
            </w:tcBorders>
            <w:shd w:val="clear" w:color="auto" w:fill="CCEEFF"/>
          </w:tcPr>
          <w:p>
            <w:pPr>
              <w:spacing w:after="0"/>
              <w:rPr>
                <w:sz w:val="16"/>
                <w:szCs w:val="16"/>
                <w:color w:val="auto"/>
              </w:rPr>
            </w:pPr>
          </w:p>
        </w:tc>
        <w:tc>
          <w:tcPr>
            <w:tcW w:w="260" w:type="dxa"/>
            <w:vAlign w:val="bottom"/>
            <w:tcBorders>
              <w:top w:val="single" w:sz="8" w:color="auto"/>
              <w:bottom w:val="single" w:sz="8" w:color="auto"/>
            </w:tcBorders>
            <w:shd w:val="clear" w:color="auto" w:fill="CCEEFF"/>
          </w:tcPr>
          <w:p>
            <w:pPr>
              <w:jc w:val="right"/>
              <w:ind w:right="109"/>
              <w:spacing w:after="0"/>
              <w:rPr>
                <w:sz w:val="20"/>
                <w:szCs w:val="20"/>
                <w:color w:val="auto"/>
              </w:rPr>
            </w:pPr>
            <w:r>
              <w:rPr>
                <w:rFonts w:ascii="Times New Roman" w:cs="Times New Roman" w:eastAsia="Times New Roman" w:hAnsi="Times New Roman"/>
                <w:sz w:val="14"/>
                <w:szCs w:val="14"/>
                <w:color w:val="auto"/>
                <w:w w:val="85"/>
              </w:rPr>
              <w:t>$</w:t>
            </w:r>
          </w:p>
        </w:tc>
        <w:tc>
          <w:tcPr>
            <w:tcW w:w="98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100" w:type="dxa"/>
            <w:vAlign w:val="bottom"/>
            <w:tcBorders>
              <w:top w:val="single" w:sz="8" w:color="CCEEFF"/>
              <w:bottom w:val="single" w:sz="8" w:color="CCEEFF"/>
            </w:tcBorders>
            <w:shd w:val="clear" w:color="auto" w:fill="CCEEFF"/>
          </w:tcPr>
          <w:p>
            <w:pPr>
              <w:spacing w:after="0"/>
              <w:rPr>
                <w:sz w:val="16"/>
                <w:szCs w:val="16"/>
                <w:color w:val="auto"/>
              </w:rPr>
            </w:pPr>
          </w:p>
        </w:tc>
        <w:tc>
          <w:tcPr>
            <w:tcW w:w="480" w:type="dxa"/>
            <w:vAlign w:val="bottom"/>
            <w:tcBorders>
              <w:top w:val="single" w:sz="8" w:color="auto"/>
              <w:bottom w:val="single" w:sz="8" w:color="auto"/>
            </w:tcBorders>
            <w:shd w:val="clear" w:color="auto" w:fill="CCEEFF"/>
          </w:tcPr>
          <w:p>
            <w:pPr>
              <w:jc w:val="right"/>
              <w:ind w:right="330"/>
              <w:spacing w:after="0"/>
              <w:rPr>
                <w:sz w:val="20"/>
                <w:szCs w:val="20"/>
                <w:color w:val="auto"/>
              </w:rPr>
            </w:pPr>
            <w:r>
              <w:rPr>
                <w:rFonts w:ascii="Times New Roman" w:cs="Times New Roman" w:eastAsia="Times New Roman" w:hAnsi="Times New Roman"/>
                <w:sz w:val="14"/>
                <w:szCs w:val="14"/>
                <w:color w:val="auto"/>
                <w:w w:val="85"/>
              </w:rPr>
              <w:t>$</w:t>
            </w:r>
          </w:p>
        </w:tc>
        <w:tc>
          <w:tcPr>
            <w:tcW w:w="78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1,946</w:t>
            </w:r>
          </w:p>
        </w:tc>
        <w:tc>
          <w:tcPr>
            <w:tcW w:w="100" w:type="dxa"/>
            <w:vAlign w:val="bottom"/>
            <w:tcBorders>
              <w:top w:val="single" w:sz="8" w:color="CCEEFF"/>
              <w:bottom w:val="single" w:sz="8" w:color="CCEEFF"/>
            </w:tcBorders>
            <w:shd w:val="clear" w:color="auto" w:fill="CCEEFF"/>
          </w:tcPr>
          <w:p>
            <w:pPr>
              <w:spacing w:after="0"/>
              <w:rPr>
                <w:sz w:val="16"/>
                <w:szCs w:val="16"/>
                <w:color w:val="auto"/>
              </w:rPr>
            </w:pPr>
          </w:p>
        </w:tc>
        <w:tc>
          <w:tcPr>
            <w:tcW w:w="280" w:type="dxa"/>
            <w:vAlign w:val="bottom"/>
            <w:tcBorders>
              <w:top w:val="single" w:sz="8" w:color="auto"/>
              <w:bottom w:val="single" w:sz="8" w:color="auto"/>
            </w:tcBorders>
            <w:shd w:val="clear" w:color="auto" w:fill="CCEEFF"/>
          </w:tcPr>
          <w:p>
            <w:pPr>
              <w:jc w:val="right"/>
              <w:ind w:right="129"/>
              <w:spacing w:after="0"/>
              <w:rPr>
                <w:sz w:val="20"/>
                <w:szCs w:val="20"/>
                <w:color w:val="auto"/>
              </w:rPr>
            </w:pPr>
            <w:r>
              <w:rPr>
                <w:rFonts w:ascii="Times New Roman" w:cs="Times New Roman" w:eastAsia="Times New Roman" w:hAnsi="Times New Roman"/>
                <w:sz w:val="14"/>
                <w:szCs w:val="14"/>
                <w:color w:val="auto"/>
                <w:w w:val="85"/>
              </w:rPr>
              <w:t>$</w:t>
            </w:r>
          </w:p>
        </w:tc>
        <w:tc>
          <w:tcPr>
            <w:tcW w:w="96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27,694</w:t>
            </w:r>
          </w:p>
        </w:tc>
        <w:tc>
          <w:tcPr>
            <w:tcW w:w="0" w:type="dxa"/>
            <w:vAlign w:val="bottom"/>
          </w:tcPr>
          <w:p>
            <w:pPr>
              <w:spacing w:after="0"/>
              <w:rPr>
                <w:sz w:val="1"/>
                <w:szCs w:val="1"/>
                <w:color w:val="auto"/>
              </w:rPr>
            </w:pPr>
          </w:p>
        </w:tc>
      </w:tr>
      <w:tr>
        <w:trPr>
          <w:trHeight w:val="20"/>
        </w:trPr>
        <w:tc>
          <w:tcPr>
            <w:tcW w:w="4640" w:type="dxa"/>
            <w:vAlign w:val="bottom"/>
            <w:tcBorders>
              <w:top w:val="single" w:sz="8" w:color="CCEEFF"/>
            </w:tcBorders>
            <w:vMerge w:val="restart"/>
          </w:tcPr>
          <w:p>
            <w:pPr>
              <w:ind w:left="20"/>
              <w:spacing w:after="0"/>
              <w:rPr>
                <w:sz w:val="20"/>
                <w:szCs w:val="20"/>
                <w:color w:val="auto"/>
              </w:rPr>
            </w:pPr>
            <w:r>
              <w:rPr>
                <w:rFonts w:ascii="Times New Roman" w:cs="Times New Roman" w:eastAsia="Times New Roman" w:hAnsi="Times New Roman"/>
                <w:sz w:val="14"/>
                <w:szCs w:val="14"/>
                <w:color w:val="auto"/>
              </w:rPr>
              <w:t>Salient Acquisition contingent consideration</w:t>
            </w:r>
          </w:p>
        </w:tc>
        <w:tc>
          <w:tcPr>
            <w:tcW w:w="260" w:type="dxa"/>
            <w:vAlign w:val="bottom"/>
            <w:tcBorders>
              <w:top w:val="single" w:sz="8" w:color="CCEEFF"/>
            </w:tcBorders>
          </w:tcPr>
          <w:p>
            <w:pPr>
              <w:spacing w:after="0" w:line="20" w:lineRule="exact"/>
              <w:rPr>
                <w:sz w:val="1"/>
                <w:szCs w:val="1"/>
                <w:color w:val="auto"/>
              </w:rPr>
            </w:pPr>
          </w:p>
        </w:tc>
        <w:tc>
          <w:tcPr>
            <w:tcW w:w="1080" w:type="dxa"/>
            <w:vAlign w:val="bottom"/>
            <w:tcBorders>
              <w:top w:val="single" w:sz="8" w:color="CCEEFF"/>
            </w:tcBorders>
            <w:gridSpan w:val="2"/>
          </w:tcPr>
          <w:p>
            <w:pPr>
              <w:spacing w:after="0" w:line="20" w:lineRule="exact"/>
              <w:rPr>
                <w:sz w:val="1"/>
                <w:szCs w:val="1"/>
                <w:color w:val="auto"/>
              </w:rPr>
            </w:pPr>
          </w:p>
        </w:tc>
        <w:tc>
          <w:tcPr>
            <w:tcW w:w="260" w:type="dxa"/>
            <w:vAlign w:val="bottom"/>
            <w:tcBorders>
              <w:top w:val="single" w:sz="8" w:color="CCEEFF"/>
            </w:tcBorders>
          </w:tcPr>
          <w:p>
            <w:pPr>
              <w:spacing w:after="0" w:line="20" w:lineRule="exact"/>
              <w:rPr>
                <w:sz w:val="1"/>
                <w:szCs w:val="1"/>
                <w:color w:val="auto"/>
              </w:rPr>
            </w:pPr>
          </w:p>
        </w:tc>
        <w:tc>
          <w:tcPr>
            <w:tcW w:w="1100" w:type="dxa"/>
            <w:vAlign w:val="bottom"/>
            <w:tcBorders>
              <w:top w:val="single" w:sz="8" w:color="CCEEFF"/>
            </w:tcBorders>
            <w:gridSpan w:val="2"/>
          </w:tcPr>
          <w:p>
            <w:pPr>
              <w:spacing w:after="0" w:line="20" w:lineRule="exact"/>
              <w:rPr>
                <w:sz w:val="1"/>
                <w:szCs w:val="1"/>
                <w:color w:val="auto"/>
              </w:rPr>
            </w:pPr>
          </w:p>
        </w:tc>
        <w:tc>
          <w:tcPr>
            <w:tcW w:w="260" w:type="dxa"/>
            <w:vAlign w:val="bottom"/>
            <w:tcBorders>
              <w:top w:val="single" w:sz="8" w:color="CCEEFF"/>
            </w:tcBorders>
          </w:tcPr>
          <w:p>
            <w:pPr>
              <w:spacing w:after="0" w:line="20" w:lineRule="exact"/>
              <w:rPr>
                <w:sz w:val="1"/>
                <w:szCs w:val="1"/>
                <w:color w:val="auto"/>
              </w:rPr>
            </w:pPr>
          </w:p>
        </w:tc>
        <w:tc>
          <w:tcPr>
            <w:tcW w:w="980" w:type="dxa"/>
            <w:vAlign w:val="bottom"/>
            <w:tcBorders>
              <w:top w:val="single" w:sz="8" w:color="CCEEFF"/>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480" w:type="dxa"/>
            <w:vAlign w:val="bottom"/>
            <w:tcBorders>
              <w:top w:val="single" w:sz="8" w:color="CCEEFF"/>
            </w:tcBorders>
          </w:tcPr>
          <w:p>
            <w:pPr>
              <w:spacing w:after="0" w:line="20" w:lineRule="exact"/>
              <w:rPr>
                <w:sz w:val="1"/>
                <w:szCs w:val="1"/>
                <w:color w:val="auto"/>
              </w:rPr>
            </w:pPr>
          </w:p>
        </w:tc>
        <w:tc>
          <w:tcPr>
            <w:tcW w:w="880" w:type="dxa"/>
            <w:vAlign w:val="bottom"/>
            <w:tcBorders>
              <w:top w:val="single" w:sz="8" w:color="CCEEFF"/>
            </w:tcBorders>
            <w:gridSpan w:val="2"/>
          </w:tcPr>
          <w:p>
            <w:pPr>
              <w:spacing w:after="0" w:line="20" w:lineRule="exact"/>
              <w:rPr>
                <w:sz w:val="1"/>
                <w:szCs w:val="1"/>
                <w:color w:val="auto"/>
              </w:rPr>
            </w:pPr>
          </w:p>
        </w:tc>
        <w:tc>
          <w:tcPr>
            <w:tcW w:w="280" w:type="dxa"/>
            <w:vAlign w:val="bottom"/>
            <w:tcBorders>
              <w:top w:val="single" w:sz="8" w:color="CCEEFF"/>
            </w:tcBorders>
          </w:tcPr>
          <w:p>
            <w:pPr>
              <w:spacing w:after="0" w:line="20" w:lineRule="exact"/>
              <w:rPr>
                <w:sz w:val="1"/>
                <w:szCs w:val="1"/>
                <w:color w:val="auto"/>
              </w:rPr>
            </w:pPr>
          </w:p>
        </w:tc>
        <w:tc>
          <w:tcPr>
            <w:tcW w:w="960" w:type="dxa"/>
            <w:vAlign w:val="bottom"/>
            <w:tcBorders>
              <w:top w:val="single" w:sz="8" w:color="CCEEFF"/>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43"/>
        </w:trPr>
        <w:tc>
          <w:tcPr>
            <w:tcW w:w="4640" w:type="dxa"/>
            <w:vAlign w:val="bottom"/>
            <w:tcBorders>
              <w:top w:val="single" w:sz="8" w:color="CCEEFF"/>
              <w:bottom w:val="single" w:sz="8" w:color="CCEEFF"/>
            </w:tcBorders>
            <w:vMerge w:val="continue"/>
          </w:tcPr>
          <w:p>
            <w:pPr>
              <w:spacing w:after="0"/>
              <w:rPr>
                <w:sz w:val="12"/>
                <w:szCs w:val="12"/>
                <w:color w:val="auto"/>
              </w:rPr>
            </w:pPr>
          </w:p>
        </w:tc>
        <w:tc>
          <w:tcPr>
            <w:tcW w:w="260" w:type="dxa"/>
            <w:vAlign w:val="bottom"/>
            <w:tcBorders>
              <w:top w:val="single" w:sz="8" w:color="auto"/>
              <w:bottom w:val="single" w:sz="8" w:color="auto"/>
            </w:tcBorders>
          </w:tcPr>
          <w:p>
            <w:pPr>
              <w:jc w:val="right"/>
              <w:ind w:right="109"/>
              <w:spacing w:after="0" w:line="143" w:lineRule="exact"/>
              <w:rPr>
                <w:sz w:val="20"/>
                <w:szCs w:val="20"/>
                <w:color w:val="auto"/>
              </w:rPr>
            </w:pPr>
            <w:r>
              <w:rPr>
                <w:rFonts w:ascii="Times New Roman" w:cs="Times New Roman" w:eastAsia="Times New Roman" w:hAnsi="Times New Roman"/>
                <w:sz w:val="14"/>
                <w:szCs w:val="14"/>
                <w:color w:val="auto"/>
                <w:w w:val="85"/>
              </w:rPr>
              <w:t>$</w:t>
            </w:r>
          </w:p>
        </w:tc>
        <w:tc>
          <w:tcPr>
            <w:tcW w:w="1000" w:type="dxa"/>
            <w:vAlign w:val="bottom"/>
            <w:tcBorders>
              <w:top w:val="single" w:sz="8" w:color="auto"/>
              <w:bottom w:val="single" w:sz="8" w:color="auto"/>
            </w:tcBorders>
          </w:tcPr>
          <w:p>
            <w:pPr>
              <w:jc w:val="right"/>
              <w:spacing w:after="0" w:line="143" w:lineRule="exact"/>
              <w:rPr>
                <w:sz w:val="20"/>
                <w:szCs w:val="20"/>
                <w:color w:val="auto"/>
              </w:rPr>
            </w:pPr>
            <w:r>
              <w:rPr>
                <w:rFonts w:ascii="Times New Roman" w:cs="Times New Roman" w:eastAsia="Times New Roman" w:hAnsi="Times New Roman"/>
                <w:sz w:val="14"/>
                <w:szCs w:val="14"/>
                <w:color w:val="auto"/>
              </w:rPr>
              <w:t>—</w:t>
            </w:r>
          </w:p>
        </w:tc>
        <w:tc>
          <w:tcPr>
            <w:tcW w:w="80" w:type="dxa"/>
            <w:vAlign w:val="bottom"/>
            <w:tcBorders>
              <w:bottom w:val="single" w:sz="8" w:color="CCEEFF"/>
            </w:tcBorders>
          </w:tcPr>
          <w:p>
            <w:pPr>
              <w:spacing w:after="0"/>
              <w:rPr>
                <w:sz w:val="12"/>
                <w:szCs w:val="12"/>
                <w:color w:val="auto"/>
              </w:rPr>
            </w:pPr>
          </w:p>
        </w:tc>
        <w:tc>
          <w:tcPr>
            <w:tcW w:w="260" w:type="dxa"/>
            <w:vAlign w:val="bottom"/>
            <w:tcBorders>
              <w:top w:val="single" w:sz="8" w:color="auto"/>
              <w:bottom w:val="single" w:sz="8" w:color="auto"/>
            </w:tcBorders>
          </w:tcPr>
          <w:p>
            <w:pPr>
              <w:jc w:val="right"/>
              <w:ind w:right="89"/>
              <w:spacing w:after="0" w:line="143" w:lineRule="exact"/>
              <w:rPr>
                <w:sz w:val="20"/>
                <w:szCs w:val="20"/>
                <w:color w:val="auto"/>
              </w:rPr>
            </w:pPr>
            <w:r>
              <w:rPr>
                <w:rFonts w:ascii="Times New Roman" w:cs="Times New Roman" w:eastAsia="Times New Roman" w:hAnsi="Times New Roman"/>
                <w:sz w:val="14"/>
                <w:szCs w:val="14"/>
                <w:color w:val="auto"/>
              </w:rPr>
              <w:t>$</w:t>
            </w:r>
          </w:p>
        </w:tc>
        <w:tc>
          <w:tcPr>
            <w:tcW w:w="1000" w:type="dxa"/>
            <w:vAlign w:val="bottom"/>
            <w:tcBorders>
              <w:top w:val="single" w:sz="8" w:color="auto"/>
              <w:bottom w:val="single" w:sz="8" w:color="auto"/>
            </w:tcBorders>
          </w:tcPr>
          <w:p>
            <w:pPr>
              <w:jc w:val="right"/>
              <w:spacing w:after="0" w:line="143" w:lineRule="exact"/>
              <w:rPr>
                <w:sz w:val="20"/>
                <w:szCs w:val="20"/>
                <w:color w:val="auto"/>
              </w:rPr>
            </w:pPr>
            <w:r>
              <w:rPr>
                <w:rFonts w:ascii="Times New Roman" w:cs="Times New Roman" w:eastAsia="Times New Roman" w:hAnsi="Times New Roman"/>
                <w:sz w:val="14"/>
                <w:szCs w:val="14"/>
                <w:color w:val="auto"/>
              </w:rPr>
              <w:t>—</w:t>
            </w:r>
          </w:p>
        </w:tc>
        <w:tc>
          <w:tcPr>
            <w:tcW w:w="100" w:type="dxa"/>
            <w:vAlign w:val="bottom"/>
            <w:tcBorders>
              <w:bottom w:val="single" w:sz="8" w:color="CCEEFF"/>
            </w:tcBorders>
          </w:tcPr>
          <w:p>
            <w:pPr>
              <w:spacing w:after="0"/>
              <w:rPr>
                <w:sz w:val="12"/>
                <w:szCs w:val="12"/>
                <w:color w:val="auto"/>
              </w:rPr>
            </w:pPr>
          </w:p>
        </w:tc>
        <w:tc>
          <w:tcPr>
            <w:tcW w:w="260" w:type="dxa"/>
            <w:vAlign w:val="bottom"/>
            <w:tcBorders>
              <w:top w:val="single" w:sz="8" w:color="auto"/>
              <w:bottom w:val="single" w:sz="8" w:color="auto"/>
            </w:tcBorders>
          </w:tcPr>
          <w:p>
            <w:pPr>
              <w:jc w:val="right"/>
              <w:ind w:right="109"/>
              <w:spacing w:after="0" w:line="143" w:lineRule="exact"/>
              <w:rPr>
                <w:sz w:val="20"/>
                <w:szCs w:val="20"/>
                <w:color w:val="auto"/>
              </w:rPr>
            </w:pPr>
            <w:r>
              <w:rPr>
                <w:rFonts w:ascii="Times New Roman" w:cs="Times New Roman" w:eastAsia="Times New Roman" w:hAnsi="Times New Roman"/>
                <w:sz w:val="14"/>
                <w:szCs w:val="14"/>
                <w:color w:val="auto"/>
                <w:w w:val="85"/>
              </w:rPr>
              <w:t>$</w:t>
            </w:r>
          </w:p>
        </w:tc>
        <w:tc>
          <w:tcPr>
            <w:tcW w:w="980" w:type="dxa"/>
            <w:vAlign w:val="bottom"/>
            <w:tcBorders>
              <w:top w:val="single" w:sz="8" w:color="auto"/>
              <w:bottom w:val="single" w:sz="8" w:color="auto"/>
            </w:tcBorders>
          </w:tcPr>
          <w:p>
            <w:pPr>
              <w:jc w:val="right"/>
              <w:spacing w:after="0" w:line="143" w:lineRule="exact"/>
              <w:rPr>
                <w:sz w:val="20"/>
                <w:szCs w:val="20"/>
                <w:color w:val="auto"/>
              </w:rPr>
            </w:pPr>
            <w:r>
              <w:rPr>
                <w:rFonts w:ascii="Times New Roman" w:cs="Times New Roman" w:eastAsia="Times New Roman" w:hAnsi="Times New Roman"/>
                <w:sz w:val="14"/>
                <w:szCs w:val="14"/>
                <w:color w:val="auto"/>
              </w:rPr>
              <w:t>4,657</w:t>
            </w:r>
          </w:p>
        </w:tc>
        <w:tc>
          <w:tcPr>
            <w:tcW w:w="100" w:type="dxa"/>
            <w:vAlign w:val="bottom"/>
            <w:tcBorders>
              <w:bottom w:val="single" w:sz="8" w:color="CCEEFF"/>
            </w:tcBorders>
          </w:tcPr>
          <w:p>
            <w:pPr>
              <w:spacing w:after="0"/>
              <w:rPr>
                <w:sz w:val="12"/>
                <w:szCs w:val="12"/>
                <w:color w:val="auto"/>
              </w:rPr>
            </w:pPr>
          </w:p>
        </w:tc>
        <w:tc>
          <w:tcPr>
            <w:tcW w:w="480" w:type="dxa"/>
            <w:vAlign w:val="bottom"/>
            <w:tcBorders>
              <w:top w:val="single" w:sz="8" w:color="auto"/>
              <w:bottom w:val="single" w:sz="8" w:color="auto"/>
            </w:tcBorders>
          </w:tcPr>
          <w:p>
            <w:pPr>
              <w:jc w:val="right"/>
              <w:ind w:right="330"/>
              <w:spacing w:after="0" w:line="143" w:lineRule="exact"/>
              <w:rPr>
                <w:sz w:val="20"/>
                <w:szCs w:val="20"/>
                <w:color w:val="auto"/>
              </w:rPr>
            </w:pPr>
            <w:r>
              <w:rPr>
                <w:rFonts w:ascii="Times New Roman" w:cs="Times New Roman" w:eastAsia="Times New Roman" w:hAnsi="Times New Roman"/>
                <w:sz w:val="14"/>
                <w:szCs w:val="14"/>
                <w:color w:val="auto"/>
                <w:w w:val="85"/>
              </w:rPr>
              <w:t>$</w:t>
            </w:r>
          </w:p>
        </w:tc>
        <w:tc>
          <w:tcPr>
            <w:tcW w:w="780" w:type="dxa"/>
            <w:vAlign w:val="bottom"/>
            <w:tcBorders>
              <w:top w:val="single" w:sz="8" w:color="auto"/>
              <w:bottom w:val="single" w:sz="8" w:color="auto"/>
            </w:tcBorders>
          </w:tcPr>
          <w:p>
            <w:pPr>
              <w:jc w:val="right"/>
              <w:spacing w:after="0" w:line="143" w:lineRule="exact"/>
              <w:rPr>
                <w:sz w:val="20"/>
                <w:szCs w:val="20"/>
                <w:color w:val="auto"/>
              </w:rPr>
            </w:pPr>
            <w:r>
              <w:rPr>
                <w:rFonts w:ascii="Times New Roman" w:cs="Times New Roman" w:eastAsia="Times New Roman" w:hAnsi="Times New Roman"/>
                <w:sz w:val="14"/>
                <w:szCs w:val="14"/>
                <w:color w:val="auto"/>
              </w:rPr>
              <w:t>—</w:t>
            </w:r>
          </w:p>
        </w:tc>
        <w:tc>
          <w:tcPr>
            <w:tcW w:w="100" w:type="dxa"/>
            <w:vAlign w:val="bottom"/>
            <w:tcBorders>
              <w:bottom w:val="single" w:sz="8" w:color="CCEEFF"/>
            </w:tcBorders>
          </w:tcPr>
          <w:p>
            <w:pPr>
              <w:spacing w:after="0"/>
              <w:rPr>
                <w:sz w:val="12"/>
                <w:szCs w:val="12"/>
                <w:color w:val="auto"/>
              </w:rPr>
            </w:pPr>
          </w:p>
        </w:tc>
        <w:tc>
          <w:tcPr>
            <w:tcW w:w="280" w:type="dxa"/>
            <w:vAlign w:val="bottom"/>
            <w:tcBorders>
              <w:top w:val="single" w:sz="8" w:color="auto"/>
              <w:bottom w:val="single" w:sz="8" w:color="auto"/>
            </w:tcBorders>
          </w:tcPr>
          <w:p>
            <w:pPr>
              <w:jc w:val="right"/>
              <w:ind w:right="129"/>
              <w:spacing w:after="0" w:line="143" w:lineRule="exact"/>
              <w:rPr>
                <w:sz w:val="20"/>
                <w:szCs w:val="20"/>
                <w:color w:val="auto"/>
              </w:rPr>
            </w:pPr>
            <w:r>
              <w:rPr>
                <w:rFonts w:ascii="Times New Roman" w:cs="Times New Roman" w:eastAsia="Times New Roman" w:hAnsi="Times New Roman"/>
                <w:sz w:val="14"/>
                <w:szCs w:val="14"/>
                <w:color w:val="auto"/>
                <w:w w:val="85"/>
              </w:rPr>
              <w:t>$</w:t>
            </w:r>
          </w:p>
        </w:tc>
        <w:tc>
          <w:tcPr>
            <w:tcW w:w="960" w:type="dxa"/>
            <w:vAlign w:val="bottom"/>
            <w:tcBorders>
              <w:top w:val="single" w:sz="8" w:color="auto"/>
              <w:bottom w:val="single" w:sz="8" w:color="auto"/>
            </w:tcBorders>
          </w:tcPr>
          <w:p>
            <w:pPr>
              <w:jc w:val="right"/>
              <w:spacing w:after="0" w:line="143" w:lineRule="exact"/>
              <w:rPr>
                <w:sz w:val="20"/>
                <w:szCs w:val="20"/>
                <w:color w:val="auto"/>
              </w:rPr>
            </w:pPr>
            <w:r>
              <w:rPr>
                <w:rFonts w:ascii="Times New Roman" w:cs="Times New Roman" w:eastAsia="Times New Roman" w:hAnsi="Times New Roman"/>
                <w:sz w:val="14"/>
                <w:szCs w:val="14"/>
                <w:color w:val="auto"/>
              </w:rPr>
              <w:t>4,657</w:t>
            </w:r>
          </w:p>
        </w:tc>
        <w:tc>
          <w:tcPr>
            <w:tcW w:w="0" w:type="dxa"/>
            <w:vAlign w:val="bottom"/>
          </w:tcPr>
          <w:p>
            <w:pPr>
              <w:spacing w:after="0"/>
              <w:rPr>
                <w:sz w:val="1"/>
                <w:szCs w:val="1"/>
                <w:color w:val="auto"/>
              </w:rPr>
            </w:pPr>
          </w:p>
        </w:tc>
      </w:tr>
      <w:tr>
        <w:trPr>
          <w:trHeight w:val="172"/>
        </w:trPr>
        <w:tc>
          <w:tcPr>
            <w:tcW w:w="4640" w:type="dxa"/>
            <w:vAlign w:val="bottom"/>
            <w:tcBorders>
              <w:bottom w:val="single" w:sz="8" w:color="CCEEFF"/>
            </w:tcBorders>
            <w:shd w:val="clear" w:color="auto" w:fill="CCEEFF"/>
          </w:tcPr>
          <w:p>
            <w:pPr>
              <w:ind w:left="280"/>
              <w:spacing w:after="0"/>
              <w:rPr>
                <w:sz w:val="20"/>
                <w:szCs w:val="20"/>
                <w:color w:val="auto"/>
              </w:rPr>
            </w:pPr>
            <w:r>
              <w:rPr>
                <w:rFonts w:ascii="Times New Roman" w:cs="Times New Roman" w:eastAsia="Times New Roman" w:hAnsi="Times New Roman"/>
                <w:sz w:val="14"/>
                <w:szCs w:val="14"/>
                <w:color w:val="auto"/>
              </w:rPr>
              <w:t>Total liabilities measured at fair value</w:t>
            </w:r>
          </w:p>
        </w:tc>
        <w:tc>
          <w:tcPr>
            <w:tcW w:w="260" w:type="dxa"/>
            <w:vAlign w:val="bottom"/>
            <w:tcBorders>
              <w:bottom w:val="single" w:sz="8" w:color="auto"/>
            </w:tcBorders>
            <w:shd w:val="clear" w:color="auto" w:fill="CCEEFF"/>
          </w:tcPr>
          <w:p>
            <w:pPr>
              <w:jc w:val="right"/>
              <w:ind w:right="109"/>
              <w:spacing w:after="0"/>
              <w:rPr>
                <w:sz w:val="20"/>
                <w:szCs w:val="20"/>
                <w:color w:val="auto"/>
              </w:rPr>
            </w:pPr>
            <w:r>
              <w:rPr>
                <w:rFonts w:ascii="Times New Roman" w:cs="Times New Roman" w:eastAsia="Times New Roman" w:hAnsi="Times New Roman"/>
                <w:sz w:val="14"/>
                <w:szCs w:val="14"/>
                <w:color w:val="auto"/>
                <w:w w:val="85"/>
              </w:rPr>
              <w:t>$</w:t>
            </w:r>
          </w:p>
        </w:tc>
        <w:tc>
          <w:tcPr>
            <w:tcW w:w="10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80" w:type="dxa"/>
            <w:vAlign w:val="bottom"/>
            <w:tcBorders>
              <w:bottom w:val="single" w:sz="8" w:color="CCEEFF"/>
            </w:tcBorders>
            <w:shd w:val="clear" w:color="auto" w:fill="CCEEFF"/>
          </w:tcPr>
          <w:p>
            <w:pPr>
              <w:spacing w:after="0"/>
              <w:rPr>
                <w:sz w:val="14"/>
                <w:szCs w:val="14"/>
                <w:color w:val="auto"/>
              </w:rPr>
            </w:pPr>
          </w:p>
        </w:tc>
        <w:tc>
          <w:tcPr>
            <w:tcW w:w="260" w:type="dxa"/>
            <w:vAlign w:val="bottom"/>
            <w:tcBorders>
              <w:bottom w:val="single" w:sz="8" w:color="auto"/>
            </w:tcBorders>
            <w:shd w:val="clear" w:color="auto" w:fill="CCEEFF"/>
          </w:tcPr>
          <w:p>
            <w:pPr>
              <w:jc w:val="right"/>
              <w:ind w:right="89"/>
              <w:spacing w:after="0"/>
              <w:rPr>
                <w:sz w:val="20"/>
                <w:szCs w:val="20"/>
                <w:color w:val="auto"/>
              </w:rPr>
            </w:pPr>
            <w:r>
              <w:rPr>
                <w:rFonts w:ascii="Times New Roman" w:cs="Times New Roman" w:eastAsia="Times New Roman" w:hAnsi="Times New Roman"/>
                <w:sz w:val="14"/>
                <w:szCs w:val="14"/>
                <w:color w:val="auto"/>
              </w:rPr>
              <w:t>$</w:t>
            </w:r>
          </w:p>
        </w:tc>
        <w:tc>
          <w:tcPr>
            <w:tcW w:w="10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100" w:type="dxa"/>
            <w:vAlign w:val="bottom"/>
            <w:tcBorders>
              <w:bottom w:val="single" w:sz="8" w:color="CCEEFF"/>
            </w:tcBorders>
            <w:shd w:val="clear" w:color="auto" w:fill="CCEEFF"/>
          </w:tcPr>
          <w:p>
            <w:pPr>
              <w:spacing w:after="0"/>
              <w:rPr>
                <w:sz w:val="14"/>
                <w:szCs w:val="14"/>
                <w:color w:val="auto"/>
              </w:rPr>
            </w:pPr>
          </w:p>
        </w:tc>
        <w:tc>
          <w:tcPr>
            <w:tcW w:w="260" w:type="dxa"/>
            <w:vAlign w:val="bottom"/>
            <w:tcBorders>
              <w:bottom w:val="single" w:sz="8" w:color="auto"/>
            </w:tcBorders>
            <w:shd w:val="clear" w:color="auto" w:fill="CCEEFF"/>
          </w:tcPr>
          <w:p>
            <w:pPr>
              <w:jc w:val="right"/>
              <w:ind w:right="109"/>
              <w:spacing w:after="0"/>
              <w:rPr>
                <w:sz w:val="20"/>
                <w:szCs w:val="20"/>
                <w:color w:val="auto"/>
              </w:rPr>
            </w:pPr>
            <w:r>
              <w:rPr>
                <w:rFonts w:ascii="Times New Roman" w:cs="Times New Roman" w:eastAsia="Times New Roman" w:hAnsi="Times New Roman"/>
                <w:sz w:val="14"/>
                <w:szCs w:val="14"/>
                <w:color w:val="auto"/>
                <w:w w:val="85"/>
              </w:rPr>
              <w:t>$</w:t>
            </w:r>
          </w:p>
        </w:tc>
        <w:tc>
          <w:tcPr>
            <w:tcW w:w="9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4,657</w:t>
            </w:r>
          </w:p>
        </w:tc>
        <w:tc>
          <w:tcPr>
            <w:tcW w:w="100" w:type="dxa"/>
            <w:vAlign w:val="bottom"/>
            <w:tcBorders>
              <w:bottom w:val="single" w:sz="8" w:color="CCEEFF"/>
            </w:tcBorders>
            <w:shd w:val="clear" w:color="auto" w:fill="CCEEFF"/>
          </w:tcPr>
          <w:p>
            <w:pPr>
              <w:spacing w:after="0"/>
              <w:rPr>
                <w:sz w:val="14"/>
                <w:szCs w:val="14"/>
                <w:color w:val="auto"/>
              </w:rPr>
            </w:pPr>
          </w:p>
        </w:tc>
        <w:tc>
          <w:tcPr>
            <w:tcW w:w="480" w:type="dxa"/>
            <w:vAlign w:val="bottom"/>
            <w:tcBorders>
              <w:bottom w:val="single" w:sz="8" w:color="auto"/>
            </w:tcBorders>
            <w:shd w:val="clear" w:color="auto" w:fill="CCEEFF"/>
          </w:tcPr>
          <w:p>
            <w:pPr>
              <w:jc w:val="right"/>
              <w:ind w:right="330"/>
              <w:spacing w:after="0"/>
              <w:rPr>
                <w:sz w:val="20"/>
                <w:szCs w:val="20"/>
                <w:color w:val="auto"/>
              </w:rPr>
            </w:pPr>
            <w:r>
              <w:rPr>
                <w:rFonts w:ascii="Times New Roman" w:cs="Times New Roman" w:eastAsia="Times New Roman" w:hAnsi="Times New Roman"/>
                <w:sz w:val="14"/>
                <w:szCs w:val="14"/>
                <w:color w:val="auto"/>
                <w:w w:val="85"/>
              </w:rPr>
              <w:t>$</w:t>
            </w:r>
          </w:p>
        </w:tc>
        <w:tc>
          <w:tcPr>
            <w:tcW w:w="7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100" w:type="dxa"/>
            <w:vAlign w:val="bottom"/>
            <w:tcBorders>
              <w:bottom w:val="single" w:sz="8" w:color="CCEEFF"/>
            </w:tcBorders>
            <w:shd w:val="clear" w:color="auto" w:fill="CCEEFF"/>
          </w:tcPr>
          <w:p>
            <w:pPr>
              <w:spacing w:after="0"/>
              <w:rPr>
                <w:sz w:val="14"/>
                <w:szCs w:val="14"/>
                <w:color w:val="auto"/>
              </w:rPr>
            </w:pPr>
          </w:p>
        </w:tc>
        <w:tc>
          <w:tcPr>
            <w:tcW w:w="280" w:type="dxa"/>
            <w:vAlign w:val="bottom"/>
            <w:tcBorders>
              <w:bottom w:val="single" w:sz="8" w:color="auto"/>
            </w:tcBorders>
            <w:shd w:val="clear" w:color="auto" w:fill="CCEEFF"/>
          </w:tcPr>
          <w:p>
            <w:pPr>
              <w:jc w:val="right"/>
              <w:ind w:right="129"/>
              <w:spacing w:after="0"/>
              <w:rPr>
                <w:sz w:val="20"/>
                <w:szCs w:val="20"/>
                <w:color w:val="auto"/>
              </w:rPr>
            </w:pPr>
            <w:r>
              <w:rPr>
                <w:rFonts w:ascii="Times New Roman" w:cs="Times New Roman" w:eastAsia="Times New Roman" w:hAnsi="Times New Roman"/>
                <w:sz w:val="14"/>
                <w:szCs w:val="14"/>
                <w:color w:val="auto"/>
                <w:w w:val="85"/>
              </w:rPr>
              <w:t>$</w:t>
            </w:r>
          </w:p>
        </w:tc>
        <w:tc>
          <w:tcPr>
            <w:tcW w:w="9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4,657</w:t>
            </w:r>
          </w:p>
        </w:tc>
        <w:tc>
          <w:tcPr>
            <w:tcW w:w="0" w:type="dxa"/>
            <w:vAlign w:val="bottom"/>
          </w:tcPr>
          <w:p>
            <w:pPr>
              <w:spacing w:after="0"/>
              <w:rPr>
                <w:sz w:val="1"/>
                <w:szCs w:val="1"/>
                <w:color w:val="auto"/>
              </w:rPr>
            </w:pPr>
          </w:p>
        </w:tc>
      </w:tr>
    </w:tbl>
    <w:p>
      <w:pPr>
        <w:ind w:left="220" w:right="80" w:hanging="201"/>
        <w:spacing w:after="0" w:line="218" w:lineRule="auto"/>
        <w:tabs>
          <w:tab w:leader="none" w:pos="146" w:val="left"/>
        </w:tabs>
        <w:numPr>
          <w:ilvl w:val="0"/>
          <w:numId w:val="22"/>
        </w:numPr>
        <w:rPr>
          <w:rFonts w:ascii="Times New Roman" w:cs="Times New Roman" w:eastAsia="Times New Roman" w:hAnsi="Times New Roman"/>
          <w:sz w:val="16"/>
          <w:szCs w:val="16"/>
          <w:color w:val="auto"/>
          <w:vertAlign w:val="superscript"/>
        </w:rPr>
      </w:pPr>
      <w:r>
        <w:rPr>
          <w:rFonts w:ascii="Times New Roman" w:cs="Times New Roman" w:eastAsia="Times New Roman" w:hAnsi="Times New Roman"/>
          <w:sz w:val="12"/>
          <w:szCs w:val="12"/>
          <w:color w:val="auto"/>
        </w:rPr>
        <w:t>Comprised of certain investments measured at fair value using NAV as a practical expedient. The fair value amounts presented in this table are intended to allow reconciliation of the fair value hierarchy to the amounts presented on our Consolidated Balance Sheets.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2947035</wp:posOffset>
            </wp:positionH>
            <wp:positionV relativeFrom="paragraph">
              <wp:posOffset>-178435</wp:posOffset>
            </wp:positionV>
            <wp:extent cx="4217670" cy="6985"/>
            <wp:wrapNone/>
            <wp:docPr id="124" name="Picture 1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4"/>
                    <pic:cNvPicPr>
                      <a:picLocks noChangeAspect="1" noChangeArrowheads="1"/>
                    </pic:cNvPicPr>
                  </pic:nvPicPr>
                  <pic:blipFill>
                    <a:blip r:embed="rId131">
                      <a:extLst>
                        <a:ext uri="{28A0092B-C50C-407E-A947-70E740481C1C}"/>
                      </a:extLst>
                    </a:blip>
                    <a:srcRect/>
                    <a:stretch>
                      <a:fillRect/>
                    </a:stretch>
                  </pic:blipFill>
                  <pic:spPr bwMode="auto">
                    <a:xfrm>
                      <a:off x="0" y="0"/>
                      <a:ext cx="4217670" cy="6985"/>
                    </a:xfrm>
                    <a:prstGeom prst="rect">
                      <a:avLst/>
                    </a:prstGeom>
                    <a:noFill/>
                  </pic:spPr>
                </pic:pic>
              </a:graphicData>
            </a:graphic>
          </wp:anchor>
        </w:drawing>
      </w:r>
    </w:p>
    <w:p>
      <w:pPr>
        <w:spacing w:after="0" w:line="129" w:lineRule="exact"/>
        <w:rPr>
          <w:sz w:val="20"/>
          <w:szCs w:val="20"/>
          <w:color w:val="auto"/>
        </w:rPr>
      </w:pPr>
    </w:p>
    <w:p>
      <w:pPr>
        <w:ind w:left="380"/>
        <w:spacing w:after="0"/>
        <w:rPr>
          <w:sz w:val="20"/>
          <w:szCs w:val="20"/>
          <w:color w:val="auto"/>
        </w:rPr>
      </w:pPr>
      <w:r>
        <w:rPr>
          <w:rFonts w:ascii="Times New Roman" w:cs="Times New Roman" w:eastAsia="Times New Roman" w:hAnsi="Times New Roman"/>
          <w:sz w:val="14"/>
          <w:szCs w:val="14"/>
          <w:color w:val="auto"/>
        </w:rPr>
        <w:t>The following table summarizes the changes in Level 3 liabilities measured at fair value on a recurring basis for the periods presented (in thousands):</w:t>
      </w:r>
    </w:p>
    <w:p>
      <w:pPr>
        <w:spacing w:after="0" w:line="43" w:lineRule="exact"/>
        <w:rPr>
          <w:sz w:val="20"/>
          <w:szCs w:val="20"/>
          <w:color w:val="auto"/>
        </w:rPr>
      </w:pPr>
    </w:p>
    <w:tbl>
      <w:tblPr>
        <w:tblLayout w:type="fixed"/>
        <w:tblInd w:w="0" w:type="dxa"/>
        <w:tblCellMar>
          <w:top w:w="0" w:type="dxa"/>
          <w:left w:w="0" w:type="dxa"/>
          <w:bottom w:w="0" w:type="dxa"/>
          <w:right w:w="0" w:type="dxa"/>
        </w:tblCellMar>
      </w:tblPr>
      <w:tr>
        <w:trPr>
          <w:trHeight w:val="170"/>
        </w:trPr>
        <w:tc>
          <w:tcPr>
            <w:tcW w:w="8680" w:type="dxa"/>
            <w:vAlign w:val="bottom"/>
          </w:tcPr>
          <w:p>
            <w:pPr>
              <w:spacing w:after="0"/>
              <w:rPr>
                <w:sz w:val="14"/>
                <w:szCs w:val="14"/>
                <w:color w:val="auto"/>
              </w:rPr>
            </w:pPr>
          </w:p>
        </w:tc>
        <w:tc>
          <w:tcPr>
            <w:tcW w:w="2600" w:type="dxa"/>
            <w:vAlign w:val="bottom"/>
            <w:tcBorders>
              <w:bottom w:val="single" w:sz="8" w:color="auto"/>
            </w:tcBorders>
            <w:gridSpan w:val="5"/>
          </w:tcPr>
          <w:p>
            <w:pPr>
              <w:jc w:val="right"/>
              <w:ind w:right="511"/>
              <w:spacing w:after="0"/>
              <w:rPr>
                <w:sz w:val="20"/>
                <w:szCs w:val="20"/>
                <w:color w:val="auto"/>
              </w:rPr>
            </w:pPr>
            <w:r>
              <w:rPr>
                <w:rFonts w:ascii="Times New Roman" w:cs="Times New Roman" w:eastAsia="Times New Roman" w:hAnsi="Times New Roman"/>
                <w:sz w:val="13"/>
                <w:szCs w:val="13"/>
                <w:b w:val="1"/>
                <w:bCs w:val="1"/>
                <w:color w:val="auto"/>
              </w:rPr>
              <w:t>Years ended December 31,</w:t>
            </w:r>
          </w:p>
        </w:tc>
      </w:tr>
      <w:tr>
        <w:trPr>
          <w:trHeight w:val="161"/>
        </w:trPr>
        <w:tc>
          <w:tcPr>
            <w:tcW w:w="8680" w:type="dxa"/>
            <w:vAlign w:val="bottom"/>
            <w:tcBorders>
              <w:bottom w:val="single" w:sz="8" w:color="CCEEFF"/>
            </w:tcBorders>
          </w:tcPr>
          <w:p>
            <w:pPr>
              <w:spacing w:after="0"/>
              <w:rPr>
                <w:sz w:val="14"/>
                <w:szCs w:val="14"/>
                <w:color w:val="auto"/>
              </w:rPr>
            </w:pPr>
          </w:p>
        </w:tc>
        <w:tc>
          <w:tcPr>
            <w:tcW w:w="7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3"/>
                <w:szCs w:val="13"/>
                <w:b w:val="1"/>
                <w:bCs w:val="1"/>
                <w:color w:val="auto"/>
              </w:rPr>
              <w:t>2025</w:t>
            </w:r>
          </w:p>
        </w:tc>
        <w:tc>
          <w:tcPr>
            <w:tcW w:w="480" w:type="dxa"/>
            <w:vAlign w:val="bottom"/>
            <w:tcBorders>
              <w:bottom w:val="single" w:sz="8" w:color="auto"/>
            </w:tcBorders>
          </w:tcPr>
          <w:p>
            <w:pPr>
              <w:spacing w:after="0"/>
              <w:rPr>
                <w:sz w:val="14"/>
                <w:szCs w:val="14"/>
                <w:color w:val="auto"/>
              </w:rPr>
            </w:pPr>
          </w:p>
        </w:tc>
        <w:tc>
          <w:tcPr>
            <w:tcW w:w="100" w:type="dxa"/>
            <w:vAlign w:val="bottom"/>
            <w:tcBorders>
              <w:bottom w:val="single" w:sz="8" w:color="CCEEFF"/>
            </w:tcBorders>
          </w:tcPr>
          <w:p>
            <w:pPr>
              <w:spacing w:after="0"/>
              <w:rPr>
                <w:sz w:val="14"/>
                <w:szCs w:val="14"/>
                <w:color w:val="auto"/>
              </w:rPr>
            </w:pPr>
          </w:p>
        </w:tc>
        <w:tc>
          <w:tcPr>
            <w:tcW w:w="280" w:type="dxa"/>
            <w:vAlign w:val="bottom"/>
            <w:tcBorders>
              <w:bottom w:val="single" w:sz="8" w:color="auto"/>
            </w:tcBorders>
          </w:tcPr>
          <w:p>
            <w:pPr>
              <w:spacing w:after="0"/>
              <w:rPr>
                <w:sz w:val="14"/>
                <w:szCs w:val="14"/>
                <w:color w:val="auto"/>
              </w:rPr>
            </w:pPr>
          </w:p>
        </w:tc>
        <w:tc>
          <w:tcPr>
            <w:tcW w:w="960" w:type="dxa"/>
            <w:vAlign w:val="bottom"/>
            <w:tcBorders>
              <w:bottom w:val="single" w:sz="8" w:color="auto"/>
            </w:tcBorders>
          </w:tcPr>
          <w:p>
            <w:pPr>
              <w:jc w:val="right"/>
              <w:ind w:right="431"/>
              <w:spacing w:after="0"/>
              <w:rPr>
                <w:sz w:val="20"/>
                <w:szCs w:val="20"/>
                <w:color w:val="auto"/>
              </w:rPr>
            </w:pPr>
            <w:r>
              <w:rPr>
                <w:rFonts w:ascii="Times New Roman" w:cs="Times New Roman" w:eastAsia="Times New Roman" w:hAnsi="Times New Roman"/>
                <w:sz w:val="13"/>
                <w:szCs w:val="13"/>
                <w:b w:val="1"/>
                <w:bCs w:val="1"/>
                <w:color w:val="auto"/>
              </w:rPr>
              <w:t>2024</w:t>
            </w:r>
          </w:p>
        </w:tc>
      </w:tr>
      <w:tr>
        <w:trPr>
          <w:trHeight w:val="172"/>
        </w:trPr>
        <w:tc>
          <w:tcPr>
            <w:tcW w:w="868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4"/>
                <w:szCs w:val="14"/>
                <w:b w:val="1"/>
                <w:bCs w:val="1"/>
                <w:color w:val="auto"/>
              </w:rPr>
              <w:t>Beginning balance</w:t>
            </w:r>
          </w:p>
        </w:tc>
        <w:tc>
          <w:tcPr>
            <w:tcW w:w="780" w:type="dxa"/>
            <w:vAlign w:val="bottom"/>
            <w:shd w:val="clear" w:color="auto" w:fill="CCEEFF"/>
          </w:tcPr>
          <w:p>
            <w:pPr>
              <w:jc w:val="right"/>
              <w:ind w:right="633"/>
              <w:spacing w:after="0"/>
              <w:rPr>
                <w:sz w:val="20"/>
                <w:szCs w:val="20"/>
                <w:color w:val="auto"/>
              </w:rPr>
            </w:pPr>
            <w:r>
              <w:rPr>
                <w:rFonts w:ascii="Times New Roman" w:cs="Times New Roman" w:eastAsia="Times New Roman" w:hAnsi="Times New Roman"/>
                <w:sz w:val="14"/>
                <w:szCs w:val="14"/>
                <w:color w:val="auto"/>
                <w:w w:val="85"/>
              </w:rPr>
              <w:t>$</w:t>
            </w:r>
          </w:p>
        </w:tc>
        <w:tc>
          <w:tcPr>
            <w:tcW w:w="4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4,657</w:t>
            </w:r>
          </w:p>
        </w:tc>
        <w:tc>
          <w:tcPr>
            <w:tcW w:w="100" w:type="dxa"/>
            <w:vAlign w:val="bottom"/>
            <w:shd w:val="clear" w:color="auto" w:fill="CCEEFF"/>
          </w:tcPr>
          <w:p>
            <w:pPr>
              <w:spacing w:after="0"/>
              <w:rPr>
                <w:sz w:val="14"/>
                <w:szCs w:val="14"/>
                <w:color w:val="auto"/>
              </w:rPr>
            </w:pPr>
          </w:p>
        </w:tc>
        <w:tc>
          <w:tcPr>
            <w:tcW w:w="280" w:type="dxa"/>
            <w:vAlign w:val="bottom"/>
            <w:shd w:val="clear" w:color="auto" w:fill="CCEEFF"/>
          </w:tcPr>
          <w:p>
            <w:pPr>
              <w:jc w:val="right"/>
              <w:ind w:right="129"/>
              <w:spacing w:after="0"/>
              <w:rPr>
                <w:sz w:val="20"/>
                <w:szCs w:val="20"/>
                <w:color w:val="auto"/>
              </w:rPr>
            </w:pPr>
            <w:r>
              <w:rPr>
                <w:rFonts w:ascii="Times New Roman" w:cs="Times New Roman" w:eastAsia="Times New Roman" w:hAnsi="Times New Roman"/>
                <w:sz w:val="14"/>
                <w:szCs w:val="14"/>
                <w:color w:val="auto"/>
                <w:w w:val="85"/>
              </w:rPr>
              <w:t>$</w:t>
            </w:r>
          </w:p>
        </w:tc>
        <w:tc>
          <w:tcPr>
            <w:tcW w:w="9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10,133</w:t>
            </w:r>
          </w:p>
        </w:tc>
      </w:tr>
      <w:tr>
        <w:trPr>
          <w:trHeight w:val="180"/>
        </w:trPr>
        <w:tc>
          <w:tcPr>
            <w:tcW w:w="8680" w:type="dxa"/>
            <w:vAlign w:val="bottom"/>
          </w:tcPr>
          <w:p>
            <w:pPr>
              <w:ind w:left="20"/>
              <w:spacing w:after="0"/>
              <w:rPr>
                <w:sz w:val="20"/>
                <w:szCs w:val="20"/>
                <w:color w:val="auto"/>
              </w:rPr>
            </w:pPr>
            <w:r>
              <w:rPr>
                <w:rFonts w:ascii="Times New Roman" w:cs="Times New Roman" w:eastAsia="Times New Roman" w:hAnsi="Times New Roman"/>
                <w:sz w:val="14"/>
                <w:szCs w:val="14"/>
                <w:color w:val="auto"/>
              </w:rPr>
              <w:t>Payments</w:t>
            </w:r>
          </w:p>
        </w:tc>
        <w:tc>
          <w:tcPr>
            <w:tcW w:w="780" w:type="dxa"/>
            <w:vAlign w:val="bottom"/>
          </w:tcPr>
          <w:p>
            <w:pPr>
              <w:spacing w:after="0"/>
              <w:rPr>
                <w:sz w:val="15"/>
                <w:szCs w:val="15"/>
                <w:color w:val="auto"/>
              </w:rPr>
            </w:pPr>
          </w:p>
        </w:tc>
        <w:tc>
          <w:tcPr>
            <w:tcW w:w="48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(4,657)</w:t>
            </w:r>
          </w:p>
        </w:tc>
        <w:tc>
          <w:tcPr>
            <w:tcW w:w="100" w:type="dxa"/>
            <w:vAlign w:val="bottom"/>
          </w:tcPr>
          <w:p>
            <w:pPr>
              <w:spacing w:after="0"/>
              <w:rPr>
                <w:sz w:val="15"/>
                <w:szCs w:val="15"/>
                <w:color w:val="auto"/>
              </w:rPr>
            </w:pPr>
          </w:p>
        </w:tc>
        <w:tc>
          <w:tcPr>
            <w:tcW w:w="280" w:type="dxa"/>
            <w:vAlign w:val="bottom"/>
          </w:tcPr>
          <w:p>
            <w:pPr>
              <w:spacing w:after="0"/>
              <w:rPr>
                <w:sz w:val="15"/>
                <w:szCs w:val="15"/>
                <w:color w:val="auto"/>
              </w:rPr>
            </w:pPr>
          </w:p>
        </w:tc>
        <w:tc>
          <w:tcPr>
            <w:tcW w:w="96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(10,357)</w:t>
            </w:r>
          </w:p>
        </w:tc>
      </w:tr>
      <w:tr>
        <w:trPr>
          <w:trHeight w:val="180"/>
        </w:trPr>
        <w:tc>
          <w:tcPr>
            <w:tcW w:w="868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4"/>
                <w:szCs w:val="14"/>
                <w:color w:val="auto"/>
              </w:rPr>
              <w:t>Total loss included in earnings</w:t>
            </w:r>
          </w:p>
        </w:tc>
        <w:tc>
          <w:tcPr>
            <w:tcW w:w="780" w:type="dxa"/>
            <w:vAlign w:val="bottom"/>
            <w:shd w:val="clear" w:color="auto" w:fill="CCEEFF"/>
          </w:tcPr>
          <w:p>
            <w:pPr>
              <w:spacing w:after="0"/>
              <w:rPr>
                <w:sz w:val="15"/>
                <w:szCs w:val="15"/>
                <w:color w:val="auto"/>
              </w:rPr>
            </w:pPr>
          </w:p>
        </w:tc>
        <w:tc>
          <w:tcPr>
            <w:tcW w:w="58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4"/>
                <w:szCs w:val="14"/>
                <w:color w:val="auto"/>
              </w:rPr>
              <w:t>—</w:t>
            </w:r>
          </w:p>
        </w:tc>
        <w:tc>
          <w:tcPr>
            <w:tcW w:w="280" w:type="dxa"/>
            <w:vAlign w:val="bottom"/>
            <w:shd w:val="clear" w:color="auto" w:fill="CCEEFF"/>
          </w:tcPr>
          <w:p>
            <w:pPr>
              <w:spacing w:after="0"/>
              <w:rPr>
                <w:sz w:val="15"/>
                <w:szCs w:val="15"/>
                <w:color w:val="auto"/>
              </w:rPr>
            </w:pPr>
          </w:p>
        </w:tc>
        <w:tc>
          <w:tcPr>
            <w:tcW w:w="9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4,881</w:t>
            </w:r>
          </w:p>
        </w:tc>
      </w:tr>
      <w:tr>
        <w:trPr>
          <w:trHeight w:val="171"/>
        </w:trPr>
        <w:tc>
          <w:tcPr>
            <w:tcW w:w="8680" w:type="dxa"/>
            <w:vAlign w:val="bottom"/>
          </w:tcPr>
          <w:p>
            <w:pPr>
              <w:ind w:left="20"/>
              <w:spacing w:after="0"/>
              <w:rPr>
                <w:sz w:val="20"/>
                <w:szCs w:val="20"/>
                <w:color w:val="auto"/>
              </w:rPr>
            </w:pPr>
            <w:r>
              <w:rPr>
                <w:rFonts w:ascii="Times New Roman" w:cs="Times New Roman" w:eastAsia="Times New Roman" w:hAnsi="Times New Roman"/>
                <w:sz w:val="14"/>
                <w:szCs w:val="14"/>
                <w:b w:val="1"/>
                <w:bCs w:val="1"/>
                <w:color w:val="auto"/>
              </w:rPr>
              <w:t>Ending balance</w:t>
            </w:r>
          </w:p>
        </w:tc>
        <w:tc>
          <w:tcPr>
            <w:tcW w:w="780" w:type="dxa"/>
            <w:vAlign w:val="bottom"/>
            <w:tcBorders>
              <w:top w:val="single" w:sz="8" w:color="auto"/>
              <w:bottom w:val="single" w:sz="8" w:color="auto"/>
            </w:tcBorders>
          </w:tcPr>
          <w:p>
            <w:pPr>
              <w:jc w:val="right"/>
              <w:ind w:right="633"/>
              <w:spacing w:after="0"/>
              <w:rPr>
                <w:sz w:val="20"/>
                <w:szCs w:val="20"/>
                <w:color w:val="auto"/>
              </w:rPr>
            </w:pPr>
            <w:r>
              <w:rPr>
                <w:rFonts w:ascii="Times New Roman" w:cs="Times New Roman" w:eastAsia="Times New Roman" w:hAnsi="Times New Roman"/>
                <w:sz w:val="14"/>
                <w:szCs w:val="14"/>
                <w:color w:val="auto"/>
                <w:w w:val="85"/>
              </w:rPr>
              <w:t>$</w:t>
            </w:r>
          </w:p>
        </w:tc>
        <w:tc>
          <w:tcPr>
            <w:tcW w:w="48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100" w:type="dxa"/>
            <w:vAlign w:val="bottom"/>
          </w:tcPr>
          <w:p>
            <w:pPr>
              <w:spacing w:after="0"/>
              <w:rPr>
                <w:sz w:val="14"/>
                <w:szCs w:val="14"/>
                <w:color w:val="auto"/>
              </w:rPr>
            </w:pPr>
          </w:p>
        </w:tc>
        <w:tc>
          <w:tcPr>
            <w:tcW w:w="280" w:type="dxa"/>
            <w:vAlign w:val="bottom"/>
            <w:tcBorders>
              <w:top w:val="single" w:sz="8" w:color="auto"/>
              <w:bottom w:val="single" w:sz="8" w:color="auto"/>
            </w:tcBorders>
          </w:tcPr>
          <w:p>
            <w:pPr>
              <w:jc w:val="right"/>
              <w:ind w:right="129"/>
              <w:spacing w:after="0"/>
              <w:rPr>
                <w:sz w:val="20"/>
                <w:szCs w:val="20"/>
                <w:color w:val="auto"/>
              </w:rPr>
            </w:pPr>
            <w:r>
              <w:rPr>
                <w:rFonts w:ascii="Times New Roman" w:cs="Times New Roman" w:eastAsia="Times New Roman" w:hAnsi="Times New Roman"/>
                <w:sz w:val="14"/>
                <w:szCs w:val="14"/>
                <w:color w:val="auto"/>
                <w:w w:val="85"/>
              </w:rPr>
              <w:t>$</w:t>
            </w:r>
          </w:p>
        </w:tc>
        <w:tc>
          <w:tcPr>
            <w:tcW w:w="96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4,657</w:t>
            </w:r>
          </w:p>
        </w:tc>
      </w:tr>
      <w:tr>
        <w:trPr>
          <w:trHeight w:val="20"/>
        </w:trPr>
        <w:tc>
          <w:tcPr>
            <w:tcW w:w="8680" w:type="dxa"/>
            <w:vAlign w:val="bottom"/>
          </w:tcPr>
          <w:p>
            <w:pPr>
              <w:spacing w:after="0" w:line="20" w:lineRule="exact"/>
              <w:rPr>
                <w:sz w:val="1"/>
                <w:szCs w:val="1"/>
                <w:color w:val="auto"/>
              </w:rPr>
            </w:pPr>
          </w:p>
        </w:tc>
        <w:tc>
          <w:tcPr>
            <w:tcW w:w="780" w:type="dxa"/>
            <w:vAlign w:val="bottom"/>
            <w:tcBorders>
              <w:bottom w:val="single" w:sz="8" w:color="auto"/>
            </w:tcBorders>
          </w:tcPr>
          <w:p>
            <w:pPr>
              <w:spacing w:after="0" w:line="20" w:lineRule="exact"/>
              <w:rPr>
                <w:sz w:val="1"/>
                <w:szCs w:val="1"/>
                <w:color w:val="auto"/>
              </w:rPr>
            </w:pPr>
          </w:p>
        </w:tc>
        <w:tc>
          <w:tcPr>
            <w:tcW w:w="48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80" w:type="dxa"/>
            <w:vAlign w:val="bottom"/>
            <w:tcBorders>
              <w:bottom w:val="single" w:sz="8" w:color="auto"/>
            </w:tcBorders>
          </w:tcPr>
          <w:p>
            <w:pPr>
              <w:spacing w:after="0" w:line="20" w:lineRule="exact"/>
              <w:rPr>
                <w:sz w:val="1"/>
                <w:szCs w:val="1"/>
                <w:color w:val="auto"/>
              </w:rPr>
            </w:pPr>
          </w:p>
        </w:tc>
        <w:tc>
          <w:tcPr>
            <w:tcW w:w="960" w:type="dxa"/>
            <w:vAlign w:val="bottom"/>
            <w:tcBorders>
              <w:bottom w:val="single" w:sz="8" w:color="auto"/>
            </w:tcBorders>
          </w:tcPr>
          <w:p>
            <w:pPr>
              <w:spacing w:after="0" w:line="20" w:lineRule="exact"/>
              <w:rPr>
                <w:sz w:val="1"/>
                <w:szCs w:val="1"/>
                <w:color w:val="auto"/>
              </w:rPr>
            </w:pPr>
          </w:p>
        </w:tc>
      </w:tr>
    </w:tbl>
    <w:p>
      <w:pPr>
        <w:spacing w:after="0" w:line="134" w:lineRule="exact"/>
        <w:rPr>
          <w:sz w:val="20"/>
          <w:szCs w:val="20"/>
          <w:color w:val="auto"/>
        </w:rPr>
      </w:pPr>
    </w:p>
    <w:p>
      <w:pPr>
        <w:ind w:right="200" w:firstLine="382"/>
        <w:spacing w:after="0" w:line="270" w:lineRule="auto"/>
        <w:rPr>
          <w:sz w:val="20"/>
          <w:szCs w:val="20"/>
          <w:color w:val="auto"/>
        </w:rPr>
      </w:pPr>
      <w:r>
        <w:rPr>
          <w:rFonts w:ascii="Times New Roman" w:cs="Times New Roman" w:eastAsia="Times New Roman" w:hAnsi="Times New Roman"/>
          <w:sz w:val="14"/>
          <w:szCs w:val="14"/>
          <w:color w:val="auto"/>
        </w:rPr>
        <w:t>As part of our 2022 acquisition of the asset management business of Salient Partners, L.P., the Company agreed to pay additional consideration based on specified financial milestones being met in 2024 and 2025. The final payment for the revenue retention earn-out was made in 2025. The December 31, 2025 contingent consideration fair value of the growth earn-out was zero as the specific revenue thresholds were not met; the final measurement date of the growth earn-out was in 2025.</w:t>
      </w:r>
    </w:p>
    <w:p>
      <w:pPr>
        <w:spacing w:after="0" w:line="51" w:lineRule="exact"/>
        <w:rPr>
          <w:sz w:val="20"/>
          <w:szCs w:val="20"/>
          <w:color w:val="auto"/>
        </w:rPr>
      </w:pPr>
    </w:p>
    <w:p>
      <w:pPr>
        <w:ind w:right="220" w:firstLine="382"/>
        <w:spacing w:after="0" w:line="264" w:lineRule="auto"/>
        <w:rPr>
          <w:sz w:val="20"/>
          <w:szCs w:val="20"/>
          <w:color w:val="auto"/>
        </w:rPr>
      </w:pPr>
      <w:r>
        <w:rPr>
          <w:rFonts w:ascii="Times New Roman" w:cs="Times New Roman" w:eastAsia="Times New Roman" w:hAnsi="Times New Roman"/>
          <w:sz w:val="14"/>
          <w:szCs w:val="14"/>
          <w:color w:val="auto"/>
        </w:rPr>
        <w:t>The December 31, 2024 contingent consideration fair value was valued based upon updated revenue growth projections revised asset flow expectations. The fair value of contingent consideration related to the growth earn-out is measured using the Monte Carlo simulation model, which considered assumptions including revenue growth projections, revenue volatility, risk free rates and discount rates. The projected contingent payment is discounted to the current period using a discounted cash flow model. Increases or decreases in projected revenues, probabilities of payment, discount rates, projected payment dates and other inputs may result in significantly higher or lower fair value measurements.</w:t>
      </w:r>
    </w:p>
    <w:p>
      <w:pPr>
        <w:spacing w:after="0" w:line="56" w:lineRule="exact"/>
        <w:rPr>
          <w:sz w:val="20"/>
          <w:szCs w:val="20"/>
          <w:color w:val="auto"/>
        </w:rPr>
      </w:pPr>
    </w:p>
    <w:p>
      <w:pPr>
        <w:ind w:right="100" w:firstLine="382"/>
        <w:spacing w:after="0" w:line="287" w:lineRule="auto"/>
        <w:rPr>
          <w:sz w:val="20"/>
          <w:szCs w:val="20"/>
          <w:color w:val="auto"/>
        </w:rPr>
      </w:pPr>
      <w:r>
        <w:rPr>
          <w:rFonts w:ascii="Times New Roman" w:cs="Times New Roman" w:eastAsia="Times New Roman" w:hAnsi="Times New Roman"/>
          <w:sz w:val="14"/>
          <w:szCs w:val="14"/>
          <w:color w:val="auto"/>
        </w:rPr>
        <w:t>The following table represents the range of the unobservable inputs utilized in the fair value measurement of the contingent consideration classified as level 3, the weighted averages represent the output of the Monte Carlo simulation models:</w:t>
      </w:r>
    </w:p>
    <w:p>
      <w:pPr>
        <w:spacing w:after="0" w:line="73" w:lineRule="exact"/>
        <w:rPr>
          <w:sz w:val="20"/>
          <w:szCs w:val="20"/>
          <w:color w:val="auto"/>
        </w:rPr>
      </w:pPr>
    </w:p>
    <w:tbl>
      <w:tblPr>
        <w:tblLayout w:type="fixed"/>
        <w:tblInd w:w="0" w:type="dxa"/>
        <w:tblCellMar>
          <w:top w:w="0" w:type="dxa"/>
          <w:left w:w="0" w:type="dxa"/>
          <w:bottom w:w="0" w:type="dxa"/>
          <w:right w:w="0" w:type="dxa"/>
        </w:tblCellMar>
      </w:tblPr>
      <w:tr>
        <w:trPr>
          <w:trHeight w:val="170"/>
        </w:trPr>
        <w:tc>
          <w:tcPr>
            <w:tcW w:w="384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236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880" w:type="dxa"/>
            <w:vAlign w:val="bottom"/>
          </w:tcPr>
          <w:p>
            <w:pPr>
              <w:spacing w:after="0"/>
              <w:rPr>
                <w:sz w:val="14"/>
                <w:szCs w:val="14"/>
                <w:color w:val="auto"/>
              </w:rPr>
            </w:pPr>
          </w:p>
        </w:tc>
        <w:tc>
          <w:tcPr>
            <w:tcW w:w="1640" w:type="dxa"/>
            <w:vAlign w:val="bottom"/>
            <w:gridSpan w:val="4"/>
          </w:tcPr>
          <w:p>
            <w:pPr>
              <w:ind w:left="160"/>
              <w:spacing w:after="0"/>
              <w:rPr>
                <w:sz w:val="20"/>
                <w:szCs w:val="20"/>
                <w:color w:val="auto"/>
              </w:rPr>
            </w:pPr>
            <w:r>
              <w:rPr>
                <w:rFonts w:ascii="Times New Roman" w:cs="Times New Roman" w:eastAsia="Times New Roman" w:hAnsi="Times New Roman"/>
                <w:sz w:val="13"/>
                <w:szCs w:val="13"/>
                <w:b w:val="1"/>
                <w:bCs w:val="1"/>
                <w:color w:val="auto"/>
              </w:rPr>
              <w:t>Range</w:t>
            </w:r>
          </w:p>
        </w:tc>
        <w:tc>
          <w:tcPr>
            <w:tcW w:w="2360" w:type="dxa"/>
            <w:vAlign w:val="bottom"/>
          </w:tcPr>
          <w:p>
            <w:pPr>
              <w:spacing w:after="0"/>
              <w:rPr>
                <w:sz w:val="14"/>
                <w:szCs w:val="14"/>
                <w:color w:val="auto"/>
              </w:rPr>
            </w:pPr>
          </w:p>
        </w:tc>
      </w:tr>
      <w:tr>
        <w:trPr>
          <w:trHeight w:val="163"/>
        </w:trPr>
        <w:tc>
          <w:tcPr>
            <w:tcW w:w="3940" w:type="dxa"/>
            <w:vAlign w:val="bottom"/>
            <w:tcBorders>
              <w:top w:val="single" w:sz="8" w:color="CCEEFF"/>
            </w:tcBorders>
            <w:gridSpan w:val="2"/>
            <w:shd w:val="clear" w:color="auto" w:fill="CCEEFF"/>
          </w:tcPr>
          <w:p>
            <w:pPr>
              <w:ind w:left="20"/>
              <w:spacing w:after="0"/>
              <w:rPr>
                <w:sz w:val="20"/>
                <w:szCs w:val="20"/>
                <w:color w:val="auto"/>
              </w:rPr>
            </w:pPr>
            <w:r>
              <w:rPr>
                <w:rFonts w:ascii="Times New Roman" w:cs="Times New Roman" w:eastAsia="Times New Roman" w:hAnsi="Times New Roman"/>
                <w:sz w:val="13"/>
                <w:szCs w:val="13"/>
                <w:b w:val="1"/>
                <w:bCs w:val="1"/>
                <w:color w:val="auto"/>
              </w:rPr>
              <w:t>As of December 31, 2024</w:t>
            </w:r>
          </w:p>
        </w:tc>
        <w:tc>
          <w:tcPr>
            <w:tcW w:w="2460" w:type="dxa"/>
            <w:vAlign w:val="bottom"/>
            <w:tcBorders>
              <w:top w:val="single" w:sz="8" w:color="CCEEFF"/>
            </w:tcBorders>
            <w:gridSpan w:val="2"/>
            <w:shd w:val="clear" w:color="auto" w:fill="CCEEFF"/>
          </w:tcPr>
          <w:p>
            <w:pPr>
              <w:ind w:left="640"/>
              <w:spacing w:after="0"/>
              <w:rPr>
                <w:sz w:val="20"/>
                <w:szCs w:val="20"/>
                <w:color w:val="auto"/>
              </w:rPr>
            </w:pPr>
            <w:r>
              <w:rPr>
                <w:rFonts w:ascii="Times New Roman" w:cs="Times New Roman" w:eastAsia="Times New Roman" w:hAnsi="Times New Roman"/>
                <w:sz w:val="13"/>
                <w:szCs w:val="13"/>
                <w:b w:val="1"/>
                <w:bCs w:val="1"/>
                <w:color w:val="auto"/>
              </w:rPr>
              <w:t>Unobservable Input</w:t>
            </w:r>
          </w:p>
        </w:tc>
        <w:tc>
          <w:tcPr>
            <w:tcW w:w="880" w:type="dxa"/>
            <w:vAlign w:val="bottom"/>
            <w:tcBorders>
              <w:top w:val="single" w:sz="8" w:color="auto"/>
            </w:tcBorders>
            <w:shd w:val="clear" w:color="auto" w:fill="CCEEFF"/>
          </w:tcPr>
          <w:p>
            <w:pPr>
              <w:jc w:val="center"/>
              <w:ind w:left="212"/>
              <w:spacing w:after="0"/>
              <w:rPr>
                <w:sz w:val="20"/>
                <w:szCs w:val="20"/>
                <w:color w:val="auto"/>
              </w:rPr>
            </w:pPr>
            <w:r>
              <w:rPr>
                <w:rFonts w:ascii="Times New Roman" w:cs="Times New Roman" w:eastAsia="Times New Roman" w:hAnsi="Times New Roman"/>
                <w:sz w:val="13"/>
                <w:szCs w:val="13"/>
                <w:b w:val="1"/>
                <w:bCs w:val="1"/>
                <w:color w:val="auto"/>
                <w:w w:val="97"/>
              </w:rPr>
              <w:t>Low</w:t>
            </w:r>
          </w:p>
        </w:tc>
        <w:tc>
          <w:tcPr>
            <w:tcW w:w="280" w:type="dxa"/>
            <w:vAlign w:val="bottom"/>
            <w:tcBorders>
              <w:top w:val="single" w:sz="8" w:color="auto"/>
            </w:tcBorders>
            <w:shd w:val="clear" w:color="auto" w:fill="CCEEFF"/>
          </w:tcPr>
          <w:p>
            <w:pPr>
              <w:spacing w:after="0"/>
              <w:rPr>
                <w:sz w:val="14"/>
                <w:szCs w:val="14"/>
                <w:color w:val="auto"/>
              </w:rPr>
            </w:pPr>
          </w:p>
        </w:tc>
        <w:tc>
          <w:tcPr>
            <w:tcW w:w="100" w:type="dxa"/>
            <w:vAlign w:val="bottom"/>
            <w:tcBorders>
              <w:top w:val="single" w:sz="8" w:color="auto"/>
            </w:tcBorders>
            <w:shd w:val="clear" w:color="auto" w:fill="CCEEFF"/>
          </w:tcPr>
          <w:p>
            <w:pPr>
              <w:spacing w:after="0"/>
              <w:rPr>
                <w:sz w:val="14"/>
                <w:szCs w:val="14"/>
                <w:color w:val="auto"/>
              </w:rPr>
            </w:pPr>
          </w:p>
        </w:tc>
        <w:tc>
          <w:tcPr>
            <w:tcW w:w="1180" w:type="dxa"/>
            <w:vAlign w:val="bottom"/>
            <w:tcBorders>
              <w:top w:val="single" w:sz="8" w:color="auto"/>
            </w:tcBorders>
            <w:shd w:val="clear" w:color="auto" w:fill="CCEEFF"/>
          </w:tcPr>
          <w:p>
            <w:pPr>
              <w:ind w:left="440"/>
              <w:spacing w:after="0"/>
              <w:rPr>
                <w:sz w:val="20"/>
                <w:szCs w:val="20"/>
                <w:color w:val="auto"/>
              </w:rPr>
            </w:pPr>
            <w:r>
              <w:rPr>
                <w:rFonts w:ascii="Times New Roman" w:cs="Times New Roman" w:eastAsia="Times New Roman" w:hAnsi="Times New Roman"/>
                <w:sz w:val="13"/>
                <w:szCs w:val="13"/>
                <w:b w:val="1"/>
                <w:bCs w:val="1"/>
                <w:color w:val="auto"/>
              </w:rPr>
              <w:t>High</w:t>
            </w:r>
          </w:p>
        </w:tc>
        <w:tc>
          <w:tcPr>
            <w:tcW w:w="80" w:type="dxa"/>
            <w:vAlign w:val="bottom"/>
            <w:tcBorders>
              <w:top w:val="single" w:sz="8" w:color="CCEEFF"/>
            </w:tcBorders>
            <w:shd w:val="clear" w:color="auto" w:fill="CCEEFF"/>
          </w:tcPr>
          <w:p>
            <w:pPr>
              <w:spacing w:after="0"/>
              <w:rPr>
                <w:sz w:val="14"/>
                <w:szCs w:val="14"/>
                <w:color w:val="auto"/>
              </w:rPr>
            </w:pPr>
          </w:p>
        </w:tc>
        <w:tc>
          <w:tcPr>
            <w:tcW w:w="2360" w:type="dxa"/>
            <w:vAlign w:val="bottom"/>
            <w:tcBorders>
              <w:top w:val="single" w:sz="8" w:color="CCEEFF"/>
            </w:tcBorders>
            <w:shd w:val="clear" w:color="auto" w:fill="CCEEFF"/>
          </w:tcPr>
          <w:p>
            <w:pPr>
              <w:jc w:val="center"/>
              <w:spacing w:after="0"/>
              <w:rPr>
                <w:sz w:val="20"/>
                <w:szCs w:val="20"/>
                <w:color w:val="auto"/>
              </w:rPr>
            </w:pPr>
            <w:r>
              <w:rPr>
                <w:rFonts w:ascii="Times New Roman" w:cs="Times New Roman" w:eastAsia="Times New Roman" w:hAnsi="Times New Roman"/>
                <w:sz w:val="13"/>
                <w:szCs w:val="13"/>
                <w:b w:val="1"/>
                <w:bCs w:val="1"/>
                <w:color w:val="auto"/>
                <w:w w:val="96"/>
              </w:rPr>
              <w:t>Weighted Average Rate</w:t>
            </w:r>
          </w:p>
        </w:tc>
      </w:tr>
      <w:tr>
        <w:trPr>
          <w:trHeight w:val="171"/>
        </w:trPr>
        <w:tc>
          <w:tcPr>
            <w:tcW w:w="3840" w:type="dxa"/>
            <w:vAlign w:val="bottom"/>
            <w:tcBorders>
              <w:top w:val="single" w:sz="8" w:color="auto"/>
            </w:tcBorders>
          </w:tcPr>
          <w:p>
            <w:pPr>
              <w:ind w:left="20"/>
              <w:spacing w:after="0"/>
              <w:rPr>
                <w:sz w:val="20"/>
                <w:szCs w:val="20"/>
                <w:color w:val="auto"/>
              </w:rPr>
            </w:pPr>
            <w:r>
              <w:rPr>
                <w:rFonts w:ascii="Times New Roman" w:cs="Times New Roman" w:eastAsia="Times New Roman" w:hAnsi="Times New Roman"/>
                <w:sz w:val="14"/>
                <w:szCs w:val="14"/>
                <w:color w:val="auto"/>
              </w:rPr>
              <w:t>Growth earn-out</w:t>
            </w:r>
          </w:p>
        </w:tc>
        <w:tc>
          <w:tcPr>
            <w:tcW w:w="100" w:type="dxa"/>
            <w:vAlign w:val="bottom"/>
          </w:tcPr>
          <w:p>
            <w:pPr>
              <w:spacing w:after="0"/>
              <w:rPr>
                <w:sz w:val="14"/>
                <w:szCs w:val="14"/>
                <w:color w:val="auto"/>
              </w:rPr>
            </w:pPr>
          </w:p>
        </w:tc>
        <w:tc>
          <w:tcPr>
            <w:tcW w:w="2360" w:type="dxa"/>
            <w:vAlign w:val="bottom"/>
            <w:tcBorders>
              <w:top w:val="single" w:sz="8" w:color="auto"/>
            </w:tcBorders>
          </w:tcPr>
          <w:p>
            <w:pPr>
              <w:spacing w:after="0"/>
              <w:rPr>
                <w:sz w:val="20"/>
                <w:szCs w:val="20"/>
                <w:color w:val="auto"/>
              </w:rPr>
            </w:pPr>
            <w:r>
              <w:rPr>
                <w:rFonts w:ascii="Times New Roman" w:cs="Times New Roman" w:eastAsia="Times New Roman" w:hAnsi="Times New Roman"/>
                <w:sz w:val="14"/>
                <w:szCs w:val="14"/>
                <w:color w:val="auto"/>
              </w:rPr>
              <w:t>Discount rate</w:t>
            </w:r>
          </w:p>
        </w:tc>
        <w:tc>
          <w:tcPr>
            <w:tcW w:w="100" w:type="dxa"/>
            <w:vAlign w:val="bottom"/>
          </w:tcPr>
          <w:p>
            <w:pPr>
              <w:spacing w:after="0"/>
              <w:rPr>
                <w:sz w:val="14"/>
                <w:szCs w:val="14"/>
                <w:color w:val="auto"/>
              </w:rPr>
            </w:pPr>
          </w:p>
        </w:tc>
        <w:tc>
          <w:tcPr>
            <w:tcW w:w="880" w:type="dxa"/>
            <w:vAlign w:val="bottom"/>
            <w:tcBorders>
              <w:top w:val="single" w:sz="8" w:color="auto"/>
            </w:tcBorders>
          </w:tcPr>
          <w:p>
            <w:pPr>
              <w:jc w:val="center"/>
              <w:ind w:left="212"/>
              <w:spacing w:after="0"/>
              <w:rPr>
                <w:sz w:val="20"/>
                <w:szCs w:val="20"/>
                <w:color w:val="auto"/>
              </w:rPr>
            </w:pPr>
            <w:r>
              <w:rPr>
                <w:rFonts w:ascii="Times New Roman" w:cs="Times New Roman" w:eastAsia="Times New Roman" w:hAnsi="Times New Roman"/>
                <w:sz w:val="14"/>
                <w:szCs w:val="14"/>
                <w:color w:val="auto"/>
                <w:w w:val="95"/>
              </w:rPr>
              <w:t>7.0%</w:t>
            </w:r>
          </w:p>
        </w:tc>
        <w:tc>
          <w:tcPr>
            <w:tcW w:w="280" w:type="dxa"/>
            <w:vAlign w:val="bottom"/>
            <w:tcBorders>
              <w:top w:val="single" w:sz="8" w:color="auto"/>
            </w:tcBorders>
          </w:tcPr>
          <w:p>
            <w:pPr>
              <w:spacing w:after="0"/>
              <w:rPr>
                <w:sz w:val="14"/>
                <w:szCs w:val="14"/>
                <w:color w:val="auto"/>
              </w:rPr>
            </w:pPr>
          </w:p>
        </w:tc>
        <w:tc>
          <w:tcPr>
            <w:tcW w:w="100" w:type="dxa"/>
            <w:vAlign w:val="bottom"/>
          </w:tcPr>
          <w:p>
            <w:pPr>
              <w:spacing w:after="0"/>
              <w:rPr>
                <w:sz w:val="14"/>
                <w:szCs w:val="14"/>
                <w:color w:val="auto"/>
              </w:rPr>
            </w:pPr>
          </w:p>
        </w:tc>
        <w:tc>
          <w:tcPr>
            <w:tcW w:w="1180" w:type="dxa"/>
            <w:vAlign w:val="bottom"/>
            <w:tcBorders>
              <w:top w:val="single" w:sz="8" w:color="auto"/>
            </w:tcBorders>
          </w:tcPr>
          <w:p>
            <w:pPr>
              <w:jc w:val="right"/>
              <w:ind w:right="373"/>
              <w:spacing w:after="0"/>
              <w:rPr>
                <w:sz w:val="20"/>
                <w:szCs w:val="20"/>
                <w:color w:val="auto"/>
              </w:rPr>
            </w:pPr>
            <w:r>
              <w:rPr>
                <w:rFonts w:ascii="Times New Roman" w:cs="Times New Roman" w:eastAsia="Times New Roman" w:hAnsi="Times New Roman"/>
                <w:sz w:val="14"/>
                <w:szCs w:val="14"/>
                <w:color w:val="auto"/>
              </w:rPr>
              <w:t>7.5%</w:t>
            </w:r>
          </w:p>
        </w:tc>
        <w:tc>
          <w:tcPr>
            <w:tcW w:w="80" w:type="dxa"/>
            <w:vAlign w:val="bottom"/>
          </w:tcPr>
          <w:p>
            <w:pPr>
              <w:spacing w:after="0"/>
              <w:rPr>
                <w:sz w:val="14"/>
                <w:szCs w:val="14"/>
                <w:color w:val="auto"/>
              </w:rPr>
            </w:pPr>
          </w:p>
        </w:tc>
        <w:tc>
          <w:tcPr>
            <w:tcW w:w="2360" w:type="dxa"/>
            <w:vAlign w:val="bottom"/>
            <w:tcBorders>
              <w:top w:val="single" w:sz="8" w:color="auto"/>
            </w:tcBorders>
          </w:tcPr>
          <w:p>
            <w:pPr>
              <w:jc w:val="center"/>
              <w:spacing w:after="0"/>
              <w:rPr>
                <w:sz w:val="20"/>
                <w:szCs w:val="20"/>
                <w:color w:val="auto"/>
              </w:rPr>
            </w:pPr>
            <w:r>
              <w:rPr>
                <w:rFonts w:ascii="Times New Roman" w:cs="Times New Roman" w:eastAsia="Times New Roman" w:hAnsi="Times New Roman"/>
                <w:sz w:val="14"/>
                <w:szCs w:val="14"/>
                <w:color w:val="auto"/>
                <w:w w:val="95"/>
              </w:rPr>
              <w:t>7.3%</w:t>
            </w:r>
          </w:p>
        </w:tc>
      </w:tr>
      <w:tr>
        <w:trPr>
          <w:trHeight w:val="180"/>
        </w:trPr>
        <w:tc>
          <w:tcPr>
            <w:tcW w:w="384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246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4"/>
                <w:szCs w:val="14"/>
                <w:color w:val="auto"/>
              </w:rPr>
              <w:t>Volatility</w:t>
            </w:r>
          </w:p>
        </w:tc>
        <w:tc>
          <w:tcPr>
            <w:tcW w:w="880" w:type="dxa"/>
            <w:vAlign w:val="bottom"/>
            <w:shd w:val="clear" w:color="auto" w:fill="CCEEFF"/>
          </w:tcPr>
          <w:p>
            <w:pPr>
              <w:jc w:val="center"/>
              <w:ind w:left="212"/>
              <w:spacing w:after="0"/>
              <w:rPr>
                <w:sz w:val="20"/>
                <w:szCs w:val="20"/>
                <w:color w:val="auto"/>
              </w:rPr>
            </w:pPr>
            <w:r>
              <w:rPr>
                <w:rFonts w:ascii="Times New Roman" w:cs="Times New Roman" w:eastAsia="Times New Roman" w:hAnsi="Times New Roman"/>
                <w:sz w:val="14"/>
                <w:szCs w:val="14"/>
                <w:color w:val="auto"/>
                <w:w w:val="95"/>
              </w:rPr>
              <w:t>1.9%</w:t>
            </w:r>
          </w:p>
        </w:tc>
        <w:tc>
          <w:tcPr>
            <w:tcW w:w="1560" w:type="dxa"/>
            <w:vAlign w:val="bottom"/>
            <w:gridSpan w:val="3"/>
            <w:shd w:val="clear" w:color="auto" w:fill="CCEEFF"/>
          </w:tcPr>
          <w:p>
            <w:pPr>
              <w:jc w:val="right"/>
              <w:ind w:right="353"/>
              <w:spacing w:after="0"/>
              <w:rPr>
                <w:sz w:val="20"/>
                <w:szCs w:val="20"/>
                <w:color w:val="auto"/>
              </w:rPr>
            </w:pPr>
            <w:r>
              <w:rPr>
                <w:rFonts w:ascii="Times New Roman" w:cs="Times New Roman" w:eastAsia="Times New Roman" w:hAnsi="Times New Roman"/>
                <w:sz w:val="14"/>
                <w:szCs w:val="14"/>
                <w:color w:val="auto"/>
              </w:rPr>
              <w:t>11.9%</w:t>
            </w:r>
          </w:p>
        </w:tc>
        <w:tc>
          <w:tcPr>
            <w:tcW w:w="80" w:type="dxa"/>
            <w:vAlign w:val="bottom"/>
            <w:shd w:val="clear" w:color="auto" w:fill="CCEEFF"/>
          </w:tcPr>
          <w:p>
            <w:pPr>
              <w:spacing w:after="0"/>
              <w:rPr>
                <w:sz w:val="15"/>
                <w:szCs w:val="15"/>
                <w:color w:val="auto"/>
              </w:rPr>
            </w:pPr>
          </w:p>
        </w:tc>
        <w:tc>
          <w:tcPr>
            <w:tcW w:w="2360" w:type="dxa"/>
            <w:vAlign w:val="bottom"/>
            <w:shd w:val="clear" w:color="auto" w:fill="CCEEFF"/>
          </w:tcPr>
          <w:p>
            <w:pPr>
              <w:jc w:val="center"/>
              <w:spacing w:after="0"/>
              <w:rPr>
                <w:sz w:val="20"/>
                <w:szCs w:val="20"/>
                <w:color w:val="auto"/>
              </w:rPr>
            </w:pPr>
            <w:r>
              <w:rPr>
                <w:rFonts w:ascii="Times New Roman" w:cs="Times New Roman" w:eastAsia="Times New Roman" w:hAnsi="Times New Roman"/>
                <w:sz w:val="14"/>
                <w:szCs w:val="14"/>
                <w:color w:val="auto"/>
                <w:w w:val="95"/>
              </w:rPr>
              <w:t>6.9%</w:t>
            </w:r>
          </w:p>
        </w:tc>
      </w:tr>
    </w:tbl>
    <w:p>
      <w:pPr>
        <w:spacing w:after="0" w:line="200" w:lineRule="exact"/>
        <w:rPr>
          <w:sz w:val="20"/>
          <w:szCs w:val="20"/>
          <w:color w:val="auto"/>
        </w:rPr>
      </w:pPr>
    </w:p>
    <w:p>
      <w:pPr>
        <w:spacing w:after="0" w:line="218" w:lineRule="exact"/>
        <w:rPr>
          <w:sz w:val="20"/>
          <w:szCs w:val="20"/>
          <w:color w:val="auto"/>
        </w:rPr>
      </w:pPr>
    </w:p>
    <w:p>
      <w:pPr>
        <w:ind w:right="9540" w:firstLine="5"/>
        <w:spacing w:after="0" w:line="416" w:lineRule="auto"/>
        <w:tabs>
          <w:tab w:leader="none" w:pos="141" w:val="left"/>
        </w:tabs>
        <w:numPr>
          <w:ilvl w:val="0"/>
          <w:numId w:val="23"/>
        </w:numPr>
        <w:rPr>
          <w:rFonts w:ascii="Times New Roman" w:cs="Times New Roman" w:eastAsia="Times New Roman" w:hAnsi="Times New Roman"/>
          <w:sz w:val="14"/>
          <w:szCs w:val="14"/>
          <w:b w:val="1"/>
          <w:bCs w:val="1"/>
          <w:color w:val="auto"/>
        </w:rPr>
      </w:pPr>
      <w:r>
        <w:rPr>
          <w:rFonts w:ascii="Times New Roman" w:cs="Times New Roman" w:eastAsia="Times New Roman" w:hAnsi="Times New Roman"/>
          <w:sz w:val="14"/>
          <w:szCs w:val="14"/>
          <w:b w:val="1"/>
          <w:bCs w:val="1"/>
          <w:color w:val="auto"/>
        </w:rPr>
        <w:t>EMPLOYEE BENEFITS: Restricted Stock Awards</w:t>
      </w:r>
    </w:p>
    <w:p>
      <w:pPr>
        <w:spacing w:after="0" w:line="30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4"/>
          <w:szCs w:val="14"/>
          <w:color w:val="auto"/>
        </w:rPr>
        <w:t>20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-8890</wp:posOffset>
            </wp:positionH>
            <wp:positionV relativeFrom="paragraph">
              <wp:posOffset>55880</wp:posOffset>
            </wp:positionV>
            <wp:extent cx="7186930" cy="38735"/>
            <wp:wrapNone/>
            <wp:docPr id="125" name="Picture 1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5"/>
                    <pic:cNvPicPr>
                      <a:picLocks noChangeAspect="1" noChangeArrowheads="1"/>
                    </pic:cNvPicPr>
                  </pic:nvPicPr>
                  <pic:blipFill>
                    <a:blip r:embed="rId132">
                      <a:extLst>
                        <a:ext uri="{28A0092B-C50C-407E-A947-70E740481C1C}"/>
                      </a:extLst>
                    </a:blip>
                    <a:srcRect/>
                    <a:stretch>
                      <a:fillRect/>
                    </a:stretch>
                  </pic:blipFill>
                  <pic:spPr bwMode="auto">
                    <a:xfrm>
                      <a:off x="0" y="0"/>
                      <a:ext cx="7186930" cy="38735"/>
                    </a:xfrm>
                    <a:prstGeom prst="rect">
                      <a:avLst/>
                    </a:prstGeom>
                    <a:noFill/>
                  </pic:spPr>
                </pic:pic>
              </a:graphicData>
            </a:graphic>
          </wp:anchor>
        </w:drawing>
      </w:r>
    </w:p>
    <w:p>
      <w:pPr>
        <w:sectPr>
          <w:pgSz w:w="11900" w:h="16838" w:orient="portrait"/>
          <w:cols w:equalWidth="0" w:num="1">
            <w:col w:w="11280"/>
          </w:cols>
          <w:pgMar w:left="300" w:top="123" w:right="319" w:bottom="1440" w:gutter="0" w:footer="0" w:header="0"/>
        </w:sectPr>
      </w:pPr>
    </w:p>
    <w:bookmarkStart w:id="62" w:name="page63"/>
    <w:bookmarkEnd w:id="62"/>
    <w:p>
      <w:pPr>
        <w:jc w:val="center"/>
        <w:spacing w:after="0"/>
        <w:rPr>
          <w:sz w:val="20"/>
          <w:szCs w:val="20"/>
          <w:color w:val="auto"/>
        </w:rPr>
      </w:pPr>
      <w:r>
        <w:rPr>
          <w:rFonts w:ascii="Times New Roman" w:cs="Times New Roman" w:eastAsia="Times New Roman" w:hAnsi="Times New Roman"/>
          <w:sz w:val="14"/>
          <w:szCs w:val="14"/>
          <w:b w:val="1"/>
          <w:bCs w:val="1"/>
          <w:color w:val="auto"/>
        </w:rPr>
        <w:t>WESTWOOD HOLDINGS GROUP, INC.</w:t>
      </w:r>
    </w:p>
    <w:p>
      <w:pPr>
        <w:spacing w:after="0" w:line="5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4"/>
          <w:szCs w:val="14"/>
          <w:b w:val="1"/>
          <w:bCs w:val="1"/>
          <w:color w:val="auto"/>
        </w:rPr>
        <w:t>NOTES TO CONSOLIDATED FINANCIAL STATEMENTS — (Continued)</w:t>
      </w:r>
    </w:p>
    <w:p>
      <w:pPr>
        <w:spacing w:after="0" w:line="318" w:lineRule="exact"/>
        <w:rPr>
          <w:sz w:val="20"/>
          <w:szCs w:val="20"/>
          <w:color w:val="auto"/>
        </w:rPr>
      </w:pPr>
    </w:p>
    <w:p>
      <w:pPr>
        <w:ind w:right="60" w:firstLine="382"/>
        <w:spacing w:after="0" w:line="261" w:lineRule="auto"/>
        <w:rPr>
          <w:sz w:val="20"/>
          <w:szCs w:val="20"/>
          <w:color w:val="auto"/>
        </w:rPr>
      </w:pPr>
      <w:r>
        <w:rPr>
          <w:rFonts w:ascii="Times New Roman" w:cs="Times New Roman" w:eastAsia="Times New Roman" w:hAnsi="Times New Roman"/>
          <w:sz w:val="14"/>
          <w:szCs w:val="14"/>
          <w:color w:val="auto"/>
        </w:rPr>
        <w:t>We have issued restricted shares to certain employees and non-employee directors. The Eleventh Amended and Restated Westwood Holdings Group, Inc. Stock Incentive Plan ("the Plan") reserves shares of Westwood common stock for issuance to eligible employees, directors and consultants of Westwood or its subsidiaries in the form of restricted stock and stock options. In May 2025, stockholders approved an additional 200,000 shares to be authorized under the Plan, increasing the total number of shares issuable under the Plan (including predecessor plans to the Plan) to 6,948,100 shares. In the event of a change in control of Westwood, the Plan contains provisions providing for the acceleration of the vesting of restricted stock. At December 31, 2025, approximately 774,000 shares remain available for issuance under the Plan.</w:t>
      </w:r>
    </w:p>
    <w:p>
      <w:pPr>
        <w:spacing w:after="0" w:line="58" w:lineRule="exact"/>
        <w:rPr>
          <w:sz w:val="20"/>
          <w:szCs w:val="20"/>
          <w:color w:val="auto"/>
        </w:rPr>
      </w:pPr>
    </w:p>
    <w:p>
      <w:pPr>
        <w:ind w:right="500" w:firstLine="382"/>
        <w:spacing w:after="0" w:line="286" w:lineRule="auto"/>
        <w:rPr>
          <w:sz w:val="20"/>
          <w:szCs w:val="20"/>
          <w:color w:val="auto"/>
        </w:rPr>
      </w:pPr>
      <w:r>
        <w:rPr>
          <w:rFonts w:ascii="Times New Roman" w:cs="Times New Roman" w:eastAsia="Times New Roman" w:hAnsi="Times New Roman"/>
          <w:sz w:val="14"/>
          <w:szCs w:val="14"/>
          <w:color w:val="auto"/>
        </w:rPr>
        <w:t>The following table presents the total stock-based compensation expense recorded and the total income tax benefit recognized for stock-based compensation arrangements for the years indicated (in thousands):</w:t>
      </w:r>
    </w:p>
    <w:tbl>
      <w:tblPr>
        <w:tblLayout w:type="fixed"/>
        <w:tblInd w:w="0" w:type="dxa"/>
        <w:tblCellMar>
          <w:top w:w="0" w:type="dxa"/>
          <w:left w:w="0" w:type="dxa"/>
          <w:bottom w:w="0" w:type="dxa"/>
          <w:right w:w="0" w:type="dxa"/>
        </w:tblCellMar>
      </w:tblPr>
      <w:tr>
        <w:trPr>
          <w:trHeight w:val="170"/>
        </w:trPr>
        <w:tc>
          <w:tcPr>
            <w:tcW w:w="7600" w:type="dxa"/>
            <w:vAlign w:val="bottom"/>
          </w:tcPr>
          <w:p>
            <w:pPr>
              <w:spacing w:after="0"/>
              <w:rPr>
                <w:sz w:val="14"/>
                <w:szCs w:val="14"/>
                <w:color w:val="auto"/>
              </w:rPr>
            </w:pPr>
          </w:p>
        </w:tc>
        <w:tc>
          <w:tcPr>
            <w:tcW w:w="760" w:type="dxa"/>
            <w:vAlign w:val="bottom"/>
            <w:tcBorders>
              <w:bottom w:val="single" w:sz="8" w:color="auto"/>
            </w:tcBorders>
          </w:tcPr>
          <w:p>
            <w:pPr>
              <w:spacing w:after="0"/>
              <w:rPr>
                <w:sz w:val="14"/>
                <w:szCs w:val="14"/>
                <w:color w:val="auto"/>
              </w:rPr>
            </w:pPr>
          </w:p>
        </w:tc>
        <w:tc>
          <w:tcPr>
            <w:tcW w:w="2100" w:type="dxa"/>
            <w:vAlign w:val="bottom"/>
            <w:tcBorders>
              <w:bottom w:val="single" w:sz="8" w:color="auto"/>
            </w:tcBorders>
            <w:gridSpan w:val="6"/>
          </w:tcPr>
          <w:p>
            <w:pPr>
              <w:jc w:val="right"/>
              <w:ind w:right="33"/>
              <w:spacing w:after="0"/>
              <w:rPr>
                <w:sz w:val="20"/>
                <w:szCs w:val="20"/>
                <w:color w:val="auto"/>
              </w:rPr>
            </w:pPr>
            <w:r>
              <w:rPr>
                <w:rFonts w:ascii="Times New Roman" w:cs="Times New Roman" w:eastAsia="Times New Roman" w:hAnsi="Times New Roman"/>
                <w:sz w:val="13"/>
                <w:szCs w:val="13"/>
                <w:b w:val="1"/>
                <w:bCs w:val="1"/>
                <w:color w:val="auto"/>
              </w:rPr>
              <w:t>For the years ended December 31,</w:t>
            </w:r>
          </w:p>
        </w:tc>
        <w:tc>
          <w:tcPr>
            <w:tcW w:w="820" w:type="dxa"/>
            <w:vAlign w:val="bottom"/>
            <w:tcBorders>
              <w:bottom w:val="single" w:sz="8" w:color="auto"/>
            </w:tcBorders>
          </w:tcPr>
          <w:p>
            <w:pPr>
              <w:spacing w:after="0"/>
              <w:rPr>
                <w:sz w:val="14"/>
                <w:szCs w:val="14"/>
                <w:color w:val="auto"/>
              </w:rPr>
            </w:pPr>
          </w:p>
        </w:tc>
        <w:tc>
          <w:tcPr>
            <w:tcW w:w="0" w:type="dxa"/>
            <w:vAlign w:val="bottom"/>
          </w:tcPr>
          <w:p>
            <w:pPr>
              <w:spacing w:after="0"/>
              <w:rPr>
                <w:sz w:val="1"/>
                <w:szCs w:val="1"/>
                <w:color w:val="auto"/>
              </w:rPr>
            </w:pPr>
          </w:p>
        </w:tc>
      </w:tr>
      <w:tr>
        <w:trPr>
          <w:trHeight w:val="161"/>
        </w:trPr>
        <w:tc>
          <w:tcPr>
            <w:tcW w:w="7600" w:type="dxa"/>
            <w:vAlign w:val="bottom"/>
            <w:tcBorders>
              <w:bottom w:val="single" w:sz="8" w:color="CCEEFF"/>
            </w:tcBorders>
          </w:tcPr>
          <w:p>
            <w:pPr>
              <w:spacing w:after="0"/>
              <w:rPr>
                <w:sz w:val="14"/>
                <w:szCs w:val="14"/>
                <w:color w:val="auto"/>
              </w:rPr>
            </w:pPr>
          </w:p>
        </w:tc>
        <w:tc>
          <w:tcPr>
            <w:tcW w:w="7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3"/>
                <w:szCs w:val="13"/>
                <w:b w:val="1"/>
                <w:bCs w:val="1"/>
                <w:color w:val="auto"/>
              </w:rPr>
              <w:t>2025</w:t>
            </w:r>
          </w:p>
        </w:tc>
        <w:tc>
          <w:tcPr>
            <w:tcW w:w="400" w:type="dxa"/>
            <w:vAlign w:val="bottom"/>
            <w:tcBorders>
              <w:bottom w:val="single" w:sz="8" w:color="auto"/>
            </w:tcBorders>
          </w:tcPr>
          <w:p>
            <w:pPr>
              <w:spacing w:after="0"/>
              <w:rPr>
                <w:sz w:val="14"/>
                <w:szCs w:val="14"/>
                <w:color w:val="auto"/>
              </w:rPr>
            </w:pPr>
          </w:p>
        </w:tc>
        <w:tc>
          <w:tcPr>
            <w:tcW w:w="100" w:type="dxa"/>
            <w:vAlign w:val="bottom"/>
            <w:tcBorders>
              <w:bottom w:val="single" w:sz="8" w:color="CCEEFF"/>
            </w:tcBorders>
          </w:tcPr>
          <w:p>
            <w:pPr>
              <w:spacing w:after="0"/>
              <w:rPr>
                <w:sz w:val="14"/>
                <w:szCs w:val="14"/>
                <w:color w:val="auto"/>
              </w:rPr>
            </w:pPr>
          </w:p>
        </w:tc>
        <w:tc>
          <w:tcPr>
            <w:tcW w:w="260" w:type="dxa"/>
            <w:vAlign w:val="bottom"/>
            <w:tcBorders>
              <w:bottom w:val="single" w:sz="8" w:color="auto"/>
            </w:tcBorders>
          </w:tcPr>
          <w:p>
            <w:pPr>
              <w:spacing w:after="0"/>
              <w:rPr>
                <w:sz w:val="14"/>
                <w:szCs w:val="14"/>
                <w:color w:val="auto"/>
              </w:rPr>
            </w:pPr>
          </w:p>
        </w:tc>
        <w:tc>
          <w:tcPr>
            <w:tcW w:w="900" w:type="dxa"/>
            <w:vAlign w:val="bottom"/>
            <w:tcBorders>
              <w:bottom w:val="single" w:sz="8" w:color="auto"/>
            </w:tcBorders>
          </w:tcPr>
          <w:p>
            <w:pPr>
              <w:jc w:val="right"/>
              <w:ind w:right="394"/>
              <w:spacing w:after="0"/>
              <w:rPr>
                <w:sz w:val="20"/>
                <w:szCs w:val="20"/>
                <w:color w:val="auto"/>
              </w:rPr>
            </w:pPr>
            <w:r>
              <w:rPr>
                <w:rFonts w:ascii="Times New Roman" w:cs="Times New Roman" w:eastAsia="Times New Roman" w:hAnsi="Times New Roman"/>
                <w:sz w:val="13"/>
                <w:szCs w:val="13"/>
                <w:b w:val="1"/>
                <w:bCs w:val="1"/>
                <w:color w:val="auto"/>
              </w:rPr>
              <w:t>2024</w:t>
            </w:r>
          </w:p>
        </w:tc>
        <w:tc>
          <w:tcPr>
            <w:tcW w:w="100" w:type="dxa"/>
            <w:vAlign w:val="bottom"/>
            <w:tcBorders>
              <w:bottom w:val="single" w:sz="8" w:color="CCEEFF"/>
            </w:tcBorders>
          </w:tcPr>
          <w:p>
            <w:pPr>
              <w:spacing w:after="0"/>
              <w:rPr>
                <w:sz w:val="14"/>
                <w:szCs w:val="14"/>
                <w:color w:val="auto"/>
              </w:rPr>
            </w:pPr>
          </w:p>
        </w:tc>
        <w:tc>
          <w:tcPr>
            <w:tcW w:w="340" w:type="dxa"/>
            <w:vAlign w:val="bottom"/>
            <w:tcBorders>
              <w:bottom w:val="single" w:sz="8" w:color="auto"/>
            </w:tcBorders>
          </w:tcPr>
          <w:p>
            <w:pPr>
              <w:spacing w:after="0"/>
              <w:rPr>
                <w:sz w:val="14"/>
                <w:szCs w:val="14"/>
                <w:color w:val="auto"/>
              </w:rPr>
            </w:pPr>
          </w:p>
        </w:tc>
        <w:tc>
          <w:tcPr>
            <w:tcW w:w="820" w:type="dxa"/>
            <w:vAlign w:val="bottom"/>
            <w:tcBorders>
              <w:bottom w:val="single" w:sz="8" w:color="auto"/>
            </w:tcBorders>
          </w:tcPr>
          <w:p>
            <w:pPr>
              <w:jc w:val="right"/>
              <w:ind w:right="394"/>
              <w:spacing w:after="0"/>
              <w:rPr>
                <w:sz w:val="20"/>
                <w:szCs w:val="20"/>
                <w:color w:val="auto"/>
              </w:rPr>
            </w:pPr>
            <w:r>
              <w:rPr>
                <w:rFonts w:ascii="Times New Roman" w:cs="Times New Roman" w:eastAsia="Times New Roman" w:hAnsi="Times New Roman"/>
                <w:sz w:val="13"/>
                <w:szCs w:val="13"/>
                <w:b w:val="1"/>
                <w:bCs w:val="1"/>
                <w:color w:val="auto"/>
              </w:rPr>
              <w:t>2023</w:t>
            </w:r>
          </w:p>
        </w:tc>
        <w:tc>
          <w:tcPr>
            <w:tcW w:w="0" w:type="dxa"/>
            <w:vAlign w:val="bottom"/>
          </w:tcPr>
          <w:p>
            <w:pPr>
              <w:spacing w:after="0"/>
              <w:rPr>
                <w:sz w:val="1"/>
                <w:szCs w:val="1"/>
                <w:color w:val="auto"/>
              </w:rPr>
            </w:pPr>
          </w:p>
        </w:tc>
      </w:tr>
      <w:tr>
        <w:trPr>
          <w:trHeight w:val="172"/>
        </w:trPr>
        <w:tc>
          <w:tcPr>
            <w:tcW w:w="760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4"/>
                <w:szCs w:val="14"/>
                <w:color w:val="auto"/>
              </w:rPr>
              <w:t>Service condition restricted stock expense</w:t>
            </w:r>
          </w:p>
        </w:tc>
        <w:tc>
          <w:tcPr>
            <w:tcW w:w="760" w:type="dxa"/>
            <w:vAlign w:val="bottom"/>
            <w:shd w:val="clear" w:color="auto" w:fill="CCEEFF"/>
          </w:tcPr>
          <w:p>
            <w:pPr>
              <w:jc w:val="right"/>
              <w:ind w:right="614"/>
              <w:spacing w:after="0"/>
              <w:rPr>
                <w:sz w:val="20"/>
                <w:szCs w:val="20"/>
                <w:color w:val="auto"/>
              </w:rPr>
            </w:pPr>
            <w:r>
              <w:rPr>
                <w:rFonts w:ascii="Times New Roman" w:cs="Times New Roman" w:eastAsia="Times New Roman" w:hAnsi="Times New Roman"/>
                <w:sz w:val="13"/>
                <w:szCs w:val="13"/>
                <w:color w:val="auto"/>
                <w:w w:val="91"/>
              </w:rPr>
              <w:t>$</w:t>
            </w:r>
          </w:p>
        </w:tc>
        <w:tc>
          <w:tcPr>
            <w:tcW w:w="4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5,148</w:t>
            </w:r>
          </w:p>
        </w:tc>
        <w:tc>
          <w:tcPr>
            <w:tcW w:w="100" w:type="dxa"/>
            <w:vAlign w:val="bottom"/>
            <w:shd w:val="clear" w:color="auto" w:fill="CCEEFF"/>
          </w:tcPr>
          <w:p>
            <w:pPr>
              <w:spacing w:after="0"/>
              <w:rPr>
                <w:sz w:val="14"/>
                <w:szCs w:val="14"/>
                <w:color w:val="auto"/>
              </w:rPr>
            </w:pPr>
          </w:p>
        </w:tc>
        <w:tc>
          <w:tcPr>
            <w:tcW w:w="260" w:type="dxa"/>
            <w:vAlign w:val="bottom"/>
            <w:shd w:val="clear" w:color="auto" w:fill="CCEEFF"/>
          </w:tcPr>
          <w:p>
            <w:pPr>
              <w:jc w:val="right"/>
              <w:ind w:right="113"/>
              <w:spacing w:after="0"/>
              <w:rPr>
                <w:sz w:val="20"/>
                <w:szCs w:val="20"/>
                <w:color w:val="auto"/>
              </w:rPr>
            </w:pPr>
            <w:r>
              <w:rPr>
                <w:rFonts w:ascii="Times New Roman" w:cs="Times New Roman" w:eastAsia="Times New Roman" w:hAnsi="Times New Roman"/>
                <w:sz w:val="13"/>
                <w:szCs w:val="13"/>
                <w:color w:val="auto"/>
                <w:w w:val="91"/>
              </w:rPr>
              <w:t>$</w:t>
            </w:r>
          </w:p>
        </w:tc>
        <w:tc>
          <w:tcPr>
            <w:tcW w:w="9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5,537</w:t>
            </w:r>
          </w:p>
        </w:tc>
        <w:tc>
          <w:tcPr>
            <w:tcW w:w="100" w:type="dxa"/>
            <w:vAlign w:val="bottom"/>
            <w:shd w:val="clear" w:color="auto" w:fill="CCEEFF"/>
          </w:tcPr>
          <w:p>
            <w:pPr>
              <w:spacing w:after="0"/>
              <w:rPr>
                <w:sz w:val="14"/>
                <w:szCs w:val="14"/>
                <w:color w:val="auto"/>
              </w:rPr>
            </w:pPr>
          </w:p>
        </w:tc>
        <w:tc>
          <w:tcPr>
            <w:tcW w:w="340" w:type="dxa"/>
            <w:vAlign w:val="bottom"/>
            <w:shd w:val="clear" w:color="auto" w:fill="CCEEFF"/>
          </w:tcPr>
          <w:p>
            <w:pPr>
              <w:jc w:val="right"/>
              <w:ind w:right="193"/>
              <w:spacing w:after="0"/>
              <w:rPr>
                <w:sz w:val="20"/>
                <w:szCs w:val="20"/>
                <w:color w:val="auto"/>
              </w:rPr>
            </w:pPr>
            <w:r>
              <w:rPr>
                <w:rFonts w:ascii="Times New Roman" w:cs="Times New Roman" w:eastAsia="Times New Roman" w:hAnsi="Times New Roman"/>
                <w:sz w:val="13"/>
                <w:szCs w:val="13"/>
                <w:color w:val="auto"/>
                <w:w w:val="91"/>
              </w:rPr>
              <w:t>$</w:t>
            </w:r>
          </w:p>
        </w:tc>
        <w:tc>
          <w:tcPr>
            <w:tcW w:w="8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6,479</w:t>
            </w:r>
          </w:p>
        </w:tc>
        <w:tc>
          <w:tcPr>
            <w:tcW w:w="0" w:type="dxa"/>
            <w:vAlign w:val="bottom"/>
          </w:tcPr>
          <w:p>
            <w:pPr>
              <w:spacing w:after="0"/>
              <w:rPr>
                <w:sz w:val="1"/>
                <w:szCs w:val="1"/>
                <w:color w:val="auto"/>
              </w:rPr>
            </w:pPr>
          </w:p>
        </w:tc>
      </w:tr>
      <w:tr>
        <w:trPr>
          <w:trHeight w:val="180"/>
        </w:trPr>
        <w:tc>
          <w:tcPr>
            <w:tcW w:w="7600" w:type="dxa"/>
            <w:vAlign w:val="bottom"/>
          </w:tcPr>
          <w:p>
            <w:pPr>
              <w:ind w:left="20"/>
              <w:spacing w:after="0"/>
              <w:rPr>
                <w:sz w:val="20"/>
                <w:szCs w:val="20"/>
                <w:color w:val="auto"/>
              </w:rPr>
            </w:pPr>
            <w:r>
              <w:rPr>
                <w:rFonts w:ascii="Times New Roman" w:cs="Times New Roman" w:eastAsia="Times New Roman" w:hAnsi="Times New Roman"/>
                <w:sz w:val="14"/>
                <w:szCs w:val="14"/>
                <w:color w:val="auto"/>
              </w:rPr>
              <w:t>Performance-based restricted stock expense</w:t>
            </w:r>
          </w:p>
        </w:tc>
        <w:tc>
          <w:tcPr>
            <w:tcW w:w="760" w:type="dxa"/>
            <w:vAlign w:val="bottom"/>
          </w:tcPr>
          <w:p>
            <w:pPr>
              <w:spacing w:after="0"/>
              <w:rPr>
                <w:sz w:val="15"/>
                <w:szCs w:val="15"/>
                <w:color w:val="auto"/>
              </w:rPr>
            </w:pPr>
          </w:p>
        </w:tc>
        <w:tc>
          <w:tcPr>
            <w:tcW w:w="500" w:type="dxa"/>
            <w:vAlign w:val="bottom"/>
            <w:gridSpan w:val="2"/>
          </w:tcPr>
          <w:p>
            <w:pPr>
              <w:jc w:val="right"/>
              <w:ind w:right="160"/>
              <w:spacing w:after="0"/>
              <w:rPr>
                <w:sz w:val="20"/>
                <w:szCs w:val="20"/>
                <w:color w:val="auto"/>
              </w:rPr>
            </w:pPr>
            <w:r>
              <w:rPr>
                <w:rFonts w:ascii="Times New Roman" w:cs="Times New Roman" w:eastAsia="Times New Roman" w:hAnsi="Times New Roman"/>
                <w:sz w:val="13"/>
                <w:szCs w:val="13"/>
                <w:color w:val="auto"/>
              </w:rPr>
              <w:t>—</w:t>
            </w:r>
          </w:p>
        </w:tc>
        <w:tc>
          <w:tcPr>
            <w:tcW w:w="260" w:type="dxa"/>
            <w:vAlign w:val="bottom"/>
          </w:tcPr>
          <w:p>
            <w:pPr>
              <w:spacing w:after="0"/>
              <w:rPr>
                <w:sz w:val="15"/>
                <w:szCs w:val="15"/>
                <w:color w:val="auto"/>
              </w:rPr>
            </w:pPr>
          </w:p>
        </w:tc>
        <w:tc>
          <w:tcPr>
            <w:tcW w:w="1000" w:type="dxa"/>
            <w:vAlign w:val="bottom"/>
            <w:gridSpan w:val="2"/>
          </w:tcPr>
          <w:p>
            <w:pPr>
              <w:jc w:val="right"/>
              <w:ind w:right="160"/>
              <w:spacing w:after="0"/>
              <w:rPr>
                <w:sz w:val="20"/>
                <w:szCs w:val="20"/>
                <w:color w:val="auto"/>
              </w:rPr>
            </w:pPr>
            <w:r>
              <w:rPr>
                <w:rFonts w:ascii="Times New Roman" w:cs="Times New Roman" w:eastAsia="Times New Roman" w:hAnsi="Times New Roman"/>
                <w:sz w:val="13"/>
                <w:szCs w:val="13"/>
                <w:color w:val="auto"/>
              </w:rPr>
              <w:t>—</w:t>
            </w:r>
          </w:p>
        </w:tc>
        <w:tc>
          <w:tcPr>
            <w:tcW w:w="340" w:type="dxa"/>
            <w:vAlign w:val="bottom"/>
          </w:tcPr>
          <w:p>
            <w:pPr>
              <w:spacing w:after="0"/>
              <w:rPr>
                <w:sz w:val="15"/>
                <w:szCs w:val="15"/>
                <w:color w:val="auto"/>
              </w:rPr>
            </w:pPr>
          </w:p>
        </w:tc>
        <w:tc>
          <w:tcPr>
            <w:tcW w:w="82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39</w:t>
            </w:r>
          </w:p>
        </w:tc>
        <w:tc>
          <w:tcPr>
            <w:tcW w:w="0" w:type="dxa"/>
            <w:vAlign w:val="bottom"/>
          </w:tcPr>
          <w:p>
            <w:pPr>
              <w:spacing w:after="0"/>
              <w:rPr>
                <w:sz w:val="1"/>
                <w:szCs w:val="1"/>
                <w:color w:val="auto"/>
              </w:rPr>
            </w:pPr>
          </w:p>
        </w:tc>
      </w:tr>
      <w:tr>
        <w:trPr>
          <w:trHeight w:val="196"/>
        </w:trPr>
        <w:tc>
          <w:tcPr>
            <w:tcW w:w="7600" w:type="dxa"/>
            <w:vAlign w:val="bottom"/>
            <w:tcBorders>
              <w:top w:val="single" w:sz="8" w:color="CCEEFF"/>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4"/>
                <w:szCs w:val="14"/>
                <w:color w:val="auto"/>
              </w:rPr>
              <w:t>Total stock-based compensation expense</w:t>
            </w:r>
          </w:p>
        </w:tc>
        <w:tc>
          <w:tcPr>
            <w:tcW w:w="760" w:type="dxa"/>
            <w:vAlign w:val="bottom"/>
            <w:tcBorders>
              <w:top w:val="single" w:sz="8" w:color="auto"/>
              <w:bottom w:val="single" w:sz="8" w:color="auto"/>
            </w:tcBorders>
            <w:shd w:val="clear" w:color="auto" w:fill="CCEEFF"/>
          </w:tcPr>
          <w:p>
            <w:pPr>
              <w:jc w:val="right"/>
              <w:ind w:right="614"/>
              <w:spacing w:after="0"/>
              <w:rPr>
                <w:sz w:val="20"/>
                <w:szCs w:val="20"/>
                <w:color w:val="auto"/>
              </w:rPr>
            </w:pPr>
            <w:r>
              <w:rPr>
                <w:rFonts w:ascii="Times New Roman" w:cs="Times New Roman" w:eastAsia="Times New Roman" w:hAnsi="Times New Roman"/>
                <w:sz w:val="13"/>
                <w:szCs w:val="13"/>
                <w:color w:val="auto"/>
                <w:w w:val="91"/>
              </w:rPr>
              <w:t>$</w:t>
            </w:r>
          </w:p>
        </w:tc>
        <w:tc>
          <w:tcPr>
            <w:tcW w:w="4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5,148</w:t>
            </w:r>
          </w:p>
        </w:tc>
        <w:tc>
          <w:tcPr>
            <w:tcW w:w="100" w:type="dxa"/>
            <w:vAlign w:val="bottom"/>
            <w:tcBorders>
              <w:top w:val="single" w:sz="8" w:color="CCEEFF"/>
              <w:bottom w:val="single" w:sz="8" w:color="CCEEFF"/>
            </w:tcBorders>
            <w:shd w:val="clear" w:color="auto" w:fill="CCEEFF"/>
          </w:tcPr>
          <w:p>
            <w:pPr>
              <w:spacing w:after="0"/>
              <w:rPr>
                <w:sz w:val="16"/>
                <w:szCs w:val="16"/>
                <w:color w:val="auto"/>
              </w:rPr>
            </w:pPr>
          </w:p>
        </w:tc>
        <w:tc>
          <w:tcPr>
            <w:tcW w:w="260" w:type="dxa"/>
            <w:vAlign w:val="bottom"/>
            <w:tcBorders>
              <w:top w:val="single" w:sz="8" w:color="auto"/>
              <w:bottom w:val="single" w:sz="8" w:color="auto"/>
            </w:tcBorders>
            <w:shd w:val="clear" w:color="auto" w:fill="CCEEFF"/>
          </w:tcPr>
          <w:p>
            <w:pPr>
              <w:jc w:val="right"/>
              <w:ind w:right="113"/>
              <w:spacing w:after="0"/>
              <w:rPr>
                <w:sz w:val="20"/>
                <w:szCs w:val="20"/>
                <w:color w:val="auto"/>
              </w:rPr>
            </w:pPr>
            <w:r>
              <w:rPr>
                <w:rFonts w:ascii="Times New Roman" w:cs="Times New Roman" w:eastAsia="Times New Roman" w:hAnsi="Times New Roman"/>
                <w:sz w:val="13"/>
                <w:szCs w:val="13"/>
                <w:color w:val="auto"/>
                <w:w w:val="91"/>
              </w:rPr>
              <w:t>$</w:t>
            </w:r>
          </w:p>
        </w:tc>
        <w:tc>
          <w:tcPr>
            <w:tcW w:w="9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5,537</w:t>
            </w:r>
          </w:p>
        </w:tc>
        <w:tc>
          <w:tcPr>
            <w:tcW w:w="100" w:type="dxa"/>
            <w:vAlign w:val="bottom"/>
            <w:tcBorders>
              <w:top w:val="single" w:sz="8" w:color="CCEEFF"/>
              <w:bottom w:val="single" w:sz="8" w:color="CCEEFF"/>
            </w:tcBorders>
            <w:shd w:val="clear" w:color="auto" w:fill="CCEEFF"/>
          </w:tcPr>
          <w:p>
            <w:pPr>
              <w:spacing w:after="0"/>
              <w:rPr>
                <w:sz w:val="16"/>
                <w:szCs w:val="16"/>
                <w:color w:val="auto"/>
              </w:rPr>
            </w:pPr>
          </w:p>
        </w:tc>
        <w:tc>
          <w:tcPr>
            <w:tcW w:w="340" w:type="dxa"/>
            <w:vAlign w:val="bottom"/>
            <w:tcBorders>
              <w:top w:val="single" w:sz="8" w:color="auto"/>
              <w:bottom w:val="single" w:sz="8" w:color="auto"/>
            </w:tcBorders>
            <w:shd w:val="clear" w:color="auto" w:fill="CCEEFF"/>
          </w:tcPr>
          <w:p>
            <w:pPr>
              <w:jc w:val="right"/>
              <w:ind w:right="193"/>
              <w:spacing w:after="0"/>
              <w:rPr>
                <w:sz w:val="20"/>
                <w:szCs w:val="20"/>
                <w:color w:val="auto"/>
              </w:rPr>
            </w:pPr>
            <w:r>
              <w:rPr>
                <w:rFonts w:ascii="Times New Roman" w:cs="Times New Roman" w:eastAsia="Times New Roman" w:hAnsi="Times New Roman"/>
                <w:sz w:val="13"/>
                <w:szCs w:val="13"/>
                <w:color w:val="auto"/>
                <w:w w:val="91"/>
              </w:rPr>
              <w:t>$</w:t>
            </w:r>
          </w:p>
        </w:tc>
        <w:tc>
          <w:tcPr>
            <w:tcW w:w="8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6,518</w:t>
            </w:r>
          </w:p>
        </w:tc>
        <w:tc>
          <w:tcPr>
            <w:tcW w:w="0" w:type="dxa"/>
            <w:vAlign w:val="bottom"/>
          </w:tcPr>
          <w:p>
            <w:pPr>
              <w:spacing w:after="0"/>
              <w:rPr>
                <w:sz w:val="1"/>
                <w:szCs w:val="1"/>
                <w:color w:val="auto"/>
              </w:rPr>
            </w:pPr>
          </w:p>
        </w:tc>
      </w:tr>
      <w:tr>
        <w:trPr>
          <w:trHeight w:val="20"/>
        </w:trPr>
        <w:tc>
          <w:tcPr>
            <w:tcW w:w="7600" w:type="dxa"/>
            <w:vAlign w:val="bottom"/>
            <w:tcBorders>
              <w:top w:val="single" w:sz="8" w:color="CCEEFF"/>
              <w:bottom w:val="single" w:sz="8" w:color="CCEEFF"/>
            </w:tcBorders>
            <w:vMerge w:val="restart"/>
          </w:tcPr>
          <w:p>
            <w:pPr>
              <w:ind w:left="20"/>
              <w:spacing w:after="0"/>
              <w:rPr>
                <w:sz w:val="20"/>
                <w:szCs w:val="20"/>
                <w:color w:val="auto"/>
              </w:rPr>
            </w:pPr>
            <w:r>
              <w:rPr>
                <w:rFonts w:ascii="Times New Roman" w:cs="Times New Roman" w:eastAsia="Times New Roman" w:hAnsi="Times New Roman"/>
                <w:sz w:val="14"/>
                <w:szCs w:val="14"/>
                <w:color w:val="auto"/>
              </w:rPr>
              <w:t>Total income tax benefit recognized related to stock-based compensation</w:t>
            </w:r>
          </w:p>
        </w:tc>
        <w:tc>
          <w:tcPr>
            <w:tcW w:w="760" w:type="dxa"/>
            <w:vAlign w:val="bottom"/>
            <w:tcBorders>
              <w:top w:val="single" w:sz="8" w:color="CCEEFF"/>
              <w:bottom w:val="single" w:sz="8" w:color="auto"/>
            </w:tcBorders>
          </w:tcPr>
          <w:p>
            <w:pPr>
              <w:spacing w:after="0" w:line="20" w:lineRule="exact"/>
              <w:rPr>
                <w:sz w:val="1"/>
                <w:szCs w:val="1"/>
                <w:color w:val="auto"/>
              </w:rPr>
            </w:pPr>
          </w:p>
        </w:tc>
        <w:tc>
          <w:tcPr>
            <w:tcW w:w="40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260" w:type="dxa"/>
            <w:vAlign w:val="bottom"/>
            <w:tcBorders>
              <w:top w:val="single" w:sz="8" w:color="CCEEFF"/>
              <w:bottom w:val="single" w:sz="8" w:color="auto"/>
            </w:tcBorders>
          </w:tcPr>
          <w:p>
            <w:pPr>
              <w:spacing w:after="0" w:line="20" w:lineRule="exact"/>
              <w:rPr>
                <w:sz w:val="1"/>
                <w:szCs w:val="1"/>
                <w:color w:val="auto"/>
              </w:rPr>
            </w:pPr>
          </w:p>
        </w:tc>
        <w:tc>
          <w:tcPr>
            <w:tcW w:w="90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340" w:type="dxa"/>
            <w:vAlign w:val="bottom"/>
            <w:tcBorders>
              <w:top w:val="single" w:sz="8" w:color="CCEEFF"/>
              <w:bottom w:val="single" w:sz="8" w:color="auto"/>
            </w:tcBorders>
          </w:tcPr>
          <w:p>
            <w:pPr>
              <w:spacing w:after="0" w:line="20" w:lineRule="exact"/>
              <w:rPr>
                <w:sz w:val="1"/>
                <w:szCs w:val="1"/>
                <w:color w:val="auto"/>
              </w:rPr>
            </w:pPr>
          </w:p>
        </w:tc>
        <w:tc>
          <w:tcPr>
            <w:tcW w:w="820" w:type="dxa"/>
            <w:vAlign w:val="bottom"/>
            <w:tcBorders>
              <w:top w:val="single" w:sz="8" w:color="CCEEFF"/>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42"/>
        </w:trPr>
        <w:tc>
          <w:tcPr>
            <w:tcW w:w="7600" w:type="dxa"/>
            <w:vAlign w:val="bottom"/>
            <w:vMerge w:val="continue"/>
          </w:tcPr>
          <w:p>
            <w:pPr>
              <w:spacing w:after="0"/>
              <w:rPr>
                <w:sz w:val="12"/>
                <w:szCs w:val="12"/>
                <w:color w:val="auto"/>
              </w:rPr>
            </w:pPr>
          </w:p>
        </w:tc>
        <w:tc>
          <w:tcPr>
            <w:tcW w:w="760" w:type="dxa"/>
            <w:vAlign w:val="bottom"/>
          </w:tcPr>
          <w:p>
            <w:pPr>
              <w:jc w:val="right"/>
              <w:ind w:right="614"/>
              <w:spacing w:after="0" w:line="143" w:lineRule="exact"/>
              <w:rPr>
                <w:sz w:val="20"/>
                <w:szCs w:val="20"/>
                <w:color w:val="auto"/>
              </w:rPr>
            </w:pPr>
            <w:r>
              <w:rPr>
                <w:rFonts w:ascii="Times New Roman" w:cs="Times New Roman" w:eastAsia="Times New Roman" w:hAnsi="Times New Roman"/>
                <w:sz w:val="13"/>
                <w:szCs w:val="13"/>
                <w:color w:val="auto"/>
                <w:w w:val="91"/>
              </w:rPr>
              <w:t>$</w:t>
            </w:r>
          </w:p>
        </w:tc>
        <w:tc>
          <w:tcPr>
            <w:tcW w:w="400" w:type="dxa"/>
            <w:vAlign w:val="bottom"/>
          </w:tcPr>
          <w:p>
            <w:pPr>
              <w:jc w:val="right"/>
              <w:spacing w:after="0" w:line="143" w:lineRule="exact"/>
              <w:rPr>
                <w:sz w:val="20"/>
                <w:szCs w:val="20"/>
                <w:color w:val="auto"/>
              </w:rPr>
            </w:pPr>
            <w:r>
              <w:rPr>
                <w:rFonts w:ascii="Times New Roman" w:cs="Times New Roman" w:eastAsia="Times New Roman" w:hAnsi="Times New Roman"/>
                <w:sz w:val="13"/>
                <w:szCs w:val="13"/>
                <w:color w:val="auto"/>
              </w:rPr>
              <w:t>1,161</w:t>
            </w:r>
          </w:p>
        </w:tc>
        <w:tc>
          <w:tcPr>
            <w:tcW w:w="100" w:type="dxa"/>
            <w:vAlign w:val="bottom"/>
          </w:tcPr>
          <w:p>
            <w:pPr>
              <w:spacing w:after="0"/>
              <w:rPr>
                <w:sz w:val="12"/>
                <w:szCs w:val="12"/>
                <w:color w:val="auto"/>
              </w:rPr>
            </w:pPr>
          </w:p>
        </w:tc>
        <w:tc>
          <w:tcPr>
            <w:tcW w:w="260" w:type="dxa"/>
            <w:vAlign w:val="bottom"/>
          </w:tcPr>
          <w:p>
            <w:pPr>
              <w:jc w:val="right"/>
              <w:ind w:right="113"/>
              <w:spacing w:after="0" w:line="143" w:lineRule="exact"/>
              <w:rPr>
                <w:sz w:val="20"/>
                <w:szCs w:val="20"/>
                <w:color w:val="auto"/>
              </w:rPr>
            </w:pPr>
            <w:r>
              <w:rPr>
                <w:rFonts w:ascii="Times New Roman" w:cs="Times New Roman" w:eastAsia="Times New Roman" w:hAnsi="Times New Roman"/>
                <w:sz w:val="13"/>
                <w:szCs w:val="13"/>
                <w:color w:val="auto"/>
                <w:w w:val="91"/>
              </w:rPr>
              <w:t>$</w:t>
            </w:r>
          </w:p>
        </w:tc>
        <w:tc>
          <w:tcPr>
            <w:tcW w:w="900" w:type="dxa"/>
            <w:vAlign w:val="bottom"/>
          </w:tcPr>
          <w:p>
            <w:pPr>
              <w:jc w:val="right"/>
              <w:spacing w:after="0" w:line="143" w:lineRule="exact"/>
              <w:rPr>
                <w:sz w:val="20"/>
                <w:szCs w:val="20"/>
                <w:color w:val="auto"/>
              </w:rPr>
            </w:pPr>
            <w:r>
              <w:rPr>
                <w:rFonts w:ascii="Times New Roman" w:cs="Times New Roman" w:eastAsia="Times New Roman" w:hAnsi="Times New Roman"/>
                <w:sz w:val="13"/>
                <w:szCs w:val="13"/>
                <w:color w:val="auto"/>
              </w:rPr>
              <w:t>872</w:t>
            </w:r>
          </w:p>
        </w:tc>
        <w:tc>
          <w:tcPr>
            <w:tcW w:w="100" w:type="dxa"/>
            <w:vAlign w:val="bottom"/>
          </w:tcPr>
          <w:p>
            <w:pPr>
              <w:spacing w:after="0"/>
              <w:rPr>
                <w:sz w:val="12"/>
                <w:szCs w:val="12"/>
                <w:color w:val="auto"/>
              </w:rPr>
            </w:pPr>
          </w:p>
        </w:tc>
        <w:tc>
          <w:tcPr>
            <w:tcW w:w="340" w:type="dxa"/>
            <w:vAlign w:val="bottom"/>
          </w:tcPr>
          <w:p>
            <w:pPr>
              <w:jc w:val="right"/>
              <w:ind w:right="193"/>
              <w:spacing w:after="0" w:line="143" w:lineRule="exact"/>
              <w:rPr>
                <w:sz w:val="20"/>
                <w:szCs w:val="20"/>
                <w:color w:val="auto"/>
              </w:rPr>
            </w:pPr>
            <w:r>
              <w:rPr>
                <w:rFonts w:ascii="Times New Roman" w:cs="Times New Roman" w:eastAsia="Times New Roman" w:hAnsi="Times New Roman"/>
                <w:sz w:val="13"/>
                <w:szCs w:val="13"/>
                <w:color w:val="auto"/>
                <w:w w:val="91"/>
              </w:rPr>
              <w:t>$</w:t>
            </w:r>
          </w:p>
        </w:tc>
        <w:tc>
          <w:tcPr>
            <w:tcW w:w="820" w:type="dxa"/>
            <w:vAlign w:val="bottom"/>
          </w:tcPr>
          <w:p>
            <w:pPr>
              <w:jc w:val="right"/>
              <w:spacing w:after="0" w:line="143" w:lineRule="exact"/>
              <w:rPr>
                <w:sz w:val="20"/>
                <w:szCs w:val="20"/>
                <w:color w:val="auto"/>
              </w:rPr>
            </w:pPr>
            <w:r>
              <w:rPr>
                <w:rFonts w:ascii="Times New Roman" w:cs="Times New Roman" w:eastAsia="Times New Roman" w:hAnsi="Times New Roman"/>
                <w:sz w:val="13"/>
                <w:szCs w:val="13"/>
                <w:color w:val="auto"/>
              </w:rPr>
              <w:t>714</w:t>
            </w:r>
          </w:p>
        </w:tc>
        <w:tc>
          <w:tcPr>
            <w:tcW w:w="0" w:type="dxa"/>
            <w:vAlign w:val="bottom"/>
          </w:tcPr>
          <w:p>
            <w:pPr>
              <w:spacing w:after="0"/>
              <w:rPr>
                <w:sz w:val="1"/>
                <w:szCs w:val="1"/>
                <w:color w:val="auto"/>
              </w:rPr>
            </w:pPr>
          </w:p>
        </w:tc>
      </w:tr>
    </w:tbl>
    <w:p>
      <w:pPr>
        <w:spacing w:after="0" w:line="143"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b w:val="1"/>
          <w:bCs w:val="1"/>
          <w:color w:val="auto"/>
        </w:rPr>
        <w:t>Restricted Stock</w:t>
      </w:r>
    </w:p>
    <w:p>
      <w:pPr>
        <w:spacing w:after="0" w:line="96" w:lineRule="exact"/>
        <w:rPr>
          <w:sz w:val="20"/>
          <w:szCs w:val="20"/>
          <w:color w:val="auto"/>
        </w:rPr>
      </w:pPr>
    </w:p>
    <w:p>
      <w:pPr>
        <w:ind w:right="20" w:firstLine="382"/>
        <w:spacing w:after="0" w:line="260" w:lineRule="auto"/>
        <w:rPr>
          <w:sz w:val="20"/>
          <w:szCs w:val="20"/>
          <w:color w:val="auto"/>
        </w:rPr>
      </w:pPr>
      <w:r>
        <w:rPr>
          <w:rFonts w:ascii="Times New Roman" w:cs="Times New Roman" w:eastAsia="Times New Roman" w:hAnsi="Times New Roman"/>
          <w:sz w:val="14"/>
          <w:szCs w:val="14"/>
          <w:color w:val="auto"/>
        </w:rPr>
        <w:t>Under the Plan, we have granted to certain employees and non-employee directors restricted stock subject to service conditions and to certain key employees restricted stock subject to both service and performance conditions. As of December 31, 2025, there was approximately $6.0 million of unrecognized compensation cost for restricted stock grants under the Plan, which we expect to recognize over a weighted-average period of 1.5 years. In order to satisfy tax liabilities that employees will owe on shares that vest, we may withhold a sufficient number of vested shares from employees on the date vesting occurs to cover minimum tax withholding requirements. We withheld 81,187 shares in 2025 for this purpose. Our restricted stock grants subject only to a service condition are discussed below. Restricted stock subject to service and performance conditions are not discussed as the activity in the years ended December 31, 2025, 2024 and 2023, was insignificant.</w:t>
      </w:r>
    </w:p>
    <w:p>
      <w:pPr>
        <w:spacing w:after="0" w:line="229"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b w:val="1"/>
          <w:bCs w:val="1"/>
          <w:i w:val="1"/>
          <w:iCs w:val="1"/>
          <w:color w:val="auto"/>
        </w:rPr>
        <w:t>Restricted Stock Subject Only to a Service Condition</w:t>
      </w:r>
    </w:p>
    <w:p>
      <w:pPr>
        <w:spacing w:after="0" w:line="96" w:lineRule="exact"/>
        <w:rPr>
          <w:sz w:val="20"/>
          <w:szCs w:val="20"/>
          <w:color w:val="auto"/>
        </w:rPr>
      </w:pPr>
    </w:p>
    <w:p>
      <w:pPr>
        <w:ind w:right="100" w:firstLine="382"/>
        <w:spacing w:after="0" w:line="270" w:lineRule="auto"/>
        <w:rPr>
          <w:sz w:val="20"/>
          <w:szCs w:val="20"/>
          <w:color w:val="auto"/>
        </w:rPr>
      </w:pPr>
      <w:r>
        <w:rPr>
          <w:rFonts w:ascii="Times New Roman" w:cs="Times New Roman" w:eastAsia="Times New Roman" w:hAnsi="Times New Roman"/>
          <w:sz w:val="14"/>
          <w:szCs w:val="14"/>
          <w:color w:val="auto"/>
        </w:rPr>
        <w:t>For the years ended December 31, 2025, 2024 and 2023, we granted restricted stock to certain employees and non-employee directors. Employee shares generally vest over three years and director shares vest over one year. We calculate compensation cost for restricted stock grants using the fair market value of our common stock at the date of grant, the number of shares issued and an adjustment for restrictions on dividends. This compensation cost is amortized on a straight-line basis over the applicable vesting period.</w:t>
      </w:r>
    </w:p>
    <w:p>
      <w:pPr>
        <w:spacing w:after="0" w:line="51" w:lineRule="exact"/>
        <w:rPr>
          <w:sz w:val="20"/>
          <w:szCs w:val="20"/>
          <w:color w:val="auto"/>
        </w:rPr>
      </w:pPr>
    </w:p>
    <w:p>
      <w:pPr>
        <w:ind w:left="380"/>
        <w:spacing w:after="0"/>
        <w:rPr>
          <w:sz w:val="20"/>
          <w:szCs w:val="20"/>
          <w:color w:val="auto"/>
        </w:rPr>
      </w:pPr>
      <w:r>
        <w:rPr>
          <w:rFonts w:ascii="Times New Roman" w:cs="Times New Roman" w:eastAsia="Times New Roman" w:hAnsi="Times New Roman"/>
          <w:sz w:val="14"/>
          <w:szCs w:val="14"/>
          <w:color w:val="auto"/>
        </w:rPr>
        <w:t>The following table details the status and changes in our restricted stock grants that are subject only to a service condition for the year ended December 31, 2025:</w:t>
      </w:r>
    </w:p>
    <w:p>
      <w:pPr>
        <w:spacing w:after="0" w:line="23" w:lineRule="exact"/>
        <w:rPr>
          <w:sz w:val="20"/>
          <w:szCs w:val="20"/>
          <w:color w:val="auto"/>
        </w:rPr>
      </w:pPr>
    </w:p>
    <w:tbl>
      <w:tblPr>
        <w:tblLayout w:type="fixed"/>
        <w:tblInd w:w="0" w:type="dxa"/>
        <w:tblCellMar>
          <w:top w:w="0" w:type="dxa"/>
          <w:left w:w="0" w:type="dxa"/>
          <w:bottom w:w="0" w:type="dxa"/>
          <w:right w:w="0" w:type="dxa"/>
        </w:tblCellMar>
      </w:tblPr>
      <w:tr>
        <w:trPr>
          <w:trHeight w:val="149"/>
        </w:trPr>
        <w:tc>
          <w:tcPr>
            <w:tcW w:w="7660" w:type="dxa"/>
            <w:vAlign w:val="bottom"/>
          </w:tcPr>
          <w:p>
            <w:pPr>
              <w:spacing w:after="0"/>
              <w:rPr>
                <w:sz w:val="12"/>
                <w:szCs w:val="12"/>
                <w:color w:val="auto"/>
              </w:rPr>
            </w:pPr>
          </w:p>
        </w:tc>
        <w:tc>
          <w:tcPr>
            <w:tcW w:w="176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240" w:type="dxa"/>
            <w:vAlign w:val="bottom"/>
          </w:tcPr>
          <w:p>
            <w:pPr>
              <w:spacing w:after="0"/>
              <w:rPr>
                <w:sz w:val="12"/>
                <w:szCs w:val="12"/>
                <w:color w:val="auto"/>
              </w:rPr>
            </w:pPr>
          </w:p>
        </w:tc>
        <w:tc>
          <w:tcPr>
            <w:tcW w:w="1520" w:type="dxa"/>
            <w:vAlign w:val="bottom"/>
          </w:tcPr>
          <w:p>
            <w:pPr>
              <w:jc w:val="center"/>
              <w:ind w:right="156"/>
              <w:spacing w:after="0"/>
              <w:rPr>
                <w:sz w:val="20"/>
                <w:szCs w:val="20"/>
                <w:color w:val="auto"/>
              </w:rPr>
            </w:pPr>
            <w:r>
              <w:rPr>
                <w:rFonts w:ascii="Times New Roman" w:cs="Times New Roman" w:eastAsia="Times New Roman" w:hAnsi="Times New Roman"/>
                <w:sz w:val="13"/>
                <w:szCs w:val="13"/>
                <w:b w:val="1"/>
                <w:bCs w:val="1"/>
                <w:color w:val="auto"/>
                <w:w w:val="95"/>
              </w:rPr>
              <w:t>Weighted Average</w:t>
            </w:r>
          </w:p>
        </w:tc>
        <w:tc>
          <w:tcPr>
            <w:tcW w:w="0" w:type="dxa"/>
            <w:vAlign w:val="bottom"/>
          </w:tcPr>
          <w:p>
            <w:pPr>
              <w:spacing w:after="0"/>
              <w:rPr>
                <w:sz w:val="1"/>
                <w:szCs w:val="1"/>
                <w:color w:val="auto"/>
              </w:rPr>
            </w:pPr>
          </w:p>
        </w:tc>
      </w:tr>
      <w:tr>
        <w:trPr>
          <w:trHeight w:val="127"/>
        </w:trPr>
        <w:tc>
          <w:tcPr>
            <w:tcW w:w="7660" w:type="dxa"/>
            <w:vAlign w:val="bottom"/>
          </w:tcPr>
          <w:p>
            <w:pPr>
              <w:spacing w:after="0"/>
              <w:rPr>
                <w:sz w:val="11"/>
                <w:szCs w:val="11"/>
                <w:color w:val="auto"/>
              </w:rPr>
            </w:pPr>
          </w:p>
        </w:tc>
        <w:tc>
          <w:tcPr>
            <w:tcW w:w="1860" w:type="dxa"/>
            <w:vAlign w:val="bottom"/>
            <w:gridSpan w:val="2"/>
            <w:vMerge w:val="restart"/>
          </w:tcPr>
          <w:p>
            <w:pPr>
              <w:ind w:left="400"/>
              <w:spacing w:after="0"/>
              <w:rPr>
                <w:sz w:val="20"/>
                <w:szCs w:val="20"/>
                <w:color w:val="auto"/>
              </w:rPr>
            </w:pPr>
            <w:r>
              <w:rPr>
                <w:rFonts w:ascii="Times New Roman" w:cs="Times New Roman" w:eastAsia="Times New Roman" w:hAnsi="Times New Roman"/>
                <w:sz w:val="13"/>
                <w:szCs w:val="13"/>
                <w:b w:val="1"/>
                <w:bCs w:val="1"/>
                <w:color w:val="auto"/>
              </w:rPr>
              <w:t>Number of Shares</w:t>
            </w:r>
          </w:p>
        </w:tc>
        <w:tc>
          <w:tcPr>
            <w:tcW w:w="240" w:type="dxa"/>
            <w:vAlign w:val="bottom"/>
          </w:tcPr>
          <w:p>
            <w:pPr>
              <w:spacing w:after="0"/>
              <w:rPr>
                <w:sz w:val="11"/>
                <w:szCs w:val="11"/>
                <w:color w:val="auto"/>
              </w:rPr>
            </w:pPr>
          </w:p>
        </w:tc>
        <w:tc>
          <w:tcPr>
            <w:tcW w:w="1520" w:type="dxa"/>
            <w:vAlign w:val="bottom"/>
          </w:tcPr>
          <w:p>
            <w:pPr>
              <w:jc w:val="center"/>
              <w:ind w:right="176"/>
              <w:spacing w:after="0" w:line="128" w:lineRule="exact"/>
              <w:rPr>
                <w:sz w:val="20"/>
                <w:szCs w:val="20"/>
                <w:color w:val="auto"/>
              </w:rPr>
            </w:pPr>
            <w:r>
              <w:rPr>
                <w:rFonts w:ascii="Times New Roman" w:cs="Times New Roman" w:eastAsia="Times New Roman" w:hAnsi="Times New Roman"/>
                <w:sz w:val="13"/>
                <w:szCs w:val="13"/>
                <w:b w:val="1"/>
                <w:bCs w:val="1"/>
                <w:color w:val="auto"/>
                <w:w w:val="97"/>
              </w:rPr>
              <w:t>Grant Date Fair</w:t>
            </w:r>
          </w:p>
        </w:tc>
        <w:tc>
          <w:tcPr>
            <w:tcW w:w="0" w:type="dxa"/>
            <w:vAlign w:val="bottom"/>
          </w:tcPr>
          <w:p>
            <w:pPr>
              <w:spacing w:after="0"/>
              <w:rPr>
                <w:sz w:val="1"/>
                <w:szCs w:val="1"/>
                <w:color w:val="auto"/>
              </w:rPr>
            </w:pPr>
          </w:p>
        </w:tc>
      </w:tr>
      <w:tr>
        <w:trPr>
          <w:trHeight w:val="169"/>
        </w:trPr>
        <w:tc>
          <w:tcPr>
            <w:tcW w:w="7660" w:type="dxa"/>
            <w:vAlign w:val="bottom"/>
          </w:tcPr>
          <w:p>
            <w:pPr>
              <w:spacing w:after="0"/>
              <w:rPr>
                <w:sz w:val="14"/>
                <w:szCs w:val="14"/>
                <w:color w:val="auto"/>
              </w:rPr>
            </w:pPr>
          </w:p>
        </w:tc>
        <w:tc>
          <w:tcPr>
            <w:tcW w:w="1860" w:type="dxa"/>
            <w:vAlign w:val="bottom"/>
            <w:gridSpan w:val="2"/>
            <w:vMerge w:val="continue"/>
          </w:tcPr>
          <w:p>
            <w:pPr>
              <w:spacing w:after="0"/>
              <w:rPr>
                <w:sz w:val="14"/>
                <w:szCs w:val="14"/>
                <w:color w:val="auto"/>
              </w:rPr>
            </w:pPr>
          </w:p>
        </w:tc>
        <w:tc>
          <w:tcPr>
            <w:tcW w:w="240" w:type="dxa"/>
            <w:vAlign w:val="bottom"/>
          </w:tcPr>
          <w:p>
            <w:pPr>
              <w:spacing w:after="0"/>
              <w:rPr>
                <w:sz w:val="14"/>
                <w:szCs w:val="14"/>
                <w:color w:val="auto"/>
              </w:rPr>
            </w:pPr>
          </w:p>
        </w:tc>
        <w:tc>
          <w:tcPr>
            <w:tcW w:w="1520" w:type="dxa"/>
            <w:vAlign w:val="bottom"/>
          </w:tcPr>
          <w:p>
            <w:pPr>
              <w:jc w:val="center"/>
              <w:ind w:right="176"/>
              <w:spacing w:after="0"/>
              <w:rPr>
                <w:sz w:val="20"/>
                <w:szCs w:val="20"/>
                <w:color w:val="auto"/>
              </w:rPr>
            </w:pPr>
            <w:r>
              <w:rPr>
                <w:rFonts w:ascii="Times New Roman" w:cs="Times New Roman" w:eastAsia="Times New Roman" w:hAnsi="Times New Roman"/>
                <w:sz w:val="13"/>
                <w:szCs w:val="13"/>
                <w:b w:val="1"/>
                <w:bCs w:val="1"/>
                <w:color w:val="auto"/>
                <w:w w:val="98"/>
              </w:rPr>
              <w:t>Value</w:t>
            </w:r>
          </w:p>
        </w:tc>
        <w:tc>
          <w:tcPr>
            <w:tcW w:w="0" w:type="dxa"/>
            <w:vAlign w:val="bottom"/>
          </w:tcPr>
          <w:p>
            <w:pPr>
              <w:spacing w:after="0"/>
              <w:rPr>
                <w:sz w:val="1"/>
                <w:szCs w:val="1"/>
                <w:color w:val="auto"/>
              </w:rPr>
            </w:pPr>
          </w:p>
        </w:tc>
      </w:tr>
      <w:tr>
        <w:trPr>
          <w:trHeight w:val="162"/>
        </w:trPr>
        <w:tc>
          <w:tcPr>
            <w:tcW w:w="7660" w:type="dxa"/>
            <w:vAlign w:val="bottom"/>
            <w:tcBorders>
              <w:top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4"/>
                <w:szCs w:val="14"/>
                <w:color w:val="auto"/>
              </w:rPr>
              <w:t>Non-vested, January 1, 2025</w:t>
            </w:r>
          </w:p>
        </w:tc>
        <w:tc>
          <w:tcPr>
            <w:tcW w:w="176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1,071,185</w:t>
            </w:r>
          </w:p>
        </w:tc>
        <w:tc>
          <w:tcPr>
            <w:tcW w:w="100" w:type="dxa"/>
            <w:vAlign w:val="bottom"/>
            <w:tcBorders>
              <w:top w:val="single" w:sz="8" w:color="CCEEFF"/>
            </w:tcBorders>
            <w:shd w:val="clear" w:color="auto" w:fill="CCEEFF"/>
          </w:tcPr>
          <w:p>
            <w:pPr>
              <w:spacing w:after="0"/>
              <w:rPr>
                <w:sz w:val="14"/>
                <w:szCs w:val="14"/>
                <w:color w:val="auto"/>
              </w:rPr>
            </w:pPr>
          </w:p>
        </w:tc>
        <w:tc>
          <w:tcPr>
            <w:tcW w:w="240" w:type="dxa"/>
            <w:vAlign w:val="bottom"/>
            <w:tcBorders>
              <w:top w:val="single" w:sz="8" w:color="auto"/>
            </w:tcBorders>
            <w:shd w:val="clear" w:color="auto" w:fill="CCEEFF"/>
          </w:tcPr>
          <w:p>
            <w:pPr>
              <w:jc w:val="right"/>
              <w:ind w:right="96"/>
              <w:spacing w:after="0"/>
              <w:rPr>
                <w:sz w:val="20"/>
                <w:szCs w:val="20"/>
                <w:color w:val="auto"/>
              </w:rPr>
            </w:pPr>
            <w:r>
              <w:rPr>
                <w:rFonts w:ascii="Times New Roman" w:cs="Times New Roman" w:eastAsia="Times New Roman" w:hAnsi="Times New Roman"/>
                <w:sz w:val="13"/>
                <w:szCs w:val="13"/>
                <w:color w:val="auto"/>
                <w:w w:val="91"/>
              </w:rPr>
              <w:t>$</w:t>
            </w:r>
          </w:p>
        </w:tc>
        <w:tc>
          <w:tcPr>
            <w:tcW w:w="152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11.77</w:t>
            </w:r>
          </w:p>
        </w:tc>
        <w:tc>
          <w:tcPr>
            <w:tcW w:w="0" w:type="dxa"/>
            <w:vAlign w:val="bottom"/>
          </w:tcPr>
          <w:p>
            <w:pPr>
              <w:spacing w:after="0"/>
              <w:rPr>
                <w:sz w:val="1"/>
                <w:szCs w:val="1"/>
                <w:color w:val="auto"/>
              </w:rPr>
            </w:pPr>
          </w:p>
        </w:tc>
      </w:tr>
      <w:tr>
        <w:trPr>
          <w:trHeight w:val="180"/>
        </w:trPr>
        <w:tc>
          <w:tcPr>
            <w:tcW w:w="7660" w:type="dxa"/>
            <w:vAlign w:val="bottom"/>
          </w:tcPr>
          <w:p>
            <w:pPr>
              <w:ind w:left="280"/>
              <w:spacing w:after="0"/>
              <w:rPr>
                <w:sz w:val="20"/>
                <w:szCs w:val="20"/>
                <w:color w:val="auto"/>
              </w:rPr>
            </w:pPr>
            <w:r>
              <w:rPr>
                <w:rFonts w:ascii="Times New Roman" w:cs="Times New Roman" w:eastAsia="Times New Roman" w:hAnsi="Times New Roman"/>
                <w:sz w:val="14"/>
                <w:szCs w:val="14"/>
                <w:color w:val="auto"/>
              </w:rPr>
              <w:t>Granted</w:t>
            </w:r>
          </w:p>
        </w:tc>
        <w:tc>
          <w:tcPr>
            <w:tcW w:w="176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254,737</w:t>
            </w:r>
          </w:p>
        </w:tc>
        <w:tc>
          <w:tcPr>
            <w:tcW w:w="100" w:type="dxa"/>
            <w:vAlign w:val="bottom"/>
          </w:tcPr>
          <w:p>
            <w:pPr>
              <w:spacing w:after="0"/>
              <w:rPr>
                <w:sz w:val="15"/>
                <w:szCs w:val="15"/>
                <w:color w:val="auto"/>
              </w:rPr>
            </w:pPr>
          </w:p>
        </w:tc>
        <w:tc>
          <w:tcPr>
            <w:tcW w:w="240" w:type="dxa"/>
            <w:vAlign w:val="bottom"/>
          </w:tcPr>
          <w:p>
            <w:pPr>
              <w:spacing w:after="0"/>
              <w:rPr>
                <w:sz w:val="15"/>
                <w:szCs w:val="15"/>
                <w:color w:val="auto"/>
              </w:rPr>
            </w:pPr>
          </w:p>
        </w:tc>
        <w:tc>
          <w:tcPr>
            <w:tcW w:w="152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12.01</w:t>
            </w:r>
          </w:p>
        </w:tc>
        <w:tc>
          <w:tcPr>
            <w:tcW w:w="0" w:type="dxa"/>
            <w:vAlign w:val="bottom"/>
          </w:tcPr>
          <w:p>
            <w:pPr>
              <w:spacing w:after="0"/>
              <w:rPr>
                <w:sz w:val="1"/>
                <w:szCs w:val="1"/>
                <w:color w:val="auto"/>
              </w:rPr>
            </w:pPr>
          </w:p>
        </w:tc>
      </w:tr>
      <w:tr>
        <w:trPr>
          <w:trHeight w:val="180"/>
        </w:trPr>
        <w:tc>
          <w:tcPr>
            <w:tcW w:w="7660" w:type="dxa"/>
            <w:vAlign w:val="bottom"/>
            <w:shd w:val="clear" w:color="auto" w:fill="CCEEFF"/>
          </w:tcPr>
          <w:p>
            <w:pPr>
              <w:ind w:left="280"/>
              <w:spacing w:after="0"/>
              <w:rPr>
                <w:sz w:val="20"/>
                <w:szCs w:val="20"/>
                <w:color w:val="auto"/>
              </w:rPr>
            </w:pPr>
            <w:r>
              <w:rPr>
                <w:rFonts w:ascii="Times New Roman" w:cs="Times New Roman" w:eastAsia="Times New Roman" w:hAnsi="Times New Roman"/>
                <w:sz w:val="14"/>
                <w:szCs w:val="14"/>
                <w:color w:val="auto"/>
              </w:rPr>
              <w:t>Vested</w:t>
            </w:r>
          </w:p>
        </w:tc>
        <w:tc>
          <w:tcPr>
            <w:tcW w:w="17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(335,972)</w:t>
            </w:r>
          </w:p>
        </w:tc>
        <w:tc>
          <w:tcPr>
            <w:tcW w:w="100" w:type="dxa"/>
            <w:vAlign w:val="bottom"/>
            <w:shd w:val="clear" w:color="auto" w:fill="CCEEFF"/>
          </w:tcPr>
          <w:p>
            <w:pPr>
              <w:spacing w:after="0"/>
              <w:rPr>
                <w:sz w:val="15"/>
                <w:szCs w:val="15"/>
                <w:color w:val="auto"/>
              </w:rPr>
            </w:pPr>
          </w:p>
        </w:tc>
        <w:tc>
          <w:tcPr>
            <w:tcW w:w="240" w:type="dxa"/>
            <w:vAlign w:val="bottom"/>
            <w:shd w:val="clear" w:color="auto" w:fill="CCEEFF"/>
          </w:tcPr>
          <w:p>
            <w:pPr>
              <w:spacing w:after="0"/>
              <w:rPr>
                <w:sz w:val="15"/>
                <w:szCs w:val="15"/>
                <w:color w:val="auto"/>
              </w:rPr>
            </w:pPr>
          </w:p>
        </w:tc>
        <w:tc>
          <w:tcPr>
            <w:tcW w:w="15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13.04</w:t>
            </w:r>
          </w:p>
        </w:tc>
        <w:tc>
          <w:tcPr>
            <w:tcW w:w="0" w:type="dxa"/>
            <w:vAlign w:val="bottom"/>
          </w:tcPr>
          <w:p>
            <w:pPr>
              <w:spacing w:after="0"/>
              <w:rPr>
                <w:sz w:val="1"/>
                <w:szCs w:val="1"/>
                <w:color w:val="auto"/>
              </w:rPr>
            </w:pPr>
          </w:p>
        </w:tc>
      </w:tr>
      <w:tr>
        <w:trPr>
          <w:trHeight w:val="180"/>
        </w:trPr>
        <w:tc>
          <w:tcPr>
            <w:tcW w:w="7660" w:type="dxa"/>
            <w:vAlign w:val="bottom"/>
            <w:tcBorders>
              <w:bottom w:val="single" w:sz="8" w:color="CCEEFF"/>
            </w:tcBorders>
          </w:tcPr>
          <w:p>
            <w:pPr>
              <w:ind w:left="280"/>
              <w:spacing w:after="0"/>
              <w:rPr>
                <w:sz w:val="20"/>
                <w:szCs w:val="20"/>
                <w:color w:val="auto"/>
              </w:rPr>
            </w:pPr>
            <w:r>
              <w:rPr>
                <w:rFonts w:ascii="Times New Roman" w:cs="Times New Roman" w:eastAsia="Times New Roman" w:hAnsi="Times New Roman"/>
                <w:sz w:val="14"/>
                <w:szCs w:val="14"/>
                <w:color w:val="auto"/>
              </w:rPr>
              <w:t>Forfeited</w:t>
            </w:r>
          </w:p>
        </w:tc>
        <w:tc>
          <w:tcPr>
            <w:tcW w:w="17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3"/>
                <w:szCs w:val="13"/>
                <w:color w:val="auto"/>
              </w:rPr>
              <w:t>(14,059)</w:t>
            </w:r>
          </w:p>
        </w:tc>
        <w:tc>
          <w:tcPr>
            <w:tcW w:w="100" w:type="dxa"/>
            <w:vAlign w:val="bottom"/>
            <w:tcBorders>
              <w:bottom w:val="single" w:sz="8" w:color="CCEEFF"/>
            </w:tcBorders>
          </w:tcPr>
          <w:p>
            <w:pPr>
              <w:spacing w:after="0"/>
              <w:rPr>
                <w:sz w:val="15"/>
                <w:szCs w:val="15"/>
                <w:color w:val="auto"/>
              </w:rPr>
            </w:pPr>
          </w:p>
        </w:tc>
        <w:tc>
          <w:tcPr>
            <w:tcW w:w="240" w:type="dxa"/>
            <w:vAlign w:val="bottom"/>
            <w:tcBorders>
              <w:bottom w:val="single" w:sz="8" w:color="auto"/>
            </w:tcBorders>
          </w:tcPr>
          <w:p>
            <w:pPr>
              <w:spacing w:after="0"/>
              <w:rPr>
                <w:sz w:val="15"/>
                <w:szCs w:val="15"/>
                <w:color w:val="auto"/>
              </w:rPr>
            </w:pPr>
          </w:p>
        </w:tc>
        <w:tc>
          <w:tcPr>
            <w:tcW w:w="15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3"/>
                <w:szCs w:val="13"/>
                <w:color w:val="auto"/>
              </w:rPr>
              <w:t>10.27</w:t>
            </w:r>
          </w:p>
        </w:tc>
        <w:tc>
          <w:tcPr>
            <w:tcW w:w="0" w:type="dxa"/>
            <w:vAlign w:val="bottom"/>
          </w:tcPr>
          <w:p>
            <w:pPr>
              <w:spacing w:after="0"/>
              <w:rPr>
                <w:sz w:val="1"/>
                <w:szCs w:val="1"/>
                <w:color w:val="auto"/>
              </w:rPr>
            </w:pPr>
          </w:p>
        </w:tc>
      </w:tr>
      <w:tr>
        <w:trPr>
          <w:trHeight w:val="185"/>
        </w:trPr>
        <w:tc>
          <w:tcPr>
            <w:tcW w:w="766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4"/>
                <w:szCs w:val="14"/>
                <w:color w:val="auto"/>
              </w:rPr>
              <w:t>Non-vested, December 31, 2025</w:t>
            </w:r>
          </w:p>
        </w:tc>
        <w:tc>
          <w:tcPr>
            <w:tcW w:w="17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975,891</w:t>
            </w:r>
          </w:p>
        </w:tc>
        <w:tc>
          <w:tcPr>
            <w:tcW w:w="100" w:type="dxa"/>
            <w:vAlign w:val="bottom"/>
            <w:tcBorders>
              <w:bottom w:val="single" w:sz="8" w:color="CCEEFF"/>
            </w:tcBorders>
            <w:shd w:val="clear" w:color="auto" w:fill="CCEEFF"/>
          </w:tcPr>
          <w:p>
            <w:pPr>
              <w:spacing w:after="0"/>
              <w:rPr>
                <w:sz w:val="15"/>
                <w:szCs w:val="15"/>
                <w:color w:val="auto"/>
              </w:rPr>
            </w:pPr>
          </w:p>
        </w:tc>
        <w:tc>
          <w:tcPr>
            <w:tcW w:w="240" w:type="dxa"/>
            <w:vAlign w:val="bottom"/>
            <w:tcBorders>
              <w:bottom w:val="single" w:sz="8" w:color="auto"/>
            </w:tcBorders>
            <w:shd w:val="clear" w:color="auto" w:fill="CCEEFF"/>
          </w:tcPr>
          <w:p>
            <w:pPr>
              <w:jc w:val="right"/>
              <w:ind w:right="96"/>
              <w:spacing w:after="0"/>
              <w:rPr>
                <w:sz w:val="20"/>
                <w:szCs w:val="20"/>
                <w:color w:val="auto"/>
              </w:rPr>
            </w:pPr>
            <w:r>
              <w:rPr>
                <w:rFonts w:ascii="Times New Roman" w:cs="Times New Roman" w:eastAsia="Times New Roman" w:hAnsi="Times New Roman"/>
                <w:sz w:val="13"/>
                <w:szCs w:val="13"/>
                <w:color w:val="auto"/>
                <w:w w:val="91"/>
              </w:rPr>
              <w:t>$</w:t>
            </w:r>
          </w:p>
        </w:tc>
        <w:tc>
          <w:tcPr>
            <w:tcW w:w="15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11.42</w:t>
            </w:r>
          </w:p>
        </w:tc>
        <w:tc>
          <w:tcPr>
            <w:tcW w:w="0" w:type="dxa"/>
            <w:vAlign w:val="bottom"/>
          </w:tcPr>
          <w:p>
            <w:pPr>
              <w:spacing w:after="0"/>
              <w:rPr>
                <w:sz w:val="1"/>
                <w:szCs w:val="1"/>
                <w:color w:val="auto"/>
              </w:rPr>
            </w:pPr>
          </w:p>
        </w:tc>
      </w:tr>
      <w:tr>
        <w:trPr>
          <w:trHeight w:val="20"/>
        </w:trPr>
        <w:tc>
          <w:tcPr>
            <w:tcW w:w="7660" w:type="dxa"/>
            <w:vAlign w:val="bottom"/>
            <w:tcBorders>
              <w:top w:val="single" w:sz="8" w:color="CCEEFF"/>
            </w:tcBorders>
          </w:tcPr>
          <w:p>
            <w:pPr>
              <w:spacing w:after="0" w:line="20" w:lineRule="exact"/>
              <w:rPr>
                <w:sz w:val="1"/>
                <w:szCs w:val="1"/>
                <w:color w:val="auto"/>
              </w:rPr>
            </w:pPr>
          </w:p>
        </w:tc>
        <w:tc>
          <w:tcPr>
            <w:tcW w:w="176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240" w:type="dxa"/>
            <w:vAlign w:val="bottom"/>
            <w:tcBorders>
              <w:top w:val="single" w:sz="8" w:color="CCEEFF"/>
              <w:bottom w:val="single" w:sz="8" w:color="auto"/>
            </w:tcBorders>
          </w:tcPr>
          <w:p>
            <w:pPr>
              <w:spacing w:after="0" w:line="20" w:lineRule="exact"/>
              <w:rPr>
                <w:sz w:val="1"/>
                <w:szCs w:val="1"/>
                <w:color w:val="auto"/>
              </w:rPr>
            </w:pPr>
          </w:p>
        </w:tc>
        <w:tc>
          <w:tcPr>
            <w:tcW w:w="1520" w:type="dxa"/>
            <w:vAlign w:val="bottom"/>
            <w:tcBorders>
              <w:top w:val="single" w:sz="8" w:color="CCEEFF"/>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0" w:lineRule="exact"/>
        <w:rPr>
          <w:sz w:val="20"/>
          <w:szCs w:val="20"/>
          <w:color w:val="auto"/>
        </w:rPr>
      </w:pPr>
    </w:p>
    <w:p>
      <w:pPr>
        <w:spacing w:after="0" w:line="210" w:lineRule="exact"/>
        <w:rPr>
          <w:sz w:val="20"/>
          <w:szCs w:val="20"/>
          <w:color w:val="auto"/>
        </w:rPr>
      </w:pPr>
    </w:p>
    <w:p>
      <w:pPr>
        <w:ind w:left="380"/>
        <w:spacing w:after="0"/>
        <w:rPr>
          <w:sz w:val="20"/>
          <w:szCs w:val="20"/>
          <w:color w:val="auto"/>
        </w:rPr>
      </w:pPr>
      <w:r>
        <w:rPr>
          <w:rFonts w:ascii="Times New Roman" w:cs="Times New Roman" w:eastAsia="Times New Roman" w:hAnsi="Times New Roman"/>
          <w:sz w:val="14"/>
          <w:szCs w:val="14"/>
          <w:color w:val="auto"/>
        </w:rPr>
        <w:t>The following table shows the weighted-average grant date fair value for shares granted and the total fair value of shares vested during the years indicated:</w:t>
      </w:r>
    </w:p>
    <w:p>
      <w:pPr>
        <w:spacing w:after="0" w:line="53" w:lineRule="exact"/>
        <w:rPr>
          <w:sz w:val="20"/>
          <w:szCs w:val="20"/>
          <w:color w:val="auto"/>
        </w:rPr>
      </w:pPr>
    </w:p>
    <w:tbl>
      <w:tblPr>
        <w:tblLayout w:type="fixed"/>
        <w:tblInd w:w="0" w:type="dxa"/>
        <w:tblCellMar>
          <w:top w:w="0" w:type="dxa"/>
          <w:left w:w="0" w:type="dxa"/>
          <w:bottom w:w="0" w:type="dxa"/>
          <w:right w:w="0" w:type="dxa"/>
        </w:tblCellMar>
      </w:tblPr>
      <w:tr>
        <w:trPr>
          <w:trHeight w:val="170"/>
        </w:trPr>
        <w:tc>
          <w:tcPr>
            <w:tcW w:w="7600" w:type="dxa"/>
            <w:vAlign w:val="bottom"/>
          </w:tcPr>
          <w:p>
            <w:pPr>
              <w:spacing w:after="0"/>
              <w:rPr>
                <w:sz w:val="14"/>
                <w:szCs w:val="14"/>
                <w:color w:val="auto"/>
              </w:rPr>
            </w:pPr>
          </w:p>
        </w:tc>
        <w:tc>
          <w:tcPr>
            <w:tcW w:w="760" w:type="dxa"/>
            <w:vAlign w:val="bottom"/>
            <w:tcBorders>
              <w:bottom w:val="single" w:sz="8" w:color="auto"/>
            </w:tcBorders>
          </w:tcPr>
          <w:p>
            <w:pPr>
              <w:spacing w:after="0"/>
              <w:rPr>
                <w:sz w:val="14"/>
                <w:szCs w:val="14"/>
                <w:color w:val="auto"/>
              </w:rPr>
            </w:pPr>
          </w:p>
        </w:tc>
        <w:tc>
          <w:tcPr>
            <w:tcW w:w="360" w:type="dxa"/>
            <w:vAlign w:val="bottom"/>
            <w:tcBorders>
              <w:bottom w:val="single" w:sz="8" w:color="auto"/>
            </w:tcBorders>
          </w:tcPr>
          <w:p>
            <w:pPr>
              <w:spacing w:after="0"/>
              <w:rPr>
                <w:sz w:val="14"/>
                <w:szCs w:val="14"/>
                <w:color w:val="auto"/>
              </w:rPr>
            </w:pPr>
          </w:p>
        </w:tc>
        <w:tc>
          <w:tcPr>
            <w:tcW w:w="1660" w:type="dxa"/>
            <w:vAlign w:val="bottom"/>
            <w:tcBorders>
              <w:bottom w:val="single" w:sz="8" w:color="auto"/>
            </w:tcBorders>
            <w:gridSpan w:val="6"/>
          </w:tcPr>
          <w:p>
            <w:pPr>
              <w:jc w:val="right"/>
              <w:ind w:right="153"/>
              <w:spacing w:after="0"/>
              <w:rPr>
                <w:sz w:val="20"/>
                <w:szCs w:val="20"/>
                <w:color w:val="auto"/>
              </w:rPr>
            </w:pPr>
            <w:r>
              <w:rPr>
                <w:rFonts w:ascii="Times New Roman" w:cs="Times New Roman" w:eastAsia="Times New Roman" w:hAnsi="Times New Roman"/>
                <w:sz w:val="13"/>
                <w:szCs w:val="13"/>
                <w:b w:val="1"/>
                <w:bCs w:val="1"/>
                <w:color w:val="auto"/>
                <w:w w:val="95"/>
              </w:rPr>
              <w:t>Years ended December 31,</w:t>
            </w:r>
          </w:p>
        </w:tc>
        <w:tc>
          <w:tcPr>
            <w:tcW w:w="900" w:type="dxa"/>
            <w:vAlign w:val="bottom"/>
            <w:tcBorders>
              <w:bottom w:val="single" w:sz="8" w:color="auto"/>
            </w:tcBorders>
          </w:tcPr>
          <w:p>
            <w:pPr>
              <w:spacing w:after="0"/>
              <w:rPr>
                <w:sz w:val="14"/>
                <w:szCs w:val="14"/>
                <w:color w:val="auto"/>
              </w:rPr>
            </w:pPr>
          </w:p>
        </w:tc>
      </w:tr>
      <w:tr>
        <w:trPr>
          <w:trHeight w:val="161"/>
        </w:trPr>
        <w:tc>
          <w:tcPr>
            <w:tcW w:w="7600" w:type="dxa"/>
            <w:vAlign w:val="bottom"/>
            <w:tcBorders>
              <w:bottom w:val="single" w:sz="8" w:color="CCEEFF"/>
            </w:tcBorders>
          </w:tcPr>
          <w:p>
            <w:pPr>
              <w:spacing w:after="0"/>
              <w:rPr>
                <w:sz w:val="14"/>
                <w:szCs w:val="14"/>
                <w:color w:val="auto"/>
              </w:rPr>
            </w:pPr>
          </w:p>
        </w:tc>
        <w:tc>
          <w:tcPr>
            <w:tcW w:w="7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3"/>
                <w:szCs w:val="13"/>
                <w:b w:val="1"/>
                <w:bCs w:val="1"/>
                <w:color w:val="auto"/>
              </w:rPr>
              <w:t>2025</w:t>
            </w:r>
          </w:p>
        </w:tc>
        <w:tc>
          <w:tcPr>
            <w:tcW w:w="360" w:type="dxa"/>
            <w:vAlign w:val="bottom"/>
            <w:tcBorders>
              <w:bottom w:val="single" w:sz="8" w:color="auto"/>
            </w:tcBorders>
          </w:tcPr>
          <w:p>
            <w:pPr>
              <w:spacing w:after="0"/>
              <w:rPr>
                <w:sz w:val="14"/>
                <w:szCs w:val="14"/>
                <w:color w:val="auto"/>
              </w:rPr>
            </w:pPr>
          </w:p>
        </w:tc>
        <w:tc>
          <w:tcPr>
            <w:tcW w:w="40" w:type="dxa"/>
            <w:vAlign w:val="bottom"/>
            <w:tcBorders>
              <w:bottom w:val="single" w:sz="8" w:color="auto"/>
            </w:tcBorders>
          </w:tcPr>
          <w:p>
            <w:pPr>
              <w:spacing w:after="0"/>
              <w:rPr>
                <w:sz w:val="14"/>
                <w:szCs w:val="14"/>
                <w:color w:val="auto"/>
              </w:rPr>
            </w:pPr>
          </w:p>
        </w:tc>
        <w:tc>
          <w:tcPr>
            <w:tcW w:w="100" w:type="dxa"/>
            <w:vAlign w:val="bottom"/>
            <w:tcBorders>
              <w:bottom w:val="single" w:sz="8" w:color="CCEEFF"/>
            </w:tcBorders>
          </w:tcPr>
          <w:p>
            <w:pPr>
              <w:spacing w:after="0"/>
              <w:rPr>
                <w:sz w:val="14"/>
                <w:szCs w:val="14"/>
                <w:color w:val="auto"/>
              </w:rPr>
            </w:pPr>
          </w:p>
        </w:tc>
        <w:tc>
          <w:tcPr>
            <w:tcW w:w="260" w:type="dxa"/>
            <w:vAlign w:val="bottom"/>
            <w:tcBorders>
              <w:bottom w:val="single" w:sz="8" w:color="auto"/>
            </w:tcBorders>
          </w:tcPr>
          <w:p>
            <w:pPr>
              <w:spacing w:after="0"/>
              <w:rPr>
                <w:sz w:val="14"/>
                <w:szCs w:val="14"/>
                <w:color w:val="auto"/>
              </w:rPr>
            </w:pPr>
          </w:p>
        </w:tc>
        <w:tc>
          <w:tcPr>
            <w:tcW w:w="900" w:type="dxa"/>
            <w:vAlign w:val="bottom"/>
            <w:tcBorders>
              <w:bottom w:val="single" w:sz="8" w:color="auto"/>
            </w:tcBorders>
          </w:tcPr>
          <w:p>
            <w:pPr>
              <w:jc w:val="right"/>
              <w:ind w:right="394"/>
              <w:spacing w:after="0"/>
              <w:rPr>
                <w:sz w:val="20"/>
                <w:szCs w:val="20"/>
                <w:color w:val="auto"/>
              </w:rPr>
            </w:pPr>
            <w:r>
              <w:rPr>
                <w:rFonts w:ascii="Times New Roman" w:cs="Times New Roman" w:eastAsia="Times New Roman" w:hAnsi="Times New Roman"/>
                <w:sz w:val="13"/>
                <w:szCs w:val="13"/>
                <w:b w:val="1"/>
                <w:bCs w:val="1"/>
                <w:color w:val="auto"/>
              </w:rPr>
              <w:t>2024</w:t>
            </w:r>
          </w:p>
        </w:tc>
        <w:tc>
          <w:tcPr>
            <w:tcW w:w="100" w:type="dxa"/>
            <w:vAlign w:val="bottom"/>
            <w:tcBorders>
              <w:bottom w:val="single" w:sz="8" w:color="CCEEFF"/>
            </w:tcBorders>
          </w:tcPr>
          <w:p>
            <w:pPr>
              <w:spacing w:after="0"/>
              <w:rPr>
                <w:sz w:val="14"/>
                <w:szCs w:val="14"/>
                <w:color w:val="auto"/>
              </w:rPr>
            </w:pPr>
          </w:p>
        </w:tc>
        <w:tc>
          <w:tcPr>
            <w:tcW w:w="260" w:type="dxa"/>
            <w:vAlign w:val="bottom"/>
            <w:tcBorders>
              <w:bottom w:val="single" w:sz="8" w:color="auto"/>
            </w:tcBorders>
          </w:tcPr>
          <w:p>
            <w:pPr>
              <w:spacing w:after="0"/>
              <w:rPr>
                <w:sz w:val="14"/>
                <w:szCs w:val="14"/>
                <w:color w:val="auto"/>
              </w:rPr>
            </w:pPr>
          </w:p>
        </w:tc>
        <w:tc>
          <w:tcPr>
            <w:tcW w:w="900" w:type="dxa"/>
            <w:vAlign w:val="bottom"/>
            <w:tcBorders>
              <w:bottom w:val="single" w:sz="8" w:color="auto"/>
            </w:tcBorders>
          </w:tcPr>
          <w:p>
            <w:pPr>
              <w:jc w:val="right"/>
              <w:ind w:right="394"/>
              <w:spacing w:after="0"/>
              <w:rPr>
                <w:sz w:val="20"/>
                <w:szCs w:val="20"/>
                <w:color w:val="auto"/>
              </w:rPr>
            </w:pPr>
            <w:r>
              <w:rPr>
                <w:rFonts w:ascii="Times New Roman" w:cs="Times New Roman" w:eastAsia="Times New Roman" w:hAnsi="Times New Roman"/>
                <w:sz w:val="13"/>
                <w:szCs w:val="13"/>
                <w:b w:val="1"/>
                <w:bCs w:val="1"/>
                <w:color w:val="auto"/>
              </w:rPr>
              <w:t>2023</w:t>
            </w:r>
          </w:p>
        </w:tc>
      </w:tr>
      <w:tr>
        <w:trPr>
          <w:trHeight w:val="172"/>
        </w:trPr>
        <w:tc>
          <w:tcPr>
            <w:tcW w:w="760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4"/>
                <w:szCs w:val="14"/>
                <w:color w:val="auto"/>
              </w:rPr>
              <w:t>Weighted-average grant date fair value</w:t>
            </w:r>
          </w:p>
        </w:tc>
        <w:tc>
          <w:tcPr>
            <w:tcW w:w="760" w:type="dxa"/>
            <w:vAlign w:val="bottom"/>
            <w:shd w:val="clear" w:color="auto" w:fill="CCEEFF"/>
          </w:tcPr>
          <w:p>
            <w:pPr>
              <w:jc w:val="right"/>
              <w:ind w:right="614"/>
              <w:spacing w:after="0"/>
              <w:rPr>
                <w:sz w:val="20"/>
                <w:szCs w:val="20"/>
                <w:color w:val="auto"/>
              </w:rPr>
            </w:pPr>
            <w:r>
              <w:rPr>
                <w:rFonts w:ascii="Times New Roman" w:cs="Times New Roman" w:eastAsia="Times New Roman" w:hAnsi="Times New Roman"/>
                <w:sz w:val="13"/>
                <w:szCs w:val="13"/>
                <w:color w:val="auto"/>
                <w:w w:val="91"/>
              </w:rPr>
              <w:t>$</w:t>
            </w:r>
          </w:p>
        </w:tc>
        <w:tc>
          <w:tcPr>
            <w:tcW w:w="3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12.01</w:t>
            </w:r>
          </w:p>
        </w:tc>
        <w:tc>
          <w:tcPr>
            <w:tcW w:w="4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260" w:type="dxa"/>
            <w:vAlign w:val="bottom"/>
            <w:shd w:val="clear" w:color="auto" w:fill="CCEEFF"/>
          </w:tcPr>
          <w:p>
            <w:pPr>
              <w:jc w:val="right"/>
              <w:ind w:right="113"/>
              <w:spacing w:after="0"/>
              <w:rPr>
                <w:sz w:val="20"/>
                <w:szCs w:val="20"/>
                <w:color w:val="auto"/>
              </w:rPr>
            </w:pPr>
            <w:r>
              <w:rPr>
                <w:rFonts w:ascii="Times New Roman" w:cs="Times New Roman" w:eastAsia="Times New Roman" w:hAnsi="Times New Roman"/>
                <w:sz w:val="13"/>
                <w:szCs w:val="13"/>
                <w:color w:val="auto"/>
                <w:w w:val="91"/>
              </w:rPr>
              <w:t>$</w:t>
            </w:r>
          </w:p>
        </w:tc>
        <w:tc>
          <w:tcPr>
            <w:tcW w:w="9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12.05</w:t>
            </w:r>
          </w:p>
        </w:tc>
        <w:tc>
          <w:tcPr>
            <w:tcW w:w="100" w:type="dxa"/>
            <w:vAlign w:val="bottom"/>
            <w:shd w:val="clear" w:color="auto" w:fill="CCEEFF"/>
          </w:tcPr>
          <w:p>
            <w:pPr>
              <w:spacing w:after="0"/>
              <w:rPr>
                <w:sz w:val="14"/>
                <w:szCs w:val="14"/>
                <w:color w:val="auto"/>
              </w:rPr>
            </w:pPr>
          </w:p>
        </w:tc>
        <w:tc>
          <w:tcPr>
            <w:tcW w:w="260" w:type="dxa"/>
            <w:vAlign w:val="bottom"/>
            <w:shd w:val="clear" w:color="auto" w:fill="CCEEFF"/>
          </w:tcPr>
          <w:p>
            <w:pPr>
              <w:jc w:val="right"/>
              <w:ind w:right="113"/>
              <w:spacing w:after="0"/>
              <w:rPr>
                <w:sz w:val="20"/>
                <w:szCs w:val="20"/>
                <w:color w:val="auto"/>
              </w:rPr>
            </w:pPr>
            <w:r>
              <w:rPr>
                <w:rFonts w:ascii="Times New Roman" w:cs="Times New Roman" w:eastAsia="Times New Roman" w:hAnsi="Times New Roman"/>
                <w:sz w:val="13"/>
                <w:szCs w:val="13"/>
                <w:color w:val="auto"/>
                <w:w w:val="91"/>
              </w:rPr>
              <w:t>$</w:t>
            </w:r>
          </w:p>
        </w:tc>
        <w:tc>
          <w:tcPr>
            <w:tcW w:w="9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12.26</w:t>
            </w:r>
          </w:p>
        </w:tc>
      </w:tr>
      <w:tr>
        <w:trPr>
          <w:trHeight w:val="184"/>
        </w:trPr>
        <w:tc>
          <w:tcPr>
            <w:tcW w:w="7600" w:type="dxa"/>
            <w:vAlign w:val="bottom"/>
          </w:tcPr>
          <w:p>
            <w:pPr>
              <w:ind w:left="20"/>
              <w:spacing w:after="0"/>
              <w:rPr>
                <w:sz w:val="20"/>
                <w:szCs w:val="20"/>
                <w:color w:val="auto"/>
              </w:rPr>
            </w:pPr>
            <w:r>
              <w:rPr>
                <w:rFonts w:ascii="Times New Roman" w:cs="Times New Roman" w:eastAsia="Times New Roman" w:hAnsi="Times New Roman"/>
                <w:sz w:val="14"/>
                <w:szCs w:val="14"/>
                <w:color w:val="auto"/>
              </w:rPr>
              <w:t>Fair value of shares vested (in thousands)</w:t>
            </w:r>
          </w:p>
        </w:tc>
        <w:tc>
          <w:tcPr>
            <w:tcW w:w="760" w:type="dxa"/>
            <w:vAlign w:val="bottom"/>
          </w:tcPr>
          <w:p>
            <w:pPr>
              <w:jc w:val="right"/>
              <w:ind w:right="614"/>
              <w:spacing w:after="0"/>
              <w:rPr>
                <w:sz w:val="20"/>
                <w:szCs w:val="20"/>
                <w:color w:val="auto"/>
              </w:rPr>
            </w:pPr>
            <w:r>
              <w:rPr>
                <w:rFonts w:ascii="Times New Roman" w:cs="Times New Roman" w:eastAsia="Times New Roman" w:hAnsi="Times New Roman"/>
                <w:sz w:val="13"/>
                <w:szCs w:val="13"/>
                <w:color w:val="auto"/>
                <w:w w:val="91"/>
              </w:rPr>
              <w:t>$</w:t>
            </w:r>
          </w:p>
        </w:tc>
        <w:tc>
          <w:tcPr>
            <w:tcW w:w="36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4,381</w:t>
            </w:r>
          </w:p>
        </w:tc>
        <w:tc>
          <w:tcPr>
            <w:tcW w:w="400" w:type="dxa"/>
            <w:vAlign w:val="bottom"/>
            <w:gridSpan w:val="3"/>
          </w:tcPr>
          <w:p>
            <w:pPr>
              <w:jc w:val="right"/>
              <w:ind w:right="113"/>
              <w:spacing w:after="0"/>
              <w:rPr>
                <w:sz w:val="20"/>
                <w:szCs w:val="20"/>
                <w:color w:val="auto"/>
              </w:rPr>
            </w:pPr>
            <w:r>
              <w:rPr>
                <w:rFonts w:ascii="Times New Roman" w:cs="Times New Roman" w:eastAsia="Times New Roman" w:hAnsi="Times New Roman"/>
                <w:sz w:val="13"/>
                <w:szCs w:val="13"/>
                <w:color w:val="auto"/>
              </w:rPr>
              <w:t>$</w:t>
            </w:r>
          </w:p>
        </w:tc>
        <w:tc>
          <w:tcPr>
            <w:tcW w:w="90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5,380</w:t>
            </w:r>
          </w:p>
        </w:tc>
        <w:tc>
          <w:tcPr>
            <w:tcW w:w="100" w:type="dxa"/>
            <w:vAlign w:val="bottom"/>
          </w:tcPr>
          <w:p>
            <w:pPr>
              <w:spacing w:after="0"/>
              <w:rPr>
                <w:sz w:val="16"/>
                <w:szCs w:val="16"/>
                <w:color w:val="auto"/>
              </w:rPr>
            </w:pPr>
          </w:p>
        </w:tc>
        <w:tc>
          <w:tcPr>
            <w:tcW w:w="260" w:type="dxa"/>
            <w:vAlign w:val="bottom"/>
          </w:tcPr>
          <w:p>
            <w:pPr>
              <w:jc w:val="right"/>
              <w:ind w:right="113"/>
              <w:spacing w:after="0"/>
              <w:rPr>
                <w:sz w:val="20"/>
                <w:szCs w:val="20"/>
                <w:color w:val="auto"/>
              </w:rPr>
            </w:pPr>
            <w:r>
              <w:rPr>
                <w:rFonts w:ascii="Times New Roman" w:cs="Times New Roman" w:eastAsia="Times New Roman" w:hAnsi="Times New Roman"/>
                <w:sz w:val="13"/>
                <w:szCs w:val="13"/>
                <w:color w:val="auto"/>
                <w:w w:val="91"/>
              </w:rPr>
              <w:t>$</w:t>
            </w:r>
          </w:p>
        </w:tc>
        <w:tc>
          <w:tcPr>
            <w:tcW w:w="90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6,081</w:t>
            </w:r>
          </w:p>
        </w:tc>
      </w:tr>
    </w:tbl>
    <w:p>
      <w:pPr>
        <w:spacing w:after="0" w:line="139"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b w:val="1"/>
          <w:bCs w:val="1"/>
          <w:color w:val="auto"/>
        </w:rPr>
        <w:t>Mutual Fund Share Incentive Awards</w:t>
      </w:r>
    </w:p>
    <w:p>
      <w:pPr>
        <w:spacing w:after="0" w:line="200" w:lineRule="exact"/>
        <w:rPr>
          <w:sz w:val="20"/>
          <w:szCs w:val="20"/>
          <w:color w:val="auto"/>
        </w:rPr>
      </w:pPr>
    </w:p>
    <w:p>
      <w:pPr>
        <w:spacing w:after="0" w:line="24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4"/>
          <w:szCs w:val="14"/>
          <w:color w:val="auto"/>
        </w:rPr>
        <w:t>21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-8890</wp:posOffset>
            </wp:positionH>
            <wp:positionV relativeFrom="paragraph">
              <wp:posOffset>55880</wp:posOffset>
            </wp:positionV>
            <wp:extent cx="7186930" cy="38735"/>
            <wp:wrapNone/>
            <wp:docPr id="126" name="Picture 1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6"/>
                    <pic:cNvPicPr>
                      <a:picLocks noChangeAspect="1" noChangeArrowheads="1"/>
                    </pic:cNvPicPr>
                  </pic:nvPicPr>
                  <pic:blipFill>
                    <a:blip r:embed="rId133">
                      <a:extLst>
                        <a:ext uri="{28A0092B-C50C-407E-A947-70E740481C1C}"/>
                      </a:extLst>
                    </a:blip>
                    <a:srcRect/>
                    <a:stretch>
                      <a:fillRect/>
                    </a:stretch>
                  </pic:blipFill>
                  <pic:spPr bwMode="auto">
                    <a:xfrm>
                      <a:off x="0" y="0"/>
                      <a:ext cx="7186930" cy="38735"/>
                    </a:xfrm>
                    <a:prstGeom prst="rect">
                      <a:avLst/>
                    </a:prstGeom>
                    <a:noFill/>
                  </pic:spPr>
                </pic:pic>
              </a:graphicData>
            </a:graphic>
          </wp:anchor>
        </w:drawing>
      </w:r>
    </w:p>
    <w:p>
      <w:pPr>
        <w:sectPr>
          <w:pgSz w:w="11900" w:h="16838" w:orient="portrait"/>
          <w:cols w:equalWidth="0" w:num="1">
            <w:col w:w="11280"/>
          </w:cols>
          <w:pgMar w:left="300" w:top="123" w:right="319" w:bottom="1440" w:gutter="0" w:footer="0" w:header="0"/>
        </w:sectPr>
      </w:pPr>
    </w:p>
    <w:bookmarkStart w:id="63" w:name="page64"/>
    <w:bookmarkEnd w:id="63"/>
    <w:p>
      <w:pPr>
        <w:jc w:val="center"/>
        <w:spacing w:after="0"/>
        <w:rPr>
          <w:sz w:val="20"/>
          <w:szCs w:val="20"/>
          <w:color w:val="auto"/>
        </w:rPr>
      </w:pPr>
      <w:r>
        <w:rPr>
          <w:rFonts w:ascii="Times New Roman" w:cs="Times New Roman" w:eastAsia="Times New Roman" w:hAnsi="Times New Roman"/>
          <w:sz w:val="14"/>
          <w:szCs w:val="14"/>
          <w:b w:val="1"/>
          <w:bCs w:val="1"/>
          <w:color w:val="auto"/>
        </w:rPr>
        <w:t>WESTWOOD HOLDINGS GROUP, INC.</w:t>
      </w:r>
    </w:p>
    <w:p>
      <w:pPr>
        <w:spacing w:after="0" w:line="5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4"/>
          <w:szCs w:val="14"/>
          <w:b w:val="1"/>
          <w:bCs w:val="1"/>
          <w:color w:val="auto"/>
        </w:rPr>
        <w:t>NOTES TO CONSOLIDATED FINANCIAL STATEMENTS — (Continued)</w:t>
      </w:r>
    </w:p>
    <w:p>
      <w:pPr>
        <w:spacing w:after="0" w:line="318" w:lineRule="exact"/>
        <w:rPr>
          <w:sz w:val="20"/>
          <w:szCs w:val="20"/>
          <w:color w:val="auto"/>
        </w:rPr>
      </w:pPr>
    </w:p>
    <w:p>
      <w:pPr>
        <w:ind w:right="120" w:firstLine="382"/>
        <w:spacing w:after="0" w:line="261" w:lineRule="auto"/>
        <w:rPr>
          <w:sz w:val="20"/>
          <w:szCs w:val="20"/>
          <w:color w:val="auto"/>
        </w:rPr>
      </w:pPr>
      <w:r>
        <w:rPr>
          <w:rFonts w:ascii="Times New Roman" w:cs="Times New Roman" w:eastAsia="Times New Roman" w:hAnsi="Times New Roman"/>
          <w:sz w:val="14"/>
          <w:szCs w:val="14"/>
          <w:color w:val="auto"/>
        </w:rPr>
        <w:t>We may grant mutual fund incentive awards, which are annual bonus awards based on our mutual funds achieving specific performance goals, to specific employees. Awards granted are notionally credited to a participant account maintained by us that contains a number of mutual fund shares equal to the award amount divided by the net closing value of a fund share on the date the amount is credited to the account. We maintain the award in a corporate investment account until vesting. The investment may increase or decrease based on changes in the value of the mutual fund shares awarded, including reinvested income from the mutual funds during the vesting period. We account for these awards similarly to stock-based compensation awards. As of December 31, 2025 and 2024, approximately $0 and $0.8 million, respectively, of unvested mutual fund awards was included under "Investments at fair value" on our Consolidated Balance Sheets.</w:t>
      </w:r>
    </w:p>
    <w:p>
      <w:pPr>
        <w:spacing w:after="0" w:line="58" w:lineRule="exact"/>
        <w:rPr>
          <w:sz w:val="20"/>
          <w:szCs w:val="20"/>
          <w:color w:val="auto"/>
        </w:rPr>
      </w:pPr>
    </w:p>
    <w:p>
      <w:pPr>
        <w:ind w:right="100" w:firstLine="382"/>
        <w:spacing w:after="0" w:line="258" w:lineRule="auto"/>
        <w:rPr>
          <w:sz w:val="20"/>
          <w:szCs w:val="20"/>
          <w:color w:val="auto"/>
        </w:rPr>
      </w:pPr>
      <w:r>
        <w:rPr>
          <w:rFonts w:ascii="Times New Roman" w:cs="Times New Roman" w:eastAsia="Times New Roman" w:hAnsi="Times New Roman"/>
          <w:sz w:val="14"/>
          <w:szCs w:val="14"/>
          <w:color w:val="auto"/>
        </w:rPr>
        <w:t>Awards vest after approximately two years of service following the year in which the participant earned the award. We begin accruing a liability for mutual fund incentive awards when we believe it is probable that the award will be earned and record expense for these awards over the service period of the award. During the year in which the amount of the award is determined, we record expense based on its expected value. After the award is earned, we record expense based on the value of the shares awarded and the percentage of the vesting period that has elapsed. Our liability under these awards may increase or decrease based on changes in the value of the mutual fund shares awarded, including reinvested income from the mutual funds during the vesting period. Upon vesting, participants receive the mutual fund share awards adjusted for earnings or losses attributable to the underlying mutual funds. For the years ended December 31, 2025, 2024 and 2023, we recorded expense of $0.1 million, $0.5 million and $0.7 million, respectively, related to mutual fund share incentive awards. As of December 31, 2025 and 2024, approximately $0 and $0.6 million, respectively, of mutual funds award liability was included under "Compensation and benefits payable" on our Consolidated Balance Sheets.</w:t>
      </w:r>
    </w:p>
    <w:p>
      <w:pPr>
        <w:spacing w:after="0" w:line="60"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b w:val="1"/>
          <w:bCs w:val="1"/>
          <w:color w:val="auto"/>
        </w:rPr>
        <w:t>Benefit Plans</w:t>
      </w:r>
    </w:p>
    <w:p>
      <w:pPr>
        <w:spacing w:after="0" w:line="96" w:lineRule="exact"/>
        <w:rPr>
          <w:sz w:val="20"/>
          <w:szCs w:val="20"/>
          <w:color w:val="auto"/>
        </w:rPr>
      </w:pPr>
    </w:p>
    <w:p>
      <w:pPr>
        <w:ind w:right="160" w:firstLine="382"/>
        <w:spacing w:after="0" w:line="287" w:lineRule="auto"/>
        <w:rPr>
          <w:sz w:val="20"/>
          <w:szCs w:val="20"/>
          <w:color w:val="auto"/>
        </w:rPr>
      </w:pPr>
      <w:r>
        <w:rPr>
          <w:rFonts w:ascii="Times New Roman" w:cs="Times New Roman" w:eastAsia="Times New Roman" w:hAnsi="Times New Roman"/>
          <w:sz w:val="14"/>
          <w:szCs w:val="14"/>
          <w:color w:val="auto"/>
        </w:rPr>
        <w:t>Westwood has a defined contribution and profit-sharing plan that was established in July 2002 and covers substantially all employees. Discretionary employer profit-sharing contributions become fully vested after four years of service by the participant. For U.S. employees, Westwood provides a 401(k) match of up to 6% of eligible compensation and contributions vest immediately.</w:t>
      </w:r>
    </w:p>
    <w:p>
      <w:pPr>
        <w:spacing w:after="0" w:line="39" w:lineRule="exact"/>
        <w:rPr>
          <w:sz w:val="20"/>
          <w:szCs w:val="20"/>
          <w:color w:val="auto"/>
        </w:rPr>
      </w:pPr>
    </w:p>
    <w:p>
      <w:pPr>
        <w:ind w:left="380"/>
        <w:spacing w:after="0"/>
        <w:rPr>
          <w:sz w:val="20"/>
          <w:szCs w:val="20"/>
          <w:color w:val="auto"/>
        </w:rPr>
      </w:pPr>
      <w:r>
        <w:rPr>
          <w:rFonts w:ascii="Times New Roman" w:cs="Times New Roman" w:eastAsia="Times New Roman" w:hAnsi="Times New Roman"/>
          <w:sz w:val="14"/>
          <w:szCs w:val="14"/>
          <w:color w:val="auto"/>
        </w:rPr>
        <w:t>The following table displays our profit-sharing and retirement plan contributions for the periods presented (in thousands):</w:t>
      </w:r>
    </w:p>
    <w:p>
      <w:pPr>
        <w:spacing w:after="0" w:line="39" w:lineRule="exact"/>
        <w:rPr>
          <w:sz w:val="20"/>
          <w:szCs w:val="20"/>
          <w:color w:val="auto"/>
        </w:rPr>
      </w:pPr>
    </w:p>
    <w:tbl>
      <w:tblPr>
        <w:tblLayout w:type="fixed"/>
        <w:tblInd w:w="0" w:type="dxa"/>
        <w:tblCellMar>
          <w:top w:w="0" w:type="dxa"/>
          <w:left w:w="0" w:type="dxa"/>
          <w:bottom w:w="0" w:type="dxa"/>
          <w:right w:w="0" w:type="dxa"/>
        </w:tblCellMar>
      </w:tblPr>
      <w:tr>
        <w:trPr>
          <w:trHeight w:val="186"/>
        </w:trPr>
        <w:tc>
          <w:tcPr>
            <w:tcW w:w="7780" w:type="dxa"/>
            <w:vAlign w:val="bottom"/>
          </w:tcPr>
          <w:p>
            <w:pPr>
              <w:spacing w:after="0"/>
              <w:rPr>
                <w:sz w:val="16"/>
                <w:szCs w:val="16"/>
                <w:color w:val="auto"/>
              </w:rPr>
            </w:pPr>
          </w:p>
        </w:tc>
        <w:tc>
          <w:tcPr>
            <w:tcW w:w="720" w:type="dxa"/>
            <w:vAlign w:val="bottom"/>
            <w:tcBorders>
              <w:bottom w:val="single" w:sz="8" w:color="auto"/>
            </w:tcBorders>
          </w:tcPr>
          <w:p>
            <w:pPr>
              <w:spacing w:after="0"/>
              <w:rPr>
                <w:sz w:val="16"/>
                <w:szCs w:val="16"/>
                <w:color w:val="auto"/>
              </w:rPr>
            </w:pPr>
          </w:p>
        </w:tc>
        <w:tc>
          <w:tcPr>
            <w:tcW w:w="1960" w:type="dxa"/>
            <w:vAlign w:val="bottom"/>
            <w:tcBorders>
              <w:bottom w:val="single" w:sz="8" w:color="auto"/>
            </w:tcBorders>
            <w:gridSpan w:val="6"/>
          </w:tcPr>
          <w:p>
            <w:pPr>
              <w:jc w:val="right"/>
              <w:ind w:right="69"/>
              <w:spacing w:after="0"/>
              <w:rPr>
                <w:sz w:val="20"/>
                <w:szCs w:val="20"/>
                <w:color w:val="auto"/>
              </w:rPr>
            </w:pPr>
            <w:r>
              <w:rPr>
                <w:rFonts w:ascii="Times New Roman" w:cs="Times New Roman" w:eastAsia="Times New Roman" w:hAnsi="Times New Roman"/>
                <w:sz w:val="14"/>
                <w:szCs w:val="14"/>
                <w:b w:val="1"/>
                <w:bCs w:val="1"/>
                <w:color w:val="auto"/>
              </w:rPr>
              <w:t>Years ended December 31,</w:t>
            </w:r>
          </w:p>
        </w:tc>
        <w:tc>
          <w:tcPr>
            <w:tcW w:w="820" w:type="dxa"/>
            <w:vAlign w:val="bottom"/>
            <w:tcBorders>
              <w:bottom w:val="single" w:sz="8" w:color="auto"/>
            </w:tcBorders>
          </w:tcPr>
          <w:p>
            <w:pPr>
              <w:spacing w:after="0"/>
              <w:rPr>
                <w:sz w:val="16"/>
                <w:szCs w:val="16"/>
                <w:color w:val="auto"/>
              </w:rPr>
            </w:pPr>
          </w:p>
        </w:tc>
      </w:tr>
      <w:tr>
        <w:trPr>
          <w:trHeight w:val="171"/>
        </w:trPr>
        <w:tc>
          <w:tcPr>
            <w:tcW w:w="7780" w:type="dxa"/>
            <w:vAlign w:val="bottom"/>
            <w:tcBorders>
              <w:bottom w:val="single" w:sz="8" w:color="CCEEFF"/>
            </w:tcBorders>
          </w:tcPr>
          <w:p>
            <w:pPr>
              <w:spacing w:after="0"/>
              <w:rPr>
                <w:sz w:val="14"/>
                <w:szCs w:val="14"/>
                <w:color w:val="auto"/>
              </w:rPr>
            </w:pPr>
          </w:p>
        </w:tc>
        <w:tc>
          <w:tcPr>
            <w:tcW w:w="7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b w:val="1"/>
                <w:bCs w:val="1"/>
                <w:color w:val="auto"/>
              </w:rPr>
              <w:t>2025</w:t>
            </w:r>
          </w:p>
        </w:tc>
        <w:tc>
          <w:tcPr>
            <w:tcW w:w="380" w:type="dxa"/>
            <w:vAlign w:val="bottom"/>
            <w:tcBorders>
              <w:bottom w:val="single" w:sz="8" w:color="auto"/>
            </w:tcBorders>
          </w:tcPr>
          <w:p>
            <w:pPr>
              <w:spacing w:after="0"/>
              <w:rPr>
                <w:sz w:val="14"/>
                <w:szCs w:val="14"/>
                <w:color w:val="auto"/>
              </w:rPr>
            </w:pPr>
          </w:p>
        </w:tc>
        <w:tc>
          <w:tcPr>
            <w:tcW w:w="100" w:type="dxa"/>
            <w:vAlign w:val="bottom"/>
            <w:tcBorders>
              <w:bottom w:val="single" w:sz="8" w:color="CCEEFF"/>
            </w:tcBorders>
          </w:tcPr>
          <w:p>
            <w:pPr>
              <w:spacing w:after="0"/>
              <w:rPr>
                <w:sz w:val="14"/>
                <w:szCs w:val="14"/>
                <w:color w:val="auto"/>
              </w:rPr>
            </w:pPr>
          </w:p>
        </w:tc>
        <w:tc>
          <w:tcPr>
            <w:tcW w:w="240" w:type="dxa"/>
            <w:vAlign w:val="bottom"/>
            <w:tcBorders>
              <w:bottom w:val="single" w:sz="8" w:color="auto"/>
            </w:tcBorders>
          </w:tcPr>
          <w:p>
            <w:pPr>
              <w:spacing w:after="0"/>
              <w:rPr>
                <w:sz w:val="14"/>
                <w:szCs w:val="14"/>
                <w:color w:val="auto"/>
              </w:rPr>
            </w:pPr>
          </w:p>
        </w:tc>
        <w:tc>
          <w:tcPr>
            <w:tcW w:w="860" w:type="dxa"/>
            <w:vAlign w:val="bottom"/>
            <w:tcBorders>
              <w:bottom w:val="single" w:sz="8" w:color="auto"/>
            </w:tcBorders>
          </w:tcPr>
          <w:p>
            <w:pPr>
              <w:jc w:val="right"/>
              <w:ind w:right="329"/>
              <w:spacing w:after="0"/>
              <w:rPr>
                <w:sz w:val="20"/>
                <w:szCs w:val="20"/>
                <w:color w:val="auto"/>
              </w:rPr>
            </w:pPr>
            <w:r>
              <w:rPr>
                <w:rFonts w:ascii="Times New Roman" w:cs="Times New Roman" w:eastAsia="Times New Roman" w:hAnsi="Times New Roman"/>
                <w:sz w:val="14"/>
                <w:szCs w:val="14"/>
                <w:b w:val="1"/>
                <w:bCs w:val="1"/>
                <w:color w:val="auto"/>
              </w:rPr>
              <w:t>2024</w:t>
            </w:r>
          </w:p>
        </w:tc>
        <w:tc>
          <w:tcPr>
            <w:tcW w:w="100" w:type="dxa"/>
            <w:vAlign w:val="bottom"/>
            <w:tcBorders>
              <w:bottom w:val="single" w:sz="8" w:color="CCEEFF"/>
            </w:tcBorders>
          </w:tcPr>
          <w:p>
            <w:pPr>
              <w:spacing w:after="0"/>
              <w:rPr>
                <w:sz w:val="14"/>
                <w:szCs w:val="14"/>
                <w:color w:val="auto"/>
              </w:rPr>
            </w:pPr>
          </w:p>
        </w:tc>
        <w:tc>
          <w:tcPr>
            <w:tcW w:w="280" w:type="dxa"/>
            <w:vAlign w:val="bottom"/>
            <w:tcBorders>
              <w:bottom w:val="single" w:sz="8" w:color="auto"/>
            </w:tcBorders>
          </w:tcPr>
          <w:p>
            <w:pPr>
              <w:spacing w:after="0"/>
              <w:rPr>
                <w:sz w:val="14"/>
                <w:szCs w:val="14"/>
                <w:color w:val="auto"/>
              </w:rPr>
            </w:pPr>
          </w:p>
        </w:tc>
        <w:tc>
          <w:tcPr>
            <w:tcW w:w="820" w:type="dxa"/>
            <w:vAlign w:val="bottom"/>
            <w:tcBorders>
              <w:bottom w:val="single" w:sz="8" w:color="auto"/>
            </w:tcBorders>
          </w:tcPr>
          <w:p>
            <w:pPr>
              <w:jc w:val="right"/>
              <w:ind w:right="329"/>
              <w:spacing w:after="0"/>
              <w:rPr>
                <w:sz w:val="20"/>
                <w:szCs w:val="20"/>
                <w:color w:val="auto"/>
              </w:rPr>
            </w:pPr>
            <w:r>
              <w:rPr>
                <w:rFonts w:ascii="Times New Roman" w:cs="Times New Roman" w:eastAsia="Times New Roman" w:hAnsi="Times New Roman"/>
                <w:sz w:val="14"/>
                <w:szCs w:val="14"/>
                <w:b w:val="1"/>
                <w:bCs w:val="1"/>
                <w:color w:val="auto"/>
              </w:rPr>
              <w:t>2023</w:t>
            </w:r>
          </w:p>
        </w:tc>
      </w:tr>
      <w:tr>
        <w:trPr>
          <w:trHeight w:val="171"/>
        </w:trPr>
        <w:tc>
          <w:tcPr>
            <w:tcW w:w="778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4"/>
                <w:szCs w:val="14"/>
                <w:color w:val="auto"/>
              </w:rPr>
              <w:t>Profit-sharing contributions, net</w:t>
            </w:r>
          </w:p>
        </w:tc>
        <w:tc>
          <w:tcPr>
            <w:tcW w:w="720" w:type="dxa"/>
            <w:vAlign w:val="bottom"/>
            <w:shd w:val="clear" w:color="auto" w:fill="CCEEFF"/>
          </w:tcPr>
          <w:p>
            <w:pPr>
              <w:jc w:val="right"/>
              <w:ind w:right="569"/>
              <w:spacing w:after="0"/>
              <w:rPr>
                <w:sz w:val="20"/>
                <w:szCs w:val="20"/>
                <w:color w:val="auto"/>
              </w:rPr>
            </w:pPr>
            <w:r>
              <w:rPr>
                <w:rFonts w:ascii="Times New Roman" w:cs="Times New Roman" w:eastAsia="Times New Roman" w:hAnsi="Times New Roman"/>
                <w:sz w:val="14"/>
                <w:szCs w:val="14"/>
                <w:color w:val="auto"/>
                <w:w w:val="85"/>
              </w:rPr>
              <w:t>$</w:t>
            </w:r>
          </w:p>
        </w:tc>
        <w:tc>
          <w:tcPr>
            <w:tcW w:w="3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496</w:t>
            </w:r>
          </w:p>
        </w:tc>
        <w:tc>
          <w:tcPr>
            <w:tcW w:w="100" w:type="dxa"/>
            <w:vAlign w:val="bottom"/>
            <w:shd w:val="clear" w:color="auto" w:fill="CCEEFF"/>
          </w:tcPr>
          <w:p>
            <w:pPr>
              <w:spacing w:after="0"/>
              <w:rPr>
                <w:sz w:val="14"/>
                <w:szCs w:val="14"/>
                <w:color w:val="auto"/>
              </w:rPr>
            </w:pPr>
          </w:p>
        </w:tc>
        <w:tc>
          <w:tcPr>
            <w:tcW w:w="240" w:type="dxa"/>
            <w:vAlign w:val="bottom"/>
            <w:shd w:val="clear" w:color="auto" w:fill="CCEEFF"/>
          </w:tcPr>
          <w:p>
            <w:pPr>
              <w:jc w:val="right"/>
              <w:ind w:right="89"/>
              <w:spacing w:after="0"/>
              <w:rPr>
                <w:sz w:val="20"/>
                <w:szCs w:val="20"/>
                <w:color w:val="auto"/>
              </w:rPr>
            </w:pPr>
            <w:r>
              <w:rPr>
                <w:rFonts w:ascii="Times New Roman" w:cs="Times New Roman" w:eastAsia="Times New Roman" w:hAnsi="Times New Roman"/>
                <w:sz w:val="14"/>
                <w:szCs w:val="14"/>
                <w:color w:val="auto"/>
                <w:w w:val="85"/>
              </w:rPr>
              <w:t>$</w:t>
            </w:r>
          </w:p>
        </w:tc>
        <w:tc>
          <w:tcPr>
            <w:tcW w:w="8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100" w:type="dxa"/>
            <w:vAlign w:val="bottom"/>
            <w:shd w:val="clear" w:color="auto" w:fill="CCEEFF"/>
          </w:tcPr>
          <w:p>
            <w:pPr>
              <w:spacing w:after="0"/>
              <w:rPr>
                <w:sz w:val="14"/>
                <w:szCs w:val="14"/>
                <w:color w:val="auto"/>
              </w:rPr>
            </w:pPr>
          </w:p>
        </w:tc>
        <w:tc>
          <w:tcPr>
            <w:tcW w:w="280" w:type="dxa"/>
            <w:vAlign w:val="bottom"/>
            <w:shd w:val="clear" w:color="auto" w:fill="CCEEFF"/>
          </w:tcPr>
          <w:p>
            <w:pPr>
              <w:jc w:val="right"/>
              <w:ind w:right="129"/>
              <w:spacing w:after="0"/>
              <w:rPr>
                <w:sz w:val="20"/>
                <w:szCs w:val="20"/>
                <w:color w:val="auto"/>
              </w:rPr>
            </w:pPr>
            <w:r>
              <w:rPr>
                <w:rFonts w:ascii="Times New Roman" w:cs="Times New Roman" w:eastAsia="Times New Roman" w:hAnsi="Times New Roman"/>
                <w:sz w:val="14"/>
                <w:szCs w:val="14"/>
                <w:color w:val="auto"/>
                <w:w w:val="85"/>
              </w:rPr>
              <w:t>$</w:t>
            </w:r>
          </w:p>
        </w:tc>
        <w:tc>
          <w:tcPr>
            <w:tcW w:w="8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w:t>
            </w:r>
          </w:p>
        </w:tc>
      </w:tr>
      <w:tr>
        <w:trPr>
          <w:trHeight w:val="184"/>
        </w:trPr>
        <w:tc>
          <w:tcPr>
            <w:tcW w:w="7780" w:type="dxa"/>
            <w:vAlign w:val="bottom"/>
          </w:tcPr>
          <w:p>
            <w:pPr>
              <w:ind w:left="20"/>
              <w:spacing w:after="0"/>
              <w:rPr>
                <w:sz w:val="20"/>
                <w:szCs w:val="20"/>
                <w:color w:val="auto"/>
              </w:rPr>
            </w:pPr>
            <w:r>
              <w:rPr>
                <w:rFonts w:ascii="Times New Roman" w:cs="Times New Roman" w:eastAsia="Times New Roman" w:hAnsi="Times New Roman"/>
                <w:sz w:val="14"/>
                <w:szCs w:val="14"/>
                <w:color w:val="auto"/>
              </w:rPr>
              <w:t>Retirement plan matching contributions</w:t>
            </w:r>
          </w:p>
        </w:tc>
        <w:tc>
          <w:tcPr>
            <w:tcW w:w="720" w:type="dxa"/>
            <w:vAlign w:val="bottom"/>
          </w:tcPr>
          <w:p>
            <w:pPr>
              <w:spacing w:after="0"/>
              <w:rPr>
                <w:sz w:val="16"/>
                <w:szCs w:val="16"/>
                <w:color w:val="auto"/>
              </w:rPr>
            </w:pPr>
          </w:p>
        </w:tc>
        <w:tc>
          <w:tcPr>
            <w:tcW w:w="380" w:type="dxa"/>
            <w:vAlign w:val="bottom"/>
          </w:tcPr>
          <w:p>
            <w:pPr>
              <w:jc w:val="right"/>
              <w:spacing w:after="0"/>
              <w:rPr>
                <w:sz w:val="20"/>
                <w:szCs w:val="20"/>
                <w:color w:val="auto"/>
              </w:rPr>
            </w:pPr>
            <w:r>
              <w:rPr>
                <w:rFonts w:ascii="Times New Roman" w:cs="Times New Roman" w:eastAsia="Times New Roman" w:hAnsi="Times New Roman"/>
                <w:sz w:val="14"/>
                <w:szCs w:val="14"/>
                <w:color w:val="auto"/>
                <w:w w:val="95"/>
              </w:rPr>
              <w:t>1,821</w:t>
            </w:r>
          </w:p>
        </w:tc>
        <w:tc>
          <w:tcPr>
            <w:tcW w:w="100" w:type="dxa"/>
            <w:vAlign w:val="bottom"/>
          </w:tcPr>
          <w:p>
            <w:pPr>
              <w:spacing w:after="0"/>
              <w:rPr>
                <w:sz w:val="16"/>
                <w:szCs w:val="16"/>
                <w:color w:val="auto"/>
              </w:rPr>
            </w:pPr>
          </w:p>
        </w:tc>
        <w:tc>
          <w:tcPr>
            <w:tcW w:w="240" w:type="dxa"/>
            <w:vAlign w:val="bottom"/>
          </w:tcPr>
          <w:p>
            <w:pPr>
              <w:spacing w:after="0"/>
              <w:rPr>
                <w:sz w:val="16"/>
                <w:szCs w:val="16"/>
                <w:color w:val="auto"/>
              </w:rPr>
            </w:pPr>
          </w:p>
        </w:tc>
        <w:tc>
          <w:tcPr>
            <w:tcW w:w="86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1,737</w:t>
            </w:r>
          </w:p>
        </w:tc>
        <w:tc>
          <w:tcPr>
            <w:tcW w:w="100" w:type="dxa"/>
            <w:vAlign w:val="bottom"/>
          </w:tcPr>
          <w:p>
            <w:pPr>
              <w:spacing w:after="0"/>
              <w:rPr>
                <w:sz w:val="16"/>
                <w:szCs w:val="16"/>
                <w:color w:val="auto"/>
              </w:rPr>
            </w:pPr>
          </w:p>
        </w:tc>
        <w:tc>
          <w:tcPr>
            <w:tcW w:w="280" w:type="dxa"/>
            <w:vAlign w:val="bottom"/>
          </w:tcPr>
          <w:p>
            <w:pPr>
              <w:spacing w:after="0"/>
              <w:rPr>
                <w:sz w:val="16"/>
                <w:szCs w:val="16"/>
                <w:color w:val="auto"/>
              </w:rPr>
            </w:pPr>
          </w:p>
        </w:tc>
        <w:tc>
          <w:tcPr>
            <w:tcW w:w="82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1,616</w:t>
            </w:r>
          </w:p>
        </w:tc>
      </w:tr>
    </w:tbl>
    <w:p>
      <w:pPr>
        <w:spacing w:after="0" w:line="200" w:lineRule="exact"/>
        <w:rPr>
          <w:sz w:val="20"/>
          <w:szCs w:val="20"/>
          <w:color w:val="auto"/>
        </w:rPr>
      </w:pPr>
    </w:p>
    <w:p>
      <w:pPr>
        <w:spacing w:after="0" w:line="257"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b w:val="1"/>
          <w:bCs w:val="1"/>
          <w:color w:val="auto"/>
        </w:rPr>
        <w:t>9. INCOME TAXES:</w:t>
      </w:r>
    </w:p>
    <w:p>
      <w:pPr>
        <w:spacing w:after="0" w:line="94"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b w:val="1"/>
          <w:bCs w:val="1"/>
          <w:i w:val="1"/>
          <w:iCs w:val="1"/>
          <w:color w:val="auto"/>
        </w:rPr>
        <w:t>Income Tax Provision</w:t>
      </w:r>
    </w:p>
    <w:p>
      <w:pPr>
        <w:spacing w:after="0" w:line="200" w:lineRule="exact"/>
        <w:rPr>
          <w:sz w:val="20"/>
          <w:szCs w:val="20"/>
          <w:color w:val="auto"/>
        </w:rPr>
      </w:pPr>
    </w:p>
    <w:p>
      <w:pPr>
        <w:spacing w:after="0" w:line="24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4"/>
          <w:szCs w:val="14"/>
          <w:color w:val="auto"/>
        </w:rPr>
        <w:t>22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-8890</wp:posOffset>
            </wp:positionH>
            <wp:positionV relativeFrom="paragraph">
              <wp:posOffset>55880</wp:posOffset>
            </wp:positionV>
            <wp:extent cx="7186930" cy="38735"/>
            <wp:wrapNone/>
            <wp:docPr id="127" name="Picture 1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7"/>
                    <pic:cNvPicPr>
                      <a:picLocks noChangeAspect="1" noChangeArrowheads="1"/>
                    </pic:cNvPicPr>
                  </pic:nvPicPr>
                  <pic:blipFill>
                    <a:blip r:embed="rId134">
                      <a:extLst>
                        <a:ext uri="{28A0092B-C50C-407E-A947-70E740481C1C}"/>
                      </a:extLst>
                    </a:blip>
                    <a:srcRect/>
                    <a:stretch>
                      <a:fillRect/>
                    </a:stretch>
                  </pic:blipFill>
                  <pic:spPr bwMode="auto">
                    <a:xfrm>
                      <a:off x="0" y="0"/>
                      <a:ext cx="7186930" cy="38735"/>
                    </a:xfrm>
                    <a:prstGeom prst="rect">
                      <a:avLst/>
                    </a:prstGeom>
                    <a:noFill/>
                  </pic:spPr>
                </pic:pic>
              </a:graphicData>
            </a:graphic>
          </wp:anchor>
        </w:drawing>
      </w:r>
    </w:p>
    <w:p>
      <w:pPr>
        <w:sectPr>
          <w:pgSz w:w="11900" w:h="16838" w:orient="portrait"/>
          <w:cols w:equalWidth="0" w:num="1">
            <w:col w:w="11280"/>
          </w:cols>
          <w:pgMar w:left="300" w:top="123" w:right="319" w:bottom="1440" w:gutter="0" w:footer="0" w:header="0"/>
        </w:sectPr>
      </w:pPr>
    </w:p>
    <w:bookmarkStart w:id="64" w:name="page65"/>
    <w:bookmarkEnd w:id="64"/>
    <w:p>
      <w:pPr>
        <w:jc w:val="center"/>
        <w:spacing w:after="0"/>
        <w:rPr>
          <w:sz w:val="20"/>
          <w:szCs w:val="20"/>
          <w:color w:val="auto"/>
        </w:rPr>
      </w:pPr>
      <w:r>
        <w:rPr>
          <w:rFonts w:ascii="Times New Roman" w:cs="Times New Roman" w:eastAsia="Times New Roman" w:hAnsi="Times New Roman"/>
          <w:sz w:val="14"/>
          <w:szCs w:val="14"/>
          <w:b w:val="1"/>
          <w:bCs w:val="1"/>
          <w:color w:val="auto"/>
        </w:rPr>
        <w:t>WESTWOOD HOLDINGS GROUP, INC.</w:t>
      </w:r>
    </w:p>
    <w:p>
      <w:pPr>
        <w:spacing w:after="0" w:line="5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4"/>
          <w:szCs w:val="14"/>
          <w:b w:val="1"/>
          <w:bCs w:val="1"/>
          <w:color w:val="auto"/>
        </w:rPr>
        <w:t>NOTES TO CONSOLIDATED FINANCIAL STATEMENTS — (Continued)</w:t>
      </w:r>
    </w:p>
    <w:p>
      <w:pPr>
        <w:spacing w:after="0" w:line="318" w:lineRule="exact"/>
        <w:rPr>
          <w:sz w:val="20"/>
          <w:szCs w:val="20"/>
          <w:color w:val="auto"/>
        </w:rPr>
      </w:pPr>
    </w:p>
    <w:p>
      <w:pPr>
        <w:ind w:left="380"/>
        <w:spacing w:after="0"/>
        <w:rPr>
          <w:sz w:val="20"/>
          <w:szCs w:val="20"/>
          <w:color w:val="auto"/>
        </w:rPr>
      </w:pPr>
      <w:r>
        <w:rPr>
          <w:rFonts w:ascii="Times New Roman" w:cs="Times New Roman" w:eastAsia="Times New Roman" w:hAnsi="Times New Roman"/>
          <w:sz w:val="14"/>
          <w:szCs w:val="14"/>
          <w:color w:val="auto"/>
        </w:rPr>
        <w:t>The components of our income before income taxes and the provision (benefit) for income taxes are as follows (in thousands):</w:t>
      </w:r>
    </w:p>
    <w:p>
      <w:pPr>
        <w:spacing w:after="0" w:line="53" w:lineRule="exact"/>
        <w:rPr>
          <w:sz w:val="20"/>
          <w:szCs w:val="20"/>
          <w:color w:val="auto"/>
        </w:rPr>
      </w:pPr>
    </w:p>
    <w:tbl>
      <w:tblPr>
        <w:tblLayout w:type="fixed"/>
        <w:tblInd w:w="0" w:type="dxa"/>
        <w:tblCellMar>
          <w:top w:w="0" w:type="dxa"/>
          <w:left w:w="0" w:type="dxa"/>
          <w:bottom w:w="0" w:type="dxa"/>
          <w:right w:w="0" w:type="dxa"/>
        </w:tblCellMar>
      </w:tblPr>
      <w:tr>
        <w:trPr>
          <w:trHeight w:val="170"/>
        </w:trPr>
        <w:tc>
          <w:tcPr>
            <w:tcW w:w="7080" w:type="dxa"/>
            <w:vAlign w:val="bottom"/>
          </w:tcPr>
          <w:p>
            <w:pPr>
              <w:spacing w:after="0"/>
              <w:rPr>
                <w:sz w:val="14"/>
                <w:szCs w:val="14"/>
                <w:color w:val="auto"/>
              </w:rPr>
            </w:pPr>
          </w:p>
        </w:tc>
        <w:tc>
          <w:tcPr>
            <w:tcW w:w="880" w:type="dxa"/>
            <w:vAlign w:val="bottom"/>
            <w:tcBorders>
              <w:bottom w:val="single" w:sz="8" w:color="auto"/>
            </w:tcBorders>
          </w:tcPr>
          <w:p>
            <w:pPr>
              <w:spacing w:after="0"/>
              <w:rPr>
                <w:sz w:val="14"/>
                <w:szCs w:val="14"/>
                <w:color w:val="auto"/>
              </w:rPr>
            </w:pPr>
          </w:p>
        </w:tc>
        <w:tc>
          <w:tcPr>
            <w:tcW w:w="460" w:type="dxa"/>
            <w:vAlign w:val="bottom"/>
            <w:tcBorders>
              <w:bottom w:val="single" w:sz="8" w:color="auto"/>
            </w:tcBorders>
          </w:tcPr>
          <w:p>
            <w:pPr>
              <w:spacing w:after="0"/>
              <w:rPr>
                <w:sz w:val="14"/>
                <w:szCs w:val="14"/>
                <w:color w:val="auto"/>
              </w:rPr>
            </w:pPr>
          </w:p>
        </w:tc>
        <w:tc>
          <w:tcPr>
            <w:tcW w:w="1520" w:type="dxa"/>
            <w:vAlign w:val="bottom"/>
            <w:tcBorders>
              <w:bottom w:val="single" w:sz="8" w:color="auto"/>
            </w:tcBorders>
            <w:gridSpan w:val="4"/>
          </w:tcPr>
          <w:p>
            <w:pPr>
              <w:ind w:left="40"/>
              <w:spacing w:after="0"/>
              <w:rPr>
                <w:sz w:val="20"/>
                <w:szCs w:val="20"/>
                <w:color w:val="auto"/>
              </w:rPr>
            </w:pPr>
            <w:r>
              <w:rPr>
                <w:rFonts w:ascii="Times New Roman" w:cs="Times New Roman" w:eastAsia="Times New Roman" w:hAnsi="Times New Roman"/>
                <w:sz w:val="13"/>
                <w:szCs w:val="13"/>
                <w:b w:val="1"/>
                <w:bCs w:val="1"/>
                <w:color w:val="auto"/>
                <w:w w:val="98"/>
              </w:rPr>
              <w:t>Years ended December 31,</w:t>
            </w:r>
          </w:p>
        </w:tc>
        <w:tc>
          <w:tcPr>
            <w:tcW w:w="320" w:type="dxa"/>
            <w:vAlign w:val="bottom"/>
            <w:tcBorders>
              <w:bottom w:val="single" w:sz="8" w:color="auto"/>
            </w:tcBorders>
          </w:tcPr>
          <w:p>
            <w:pPr>
              <w:spacing w:after="0"/>
              <w:rPr>
                <w:sz w:val="14"/>
                <w:szCs w:val="14"/>
                <w:color w:val="auto"/>
              </w:rPr>
            </w:pPr>
          </w:p>
        </w:tc>
        <w:tc>
          <w:tcPr>
            <w:tcW w:w="1020" w:type="dxa"/>
            <w:vAlign w:val="bottom"/>
            <w:tcBorders>
              <w:bottom w:val="single" w:sz="8" w:color="auto"/>
            </w:tcBorders>
          </w:tcPr>
          <w:p>
            <w:pPr>
              <w:spacing w:after="0"/>
              <w:rPr>
                <w:sz w:val="14"/>
                <w:szCs w:val="14"/>
                <w:color w:val="auto"/>
              </w:rPr>
            </w:pPr>
          </w:p>
        </w:tc>
      </w:tr>
      <w:tr>
        <w:trPr>
          <w:trHeight w:val="161"/>
        </w:trPr>
        <w:tc>
          <w:tcPr>
            <w:tcW w:w="7080" w:type="dxa"/>
            <w:vAlign w:val="bottom"/>
            <w:tcBorders>
              <w:bottom w:val="single" w:sz="8" w:color="CCEEFF"/>
            </w:tcBorders>
          </w:tcPr>
          <w:p>
            <w:pPr>
              <w:spacing w:after="0"/>
              <w:rPr>
                <w:sz w:val="14"/>
                <w:szCs w:val="14"/>
                <w:color w:val="auto"/>
              </w:rPr>
            </w:pPr>
          </w:p>
        </w:tc>
        <w:tc>
          <w:tcPr>
            <w:tcW w:w="880" w:type="dxa"/>
            <w:vAlign w:val="bottom"/>
            <w:tcBorders>
              <w:bottom w:val="single" w:sz="8" w:color="auto"/>
            </w:tcBorders>
          </w:tcPr>
          <w:p>
            <w:pPr>
              <w:ind w:left="540"/>
              <w:spacing w:after="0"/>
              <w:rPr>
                <w:sz w:val="20"/>
                <w:szCs w:val="20"/>
                <w:color w:val="auto"/>
              </w:rPr>
            </w:pPr>
            <w:r>
              <w:rPr>
                <w:rFonts w:ascii="Times New Roman" w:cs="Times New Roman" w:eastAsia="Times New Roman" w:hAnsi="Times New Roman"/>
                <w:sz w:val="13"/>
                <w:szCs w:val="13"/>
                <w:b w:val="1"/>
                <w:bCs w:val="1"/>
                <w:color w:val="auto"/>
              </w:rPr>
              <w:t>2025</w:t>
            </w:r>
          </w:p>
        </w:tc>
        <w:tc>
          <w:tcPr>
            <w:tcW w:w="460" w:type="dxa"/>
            <w:vAlign w:val="bottom"/>
            <w:tcBorders>
              <w:bottom w:val="single" w:sz="8" w:color="auto"/>
            </w:tcBorders>
          </w:tcPr>
          <w:p>
            <w:pPr>
              <w:spacing w:after="0"/>
              <w:rPr>
                <w:sz w:val="14"/>
                <w:szCs w:val="14"/>
                <w:color w:val="auto"/>
              </w:rPr>
            </w:pPr>
          </w:p>
        </w:tc>
        <w:tc>
          <w:tcPr>
            <w:tcW w:w="100" w:type="dxa"/>
            <w:vAlign w:val="bottom"/>
            <w:tcBorders>
              <w:bottom w:val="single" w:sz="8" w:color="CCEEFF"/>
            </w:tcBorders>
          </w:tcPr>
          <w:p>
            <w:pPr>
              <w:spacing w:after="0"/>
              <w:rPr>
                <w:sz w:val="14"/>
                <w:szCs w:val="14"/>
                <w:color w:val="auto"/>
              </w:rPr>
            </w:pPr>
          </w:p>
        </w:tc>
        <w:tc>
          <w:tcPr>
            <w:tcW w:w="300" w:type="dxa"/>
            <w:vAlign w:val="bottom"/>
            <w:tcBorders>
              <w:bottom w:val="single" w:sz="8" w:color="auto"/>
            </w:tcBorders>
          </w:tcPr>
          <w:p>
            <w:pPr>
              <w:spacing w:after="0"/>
              <w:rPr>
                <w:sz w:val="14"/>
                <w:szCs w:val="14"/>
                <w:color w:val="auto"/>
              </w:rPr>
            </w:pPr>
          </w:p>
        </w:tc>
        <w:tc>
          <w:tcPr>
            <w:tcW w:w="1040" w:type="dxa"/>
            <w:vAlign w:val="bottom"/>
            <w:tcBorders>
              <w:bottom w:val="single" w:sz="8" w:color="auto"/>
            </w:tcBorders>
          </w:tcPr>
          <w:p>
            <w:pPr>
              <w:jc w:val="right"/>
              <w:ind w:right="494"/>
              <w:spacing w:after="0"/>
              <w:rPr>
                <w:sz w:val="20"/>
                <w:szCs w:val="20"/>
                <w:color w:val="auto"/>
              </w:rPr>
            </w:pPr>
            <w:r>
              <w:rPr>
                <w:rFonts w:ascii="Times New Roman" w:cs="Times New Roman" w:eastAsia="Times New Roman" w:hAnsi="Times New Roman"/>
                <w:sz w:val="13"/>
                <w:szCs w:val="13"/>
                <w:b w:val="1"/>
                <w:bCs w:val="1"/>
                <w:color w:val="auto"/>
              </w:rPr>
              <w:t>2024</w:t>
            </w:r>
          </w:p>
        </w:tc>
        <w:tc>
          <w:tcPr>
            <w:tcW w:w="80" w:type="dxa"/>
            <w:vAlign w:val="bottom"/>
            <w:tcBorders>
              <w:bottom w:val="single" w:sz="8" w:color="CCEEFF"/>
            </w:tcBorders>
          </w:tcPr>
          <w:p>
            <w:pPr>
              <w:spacing w:after="0"/>
              <w:rPr>
                <w:sz w:val="14"/>
                <w:szCs w:val="14"/>
                <w:color w:val="auto"/>
              </w:rPr>
            </w:pPr>
          </w:p>
        </w:tc>
        <w:tc>
          <w:tcPr>
            <w:tcW w:w="320" w:type="dxa"/>
            <w:vAlign w:val="bottom"/>
            <w:tcBorders>
              <w:bottom w:val="single" w:sz="8" w:color="auto"/>
            </w:tcBorders>
          </w:tcPr>
          <w:p>
            <w:pPr>
              <w:spacing w:after="0"/>
              <w:rPr>
                <w:sz w:val="14"/>
                <w:szCs w:val="14"/>
                <w:color w:val="auto"/>
              </w:rPr>
            </w:pPr>
          </w:p>
        </w:tc>
        <w:tc>
          <w:tcPr>
            <w:tcW w:w="1020" w:type="dxa"/>
            <w:vAlign w:val="bottom"/>
            <w:tcBorders>
              <w:bottom w:val="single" w:sz="8" w:color="auto"/>
            </w:tcBorders>
          </w:tcPr>
          <w:p>
            <w:pPr>
              <w:jc w:val="right"/>
              <w:ind w:right="474"/>
              <w:spacing w:after="0"/>
              <w:rPr>
                <w:sz w:val="20"/>
                <w:szCs w:val="20"/>
                <w:color w:val="auto"/>
              </w:rPr>
            </w:pPr>
            <w:r>
              <w:rPr>
                <w:rFonts w:ascii="Times New Roman" w:cs="Times New Roman" w:eastAsia="Times New Roman" w:hAnsi="Times New Roman"/>
                <w:sz w:val="13"/>
                <w:szCs w:val="13"/>
                <w:b w:val="1"/>
                <w:bCs w:val="1"/>
                <w:color w:val="auto"/>
              </w:rPr>
              <w:t>2023</w:t>
            </w:r>
          </w:p>
        </w:tc>
      </w:tr>
      <w:tr>
        <w:trPr>
          <w:trHeight w:val="172"/>
        </w:trPr>
        <w:tc>
          <w:tcPr>
            <w:tcW w:w="708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4"/>
                <w:szCs w:val="14"/>
                <w:color w:val="auto"/>
              </w:rPr>
              <w:t>U.S.</w:t>
            </w:r>
          </w:p>
        </w:tc>
        <w:tc>
          <w:tcPr>
            <w:tcW w:w="88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4"/>
                <w:szCs w:val="14"/>
                <w:color w:val="auto"/>
              </w:rPr>
              <w:t>$</w:t>
            </w:r>
          </w:p>
        </w:tc>
        <w:tc>
          <w:tcPr>
            <w:tcW w:w="4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9,676</w:t>
            </w:r>
          </w:p>
        </w:tc>
        <w:tc>
          <w:tcPr>
            <w:tcW w:w="100" w:type="dxa"/>
            <w:vAlign w:val="bottom"/>
            <w:shd w:val="clear" w:color="auto" w:fill="CCEEFF"/>
          </w:tcPr>
          <w:p>
            <w:pPr>
              <w:spacing w:after="0"/>
              <w:rPr>
                <w:sz w:val="14"/>
                <w:szCs w:val="14"/>
                <w:color w:val="auto"/>
              </w:rPr>
            </w:pPr>
          </w:p>
        </w:tc>
        <w:tc>
          <w:tcPr>
            <w:tcW w:w="300" w:type="dxa"/>
            <w:vAlign w:val="bottom"/>
            <w:shd w:val="clear" w:color="auto" w:fill="CCEEFF"/>
          </w:tcPr>
          <w:p>
            <w:pPr>
              <w:spacing w:after="0"/>
              <w:rPr>
                <w:sz w:val="20"/>
                <w:szCs w:val="20"/>
                <w:color w:val="auto"/>
              </w:rPr>
            </w:pPr>
            <w:r>
              <w:rPr>
                <w:rFonts w:ascii="Times New Roman" w:cs="Times New Roman" w:eastAsia="Times New Roman" w:hAnsi="Times New Roman"/>
                <w:sz w:val="14"/>
                <w:szCs w:val="14"/>
                <w:color w:val="auto"/>
              </w:rPr>
              <w:t>$</w:t>
            </w:r>
          </w:p>
        </w:tc>
        <w:tc>
          <w:tcPr>
            <w:tcW w:w="10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4,024</w:t>
            </w:r>
          </w:p>
        </w:tc>
        <w:tc>
          <w:tcPr>
            <w:tcW w:w="80" w:type="dxa"/>
            <w:vAlign w:val="bottom"/>
            <w:shd w:val="clear" w:color="auto" w:fill="CCEEFF"/>
          </w:tcPr>
          <w:p>
            <w:pPr>
              <w:spacing w:after="0"/>
              <w:rPr>
                <w:sz w:val="14"/>
                <w:szCs w:val="14"/>
                <w:color w:val="auto"/>
              </w:rPr>
            </w:pPr>
          </w:p>
        </w:tc>
        <w:tc>
          <w:tcPr>
            <w:tcW w:w="32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4"/>
                <w:szCs w:val="14"/>
                <w:color w:val="auto"/>
              </w:rPr>
              <w:t>$</w:t>
            </w:r>
          </w:p>
        </w:tc>
        <w:tc>
          <w:tcPr>
            <w:tcW w:w="10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12,419</w:t>
            </w:r>
          </w:p>
        </w:tc>
      </w:tr>
      <w:tr>
        <w:trPr>
          <w:trHeight w:val="180"/>
        </w:trPr>
        <w:tc>
          <w:tcPr>
            <w:tcW w:w="7080" w:type="dxa"/>
            <w:vAlign w:val="bottom"/>
            <w:tcBorders>
              <w:bottom w:val="single" w:sz="8" w:color="CCEEFF"/>
            </w:tcBorders>
          </w:tcPr>
          <w:p>
            <w:pPr>
              <w:ind w:left="20"/>
              <w:spacing w:after="0"/>
              <w:rPr>
                <w:sz w:val="20"/>
                <w:szCs w:val="20"/>
                <w:color w:val="auto"/>
              </w:rPr>
            </w:pPr>
            <w:r>
              <w:rPr>
                <w:rFonts w:ascii="Times New Roman" w:cs="Times New Roman" w:eastAsia="Times New Roman" w:hAnsi="Times New Roman"/>
                <w:sz w:val="14"/>
                <w:szCs w:val="14"/>
                <w:color w:val="auto"/>
              </w:rPr>
              <w:t>Canada</w:t>
            </w:r>
          </w:p>
        </w:tc>
        <w:tc>
          <w:tcPr>
            <w:tcW w:w="880" w:type="dxa"/>
            <w:vAlign w:val="bottom"/>
            <w:tcBorders>
              <w:bottom w:val="single" w:sz="8" w:color="auto"/>
            </w:tcBorders>
          </w:tcPr>
          <w:p>
            <w:pPr>
              <w:spacing w:after="0"/>
              <w:rPr>
                <w:sz w:val="15"/>
                <w:szCs w:val="15"/>
                <w:color w:val="auto"/>
              </w:rPr>
            </w:pPr>
          </w:p>
        </w:tc>
        <w:tc>
          <w:tcPr>
            <w:tcW w:w="4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1</w:t>
            </w:r>
          </w:p>
        </w:tc>
        <w:tc>
          <w:tcPr>
            <w:tcW w:w="100" w:type="dxa"/>
            <w:vAlign w:val="bottom"/>
            <w:tcBorders>
              <w:bottom w:val="single" w:sz="8" w:color="CCEEFF"/>
            </w:tcBorders>
          </w:tcPr>
          <w:p>
            <w:pPr>
              <w:spacing w:after="0"/>
              <w:rPr>
                <w:sz w:val="15"/>
                <w:szCs w:val="15"/>
                <w:color w:val="auto"/>
              </w:rPr>
            </w:pPr>
          </w:p>
        </w:tc>
        <w:tc>
          <w:tcPr>
            <w:tcW w:w="300" w:type="dxa"/>
            <w:vAlign w:val="bottom"/>
            <w:tcBorders>
              <w:bottom w:val="single" w:sz="8" w:color="auto"/>
            </w:tcBorders>
          </w:tcPr>
          <w:p>
            <w:pPr>
              <w:spacing w:after="0"/>
              <w:rPr>
                <w:sz w:val="15"/>
                <w:szCs w:val="15"/>
                <w:color w:val="auto"/>
              </w:rPr>
            </w:pPr>
          </w:p>
        </w:tc>
        <w:tc>
          <w:tcPr>
            <w:tcW w:w="10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(5)</w:t>
            </w:r>
          </w:p>
        </w:tc>
        <w:tc>
          <w:tcPr>
            <w:tcW w:w="80" w:type="dxa"/>
            <w:vAlign w:val="bottom"/>
            <w:tcBorders>
              <w:bottom w:val="single" w:sz="8" w:color="CCEEFF"/>
            </w:tcBorders>
          </w:tcPr>
          <w:p>
            <w:pPr>
              <w:spacing w:after="0"/>
              <w:rPr>
                <w:sz w:val="15"/>
                <w:szCs w:val="15"/>
                <w:color w:val="auto"/>
              </w:rPr>
            </w:pPr>
          </w:p>
        </w:tc>
        <w:tc>
          <w:tcPr>
            <w:tcW w:w="320" w:type="dxa"/>
            <w:vAlign w:val="bottom"/>
            <w:tcBorders>
              <w:bottom w:val="single" w:sz="8" w:color="auto"/>
            </w:tcBorders>
          </w:tcPr>
          <w:p>
            <w:pPr>
              <w:spacing w:after="0"/>
              <w:rPr>
                <w:sz w:val="15"/>
                <w:szCs w:val="15"/>
                <w:color w:val="auto"/>
              </w:rPr>
            </w:pPr>
          </w:p>
        </w:tc>
        <w:tc>
          <w:tcPr>
            <w:tcW w:w="10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(27)</w:t>
            </w:r>
          </w:p>
        </w:tc>
      </w:tr>
      <w:tr>
        <w:trPr>
          <w:trHeight w:val="196"/>
        </w:trPr>
        <w:tc>
          <w:tcPr>
            <w:tcW w:w="708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4"/>
                <w:szCs w:val="14"/>
                <w:color w:val="auto"/>
              </w:rPr>
              <w:t>Total</w:t>
            </w:r>
          </w:p>
        </w:tc>
        <w:tc>
          <w:tcPr>
            <w:tcW w:w="880" w:type="dxa"/>
            <w:vAlign w:val="bottom"/>
            <w:tcBorders>
              <w:bottom w:val="single" w:sz="8" w:color="auto"/>
            </w:tcBorders>
            <w:shd w:val="clear" w:color="auto" w:fill="CCEEFF"/>
          </w:tcPr>
          <w:p>
            <w:pPr>
              <w:ind w:left="20"/>
              <w:spacing w:after="0"/>
              <w:rPr>
                <w:sz w:val="20"/>
                <w:szCs w:val="20"/>
                <w:color w:val="auto"/>
              </w:rPr>
            </w:pPr>
            <w:r>
              <w:rPr>
                <w:rFonts w:ascii="Times New Roman" w:cs="Times New Roman" w:eastAsia="Times New Roman" w:hAnsi="Times New Roman"/>
                <w:sz w:val="14"/>
                <w:szCs w:val="14"/>
                <w:color w:val="auto"/>
              </w:rPr>
              <w:t>$</w:t>
            </w:r>
          </w:p>
        </w:tc>
        <w:tc>
          <w:tcPr>
            <w:tcW w:w="4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9,677</w:t>
            </w:r>
          </w:p>
        </w:tc>
        <w:tc>
          <w:tcPr>
            <w:tcW w:w="100" w:type="dxa"/>
            <w:vAlign w:val="bottom"/>
            <w:tcBorders>
              <w:bottom w:val="single" w:sz="8" w:color="CCEEFF"/>
            </w:tcBorders>
            <w:shd w:val="clear" w:color="auto" w:fill="CCEEFF"/>
          </w:tcPr>
          <w:p>
            <w:pPr>
              <w:spacing w:after="0"/>
              <w:rPr>
                <w:sz w:val="16"/>
                <w:szCs w:val="16"/>
                <w:color w:val="auto"/>
              </w:rPr>
            </w:pPr>
          </w:p>
        </w:tc>
        <w:tc>
          <w:tcPr>
            <w:tcW w:w="300" w:type="dxa"/>
            <w:vAlign w:val="bottom"/>
            <w:tcBorders>
              <w:bottom w:val="single" w:sz="8" w:color="auto"/>
            </w:tcBorders>
            <w:shd w:val="clear" w:color="auto" w:fill="CCEEFF"/>
          </w:tcPr>
          <w:p>
            <w:pPr>
              <w:spacing w:after="0"/>
              <w:rPr>
                <w:sz w:val="20"/>
                <w:szCs w:val="20"/>
                <w:color w:val="auto"/>
              </w:rPr>
            </w:pPr>
            <w:r>
              <w:rPr>
                <w:rFonts w:ascii="Times New Roman" w:cs="Times New Roman" w:eastAsia="Times New Roman" w:hAnsi="Times New Roman"/>
                <w:sz w:val="14"/>
                <w:szCs w:val="14"/>
                <w:color w:val="auto"/>
              </w:rPr>
              <w:t>$</w:t>
            </w:r>
          </w:p>
        </w:tc>
        <w:tc>
          <w:tcPr>
            <w:tcW w:w="10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4,019</w:t>
            </w:r>
          </w:p>
        </w:tc>
        <w:tc>
          <w:tcPr>
            <w:tcW w:w="80" w:type="dxa"/>
            <w:vAlign w:val="bottom"/>
            <w:tcBorders>
              <w:bottom w:val="single" w:sz="8" w:color="CCEEFF"/>
            </w:tcBorders>
            <w:shd w:val="clear" w:color="auto" w:fill="CCEEFF"/>
          </w:tcPr>
          <w:p>
            <w:pPr>
              <w:spacing w:after="0"/>
              <w:rPr>
                <w:sz w:val="16"/>
                <w:szCs w:val="16"/>
                <w:color w:val="auto"/>
              </w:rPr>
            </w:pPr>
          </w:p>
        </w:tc>
        <w:tc>
          <w:tcPr>
            <w:tcW w:w="320" w:type="dxa"/>
            <w:vAlign w:val="bottom"/>
            <w:tcBorders>
              <w:bottom w:val="single" w:sz="8" w:color="auto"/>
            </w:tcBorders>
            <w:shd w:val="clear" w:color="auto" w:fill="CCEEFF"/>
          </w:tcPr>
          <w:p>
            <w:pPr>
              <w:ind w:left="20"/>
              <w:spacing w:after="0"/>
              <w:rPr>
                <w:sz w:val="20"/>
                <w:szCs w:val="20"/>
                <w:color w:val="auto"/>
              </w:rPr>
            </w:pPr>
            <w:r>
              <w:rPr>
                <w:rFonts w:ascii="Times New Roman" w:cs="Times New Roman" w:eastAsia="Times New Roman" w:hAnsi="Times New Roman"/>
                <w:sz w:val="14"/>
                <w:szCs w:val="14"/>
                <w:color w:val="auto"/>
              </w:rPr>
              <w:t>$</w:t>
            </w:r>
          </w:p>
        </w:tc>
        <w:tc>
          <w:tcPr>
            <w:tcW w:w="10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12,392</w:t>
            </w:r>
          </w:p>
        </w:tc>
      </w:tr>
      <w:tr>
        <w:trPr>
          <w:trHeight w:val="20"/>
        </w:trPr>
        <w:tc>
          <w:tcPr>
            <w:tcW w:w="7080" w:type="dxa"/>
            <w:vAlign w:val="bottom"/>
            <w:tcBorders>
              <w:top w:val="single" w:sz="8" w:color="CCEEFF"/>
            </w:tcBorders>
          </w:tcPr>
          <w:p>
            <w:pPr>
              <w:spacing w:after="0" w:line="20" w:lineRule="exact"/>
              <w:rPr>
                <w:sz w:val="1"/>
                <w:szCs w:val="1"/>
                <w:color w:val="auto"/>
              </w:rPr>
            </w:pPr>
          </w:p>
        </w:tc>
        <w:tc>
          <w:tcPr>
            <w:tcW w:w="880" w:type="dxa"/>
            <w:vAlign w:val="bottom"/>
            <w:tcBorders>
              <w:top w:val="single" w:sz="8" w:color="CCEEFF"/>
              <w:bottom w:val="single" w:sz="8" w:color="auto"/>
            </w:tcBorders>
          </w:tcPr>
          <w:p>
            <w:pPr>
              <w:spacing w:after="0" w:line="20" w:lineRule="exact"/>
              <w:rPr>
                <w:sz w:val="1"/>
                <w:szCs w:val="1"/>
                <w:color w:val="auto"/>
              </w:rPr>
            </w:pPr>
          </w:p>
        </w:tc>
        <w:tc>
          <w:tcPr>
            <w:tcW w:w="46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300" w:type="dxa"/>
            <w:vAlign w:val="bottom"/>
            <w:tcBorders>
              <w:top w:val="single" w:sz="8" w:color="CCEEFF"/>
              <w:bottom w:val="single" w:sz="8" w:color="auto"/>
            </w:tcBorders>
          </w:tcPr>
          <w:p>
            <w:pPr>
              <w:spacing w:after="0" w:line="20" w:lineRule="exact"/>
              <w:rPr>
                <w:sz w:val="1"/>
                <w:szCs w:val="1"/>
                <w:color w:val="auto"/>
              </w:rPr>
            </w:pPr>
          </w:p>
        </w:tc>
        <w:tc>
          <w:tcPr>
            <w:tcW w:w="1040" w:type="dxa"/>
            <w:vAlign w:val="bottom"/>
            <w:tcBorders>
              <w:top w:val="single" w:sz="8" w:color="CCEEFF"/>
              <w:bottom w:val="single" w:sz="8" w:color="auto"/>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320" w:type="dxa"/>
            <w:vAlign w:val="bottom"/>
            <w:tcBorders>
              <w:top w:val="single" w:sz="8" w:color="CCEEFF"/>
              <w:bottom w:val="single" w:sz="8" w:color="auto"/>
            </w:tcBorders>
          </w:tcPr>
          <w:p>
            <w:pPr>
              <w:spacing w:after="0" w:line="20" w:lineRule="exact"/>
              <w:rPr>
                <w:sz w:val="1"/>
                <w:szCs w:val="1"/>
                <w:color w:val="auto"/>
              </w:rPr>
            </w:pPr>
          </w:p>
        </w:tc>
        <w:tc>
          <w:tcPr>
            <w:tcW w:w="1020" w:type="dxa"/>
            <w:vAlign w:val="bottom"/>
            <w:tcBorders>
              <w:top w:val="single" w:sz="8" w:color="CCEEFF"/>
              <w:bottom w:val="single" w:sz="8" w:color="auto"/>
            </w:tcBorders>
          </w:tcPr>
          <w:p>
            <w:pPr>
              <w:spacing w:after="0" w:line="20" w:lineRule="exact"/>
              <w:rPr>
                <w:sz w:val="1"/>
                <w:szCs w:val="1"/>
                <w:color w:val="auto"/>
              </w:rPr>
            </w:pPr>
          </w:p>
        </w:tc>
      </w:tr>
      <w:tr>
        <w:trPr>
          <w:trHeight w:val="153"/>
        </w:trPr>
        <w:tc>
          <w:tcPr>
            <w:tcW w:w="7080" w:type="dxa"/>
            <w:vAlign w:val="bottom"/>
            <w:tcBorders>
              <w:bottom w:val="single" w:sz="8" w:color="CCEEFF"/>
            </w:tcBorders>
          </w:tcPr>
          <w:p>
            <w:pPr>
              <w:spacing w:after="0"/>
              <w:rPr>
                <w:sz w:val="13"/>
                <w:szCs w:val="13"/>
                <w:color w:val="auto"/>
              </w:rPr>
            </w:pPr>
          </w:p>
        </w:tc>
        <w:tc>
          <w:tcPr>
            <w:tcW w:w="880" w:type="dxa"/>
            <w:vAlign w:val="bottom"/>
            <w:tcBorders>
              <w:bottom w:val="single" w:sz="8" w:color="auto"/>
            </w:tcBorders>
          </w:tcPr>
          <w:p>
            <w:pPr>
              <w:spacing w:after="0"/>
              <w:rPr>
                <w:sz w:val="13"/>
                <w:szCs w:val="13"/>
                <w:color w:val="auto"/>
              </w:rPr>
            </w:pPr>
          </w:p>
        </w:tc>
        <w:tc>
          <w:tcPr>
            <w:tcW w:w="460" w:type="dxa"/>
            <w:vAlign w:val="bottom"/>
            <w:tcBorders>
              <w:bottom w:val="single" w:sz="8" w:color="auto"/>
            </w:tcBorders>
          </w:tcPr>
          <w:p>
            <w:pPr>
              <w:spacing w:after="0"/>
              <w:rPr>
                <w:sz w:val="13"/>
                <w:szCs w:val="13"/>
                <w:color w:val="auto"/>
              </w:rPr>
            </w:pPr>
          </w:p>
        </w:tc>
        <w:tc>
          <w:tcPr>
            <w:tcW w:w="100" w:type="dxa"/>
            <w:vAlign w:val="bottom"/>
            <w:tcBorders>
              <w:bottom w:val="single" w:sz="8" w:color="CCEEFF"/>
            </w:tcBorders>
          </w:tcPr>
          <w:p>
            <w:pPr>
              <w:spacing w:after="0"/>
              <w:rPr>
                <w:sz w:val="13"/>
                <w:szCs w:val="13"/>
                <w:color w:val="auto"/>
              </w:rPr>
            </w:pPr>
          </w:p>
        </w:tc>
        <w:tc>
          <w:tcPr>
            <w:tcW w:w="300" w:type="dxa"/>
            <w:vAlign w:val="bottom"/>
            <w:tcBorders>
              <w:bottom w:val="single" w:sz="8" w:color="auto"/>
            </w:tcBorders>
          </w:tcPr>
          <w:p>
            <w:pPr>
              <w:spacing w:after="0"/>
              <w:rPr>
                <w:sz w:val="13"/>
                <w:szCs w:val="13"/>
                <w:color w:val="auto"/>
              </w:rPr>
            </w:pPr>
          </w:p>
        </w:tc>
        <w:tc>
          <w:tcPr>
            <w:tcW w:w="1040" w:type="dxa"/>
            <w:vAlign w:val="bottom"/>
            <w:tcBorders>
              <w:bottom w:val="single" w:sz="8" w:color="auto"/>
            </w:tcBorders>
          </w:tcPr>
          <w:p>
            <w:pPr>
              <w:spacing w:after="0"/>
              <w:rPr>
                <w:sz w:val="13"/>
                <w:szCs w:val="13"/>
                <w:color w:val="auto"/>
              </w:rPr>
            </w:pPr>
          </w:p>
        </w:tc>
        <w:tc>
          <w:tcPr>
            <w:tcW w:w="80" w:type="dxa"/>
            <w:vAlign w:val="bottom"/>
            <w:tcBorders>
              <w:bottom w:val="single" w:sz="8" w:color="CCEEFF"/>
            </w:tcBorders>
          </w:tcPr>
          <w:p>
            <w:pPr>
              <w:spacing w:after="0"/>
              <w:rPr>
                <w:sz w:val="13"/>
                <w:szCs w:val="13"/>
                <w:color w:val="auto"/>
              </w:rPr>
            </w:pPr>
          </w:p>
        </w:tc>
        <w:tc>
          <w:tcPr>
            <w:tcW w:w="320" w:type="dxa"/>
            <w:vAlign w:val="bottom"/>
            <w:tcBorders>
              <w:bottom w:val="single" w:sz="8" w:color="auto"/>
            </w:tcBorders>
          </w:tcPr>
          <w:p>
            <w:pPr>
              <w:spacing w:after="0"/>
              <w:rPr>
                <w:sz w:val="13"/>
                <w:szCs w:val="13"/>
                <w:color w:val="auto"/>
              </w:rPr>
            </w:pPr>
          </w:p>
        </w:tc>
        <w:tc>
          <w:tcPr>
            <w:tcW w:w="1020" w:type="dxa"/>
            <w:vAlign w:val="bottom"/>
            <w:tcBorders>
              <w:bottom w:val="single" w:sz="8" w:color="auto"/>
            </w:tcBorders>
          </w:tcPr>
          <w:p>
            <w:pPr>
              <w:spacing w:after="0"/>
              <w:rPr>
                <w:sz w:val="13"/>
                <w:szCs w:val="13"/>
                <w:color w:val="auto"/>
              </w:rPr>
            </w:pPr>
          </w:p>
        </w:tc>
      </w:tr>
      <w:tr>
        <w:trPr>
          <w:trHeight w:val="150"/>
        </w:trPr>
        <w:tc>
          <w:tcPr>
            <w:tcW w:w="7080" w:type="dxa"/>
            <w:vAlign w:val="bottom"/>
            <w:shd w:val="clear" w:color="auto" w:fill="CCEEFF"/>
          </w:tcPr>
          <w:p>
            <w:pPr>
              <w:ind w:left="20"/>
              <w:spacing w:after="0" w:line="147" w:lineRule="exact"/>
              <w:rPr>
                <w:sz w:val="20"/>
                <w:szCs w:val="20"/>
                <w:color w:val="auto"/>
              </w:rPr>
            </w:pPr>
            <w:r>
              <w:rPr>
                <w:rFonts w:ascii="Times New Roman" w:cs="Times New Roman" w:eastAsia="Times New Roman" w:hAnsi="Times New Roman"/>
                <w:sz w:val="13"/>
                <w:szCs w:val="13"/>
                <w:b w:val="1"/>
                <w:bCs w:val="1"/>
                <w:color w:val="auto"/>
              </w:rPr>
              <w:t>Current taxes:</w:t>
            </w:r>
          </w:p>
        </w:tc>
        <w:tc>
          <w:tcPr>
            <w:tcW w:w="880" w:type="dxa"/>
            <w:vAlign w:val="bottom"/>
            <w:shd w:val="clear" w:color="auto" w:fill="CCEEFF"/>
          </w:tcPr>
          <w:p>
            <w:pPr>
              <w:spacing w:after="0"/>
              <w:rPr>
                <w:sz w:val="13"/>
                <w:szCs w:val="13"/>
                <w:color w:val="auto"/>
              </w:rPr>
            </w:pPr>
          </w:p>
        </w:tc>
        <w:tc>
          <w:tcPr>
            <w:tcW w:w="460" w:type="dxa"/>
            <w:vAlign w:val="bottom"/>
            <w:shd w:val="clear" w:color="auto" w:fill="CCEEFF"/>
          </w:tcPr>
          <w:p>
            <w:pPr>
              <w:spacing w:after="0"/>
              <w:rPr>
                <w:sz w:val="13"/>
                <w:szCs w:val="13"/>
                <w:color w:val="auto"/>
              </w:rPr>
            </w:pPr>
          </w:p>
        </w:tc>
        <w:tc>
          <w:tcPr>
            <w:tcW w:w="100" w:type="dxa"/>
            <w:vAlign w:val="bottom"/>
            <w:shd w:val="clear" w:color="auto" w:fill="CCEEFF"/>
          </w:tcPr>
          <w:p>
            <w:pPr>
              <w:spacing w:after="0"/>
              <w:rPr>
                <w:sz w:val="13"/>
                <w:szCs w:val="13"/>
                <w:color w:val="auto"/>
              </w:rPr>
            </w:pPr>
          </w:p>
        </w:tc>
        <w:tc>
          <w:tcPr>
            <w:tcW w:w="300" w:type="dxa"/>
            <w:vAlign w:val="bottom"/>
            <w:shd w:val="clear" w:color="auto" w:fill="CCEEFF"/>
          </w:tcPr>
          <w:p>
            <w:pPr>
              <w:spacing w:after="0"/>
              <w:rPr>
                <w:sz w:val="13"/>
                <w:szCs w:val="13"/>
                <w:color w:val="auto"/>
              </w:rPr>
            </w:pPr>
          </w:p>
        </w:tc>
        <w:tc>
          <w:tcPr>
            <w:tcW w:w="1040" w:type="dxa"/>
            <w:vAlign w:val="bottom"/>
            <w:shd w:val="clear" w:color="auto" w:fill="CCEEFF"/>
          </w:tcPr>
          <w:p>
            <w:pPr>
              <w:spacing w:after="0"/>
              <w:rPr>
                <w:sz w:val="13"/>
                <w:szCs w:val="13"/>
                <w:color w:val="auto"/>
              </w:rPr>
            </w:pPr>
          </w:p>
        </w:tc>
        <w:tc>
          <w:tcPr>
            <w:tcW w:w="80" w:type="dxa"/>
            <w:vAlign w:val="bottom"/>
            <w:shd w:val="clear" w:color="auto" w:fill="CCEEFF"/>
          </w:tcPr>
          <w:p>
            <w:pPr>
              <w:spacing w:after="0"/>
              <w:rPr>
                <w:sz w:val="13"/>
                <w:szCs w:val="13"/>
                <w:color w:val="auto"/>
              </w:rPr>
            </w:pPr>
          </w:p>
        </w:tc>
        <w:tc>
          <w:tcPr>
            <w:tcW w:w="320" w:type="dxa"/>
            <w:vAlign w:val="bottom"/>
            <w:shd w:val="clear" w:color="auto" w:fill="CCEEFF"/>
          </w:tcPr>
          <w:p>
            <w:pPr>
              <w:spacing w:after="0"/>
              <w:rPr>
                <w:sz w:val="13"/>
                <w:szCs w:val="13"/>
                <w:color w:val="auto"/>
              </w:rPr>
            </w:pPr>
          </w:p>
        </w:tc>
        <w:tc>
          <w:tcPr>
            <w:tcW w:w="1020" w:type="dxa"/>
            <w:vAlign w:val="bottom"/>
            <w:shd w:val="clear" w:color="auto" w:fill="CCEEFF"/>
          </w:tcPr>
          <w:p>
            <w:pPr>
              <w:spacing w:after="0"/>
              <w:rPr>
                <w:sz w:val="13"/>
                <w:szCs w:val="13"/>
                <w:color w:val="auto"/>
              </w:rPr>
            </w:pPr>
          </w:p>
        </w:tc>
      </w:tr>
      <w:tr>
        <w:trPr>
          <w:trHeight w:val="168"/>
        </w:trPr>
        <w:tc>
          <w:tcPr>
            <w:tcW w:w="7080" w:type="dxa"/>
            <w:vAlign w:val="bottom"/>
          </w:tcPr>
          <w:p>
            <w:pPr>
              <w:ind w:left="280"/>
              <w:spacing w:after="0"/>
              <w:rPr>
                <w:sz w:val="20"/>
                <w:szCs w:val="20"/>
                <w:color w:val="auto"/>
              </w:rPr>
            </w:pPr>
            <w:r>
              <w:rPr>
                <w:rFonts w:ascii="Times New Roman" w:cs="Times New Roman" w:eastAsia="Times New Roman" w:hAnsi="Times New Roman"/>
                <w:sz w:val="13"/>
                <w:szCs w:val="13"/>
                <w:color w:val="auto"/>
              </w:rPr>
              <w:t>U.S. Federal</w:t>
            </w:r>
          </w:p>
        </w:tc>
        <w:tc>
          <w:tcPr>
            <w:tcW w:w="880" w:type="dxa"/>
            <w:vAlign w:val="bottom"/>
          </w:tcPr>
          <w:p>
            <w:pPr>
              <w:ind w:left="20"/>
              <w:spacing w:after="0"/>
              <w:rPr>
                <w:sz w:val="20"/>
                <w:szCs w:val="20"/>
                <w:color w:val="auto"/>
              </w:rPr>
            </w:pPr>
            <w:r>
              <w:rPr>
                <w:rFonts w:ascii="Times New Roman" w:cs="Times New Roman" w:eastAsia="Times New Roman" w:hAnsi="Times New Roman"/>
                <w:sz w:val="13"/>
                <w:szCs w:val="13"/>
                <w:color w:val="auto"/>
              </w:rPr>
              <w:t>$</w:t>
            </w:r>
          </w:p>
        </w:tc>
        <w:tc>
          <w:tcPr>
            <w:tcW w:w="46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2,103</w:t>
            </w:r>
          </w:p>
        </w:tc>
        <w:tc>
          <w:tcPr>
            <w:tcW w:w="400" w:type="dxa"/>
            <w:vAlign w:val="bottom"/>
            <w:gridSpan w:val="2"/>
          </w:tcPr>
          <w:p>
            <w:pPr>
              <w:ind w:left="100"/>
              <w:spacing w:after="0"/>
              <w:rPr>
                <w:sz w:val="20"/>
                <w:szCs w:val="20"/>
                <w:color w:val="auto"/>
              </w:rPr>
            </w:pPr>
            <w:r>
              <w:rPr>
                <w:rFonts w:ascii="Times New Roman" w:cs="Times New Roman" w:eastAsia="Times New Roman" w:hAnsi="Times New Roman"/>
                <w:sz w:val="13"/>
                <w:szCs w:val="13"/>
                <w:color w:val="auto"/>
              </w:rPr>
              <w:t>$</w:t>
            </w:r>
          </w:p>
        </w:tc>
        <w:tc>
          <w:tcPr>
            <w:tcW w:w="104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2,664</w:t>
            </w:r>
          </w:p>
        </w:tc>
        <w:tc>
          <w:tcPr>
            <w:tcW w:w="80" w:type="dxa"/>
            <w:vAlign w:val="bottom"/>
          </w:tcPr>
          <w:p>
            <w:pPr>
              <w:spacing w:after="0"/>
              <w:rPr>
                <w:sz w:val="14"/>
                <w:szCs w:val="14"/>
                <w:color w:val="auto"/>
              </w:rPr>
            </w:pPr>
          </w:p>
        </w:tc>
        <w:tc>
          <w:tcPr>
            <w:tcW w:w="320" w:type="dxa"/>
            <w:vAlign w:val="bottom"/>
          </w:tcPr>
          <w:p>
            <w:pPr>
              <w:ind w:left="20"/>
              <w:spacing w:after="0"/>
              <w:rPr>
                <w:sz w:val="20"/>
                <w:szCs w:val="20"/>
                <w:color w:val="auto"/>
              </w:rPr>
            </w:pPr>
            <w:r>
              <w:rPr>
                <w:rFonts w:ascii="Times New Roman" w:cs="Times New Roman" w:eastAsia="Times New Roman" w:hAnsi="Times New Roman"/>
                <w:sz w:val="13"/>
                <w:szCs w:val="13"/>
                <w:color w:val="auto"/>
              </w:rPr>
              <w:t>$</w:t>
            </w:r>
          </w:p>
        </w:tc>
        <w:tc>
          <w:tcPr>
            <w:tcW w:w="102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1,370</w:t>
            </w:r>
          </w:p>
        </w:tc>
      </w:tr>
      <w:tr>
        <w:trPr>
          <w:trHeight w:val="172"/>
        </w:trPr>
        <w:tc>
          <w:tcPr>
            <w:tcW w:w="7080" w:type="dxa"/>
            <w:vAlign w:val="bottom"/>
            <w:shd w:val="clear" w:color="auto" w:fill="CCEEFF"/>
          </w:tcPr>
          <w:p>
            <w:pPr>
              <w:ind w:left="280"/>
              <w:spacing w:after="0"/>
              <w:rPr>
                <w:sz w:val="20"/>
                <w:szCs w:val="20"/>
                <w:color w:val="auto"/>
              </w:rPr>
            </w:pPr>
            <w:r>
              <w:rPr>
                <w:rFonts w:ascii="Times New Roman" w:cs="Times New Roman" w:eastAsia="Times New Roman" w:hAnsi="Times New Roman"/>
                <w:sz w:val="13"/>
                <w:szCs w:val="13"/>
                <w:color w:val="auto"/>
              </w:rPr>
              <w:t>State and local</w:t>
            </w:r>
          </w:p>
        </w:tc>
        <w:tc>
          <w:tcPr>
            <w:tcW w:w="880" w:type="dxa"/>
            <w:vAlign w:val="bottom"/>
            <w:tcBorders>
              <w:bottom w:val="single" w:sz="8" w:color="auto"/>
            </w:tcBorders>
            <w:shd w:val="clear" w:color="auto" w:fill="CCEEFF"/>
          </w:tcPr>
          <w:p>
            <w:pPr>
              <w:spacing w:after="0"/>
              <w:rPr>
                <w:sz w:val="14"/>
                <w:szCs w:val="14"/>
                <w:color w:val="auto"/>
              </w:rPr>
            </w:pPr>
          </w:p>
        </w:tc>
        <w:tc>
          <w:tcPr>
            <w:tcW w:w="4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705</w:t>
            </w:r>
          </w:p>
        </w:tc>
        <w:tc>
          <w:tcPr>
            <w:tcW w:w="100" w:type="dxa"/>
            <w:vAlign w:val="bottom"/>
            <w:shd w:val="clear" w:color="auto" w:fill="CCEEFF"/>
          </w:tcPr>
          <w:p>
            <w:pPr>
              <w:spacing w:after="0"/>
              <w:rPr>
                <w:sz w:val="14"/>
                <w:szCs w:val="14"/>
                <w:color w:val="auto"/>
              </w:rPr>
            </w:pPr>
          </w:p>
        </w:tc>
        <w:tc>
          <w:tcPr>
            <w:tcW w:w="300" w:type="dxa"/>
            <w:vAlign w:val="bottom"/>
            <w:tcBorders>
              <w:bottom w:val="single" w:sz="8" w:color="auto"/>
            </w:tcBorders>
            <w:shd w:val="clear" w:color="auto" w:fill="CCEEFF"/>
          </w:tcPr>
          <w:p>
            <w:pPr>
              <w:spacing w:after="0"/>
              <w:rPr>
                <w:sz w:val="14"/>
                <w:szCs w:val="14"/>
                <w:color w:val="auto"/>
              </w:rPr>
            </w:pPr>
          </w:p>
        </w:tc>
        <w:tc>
          <w:tcPr>
            <w:tcW w:w="10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658</w:t>
            </w:r>
          </w:p>
        </w:tc>
        <w:tc>
          <w:tcPr>
            <w:tcW w:w="80" w:type="dxa"/>
            <w:vAlign w:val="bottom"/>
            <w:shd w:val="clear" w:color="auto" w:fill="CCEEFF"/>
          </w:tcPr>
          <w:p>
            <w:pPr>
              <w:spacing w:after="0"/>
              <w:rPr>
                <w:sz w:val="14"/>
                <w:szCs w:val="14"/>
                <w:color w:val="auto"/>
              </w:rPr>
            </w:pPr>
          </w:p>
        </w:tc>
        <w:tc>
          <w:tcPr>
            <w:tcW w:w="320" w:type="dxa"/>
            <w:vAlign w:val="bottom"/>
            <w:tcBorders>
              <w:bottom w:val="single" w:sz="8" w:color="auto"/>
            </w:tcBorders>
            <w:shd w:val="clear" w:color="auto" w:fill="CCEEFF"/>
          </w:tcPr>
          <w:p>
            <w:pPr>
              <w:spacing w:after="0"/>
              <w:rPr>
                <w:sz w:val="14"/>
                <w:szCs w:val="14"/>
                <w:color w:val="auto"/>
              </w:rPr>
            </w:pPr>
          </w:p>
        </w:tc>
        <w:tc>
          <w:tcPr>
            <w:tcW w:w="10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466</w:t>
            </w:r>
          </w:p>
        </w:tc>
      </w:tr>
      <w:tr>
        <w:trPr>
          <w:trHeight w:val="158"/>
        </w:trPr>
        <w:tc>
          <w:tcPr>
            <w:tcW w:w="7080" w:type="dxa"/>
            <w:vAlign w:val="bottom"/>
            <w:tcBorders>
              <w:bottom w:val="single" w:sz="8" w:color="CCEEFF"/>
            </w:tcBorders>
          </w:tcPr>
          <w:p>
            <w:pPr>
              <w:ind w:left="20"/>
              <w:spacing w:after="0" w:line="146" w:lineRule="exact"/>
              <w:rPr>
                <w:sz w:val="20"/>
                <w:szCs w:val="20"/>
                <w:color w:val="auto"/>
              </w:rPr>
            </w:pPr>
            <w:r>
              <w:rPr>
                <w:rFonts w:ascii="Times New Roman" w:cs="Times New Roman" w:eastAsia="Times New Roman" w:hAnsi="Times New Roman"/>
                <w:sz w:val="13"/>
                <w:szCs w:val="13"/>
                <w:color w:val="auto"/>
              </w:rPr>
              <w:t>Total current taxes</w:t>
            </w:r>
          </w:p>
        </w:tc>
        <w:tc>
          <w:tcPr>
            <w:tcW w:w="880" w:type="dxa"/>
            <w:vAlign w:val="bottom"/>
            <w:tcBorders>
              <w:bottom w:val="single" w:sz="8" w:color="auto"/>
            </w:tcBorders>
          </w:tcPr>
          <w:p>
            <w:pPr>
              <w:spacing w:after="0"/>
              <w:rPr>
                <w:sz w:val="13"/>
                <w:szCs w:val="13"/>
                <w:color w:val="auto"/>
              </w:rPr>
            </w:pPr>
          </w:p>
        </w:tc>
        <w:tc>
          <w:tcPr>
            <w:tcW w:w="4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3"/>
                <w:szCs w:val="13"/>
                <w:color w:val="auto"/>
              </w:rPr>
              <w:t>2,808</w:t>
            </w:r>
          </w:p>
        </w:tc>
        <w:tc>
          <w:tcPr>
            <w:tcW w:w="100" w:type="dxa"/>
            <w:vAlign w:val="bottom"/>
            <w:tcBorders>
              <w:bottom w:val="single" w:sz="8" w:color="CCEEFF"/>
            </w:tcBorders>
          </w:tcPr>
          <w:p>
            <w:pPr>
              <w:spacing w:after="0"/>
              <w:rPr>
                <w:sz w:val="13"/>
                <w:szCs w:val="13"/>
                <w:color w:val="auto"/>
              </w:rPr>
            </w:pPr>
          </w:p>
        </w:tc>
        <w:tc>
          <w:tcPr>
            <w:tcW w:w="300" w:type="dxa"/>
            <w:vAlign w:val="bottom"/>
            <w:tcBorders>
              <w:bottom w:val="single" w:sz="8" w:color="auto"/>
            </w:tcBorders>
          </w:tcPr>
          <w:p>
            <w:pPr>
              <w:spacing w:after="0"/>
              <w:rPr>
                <w:sz w:val="13"/>
                <w:szCs w:val="13"/>
                <w:color w:val="auto"/>
              </w:rPr>
            </w:pPr>
          </w:p>
        </w:tc>
        <w:tc>
          <w:tcPr>
            <w:tcW w:w="10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3"/>
                <w:szCs w:val="13"/>
                <w:color w:val="auto"/>
              </w:rPr>
              <w:t>3,322</w:t>
            </w:r>
          </w:p>
        </w:tc>
        <w:tc>
          <w:tcPr>
            <w:tcW w:w="80" w:type="dxa"/>
            <w:vAlign w:val="bottom"/>
            <w:tcBorders>
              <w:bottom w:val="single" w:sz="8" w:color="CCEEFF"/>
            </w:tcBorders>
          </w:tcPr>
          <w:p>
            <w:pPr>
              <w:spacing w:after="0"/>
              <w:rPr>
                <w:sz w:val="13"/>
                <w:szCs w:val="13"/>
                <w:color w:val="auto"/>
              </w:rPr>
            </w:pPr>
          </w:p>
        </w:tc>
        <w:tc>
          <w:tcPr>
            <w:tcW w:w="320" w:type="dxa"/>
            <w:vAlign w:val="bottom"/>
            <w:tcBorders>
              <w:bottom w:val="single" w:sz="8" w:color="auto"/>
            </w:tcBorders>
          </w:tcPr>
          <w:p>
            <w:pPr>
              <w:spacing w:after="0"/>
              <w:rPr>
                <w:sz w:val="13"/>
                <w:szCs w:val="13"/>
                <w:color w:val="auto"/>
              </w:rPr>
            </w:pPr>
          </w:p>
        </w:tc>
        <w:tc>
          <w:tcPr>
            <w:tcW w:w="10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3"/>
                <w:szCs w:val="13"/>
                <w:color w:val="auto"/>
              </w:rPr>
              <w:t>1,836</w:t>
            </w:r>
          </w:p>
        </w:tc>
      </w:tr>
      <w:tr>
        <w:trPr>
          <w:trHeight w:val="152"/>
        </w:trPr>
        <w:tc>
          <w:tcPr>
            <w:tcW w:w="708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3"/>
                <w:szCs w:val="13"/>
                <w:b w:val="1"/>
                <w:bCs w:val="1"/>
                <w:color w:val="auto"/>
              </w:rPr>
              <w:t>Deferred taxes:</w:t>
            </w:r>
          </w:p>
        </w:tc>
        <w:tc>
          <w:tcPr>
            <w:tcW w:w="880" w:type="dxa"/>
            <w:vAlign w:val="bottom"/>
            <w:shd w:val="clear" w:color="auto" w:fill="CCEEFF"/>
          </w:tcPr>
          <w:p>
            <w:pPr>
              <w:spacing w:after="0"/>
              <w:rPr>
                <w:sz w:val="13"/>
                <w:szCs w:val="13"/>
                <w:color w:val="auto"/>
              </w:rPr>
            </w:pPr>
          </w:p>
        </w:tc>
        <w:tc>
          <w:tcPr>
            <w:tcW w:w="460" w:type="dxa"/>
            <w:vAlign w:val="bottom"/>
            <w:shd w:val="clear" w:color="auto" w:fill="CCEEFF"/>
          </w:tcPr>
          <w:p>
            <w:pPr>
              <w:spacing w:after="0"/>
              <w:rPr>
                <w:sz w:val="13"/>
                <w:szCs w:val="13"/>
                <w:color w:val="auto"/>
              </w:rPr>
            </w:pPr>
          </w:p>
        </w:tc>
        <w:tc>
          <w:tcPr>
            <w:tcW w:w="100" w:type="dxa"/>
            <w:vAlign w:val="bottom"/>
            <w:shd w:val="clear" w:color="auto" w:fill="CCEEFF"/>
          </w:tcPr>
          <w:p>
            <w:pPr>
              <w:spacing w:after="0"/>
              <w:rPr>
                <w:sz w:val="13"/>
                <w:szCs w:val="13"/>
                <w:color w:val="auto"/>
              </w:rPr>
            </w:pPr>
          </w:p>
        </w:tc>
        <w:tc>
          <w:tcPr>
            <w:tcW w:w="300" w:type="dxa"/>
            <w:vAlign w:val="bottom"/>
            <w:shd w:val="clear" w:color="auto" w:fill="CCEEFF"/>
          </w:tcPr>
          <w:p>
            <w:pPr>
              <w:spacing w:after="0"/>
              <w:rPr>
                <w:sz w:val="13"/>
                <w:szCs w:val="13"/>
                <w:color w:val="auto"/>
              </w:rPr>
            </w:pPr>
          </w:p>
        </w:tc>
        <w:tc>
          <w:tcPr>
            <w:tcW w:w="1040" w:type="dxa"/>
            <w:vAlign w:val="bottom"/>
            <w:shd w:val="clear" w:color="auto" w:fill="CCEEFF"/>
          </w:tcPr>
          <w:p>
            <w:pPr>
              <w:spacing w:after="0"/>
              <w:rPr>
                <w:sz w:val="13"/>
                <w:szCs w:val="13"/>
                <w:color w:val="auto"/>
              </w:rPr>
            </w:pPr>
          </w:p>
        </w:tc>
        <w:tc>
          <w:tcPr>
            <w:tcW w:w="80" w:type="dxa"/>
            <w:vAlign w:val="bottom"/>
            <w:shd w:val="clear" w:color="auto" w:fill="CCEEFF"/>
          </w:tcPr>
          <w:p>
            <w:pPr>
              <w:spacing w:after="0"/>
              <w:rPr>
                <w:sz w:val="13"/>
                <w:szCs w:val="13"/>
                <w:color w:val="auto"/>
              </w:rPr>
            </w:pPr>
          </w:p>
        </w:tc>
        <w:tc>
          <w:tcPr>
            <w:tcW w:w="320" w:type="dxa"/>
            <w:vAlign w:val="bottom"/>
            <w:shd w:val="clear" w:color="auto" w:fill="CCEEFF"/>
          </w:tcPr>
          <w:p>
            <w:pPr>
              <w:spacing w:after="0"/>
              <w:rPr>
                <w:sz w:val="13"/>
                <w:szCs w:val="13"/>
                <w:color w:val="auto"/>
              </w:rPr>
            </w:pPr>
          </w:p>
        </w:tc>
        <w:tc>
          <w:tcPr>
            <w:tcW w:w="1020" w:type="dxa"/>
            <w:vAlign w:val="bottom"/>
            <w:shd w:val="clear" w:color="auto" w:fill="CCEEFF"/>
          </w:tcPr>
          <w:p>
            <w:pPr>
              <w:spacing w:after="0"/>
              <w:rPr>
                <w:sz w:val="13"/>
                <w:szCs w:val="13"/>
                <w:color w:val="auto"/>
              </w:rPr>
            </w:pPr>
          </w:p>
        </w:tc>
      </w:tr>
      <w:tr>
        <w:trPr>
          <w:trHeight w:val="168"/>
        </w:trPr>
        <w:tc>
          <w:tcPr>
            <w:tcW w:w="7080" w:type="dxa"/>
            <w:vAlign w:val="bottom"/>
          </w:tcPr>
          <w:p>
            <w:pPr>
              <w:ind w:left="280"/>
              <w:spacing w:after="0"/>
              <w:rPr>
                <w:sz w:val="20"/>
                <w:szCs w:val="20"/>
                <w:color w:val="auto"/>
              </w:rPr>
            </w:pPr>
            <w:r>
              <w:rPr>
                <w:rFonts w:ascii="Times New Roman" w:cs="Times New Roman" w:eastAsia="Times New Roman" w:hAnsi="Times New Roman"/>
                <w:sz w:val="13"/>
                <w:szCs w:val="13"/>
                <w:color w:val="auto"/>
              </w:rPr>
              <w:t>U.S. Federal</w:t>
            </w:r>
          </w:p>
        </w:tc>
        <w:tc>
          <w:tcPr>
            <w:tcW w:w="880" w:type="dxa"/>
            <w:vAlign w:val="bottom"/>
          </w:tcPr>
          <w:p>
            <w:pPr>
              <w:spacing w:after="0"/>
              <w:rPr>
                <w:sz w:val="14"/>
                <w:szCs w:val="14"/>
                <w:color w:val="auto"/>
              </w:rPr>
            </w:pPr>
          </w:p>
        </w:tc>
        <w:tc>
          <w:tcPr>
            <w:tcW w:w="46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(155)</w:t>
            </w:r>
          </w:p>
        </w:tc>
        <w:tc>
          <w:tcPr>
            <w:tcW w:w="100" w:type="dxa"/>
            <w:vAlign w:val="bottom"/>
          </w:tcPr>
          <w:p>
            <w:pPr>
              <w:spacing w:after="0"/>
              <w:rPr>
                <w:sz w:val="14"/>
                <w:szCs w:val="14"/>
                <w:color w:val="auto"/>
              </w:rPr>
            </w:pPr>
          </w:p>
        </w:tc>
        <w:tc>
          <w:tcPr>
            <w:tcW w:w="300" w:type="dxa"/>
            <w:vAlign w:val="bottom"/>
          </w:tcPr>
          <w:p>
            <w:pPr>
              <w:spacing w:after="0"/>
              <w:rPr>
                <w:sz w:val="14"/>
                <w:szCs w:val="14"/>
                <w:color w:val="auto"/>
              </w:rPr>
            </w:pPr>
          </w:p>
        </w:tc>
        <w:tc>
          <w:tcPr>
            <w:tcW w:w="104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(1,359)</w:t>
            </w:r>
          </w:p>
        </w:tc>
        <w:tc>
          <w:tcPr>
            <w:tcW w:w="80" w:type="dxa"/>
            <w:vAlign w:val="bottom"/>
          </w:tcPr>
          <w:p>
            <w:pPr>
              <w:spacing w:after="0"/>
              <w:rPr>
                <w:sz w:val="14"/>
                <w:szCs w:val="14"/>
                <w:color w:val="auto"/>
              </w:rPr>
            </w:pPr>
          </w:p>
        </w:tc>
        <w:tc>
          <w:tcPr>
            <w:tcW w:w="320" w:type="dxa"/>
            <w:vAlign w:val="bottom"/>
          </w:tcPr>
          <w:p>
            <w:pPr>
              <w:spacing w:after="0"/>
              <w:rPr>
                <w:sz w:val="14"/>
                <w:szCs w:val="14"/>
                <w:color w:val="auto"/>
              </w:rPr>
            </w:pPr>
          </w:p>
        </w:tc>
        <w:tc>
          <w:tcPr>
            <w:tcW w:w="102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1,014</w:t>
            </w:r>
          </w:p>
        </w:tc>
      </w:tr>
      <w:tr>
        <w:trPr>
          <w:trHeight w:val="172"/>
        </w:trPr>
        <w:tc>
          <w:tcPr>
            <w:tcW w:w="7080" w:type="dxa"/>
            <w:vAlign w:val="bottom"/>
            <w:shd w:val="clear" w:color="auto" w:fill="CCEEFF"/>
          </w:tcPr>
          <w:p>
            <w:pPr>
              <w:ind w:left="280"/>
              <w:spacing w:after="0"/>
              <w:rPr>
                <w:sz w:val="20"/>
                <w:szCs w:val="20"/>
                <w:color w:val="auto"/>
              </w:rPr>
            </w:pPr>
            <w:r>
              <w:rPr>
                <w:rFonts w:ascii="Times New Roman" w:cs="Times New Roman" w:eastAsia="Times New Roman" w:hAnsi="Times New Roman"/>
                <w:sz w:val="13"/>
                <w:szCs w:val="13"/>
                <w:color w:val="auto"/>
              </w:rPr>
              <w:t>State and local</w:t>
            </w:r>
          </w:p>
        </w:tc>
        <w:tc>
          <w:tcPr>
            <w:tcW w:w="880" w:type="dxa"/>
            <w:vAlign w:val="bottom"/>
            <w:tcBorders>
              <w:bottom w:val="single" w:sz="8" w:color="auto"/>
            </w:tcBorders>
            <w:shd w:val="clear" w:color="auto" w:fill="CCEEFF"/>
          </w:tcPr>
          <w:p>
            <w:pPr>
              <w:spacing w:after="0"/>
              <w:rPr>
                <w:sz w:val="14"/>
                <w:szCs w:val="14"/>
                <w:color w:val="auto"/>
              </w:rPr>
            </w:pPr>
          </w:p>
        </w:tc>
        <w:tc>
          <w:tcPr>
            <w:tcW w:w="4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(53)</w:t>
            </w:r>
          </w:p>
        </w:tc>
        <w:tc>
          <w:tcPr>
            <w:tcW w:w="100" w:type="dxa"/>
            <w:vAlign w:val="bottom"/>
            <w:shd w:val="clear" w:color="auto" w:fill="CCEEFF"/>
          </w:tcPr>
          <w:p>
            <w:pPr>
              <w:spacing w:after="0"/>
              <w:rPr>
                <w:sz w:val="14"/>
                <w:szCs w:val="14"/>
                <w:color w:val="auto"/>
              </w:rPr>
            </w:pPr>
          </w:p>
        </w:tc>
        <w:tc>
          <w:tcPr>
            <w:tcW w:w="300" w:type="dxa"/>
            <w:vAlign w:val="bottom"/>
            <w:tcBorders>
              <w:bottom w:val="single" w:sz="8" w:color="auto"/>
            </w:tcBorders>
            <w:shd w:val="clear" w:color="auto" w:fill="CCEEFF"/>
          </w:tcPr>
          <w:p>
            <w:pPr>
              <w:spacing w:after="0"/>
              <w:rPr>
                <w:sz w:val="14"/>
                <w:szCs w:val="14"/>
                <w:color w:val="auto"/>
              </w:rPr>
            </w:pPr>
          </w:p>
        </w:tc>
        <w:tc>
          <w:tcPr>
            <w:tcW w:w="10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(159)</w:t>
            </w:r>
          </w:p>
        </w:tc>
        <w:tc>
          <w:tcPr>
            <w:tcW w:w="80" w:type="dxa"/>
            <w:vAlign w:val="bottom"/>
            <w:shd w:val="clear" w:color="auto" w:fill="CCEEFF"/>
          </w:tcPr>
          <w:p>
            <w:pPr>
              <w:spacing w:after="0"/>
              <w:rPr>
                <w:sz w:val="14"/>
                <w:szCs w:val="14"/>
                <w:color w:val="auto"/>
              </w:rPr>
            </w:pPr>
          </w:p>
        </w:tc>
        <w:tc>
          <w:tcPr>
            <w:tcW w:w="320" w:type="dxa"/>
            <w:vAlign w:val="bottom"/>
            <w:tcBorders>
              <w:bottom w:val="single" w:sz="8" w:color="auto"/>
            </w:tcBorders>
            <w:shd w:val="clear" w:color="auto" w:fill="CCEEFF"/>
          </w:tcPr>
          <w:p>
            <w:pPr>
              <w:spacing w:after="0"/>
              <w:rPr>
                <w:sz w:val="14"/>
                <w:szCs w:val="14"/>
                <w:color w:val="auto"/>
              </w:rPr>
            </w:pPr>
          </w:p>
        </w:tc>
        <w:tc>
          <w:tcPr>
            <w:tcW w:w="10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22</w:t>
            </w:r>
          </w:p>
        </w:tc>
      </w:tr>
      <w:tr>
        <w:trPr>
          <w:trHeight w:val="158"/>
        </w:trPr>
        <w:tc>
          <w:tcPr>
            <w:tcW w:w="7080" w:type="dxa"/>
            <w:vAlign w:val="bottom"/>
            <w:tcBorders>
              <w:bottom w:val="single" w:sz="8" w:color="CCEEFF"/>
            </w:tcBorders>
          </w:tcPr>
          <w:p>
            <w:pPr>
              <w:ind w:left="20"/>
              <w:spacing w:after="0" w:line="146" w:lineRule="exact"/>
              <w:rPr>
                <w:sz w:val="20"/>
                <w:szCs w:val="20"/>
                <w:color w:val="auto"/>
              </w:rPr>
            </w:pPr>
            <w:r>
              <w:rPr>
                <w:rFonts w:ascii="Times New Roman" w:cs="Times New Roman" w:eastAsia="Times New Roman" w:hAnsi="Times New Roman"/>
                <w:sz w:val="13"/>
                <w:szCs w:val="13"/>
                <w:color w:val="auto"/>
              </w:rPr>
              <w:t>Total deferred taxes</w:t>
            </w:r>
          </w:p>
        </w:tc>
        <w:tc>
          <w:tcPr>
            <w:tcW w:w="880" w:type="dxa"/>
            <w:vAlign w:val="bottom"/>
            <w:tcBorders>
              <w:bottom w:val="single" w:sz="8" w:color="auto"/>
            </w:tcBorders>
          </w:tcPr>
          <w:p>
            <w:pPr>
              <w:spacing w:after="0"/>
              <w:rPr>
                <w:sz w:val="13"/>
                <w:szCs w:val="13"/>
                <w:color w:val="auto"/>
              </w:rPr>
            </w:pPr>
          </w:p>
        </w:tc>
        <w:tc>
          <w:tcPr>
            <w:tcW w:w="4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3"/>
                <w:szCs w:val="13"/>
                <w:color w:val="auto"/>
              </w:rPr>
              <w:t>(208)</w:t>
            </w:r>
          </w:p>
        </w:tc>
        <w:tc>
          <w:tcPr>
            <w:tcW w:w="100" w:type="dxa"/>
            <w:vAlign w:val="bottom"/>
            <w:tcBorders>
              <w:bottom w:val="single" w:sz="8" w:color="CCEEFF"/>
            </w:tcBorders>
          </w:tcPr>
          <w:p>
            <w:pPr>
              <w:spacing w:after="0"/>
              <w:rPr>
                <w:sz w:val="13"/>
                <w:szCs w:val="13"/>
                <w:color w:val="auto"/>
              </w:rPr>
            </w:pPr>
          </w:p>
        </w:tc>
        <w:tc>
          <w:tcPr>
            <w:tcW w:w="300" w:type="dxa"/>
            <w:vAlign w:val="bottom"/>
            <w:tcBorders>
              <w:bottom w:val="single" w:sz="8" w:color="auto"/>
            </w:tcBorders>
          </w:tcPr>
          <w:p>
            <w:pPr>
              <w:spacing w:after="0"/>
              <w:rPr>
                <w:sz w:val="13"/>
                <w:szCs w:val="13"/>
                <w:color w:val="auto"/>
              </w:rPr>
            </w:pPr>
          </w:p>
        </w:tc>
        <w:tc>
          <w:tcPr>
            <w:tcW w:w="10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3"/>
                <w:szCs w:val="13"/>
                <w:color w:val="auto"/>
              </w:rPr>
              <w:t>(1,518)</w:t>
            </w:r>
          </w:p>
        </w:tc>
        <w:tc>
          <w:tcPr>
            <w:tcW w:w="80" w:type="dxa"/>
            <w:vAlign w:val="bottom"/>
            <w:tcBorders>
              <w:bottom w:val="single" w:sz="8" w:color="CCEEFF"/>
            </w:tcBorders>
          </w:tcPr>
          <w:p>
            <w:pPr>
              <w:spacing w:after="0"/>
              <w:rPr>
                <w:sz w:val="13"/>
                <w:szCs w:val="13"/>
                <w:color w:val="auto"/>
              </w:rPr>
            </w:pPr>
          </w:p>
        </w:tc>
        <w:tc>
          <w:tcPr>
            <w:tcW w:w="320" w:type="dxa"/>
            <w:vAlign w:val="bottom"/>
            <w:tcBorders>
              <w:bottom w:val="single" w:sz="8" w:color="auto"/>
            </w:tcBorders>
          </w:tcPr>
          <w:p>
            <w:pPr>
              <w:spacing w:after="0"/>
              <w:rPr>
                <w:sz w:val="13"/>
                <w:szCs w:val="13"/>
                <w:color w:val="auto"/>
              </w:rPr>
            </w:pPr>
          </w:p>
        </w:tc>
        <w:tc>
          <w:tcPr>
            <w:tcW w:w="10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3"/>
                <w:szCs w:val="13"/>
                <w:color w:val="auto"/>
              </w:rPr>
              <w:t>1,036</w:t>
            </w:r>
          </w:p>
        </w:tc>
      </w:tr>
      <w:tr>
        <w:trPr>
          <w:trHeight w:val="185"/>
        </w:trPr>
        <w:tc>
          <w:tcPr>
            <w:tcW w:w="708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3"/>
                <w:szCs w:val="13"/>
                <w:b w:val="1"/>
                <w:bCs w:val="1"/>
                <w:color w:val="auto"/>
              </w:rPr>
              <w:t>Total income tax provision</w:t>
            </w:r>
          </w:p>
        </w:tc>
        <w:tc>
          <w:tcPr>
            <w:tcW w:w="880" w:type="dxa"/>
            <w:vAlign w:val="bottom"/>
            <w:tcBorders>
              <w:bottom w:val="single" w:sz="8" w:color="auto"/>
            </w:tcBorders>
            <w:shd w:val="clear" w:color="auto" w:fill="CCEEFF"/>
          </w:tcPr>
          <w:p>
            <w:pPr>
              <w:ind w:left="20"/>
              <w:spacing w:after="0"/>
              <w:rPr>
                <w:sz w:val="20"/>
                <w:szCs w:val="20"/>
                <w:color w:val="auto"/>
              </w:rPr>
            </w:pPr>
            <w:r>
              <w:rPr>
                <w:rFonts w:ascii="Times New Roman" w:cs="Times New Roman" w:eastAsia="Times New Roman" w:hAnsi="Times New Roman"/>
                <w:sz w:val="13"/>
                <w:szCs w:val="13"/>
                <w:color w:val="auto"/>
              </w:rPr>
              <w:t>$</w:t>
            </w:r>
          </w:p>
        </w:tc>
        <w:tc>
          <w:tcPr>
            <w:tcW w:w="4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2,600</w:t>
            </w:r>
          </w:p>
        </w:tc>
        <w:tc>
          <w:tcPr>
            <w:tcW w:w="100" w:type="dxa"/>
            <w:vAlign w:val="bottom"/>
            <w:tcBorders>
              <w:bottom w:val="single" w:sz="8" w:color="CCEEFF"/>
            </w:tcBorders>
            <w:shd w:val="clear" w:color="auto" w:fill="CCEEFF"/>
          </w:tcPr>
          <w:p>
            <w:pPr>
              <w:spacing w:after="0"/>
              <w:rPr>
                <w:sz w:val="15"/>
                <w:szCs w:val="15"/>
                <w:color w:val="auto"/>
              </w:rPr>
            </w:pPr>
          </w:p>
        </w:tc>
        <w:tc>
          <w:tcPr>
            <w:tcW w:w="300" w:type="dxa"/>
            <w:vAlign w:val="bottom"/>
            <w:tcBorders>
              <w:bottom w:val="single" w:sz="8" w:color="auto"/>
            </w:tcBorders>
            <w:shd w:val="clear" w:color="auto" w:fill="CCEEFF"/>
          </w:tcPr>
          <w:p>
            <w:pPr>
              <w:spacing w:after="0"/>
              <w:rPr>
                <w:sz w:val="20"/>
                <w:szCs w:val="20"/>
                <w:color w:val="auto"/>
              </w:rPr>
            </w:pPr>
            <w:r>
              <w:rPr>
                <w:rFonts w:ascii="Times New Roman" w:cs="Times New Roman" w:eastAsia="Times New Roman" w:hAnsi="Times New Roman"/>
                <w:sz w:val="13"/>
                <w:szCs w:val="13"/>
                <w:color w:val="auto"/>
              </w:rPr>
              <w:t>$</w:t>
            </w:r>
          </w:p>
        </w:tc>
        <w:tc>
          <w:tcPr>
            <w:tcW w:w="10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1,804</w:t>
            </w:r>
          </w:p>
        </w:tc>
        <w:tc>
          <w:tcPr>
            <w:tcW w:w="80" w:type="dxa"/>
            <w:vAlign w:val="bottom"/>
            <w:tcBorders>
              <w:bottom w:val="single" w:sz="8" w:color="CCEEFF"/>
            </w:tcBorders>
            <w:shd w:val="clear" w:color="auto" w:fill="CCEEFF"/>
          </w:tcPr>
          <w:p>
            <w:pPr>
              <w:spacing w:after="0"/>
              <w:rPr>
                <w:sz w:val="15"/>
                <w:szCs w:val="15"/>
                <w:color w:val="auto"/>
              </w:rPr>
            </w:pPr>
          </w:p>
        </w:tc>
        <w:tc>
          <w:tcPr>
            <w:tcW w:w="320" w:type="dxa"/>
            <w:vAlign w:val="bottom"/>
            <w:tcBorders>
              <w:bottom w:val="single" w:sz="8" w:color="auto"/>
            </w:tcBorders>
            <w:shd w:val="clear" w:color="auto" w:fill="CCEEFF"/>
          </w:tcPr>
          <w:p>
            <w:pPr>
              <w:ind w:left="20"/>
              <w:spacing w:after="0"/>
              <w:rPr>
                <w:sz w:val="20"/>
                <w:szCs w:val="20"/>
                <w:color w:val="auto"/>
              </w:rPr>
            </w:pPr>
            <w:r>
              <w:rPr>
                <w:rFonts w:ascii="Times New Roman" w:cs="Times New Roman" w:eastAsia="Times New Roman" w:hAnsi="Times New Roman"/>
                <w:sz w:val="13"/>
                <w:szCs w:val="13"/>
                <w:color w:val="auto"/>
              </w:rPr>
              <w:t>$</w:t>
            </w:r>
          </w:p>
        </w:tc>
        <w:tc>
          <w:tcPr>
            <w:tcW w:w="10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2,872</w:t>
            </w:r>
          </w:p>
        </w:tc>
      </w:tr>
      <w:tr>
        <w:trPr>
          <w:trHeight w:val="20"/>
        </w:trPr>
        <w:tc>
          <w:tcPr>
            <w:tcW w:w="7080" w:type="dxa"/>
            <w:vAlign w:val="bottom"/>
            <w:tcBorders>
              <w:top w:val="single" w:sz="8" w:color="CCEEFF"/>
            </w:tcBorders>
          </w:tcPr>
          <w:p>
            <w:pPr>
              <w:spacing w:after="0" w:line="20" w:lineRule="exact"/>
              <w:rPr>
                <w:sz w:val="1"/>
                <w:szCs w:val="1"/>
                <w:color w:val="auto"/>
              </w:rPr>
            </w:pPr>
          </w:p>
        </w:tc>
        <w:tc>
          <w:tcPr>
            <w:tcW w:w="880" w:type="dxa"/>
            <w:vAlign w:val="bottom"/>
            <w:tcBorders>
              <w:top w:val="single" w:sz="8" w:color="CCEEFF"/>
              <w:bottom w:val="single" w:sz="8" w:color="auto"/>
            </w:tcBorders>
          </w:tcPr>
          <w:p>
            <w:pPr>
              <w:spacing w:after="0" w:line="20" w:lineRule="exact"/>
              <w:rPr>
                <w:sz w:val="1"/>
                <w:szCs w:val="1"/>
                <w:color w:val="auto"/>
              </w:rPr>
            </w:pPr>
          </w:p>
        </w:tc>
        <w:tc>
          <w:tcPr>
            <w:tcW w:w="46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300" w:type="dxa"/>
            <w:vAlign w:val="bottom"/>
            <w:tcBorders>
              <w:top w:val="single" w:sz="8" w:color="CCEEFF"/>
              <w:bottom w:val="single" w:sz="8" w:color="auto"/>
            </w:tcBorders>
          </w:tcPr>
          <w:p>
            <w:pPr>
              <w:spacing w:after="0" w:line="20" w:lineRule="exact"/>
              <w:rPr>
                <w:sz w:val="1"/>
                <w:szCs w:val="1"/>
                <w:color w:val="auto"/>
              </w:rPr>
            </w:pPr>
          </w:p>
        </w:tc>
        <w:tc>
          <w:tcPr>
            <w:tcW w:w="1040" w:type="dxa"/>
            <w:vAlign w:val="bottom"/>
            <w:tcBorders>
              <w:top w:val="single" w:sz="8" w:color="CCEEFF"/>
              <w:bottom w:val="single" w:sz="8" w:color="auto"/>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320" w:type="dxa"/>
            <w:vAlign w:val="bottom"/>
            <w:tcBorders>
              <w:top w:val="single" w:sz="8" w:color="CCEEFF"/>
              <w:bottom w:val="single" w:sz="8" w:color="auto"/>
            </w:tcBorders>
          </w:tcPr>
          <w:p>
            <w:pPr>
              <w:spacing w:after="0" w:line="20" w:lineRule="exact"/>
              <w:rPr>
                <w:sz w:val="1"/>
                <w:szCs w:val="1"/>
                <w:color w:val="auto"/>
              </w:rPr>
            </w:pPr>
          </w:p>
        </w:tc>
        <w:tc>
          <w:tcPr>
            <w:tcW w:w="1020" w:type="dxa"/>
            <w:vAlign w:val="bottom"/>
            <w:tcBorders>
              <w:top w:val="single" w:sz="8" w:color="CCEEFF"/>
              <w:bottom w:val="single" w:sz="8" w:color="auto"/>
            </w:tcBorders>
          </w:tcPr>
          <w:p>
            <w:pPr>
              <w:spacing w:after="0" w:line="20" w:lineRule="exact"/>
              <w:rPr>
                <w:sz w:val="1"/>
                <w:szCs w:val="1"/>
                <w:color w:val="auto"/>
              </w:rPr>
            </w:pPr>
          </w:p>
        </w:tc>
      </w:tr>
    </w:tbl>
    <w:p>
      <w:pPr>
        <w:spacing w:after="0" w:line="144" w:lineRule="exact"/>
        <w:rPr>
          <w:sz w:val="20"/>
          <w:szCs w:val="20"/>
          <w:color w:val="auto"/>
        </w:rPr>
      </w:pPr>
    </w:p>
    <w:p>
      <w:pPr>
        <w:jc w:val="both"/>
        <w:ind w:right="40" w:firstLine="382"/>
        <w:spacing w:after="0" w:line="287" w:lineRule="auto"/>
        <w:rPr>
          <w:sz w:val="20"/>
          <w:szCs w:val="20"/>
          <w:color w:val="auto"/>
        </w:rPr>
      </w:pPr>
      <w:r>
        <w:rPr>
          <w:rFonts w:ascii="Times New Roman" w:cs="Times New Roman" w:eastAsia="Times New Roman" w:hAnsi="Times New Roman"/>
          <w:sz w:val="14"/>
          <w:szCs w:val="14"/>
          <w:color w:val="auto"/>
        </w:rPr>
        <w:t>We include penalties and interest on income-based taxes in the “General and administrative” line on our Consolidated Statements of Operations. Penalties and interest were insignificant for the years ended December 31, 2025, 2024 and 2023.</w:t>
      </w:r>
    </w:p>
    <w:p>
      <w:pPr>
        <w:spacing w:after="0" w:line="39" w:lineRule="exact"/>
        <w:rPr>
          <w:sz w:val="20"/>
          <w:szCs w:val="20"/>
          <w:color w:val="auto"/>
        </w:rPr>
      </w:pPr>
    </w:p>
    <w:p>
      <w:pPr>
        <w:ind w:right="160" w:firstLine="382"/>
        <w:spacing w:after="0" w:line="286" w:lineRule="auto"/>
        <w:rPr>
          <w:sz w:val="20"/>
          <w:szCs w:val="20"/>
          <w:color w:val="auto"/>
        </w:rPr>
      </w:pPr>
      <w:r>
        <w:rPr>
          <w:rFonts w:ascii="Times New Roman" w:cs="Times New Roman" w:eastAsia="Times New Roman" w:hAnsi="Times New Roman"/>
          <w:sz w:val="14"/>
          <w:szCs w:val="14"/>
          <w:color w:val="auto"/>
        </w:rPr>
        <w:t>Income tax expense differs from the amount that would otherwise have been calculated by applying the U.S. Federal corporate tax rate of 21% to income before income taxes. The difference between the Federal corporate tax rate and the effective tax rate is comprised of the following (in thousands).</w:t>
      </w:r>
    </w:p>
    <w:tbl>
      <w:tblPr>
        <w:tblLayout w:type="fixed"/>
        <w:tblInd w:w="0" w:type="dxa"/>
        <w:tblCellMar>
          <w:top w:w="0" w:type="dxa"/>
          <w:left w:w="0" w:type="dxa"/>
          <w:bottom w:w="0" w:type="dxa"/>
          <w:right w:w="0" w:type="dxa"/>
        </w:tblCellMar>
      </w:tblPr>
      <w:tr>
        <w:trPr>
          <w:trHeight w:val="170"/>
        </w:trPr>
        <w:tc>
          <w:tcPr>
            <w:tcW w:w="4660" w:type="dxa"/>
            <w:vAlign w:val="bottom"/>
          </w:tcPr>
          <w:p>
            <w:pPr>
              <w:spacing w:after="0"/>
              <w:rPr>
                <w:sz w:val="14"/>
                <w:szCs w:val="14"/>
                <w:color w:val="auto"/>
              </w:rPr>
            </w:pPr>
          </w:p>
        </w:tc>
        <w:tc>
          <w:tcPr>
            <w:tcW w:w="360" w:type="dxa"/>
            <w:vAlign w:val="bottom"/>
            <w:tcBorders>
              <w:bottom w:val="single" w:sz="8" w:color="auto"/>
            </w:tcBorders>
          </w:tcPr>
          <w:p>
            <w:pPr>
              <w:spacing w:after="0"/>
              <w:rPr>
                <w:sz w:val="14"/>
                <w:szCs w:val="14"/>
                <w:color w:val="auto"/>
              </w:rPr>
            </w:pPr>
          </w:p>
        </w:tc>
        <w:tc>
          <w:tcPr>
            <w:tcW w:w="600" w:type="dxa"/>
            <w:vAlign w:val="bottom"/>
            <w:tcBorders>
              <w:bottom w:val="single" w:sz="8" w:color="auto"/>
            </w:tcBorders>
          </w:tcPr>
          <w:p>
            <w:pPr>
              <w:spacing w:after="0"/>
              <w:rPr>
                <w:sz w:val="14"/>
                <w:szCs w:val="14"/>
                <w:color w:val="auto"/>
              </w:rPr>
            </w:pPr>
          </w:p>
        </w:tc>
        <w:tc>
          <w:tcPr>
            <w:tcW w:w="100" w:type="dxa"/>
            <w:vAlign w:val="bottom"/>
            <w:tcBorders>
              <w:bottom w:val="single" w:sz="8" w:color="auto"/>
            </w:tcBorders>
          </w:tcPr>
          <w:p>
            <w:pPr>
              <w:spacing w:after="0"/>
              <w:rPr>
                <w:sz w:val="14"/>
                <w:szCs w:val="14"/>
                <w:color w:val="auto"/>
              </w:rPr>
            </w:pPr>
          </w:p>
        </w:tc>
        <w:tc>
          <w:tcPr>
            <w:tcW w:w="400" w:type="dxa"/>
            <w:vAlign w:val="bottom"/>
            <w:tcBorders>
              <w:bottom w:val="single" w:sz="8" w:color="auto"/>
            </w:tcBorders>
          </w:tcPr>
          <w:p>
            <w:pPr>
              <w:spacing w:after="0"/>
              <w:rPr>
                <w:sz w:val="14"/>
                <w:szCs w:val="14"/>
                <w:color w:val="auto"/>
              </w:rPr>
            </w:pPr>
          </w:p>
        </w:tc>
        <w:tc>
          <w:tcPr>
            <w:tcW w:w="660" w:type="dxa"/>
            <w:vAlign w:val="bottom"/>
            <w:tcBorders>
              <w:bottom w:val="single" w:sz="8" w:color="auto"/>
            </w:tcBorders>
          </w:tcPr>
          <w:p>
            <w:pPr>
              <w:spacing w:after="0"/>
              <w:rPr>
                <w:sz w:val="14"/>
                <w:szCs w:val="14"/>
                <w:color w:val="auto"/>
              </w:rPr>
            </w:pPr>
          </w:p>
        </w:tc>
        <w:tc>
          <w:tcPr>
            <w:tcW w:w="100" w:type="dxa"/>
            <w:vAlign w:val="bottom"/>
            <w:tcBorders>
              <w:bottom w:val="single" w:sz="8" w:color="auto"/>
            </w:tcBorders>
          </w:tcPr>
          <w:p>
            <w:pPr>
              <w:spacing w:after="0"/>
              <w:rPr>
                <w:sz w:val="14"/>
                <w:szCs w:val="14"/>
                <w:color w:val="auto"/>
              </w:rPr>
            </w:pPr>
          </w:p>
        </w:tc>
        <w:tc>
          <w:tcPr>
            <w:tcW w:w="220" w:type="dxa"/>
            <w:vAlign w:val="bottom"/>
            <w:tcBorders>
              <w:bottom w:val="single" w:sz="8" w:color="auto"/>
            </w:tcBorders>
          </w:tcPr>
          <w:p>
            <w:pPr>
              <w:spacing w:after="0"/>
              <w:rPr>
                <w:sz w:val="14"/>
                <w:szCs w:val="14"/>
                <w:color w:val="auto"/>
              </w:rPr>
            </w:pPr>
          </w:p>
        </w:tc>
        <w:tc>
          <w:tcPr>
            <w:tcW w:w="2000" w:type="dxa"/>
            <w:vAlign w:val="bottom"/>
            <w:tcBorders>
              <w:bottom w:val="single" w:sz="8" w:color="auto"/>
            </w:tcBorders>
            <w:gridSpan w:val="5"/>
          </w:tcPr>
          <w:p>
            <w:pPr>
              <w:ind w:left="140"/>
              <w:spacing w:after="0"/>
              <w:rPr>
                <w:sz w:val="20"/>
                <w:szCs w:val="20"/>
                <w:color w:val="auto"/>
              </w:rPr>
            </w:pPr>
            <w:r>
              <w:rPr>
                <w:rFonts w:ascii="Times New Roman" w:cs="Times New Roman" w:eastAsia="Times New Roman" w:hAnsi="Times New Roman"/>
                <w:sz w:val="13"/>
                <w:szCs w:val="13"/>
                <w:b w:val="1"/>
                <w:bCs w:val="1"/>
                <w:color w:val="auto"/>
              </w:rPr>
              <w:t>Years ended December 31,</w:t>
            </w:r>
          </w:p>
        </w:tc>
        <w:tc>
          <w:tcPr>
            <w:tcW w:w="360" w:type="dxa"/>
            <w:vAlign w:val="bottom"/>
            <w:tcBorders>
              <w:bottom w:val="single" w:sz="8" w:color="auto"/>
            </w:tcBorders>
          </w:tcPr>
          <w:p>
            <w:pPr>
              <w:spacing w:after="0"/>
              <w:rPr>
                <w:sz w:val="14"/>
                <w:szCs w:val="14"/>
                <w:color w:val="auto"/>
              </w:rPr>
            </w:pPr>
          </w:p>
        </w:tc>
        <w:tc>
          <w:tcPr>
            <w:tcW w:w="620" w:type="dxa"/>
            <w:vAlign w:val="bottom"/>
            <w:tcBorders>
              <w:bottom w:val="single" w:sz="8" w:color="auto"/>
            </w:tcBorders>
          </w:tcPr>
          <w:p>
            <w:pPr>
              <w:spacing w:after="0"/>
              <w:rPr>
                <w:sz w:val="14"/>
                <w:szCs w:val="14"/>
                <w:color w:val="auto"/>
              </w:rPr>
            </w:pPr>
          </w:p>
        </w:tc>
        <w:tc>
          <w:tcPr>
            <w:tcW w:w="80" w:type="dxa"/>
            <w:vAlign w:val="bottom"/>
            <w:tcBorders>
              <w:bottom w:val="single" w:sz="8" w:color="auto"/>
            </w:tcBorders>
          </w:tcPr>
          <w:p>
            <w:pPr>
              <w:spacing w:after="0"/>
              <w:rPr>
                <w:sz w:val="14"/>
                <w:szCs w:val="14"/>
                <w:color w:val="auto"/>
              </w:rPr>
            </w:pPr>
          </w:p>
        </w:tc>
        <w:tc>
          <w:tcPr>
            <w:tcW w:w="420" w:type="dxa"/>
            <w:vAlign w:val="bottom"/>
            <w:tcBorders>
              <w:bottom w:val="single" w:sz="8" w:color="auto"/>
            </w:tcBorders>
          </w:tcPr>
          <w:p>
            <w:pPr>
              <w:spacing w:after="0"/>
              <w:rPr>
                <w:sz w:val="14"/>
                <w:szCs w:val="14"/>
                <w:color w:val="auto"/>
              </w:rPr>
            </w:pPr>
          </w:p>
        </w:tc>
        <w:tc>
          <w:tcPr>
            <w:tcW w:w="660" w:type="dxa"/>
            <w:vAlign w:val="bottom"/>
            <w:tcBorders>
              <w:bottom w:val="single" w:sz="8" w:color="auto"/>
            </w:tcBorders>
          </w:tcPr>
          <w:p>
            <w:pPr>
              <w:spacing w:after="0"/>
              <w:rPr>
                <w:sz w:val="14"/>
                <w:szCs w:val="14"/>
                <w:color w:val="auto"/>
              </w:rPr>
            </w:pPr>
          </w:p>
        </w:tc>
      </w:tr>
      <w:tr>
        <w:trPr>
          <w:trHeight w:val="161"/>
        </w:trPr>
        <w:tc>
          <w:tcPr>
            <w:tcW w:w="4660" w:type="dxa"/>
            <w:vAlign w:val="bottom"/>
            <w:tcBorders>
              <w:bottom w:val="single" w:sz="8" w:color="CCEEFF"/>
            </w:tcBorders>
          </w:tcPr>
          <w:p>
            <w:pPr>
              <w:spacing w:after="0"/>
              <w:rPr>
                <w:sz w:val="14"/>
                <w:szCs w:val="14"/>
                <w:color w:val="auto"/>
              </w:rPr>
            </w:pPr>
          </w:p>
        </w:tc>
        <w:tc>
          <w:tcPr>
            <w:tcW w:w="360" w:type="dxa"/>
            <w:vAlign w:val="bottom"/>
            <w:tcBorders>
              <w:bottom w:val="single" w:sz="8" w:color="auto"/>
            </w:tcBorders>
          </w:tcPr>
          <w:p>
            <w:pPr>
              <w:spacing w:after="0"/>
              <w:rPr>
                <w:sz w:val="14"/>
                <w:szCs w:val="14"/>
                <w:color w:val="auto"/>
              </w:rPr>
            </w:pPr>
          </w:p>
        </w:tc>
        <w:tc>
          <w:tcPr>
            <w:tcW w:w="1100" w:type="dxa"/>
            <w:vAlign w:val="bottom"/>
            <w:tcBorders>
              <w:bottom w:val="single" w:sz="8" w:color="auto"/>
            </w:tcBorders>
            <w:gridSpan w:val="3"/>
          </w:tcPr>
          <w:p>
            <w:pPr>
              <w:jc w:val="right"/>
              <w:ind w:right="260"/>
              <w:spacing w:after="0"/>
              <w:rPr>
                <w:sz w:val="20"/>
                <w:szCs w:val="20"/>
                <w:color w:val="auto"/>
              </w:rPr>
            </w:pPr>
            <w:r>
              <w:rPr>
                <w:rFonts w:ascii="Times New Roman" w:cs="Times New Roman" w:eastAsia="Times New Roman" w:hAnsi="Times New Roman"/>
                <w:sz w:val="13"/>
                <w:szCs w:val="13"/>
                <w:b w:val="1"/>
                <w:bCs w:val="1"/>
                <w:color w:val="auto"/>
              </w:rPr>
              <w:t>2025</w:t>
            </w:r>
          </w:p>
        </w:tc>
        <w:tc>
          <w:tcPr>
            <w:tcW w:w="660" w:type="dxa"/>
            <w:vAlign w:val="bottom"/>
            <w:tcBorders>
              <w:bottom w:val="single" w:sz="8" w:color="auto"/>
            </w:tcBorders>
          </w:tcPr>
          <w:p>
            <w:pPr>
              <w:spacing w:after="0"/>
              <w:rPr>
                <w:sz w:val="14"/>
                <w:szCs w:val="14"/>
                <w:color w:val="auto"/>
              </w:rPr>
            </w:pPr>
          </w:p>
        </w:tc>
        <w:tc>
          <w:tcPr>
            <w:tcW w:w="100" w:type="dxa"/>
            <w:vAlign w:val="bottom"/>
            <w:tcBorders>
              <w:bottom w:val="single" w:sz="8" w:color="CCEEFF"/>
            </w:tcBorders>
          </w:tcPr>
          <w:p>
            <w:pPr>
              <w:spacing w:after="0"/>
              <w:rPr>
                <w:sz w:val="14"/>
                <w:szCs w:val="14"/>
                <w:color w:val="auto"/>
              </w:rPr>
            </w:pPr>
          </w:p>
        </w:tc>
        <w:tc>
          <w:tcPr>
            <w:tcW w:w="220" w:type="dxa"/>
            <w:vAlign w:val="bottom"/>
            <w:tcBorders>
              <w:bottom w:val="single" w:sz="8" w:color="auto"/>
            </w:tcBorders>
          </w:tcPr>
          <w:p>
            <w:pPr>
              <w:spacing w:after="0"/>
              <w:rPr>
                <w:sz w:val="14"/>
                <w:szCs w:val="14"/>
                <w:color w:val="auto"/>
              </w:rPr>
            </w:pPr>
          </w:p>
        </w:tc>
        <w:tc>
          <w:tcPr>
            <w:tcW w:w="700" w:type="dxa"/>
            <w:vAlign w:val="bottom"/>
            <w:tcBorders>
              <w:bottom w:val="single" w:sz="8" w:color="auto"/>
            </w:tcBorders>
          </w:tcPr>
          <w:p>
            <w:pPr>
              <w:spacing w:after="0"/>
              <w:rPr>
                <w:sz w:val="14"/>
                <w:szCs w:val="14"/>
                <w:color w:val="auto"/>
              </w:rPr>
            </w:pPr>
          </w:p>
        </w:tc>
        <w:tc>
          <w:tcPr>
            <w:tcW w:w="1220" w:type="dxa"/>
            <w:vAlign w:val="bottom"/>
            <w:tcBorders>
              <w:bottom w:val="single" w:sz="8" w:color="auto"/>
            </w:tcBorders>
            <w:gridSpan w:val="3"/>
          </w:tcPr>
          <w:p>
            <w:pPr>
              <w:jc w:val="right"/>
              <w:ind w:right="876"/>
              <w:spacing w:after="0"/>
              <w:rPr>
                <w:sz w:val="20"/>
                <w:szCs w:val="20"/>
                <w:color w:val="auto"/>
              </w:rPr>
            </w:pPr>
            <w:r>
              <w:rPr>
                <w:rFonts w:ascii="Times New Roman" w:cs="Times New Roman" w:eastAsia="Times New Roman" w:hAnsi="Times New Roman"/>
                <w:sz w:val="13"/>
                <w:szCs w:val="13"/>
                <w:b w:val="1"/>
                <w:bCs w:val="1"/>
                <w:color w:val="auto"/>
                <w:w w:val="99"/>
              </w:rPr>
              <w:t>2024</w:t>
            </w:r>
          </w:p>
        </w:tc>
        <w:tc>
          <w:tcPr>
            <w:tcW w:w="80" w:type="dxa"/>
            <w:vAlign w:val="bottom"/>
            <w:tcBorders>
              <w:bottom w:val="single" w:sz="8" w:color="CCEEFF"/>
            </w:tcBorders>
          </w:tcPr>
          <w:p>
            <w:pPr>
              <w:spacing w:after="0"/>
              <w:rPr>
                <w:sz w:val="14"/>
                <w:szCs w:val="14"/>
                <w:color w:val="auto"/>
              </w:rPr>
            </w:pPr>
          </w:p>
        </w:tc>
        <w:tc>
          <w:tcPr>
            <w:tcW w:w="360" w:type="dxa"/>
            <w:vAlign w:val="bottom"/>
            <w:tcBorders>
              <w:bottom w:val="single" w:sz="8" w:color="auto"/>
            </w:tcBorders>
          </w:tcPr>
          <w:p>
            <w:pPr>
              <w:spacing w:after="0"/>
              <w:rPr>
                <w:sz w:val="14"/>
                <w:szCs w:val="14"/>
                <w:color w:val="auto"/>
              </w:rPr>
            </w:pPr>
          </w:p>
        </w:tc>
        <w:tc>
          <w:tcPr>
            <w:tcW w:w="1120" w:type="dxa"/>
            <w:vAlign w:val="bottom"/>
            <w:tcBorders>
              <w:bottom w:val="single" w:sz="8" w:color="auto"/>
            </w:tcBorders>
            <w:gridSpan w:val="3"/>
          </w:tcPr>
          <w:p>
            <w:pPr>
              <w:jc w:val="right"/>
              <w:ind w:right="280"/>
              <w:spacing w:after="0"/>
              <w:rPr>
                <w:sz w:val="20"/>
                <w:szCs w:val="20"/>
                <w:color w:val="auto"/>
              </w:rPr>
            </w:pPr>
            <w:r>
              <w:rPr>
                <w:rFonts w:ascii="Times New Roman" w:cs="Times New Roman" w:eastAsia="Times New Roman" w:hAnsi="Times New Roman"/>
                <w:sz w:val="13"/>
                <w:szCs w:val="13"/>
                <w:b w:val="1"/>
                <w:bCs w:val="1"/>
                <w:color w:val="auto"/>
              </w:rPr>
              <w:t>2023</w:t>
            </w:r>
          </w:p>
        </w:tc>
        <w:tc>
          <w:tcPr>
            <w:tcW w:w="660" w:type="dxa"/>
            <w:vAlign w:val="bottom"/>
            <w:tcBorders>
              <w:bottom w:val="single" w:sz="8" w:color="auto"/>
            </w:tcBorders>
          </w:tcPr>
          <w:p>
            <w:pPr>
              <w:spacing w:after="0"/>
              <w:rPr>
                <w:sz w:val="14"/>
                <w:szCs w:val="14"/>
                <w:color w:val="auto"/>
              </w:rPr>
            </w:pPr>
          </w:p>
        </w:tc>
      </w:tr>
      <w:tr>
        <w:trPr>
          <w:trHeight w:val="162"/>
        </w:trPr>
        <w:tc>
          <w:tcPr>
            <w:tcW w:w="466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3"/>
                <w:szCs w:val="13"/>
                <w:color w:val="auto"/>
              </w:rPr>
              <w:t>Income tax provision computed at US federal statutory rate</w:t>
            </w:r>
          </w:p>
        </w:tc>
        <w:tc>
          <w:tcPr>
            <w:tcW w:w="360" w:type="dxa"/>
            <w:vAlign w:val="bottom"/>
            <w:shd w:val="clear" w:color="auto" w:fill="CCEEFF"/>
          </w:tcPr>
          <w:p>
            <w:pPr>
              <w:jc w:val="right"/>
              <w:ind w:right="216"/>
              <w:spacing w:after="0"/>
              <w:rPr>
                <w:sz w:val="20"/>
                <w:szCs w:val="20"/>
                <w:color w:val="auto"/>
              </w:rPr>
            </w:pPr>
            <w:r>
              <w:rPr>
                <w:rFonts w:ascii="Times New Roman" w:cs="Times New Roman" w:eastAsia="Times New Roman" w:hAnsi="Times New Roman"/>
                <w:sz w:val="13"/>
                <w:szCs w:val="13"/>
                <w:color w:val="auto"/>
                <w:w w:val="91"/>
              </w:rPr>
              <w:t>$</w:t>
            </w:r>
          </w:p>
        </w:tc>
        <w:tc>
          <w:tcPr>
            <w:tcW w:w="6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2,028</w:t>
            </w:r>
          </w:p>
        </w:tc>
        <w:tc>
          <w:tcPr>
            <w:tcW w:w="100" w:type="dxa"/>
            <w:vAlign w:val="bottom"/>
            <w:shd w:val="clear" w:color="auto" w:fill="CCEEFF"/>
          </w:tcPr>
          <w:p>
            <w:pPr>
              <w:spacing w:after="0"/>
              <w:rPr>
                <w:sz w:val="14"/>
                <w:szCs w:val="14"/>
                <w:color w:val="auto"/>
              </w:rPr>
            </w:pPr>
          </w:p>
        </w:tc>
        <w:tc>
          <w:tcPr>
            <w:tcW w:w="400" w:type="dxa"/>
            <w:vAlign w:val="bottom"/>
            <w:shd w:val="clear" w:color="auto" w:fill="CCEEFF"/>
          </w:tcPr>
          <w:p>
            <w:pPr>
              <w:spacing w:after="0"/>
              <w:rPr>
                <w:sz w:val="14"/>
                <w:szCs w:val="14"/>
                <w:color w:val="auto"/>
              </w:rPr>
            </w:pPr>
          </w:p>
        </w:tc>
        <w:tc>
          <w:tcPr>
            <w:tcW w:w="6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21.0 %</w:t>
            </w:r>
          </w:p>
        </w:tc>
        <w:tc>
          <w:tcPr>
            <w:tcW w:w="100" w:type="dxa"/>
            <w:vAlign w:val="bottom"/>
            <w:shd w:val="clear" w:color="auto" w:fill="CCEEFF"/>
          </w:tcPr>
          <w:p>
            <w:pPr>
              <w:spacing w:after="0"/>
              <w:rPr>
                <w:sz w:val="14"/>
                <w:szCs w:val="14"/>
                <w:color w:val="auto"/>
              </w:rPr>
            </w:pPr>
          </w:p>
        </w:tc>
        <w:tc>
          <w:tcPr>
            <w:tcW w:w="220" w:type="dxa"/>
            <w:vAlign w:val="bottom"/>
            <w:shd w:val="clear" w:color="auto" w:fill="CCEEFF"/>
          </w:tcPr>
          <w:p>
            <w:pPr>
              <w:jc w:val="right"/>
              <w:ind w:right="76"/>
              <w:spacing w:after="0"/>
              <w:rPr>
                <w:sz w:val="20"/>
                <w:szCs w:val="20"/>
                <w:color w:val="auto"/>
              </w:rPr>
            </w:pPr>
            <w:r>
              <w:rPr>
                <w:rFonts w:ascii="Times New Roman" w:cs="Times New Roman" w:eastAsia="Times New Roman" w:hAnsi="Times New Roman"/>
                <w:sz w:val="13"/>
                <w:szCs w:val="13"/>
                <w:color w:val="auto"/>
                <w:w w:val="91"/>
              </w:rPr>
              <w:t>$</w:t>
            </w:r>
          </w:p>
        </w:tc>
        <w:tc>
          <w:tcPr>
            <w:tcW w:w="7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844</w:t>
            </w:r>
          </w:p>
        </w:tc>
        <w:tc>
          <w:tcPr>
            <w:tcW w:w="1220" w:type="dxa"/>
            <w:vAlign w:val="bottom"/>
            <w:gridSpan w:val="3"/>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21.0 %</w:t>
            </w:r>
          </w:p>
        </w:tc>
        <w:tc>
          <w:tcPr>
            <w:tcW w:w="80" w:type="dxa"/>
            <w:vAlign w:val="bottom"/>
            <w:shd w:val="clear" w:color="auto" w:fill="CCEEFF"/>
          </w:tcPr>
          <w:p>
            <w:pPr>
              <w:spacing w:after="0"/>
              <w:rPr>
                <w:sz w:val="14"/>
                <w:szCs w:val="14"/>
                <w:color w:val="auto"/>
              </w:rPr>
            </w:pPr>
          </w:p>
        </w:tc>
        <w:tc>
          <w:tcPr>
            <w:tcW w:w="360" w:type="dxa"/>
            <w:vAlign w:val="bottom"/>
            <w:shd w:val="clear" w:color="auto" w:fill="CCEEFF"/>
          </w:tcPr>
          <w:p>
            <w:pPr>
              <w:jc w:val="right"/>
              <w:ind w:right="216"/>
              <w:spacing w:after="0"/>
              <w:rPr>
                <w:sz w:val="20"/>
                <w:szCs w:val="20"/>
                <w:color w:val="auto"/>
              </w:rPr>
            </w:pPr>
            <w:r>
              <w:rPr>
                <w:rFonts w:ascii="Times New Roman" w:cs="Times New Roman" w:eastAsia="Times New Roman" w:hAnsi="Times New Roman"/>
                <w:sz w:val="13"/>
                <w:szCs w:val="13"/>
                <w:color w:val="auto"/>
                <w:w w:val="91"/>
              </w:rPr>
              <w:t>$</w:t>
            </w:r>
          </w:p>
        </w:tc>
        <w:tc>
          <w:tcPr>
            <w:tcW w:w="6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2,603</w:t>
            </w:r>
          </w:p>
        </w:tc>
        <w:tc>
          <w:tcPr>
            <w:tcW w:w="80" w:type="dxa"/>
            <w:vAlign w:val="bottom"/>
            <w:shd w:val="clear" w:color="auto" w:fill="CCEEFF"/>
          </w:tcPr>
          <w:p>
            <w:pPr>
              <w:spacing w:after="0"/>
              <w:rPr>
                <w:sz w:val="14"/>
                <w:szCs w:val="14"/>
                <w:color w:val="auto"/>
              </w:rPr>
            </w:pPr>
          </w:p>
        </w:tc>
        <w:tc>
          <w:tcPr>
            <w:tcW w:w="420" w:type="dxa"/>
            <w:vAlign w:val="bottom"/>
            <w:shd w:val="clear" w:color="auto" w:fill="CCEEFF"/>
          </w:tcPr>
          <w:p>
            <w:pPr>
              <w:spacing w:after="0"/>
              <w:rPr>
                <w:sz w:val="14"/>
                <w:szCs w:val="14"/>
                <w:color w:val="auto"/>
              </w:rPr>
            </w:pPr>
          </w:p>
        </w:tc>
        <w:tc>
          <w:tcPr>
            <w:tcW w:w="6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21.0 %</w:t>
            </w:r>
          </w:p>
        </w:tc>
      </w:tr>
      <w:tr>
        <w:trPr>
          <w:trHeight w:val="170"/>
        </w:trPr>
        <w:tc>
          <w:tcPr>
            <w:tcW w:w="4660" w:type="dxa"/>
            <w:vAlign w:val="bottom"/>
          </w:tcPr>
          <w:p>
            <w:pPr>
              <w:ind w:left="20"/>
              <w:spacing w:after="0" w:line="170" w:lineRule="exact"/>
              <w:rPr>
                <w:sz w:val="20"/>
                <w:szCs w:val="20"/>
                <w:color w:val="auto"/>
              </w:rPr>
            </w:pPr>
            <w:r>
              <w:rPr>
                <w:rFonts w:ascii="Times New Roman" w:cs="Times New Roman" w:eastAsia="Times New Roman" w:hAnsi="Times New Roman"/>
                <w:sz w:val="13"/>
                <w:szCs w:val="13"/>
                <w:color w:val="auto"/>
              </w:rPr>
              <w:t>State and local income taxes, net of federal income taxes</w:t>
            </w:r>
            <w:r>
              <w:rPr>
                <w:rFonts w:ascii="Times New Roman" w:cs="Times New Roman" w:eastAsia="Times New Roman" w:hAnsi="Times New Roman"/>
                <w:sz w:val="16"/>
                <w:szCs w:val="16"/>
                <w:color w:val="auto"/>
                <w:vertAlign w:val="superscript"/>
              </w:rPr>
              <w:t>(1)</w:t>
            </w:r>
          </w:p>
        </w:tc>
        <w:tc>
          <w:tcPr>
            <w:tcW w:w="360" w:type="dxa"/>
            <w:vAlign w:val="bottom"/>
          </w:tcPr>
          <w:p>
            <w:pPr>
              <w:spacing w:after="0"/>
              <w:rPr>
                <w:sz w:val="14"/>
                <w:szCs w:val="14"/>
                <w:color w:val="auto"/>
              </w:rPr>
            </w:pPr>
          </w:p>
        </w:tc>
        <w:tc>
          <w:tcPr>
            <w:tcW w:w="60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504</w:t>
            </w:r>
          </w:p>
        </w:tc>
        <w:tc>
          <w:tcPr>
            <w:tcW w:w="100" w:type="dxa"/>
            <w:vAlign w:val="bottom"/>
          </w:tcPr>
          <w:p>
            <w:pPr>
              <w:spacing w:after="0"/>
              <w:rPr>
                <w:sz w:val="14"/>
                <w:szCs w:val="14"/>
                <w:color w:val="auto"/>
              </w:rPr>
            </w:pPr>
          </w:p>
        </w:tc>
        <w:tc>
          <w:tcPr>
            <w:tcW w:w="400" w:type="dxa"/>
            <w:vAlign w:val="bottom"/>
          </w:tcPr>
          <w:p>
            <w:pPr>
              <w:spacing w:after="0"/>
              <w:rPr>
                <w:sz w:val="14"/>
                <w:szCs w:val="14"/>
                <w:color w:val="auto"/>
              </w:rPr>
            </w:pPr>
          </w:p>
        </w:tc>
        <w:tc>
          <w:tcPr>
            <w:tcW w:w="660" w:type="dxa"/>
            <w:vAlign w:val="bottom"/>
          </w:tcPr>
          <w:p>
            <w:pPr>
              <w:jc w:val="right"/>
              <w:ind w:right="96"/>
              <w:spacing w:after="0"/>
              <w:rPr>
                <w:sz w:val="20"/>
                <w:szCs w:val="20"/>
                <w:color w:val="auto"/>
              </w:rPr>
            </w:pPr>
            <w:r>
              <w:rPr>
                <w:rFonts w:ascii="Times New Roman" w:cs="Times New Roman" w:eastAsia="Times New Roman" w:hAnsi="Times New Roman"/>
                <w:sz w:val="13"/>
                <w:szCs w:val="13"/>
                <w:color w:val="auto"/>
              </w:rPr>
              <w:t>5.2</w:t>
            </w:r>
          </w:p>
        </w:tc>
        <w:tc>
          <w:tcPr>
            <w:tcW w:w="10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70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359</w:t>
            </w:r>
          </w:p>
        </w:tc>
        <w:tc>
          <w:tcPr>
            <w:tcW w:w="1220" w:type="dxa"/>
            <w:vAlign w:val="bottom"/>
            <w:gridSpan w:val="3"/>
          </w:tcPr>
          <w:p>
            <w:pPr>
              <w:jc w:val="right"/>
              <w:ind w:right="96"/>
              <w:spacing w:after="0"/>
              <w:rPr>
                <w:sz w:val="20"/>
                <w:szCs w:val="20"/>
                <w:color w:val="auto"/>
              </w:rPr>
            </w:pPr>
            <w:r>
              <w:rPr>
                <w:rFonts w:ascii="Times New Roman" w:cs="Times New Roman" w:eastAsia="Times New Roman" w:hAnsi="Times New Roman"/>
                <w:sz w:val="13"/>
                <w:szCs w:val="13"/>
                <w:color w:val="auto"/>
              </w:rPr>
              <w:t>8.9</w:t>
            </w:r>
          </w:p>
        </w:tc>
        <w:tc>
          <w:tcPr>
            <w:tcW w:w="80" w:type="dxa"/>
            <w:vAlign w:val="bottom"/>
          </w:tcPr>
          <w:p>
            <w:pPr>
              <w:spacing w:after="0"/>
              <w:rPr>
                <w:sz w:val="14"/>
                <w:szCs w:val="14"/>
                <w:color w:val="auto"/>
              </w:rPr>
            </w:pPr>
          </w:p>
        </w:tc>
        <w:tc>
          <w:tcPr>
            <w:tcW w:w="360" w:type="dxa"/>
            <w:vAlign w:val="bottom"/>
          </w:tcPr>
          <w:p>
            <w:pPr>
              <w:spacing w:after="0"/>
              <w:rPr>
                <w:sz w:val="14"/>
                <w:szCs w:val="14"/>
                <w:color w:val="auto"/>
              </w:rPr>
            </w:pPr>
          </w:p>
        </w:tc>
        <w:tc>
          <w:tcPr>
            <w:tcW w:w="62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349</w:t>
            </w:r>
          </w:p>
        </w:tc>
        <w:tc>
          <w:tcPr>
            <w:tcW w:w="80" w:type="dxa"/>
            <w:vAlign w:val="bottom"/>
          </w:tcPr>
          <w:p>
            <w:pPr>
              <w:spacing w:after="0"/>
              <w:rPr>
                <w:sz w:val="14"/>
                <w:szCs w:val="14"/>
                <w:color w:val="auto"/>
              </w:rPr>
            </w:pPr>
          </w:p>
        </w:tc>
        <w:tc>
          <w:tcPr>
            <w:tcW w:w="420" w:type="dxa"/>
            <w:vAlign w:val="bottom"/>
          </w:tcPr>
          <w:p>
            <w:pPr>
              <w:spacing w:after="0"/>
              <w:rPr>
                <w:sz w:val="14"/>
                <w:szCs w:val="14"/>
                <w:color w:val="auto"/>
              </w:rPr>
            </w:pPr>
          </w:p>
        </w:tc>
        <w:tc>
          <w:tcPr>
            <w:tcW w:w="660" w:type="dxa"/>
            <w:vAlign w:val="bottom"/>
          </w:tcPr>
          <w:p>
            <w:pPr>
              <w:jc w:val="right"/>
              <w:ind w:right="96"/>
              <w:spacing w:after="0"/>
              <w:rPr>
                <w:sz w:val="20"/>
                <w:szCs w:val="20"/>
                <w:color w:val="auto"/>
              </w:rPr>
            </w:pPr>
            <w:r>
              <w:rPr>
                <w:rFonts w:ascii="Times New Roman" w:cs="Times New Roman" w:eastAsia="Times New Roman" w:hAnsi="Times New Roman"/>
                <w:sz w:val="13"/>
                <w:szCs w:val="13"/>
                <w:color w:val="auto"/>
              </w:rPr>
              <w:t>2.8</w:t>
            </w:r>
          </w:p>
        </w:tc>
      </w:tr>
      <w:tr>
        <w:trPr>
          <w:trHeight w:val="170"/>
        </w:trPr>
        <w:tc>
          <w:tcPr>
            <w:tcW w:w="466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3"/>
                <w:szCs w:val="13"/>
                <w:color w:val="auto"/>
              </w:rPr>
              <w:t>Non-taxable or non-deductible items:</w:t>
            </w:r>
          </w:p>
        </w:tc>
        <w:tc>
          <w:tcPr>
            <w:tcW w:w="360" w:type="dxa"/>
            <w:vAlign w:val="bottom"/>
            <w:shd w:val="clear" w:color="auto" w:fill="CCEEFF"/>
          </w:tcPr>
          <w:p>
            <w:pPr>
              <w:spacing w:after="0"/>
              <w:rPr>
                <w:sz w:val="14"/>
                <w:szCs w:val="14"/>
                <w:color w:val="auto"/>
              </w:rPr>
            </w:pPr>
          </w:p>
        </w:tc>
        <w:tc>
          <w:tcPr>
            <w:tcW w:w="60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400" w:type="dxa"/>
            <w:vAlign w:val="bottom"/>
            <w:shd w:val="clear" w:color="auto" w:fill="CCEEFF"/>
          </w:tcPr>
          <w:p>
            <w:pPr>
              <w:spacing w:after="0"/>
              <w:rPr>
                <w:sz w:val="14"/>
                <w:szCs w:val="14"/>
                <w:color w:val="auto"/>
              </w:rPr>
            </w:pPr>
          </w:p>
        </w:tc>
        <w:tc>
          <w:tcPr>
            <w:tcW w:w="66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220" w:type="dxa"/>
            <w:vAlign w:val="bottom"/>
            <w:shd w:val="clear" w:color="auto" w:fill="CCEEFF"/>
          </w:tcPr>
          <w:p>
            <w:pPr>
              <w:spacing w:after="0"/>
              <w:rPr>
                <w:sz w:val="14"/>
                <w:szCs w:val="14"/>
                <w:color w:val="auto"/>
              </w:rPr>
            </w:pPr>
          </w:p>
        </w:tc>
        <w:tc>
          <w:tcPr>
            <w:tcW w:w="700" w:type="dxa"/>
            <w:vAlign w:val="bottom"/>
            <w:shd w:val="clear" w:color="auto" w:fill="CCEEFF"/>
          </w:tcPr>
          <w:p>
            <w:pPr>
              <w:spacing w:after="0"/>
              <w:rPr>
                <w:sz w:val="14"/>
                <w:szCs w:val="14"/>
                <w:color w:val="auto"/>
              </w:rPr>
            </w:pPr>
          </w:p>
        </w:tc>
        <w:tc>
          <w:tcPr>
            <w:tcW w:w="4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1080" w:type="dxa"/>
            <w:vAlign w:val="bottom"/>
            <w:shd w:val="clear" w:color="auto" w:fill="CCEEFF"/>
          </w:tcPr>
          <w:p>
            <w:pPr>
              <w:spacing w:after="0"/>
              <w:rPr>
                <w:sz w:val="14"/>
                <w:szCs w:val="14"/>
                <w:color w:val="auto"/>
              </w:rPr>
            </w:pPr>
          </w:p>
        </w:tc>
        <w:tc>
          <w:tcPr>
            <w:tcW w:w="80" w:type="dxa"/>
            <w:vAlign w:val="bottom"/>
            <w:shd w:val="clear" w:color="auto" w:fill="CCEEFF"/>
          </w:tcPr>
          <w:p>
            <w:pPr>
              <w:spacing w:after="0"/>
              <w:rPr>
                <w:sz w:val="14"/>
                <w:szCs w:val="14"/>
                <w:color w:val="auto"/>
              </w:rPr>
            </w:pPr>
          </w:p>
        </w:tc>
        <w:tc>
          <w:tcPr>
            <w:tcW w:w="360" w:type="dxa"/>
            <w:vAlign w:val="bottom"/>
            <w:shd w:val="clear" w:color="auto" w:fill="CCEEFF"/>
          </w:tcPr>
          <w:p>
            <w:pPr>
              <w:spacing w:after="0"/>
              <w:rPr>
                <w:sz w:val="14"/>
                <w:szCs w:val="14"/>
                <w:color w:val="auto"/>
              </w:rPr>
            </w:pPr>
          </w:p>
        </w:tc>
        <w:tc>
          <w:tcPr>
            <w:tcW w:w="620" w:type="dxa"/>
            <w:vAlign w:val="bottom"/>
            <w:shd w:val="clear" w:color="auto" w:fill="CCEEFF"/>
          </w:tcPr>
          <w:p>
            <w:pPr>
              <w:spacing w:after="0"/>
              <w:rPr>
                <w:sz w:val="14"/>
                <w:szCs w:val="14"/>
                <w:color w:val="auto"/>
              </w:rPr>
            </w:pPr>
          </w:p>
        </w:tc>
        <w:tc>
          <w:tcPr>
            <w:tcW w:w="80" w:type="dxa"/>
            <w:vAlign w:val="bottom"/>
            <w:shd w:val="clear" w:color="auto" w:fill="CCEEFF"/>
          </w:tcPr>
          <w:p>
            <w:pPr>
              <w:spacing w:after="0"/>
              <w:rPr>
                <w:sz w:val="14"/>
                <w:szCs w:val="14"/>
                <w:color w:val="auto"/>
              </w:rPr>
            </w:pPr>
          </w:p>
        </w:tc>
        <w:tc>
          <w:tcPr>
            <w:tcW w:w="420" w:type="dxa"/>
            <w:vAlign w:val="bottom"/>
            <w:shd w:val="clear" w:color="auto" w:fill="CCEEFF"/>
          </w:tcPr>
          <w:p>
            <w:pPr>
              <w:spacing w:after="0"/>
              <w:rPr>
                <w:sz w:val="14"/>
                <w:szCs w:val="14"/>
                <w:color w:val="auto"/>
              </w:rPr>
            </w:pPr>
          </w:p>
        </w:tc>
        <w:tc>
          <w:tcPr>
            <w:tcW w:w="660" w:type="dxa"/>
            <w:vAlign w:val="bottom"/>
            <w:shd w:val="clear" w:color="auto" w:fill="CCEEFF"/>
          </w:tcPr>
          <w:p>
            <w:pPr>
              <w:spacing w:after="0"/>
              <w:rPr>
                <w:sz w:val="14"/>
                <w:szCs w:val="14"/>
                <w:color w:val="auto"/>
              </w:rPr>
            </w:pPr>
          </w:p>
        </w:tc>
      </w:tr>
      <w:tr>
        <w:trPr>
          <w:trHeight w:val="168"/>
        </w:trPr>
        <w:tc>
          <w:tcPr>
            <w:tcW w:w="4660" w:type="dxa"/>
            <w:vAlign w:val="bottom"/>
          </w:tcPr>
          <w:p>
            <w:pPr>
              <w:ind w:left="100"/>
              <w:spacing w:after="0"/>
              <w:rPr>
                <w:sz w:val="20"/>
                <w:szCs w:val="20"/>
                <w:color w:val="auto"/>
              </w:rPr>
            </w:pPr>
            <w:r>
              <w:rPr>
                <w:rFonts w:ascii="Times New Roman" w:cs="Times New Roman" w:eastAsia="Times New Roman" w:hAnsi="Times New Roman"/>
                <w:sz w:val="13"/>
                <w:szCs w:val="13"/>
                <w:color w:val="auto"/>
              </w:rPr>
              <w:t>Compensation subject to Section 162(m)</w:t>
            </w:r>
          </w:p>
        </w:tc>
        <w:tc>
          <w:tcPr>
            <w:tcW w:w="360" w:type="dxa"/>
            <w:vAlign w:val="bottom"/>
          </w:tcPr>
          <w:p>
            <w:pPr>
              <w:spacing w:after="0"/>
              <w:rPr>
                <w:sz w:val="14"/>
                <w:szCs w:val="14"/>
                <w:color w:val="auto"/>
              </w:rPr>
            </w:pPr>
          </w:p>
        </w:tc>
        <w:tc>
          <w:tcPr>
            <w:tcW w:w="60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241</w:t>
            </w:r>
          </w:p>
        </w:tc>
        <w:tc>
          <w:tcPr>
            <w:tcW w:w="100" w:type="dxa"/>
            <w:vAlign w:val="bottom"/>
          </w:tcPr>
          <w:p>
            <w:pPr>
              <w:spacing w:after="0"/>
              <w:rPr>
                <w:sz w:val="14"/>
                <w:szCs w:val="14"/>
                <w:color w:val="auto"/>
              </w:rPr>
            </w:pPr>
          </w:p>
        </w:tc>
        <w:tc>
          <w:tcPr>
            <w:tcW w:w="400" w:type="dxa"/>
            <w:vAlign w:val="bottom"/>
          </w:tcPr>
          <w:p>
            <w:pPr>
              <w:spacing w:after="0"/>
              <w:rPr>
                <w:sz w:val="14"/>
                <w:szCs w:val="14"/>
                <w:color w:val="auto"/>
              </w:rPr>
            </w:pPr>
          </w:p>
        </w:tc>
        <w:tc>
          <w:tcPr>
            <w:tcW w:w="660" w:type="dxa"/>
            <w:vAlign w:val="bottom"/>
          </w:tcPr>
          <w:p>
            <w:pPr>
              <w:jc w:val="right"/>
              <w:ind w:right="96"/>
              <w:spacing w:after="0"/>
              <w:rPr>
                <w:sz w:val="20"/>
                <w:szCs w:val="20"/>
                <w:color w:val="auto"/>
              </w:rPr>
            </w:pPr>
            <w:r>
              <w:rPr>
                <w:rFonts w:ascii="Times New Roman" w:cs="Times New Roman" w:eastAsia="Times New Roman" w:hAnsi="Times New Roman"/>
                <w:sz w:val="13"/>
                <w:szCs w:val="13"/>
                <w:color w:val="auto"/>
              </w:rPr>
              <w:t>2.5</w:t>
            </w:r>
          </w:p>
        </w:tc>
        <w:tc>
          <w:tcPr>
            <w:tcW w:w="10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70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185</w:t>
            </w:r>
          </w:p>
        </w:tc>
        <w:tc>
          <w:tcPr>
            <w:tcW w:w="1220" w:type="dxa"/>
            <w:vAlign w:val="bottom"/>
            <w:gridSpan w:val="3"/>
          </w:tcPr>
          <w:p>
            <w:pPr>
              <w:jc w:val="right"/>
              <w:ind w:right="96"/>
              <w:spacing w:after="0"/>
              <w:rPr>
                <w:sz w:val="20"/>
                <w:szCs w:val="20"/>
                <w:color w:val="auto"/>
              </w:rPr>
            </w:pPr>
            <w:r>
              <w:rPr>
                <w:rFonts w:ascii="Times New Roman" w:cs="Times New Roman" w:eastAsia="Times New Roman" w:hAnsi="Times New Roman"/>
                <w:sz w:val="13"/>
                <w:szCs w:val="13"/>
                <w:color w:val="auto"/>
              </w:rPr>
              <w:t>4.6</w:t>
            </w:r>
          </w:p>
        </w:tc>
        <w:tc>
          <w:tcPr>
            <w:tcW w:w="80" w:type="dxa"/>
            <w:vAlign w:val="bottom"/>
          </w:tcPr>
          <w:p>
            <w:pPr>
              <w:spacing w:after="0"/>
              <w:rPr>
                <w:sz w:val="14"/>
                <w:szCs w:val="14"/>
                <w:color w:val="auto"/>
              </w:rPr>
            </w:pPr>
          </w:p>
        </w:tc>
        <w:tc>
          <w:tcPr>
            <w:tcW w:w="360" w:type="dxa"/>
            <w:vAlign w:val="bottom"/>
          </w:tcPr>
          <w:p>
            <w:pPr>
              <w:spacing w:after="0"/>
              <w:rPr>
                <w:sz w:val="14"/>
                <w:szCs w:val="14"/>
                <w:color w:val="auto"/>
              </w:rPr>
            </w:pPr>
          </w:p>
        </w:tc>
        <w:tc>
          <w:tcPr>
            <w:tcW w:w="1120" w:type="dxa"/>
            <w:vAlign w:val="bottom"/>
            <w:gridSpan w:val="3"/>
          </w:tcPr>
          <w:p>
            <w:pPr>
              <w:jc w:val="right"/>
              <w:ind w:right="560"/>
              <w:spacing w:after="0"/>
              <w:rPr>
                <w:sz w:val="20"/>
                <w:szCs w:val="20"/>
                <w:color w:val="auto"/>
              </w:rPr>
            </w:pPr>
            <w:r>
              <w:rPr>
                <w:rFonts w:ascii="Times New Roman" w:cs="Times New Roman" w:eastAsia="Times New Roman" w:hAnsi="Times New Roman"/>
                <w:sz w:val="13"/>
                <w:szCs w:val="13"/>
                <w:color w:val="auto"/>
              </w:rPr>
              <w:t>—</w:t>
            </w:r>
          </w:p>
        </w:tc>
        <w:tc>
          <w:tcPr>
            <w:tcW w:w="660" w:type="dxa"/>
            <w:vAlign w:val="bottom"/>
          </w:tcPr>
          <w:p>
            <w:pPr>
              <w:jc w:val="right"/>
              <w:ind w:right="96"/>
              <w:spacing w:after="0"/>
              <w:rPr>
                <w:sz w:val="20"/>
                <w:szCs w:val="20"/>
                <w:color w:val="auto"/>
              </w:rPr>
            </w:pPr>
            <w:r>
              <w:rPr>
                <w:rFonts w:ascii="Times New Roman" w:cs="Times New Roman" w:eastAsia="Times New Roman" w:hAnsi="Times New Roman"/>
                <w:sz w:val="13"/>
                <w:szCs w:val="13"/>
                <w:color w:val="auto"/>
              </w:rPr>
              <w:t>—</w:t>
            </w:r>
          </w:p>
        </w:tc>
      </w:tr>
      <w:tr>
        <w:trPr>
          <w:trHeight w:val="172"/>
        </w:trPr>
        <w:tc>
          <w:tcPr>
            <w:tcW w:w="4660" w:type="dxa"/>
            <w:vAlign w:val="bottom"/>
            <w:shd w:val="clear" w:color="auto" w:fill="CCEEFF"/>
          </w:tcPr>
          <w:p>
            <w:pPr>
              <w:ind w:left="100"/>
              <w:spacing w:after="0"/>
              <w:rPr>
                <w:sz w:val="20"/>
                <w:szCs w:val="20"/>
                <w:color w:val="auto"/>
              </w:rPr>
            </w:pPr>
            <w:r>
              <w:rPr>
                <w:rFonts w:ascii="Times New Roman" w:cs="Times New Roman" w:eastAsia="Times New Roman" w:hAnsi="Times New Roman"/>
                <w:sz w:val="13"/>
                <w:szCs w:val="13"/>
                <w:color w:val="auto"/>
              </w:rPr>
              <w:t>Stock-based compensation</w:t>
            </w:r>
          </w:p>
        </w:tc>
        <w:tc>
          <w:tcPr>
            <w:tcW w:w="360" w:type="dxa"/>
            <w:vAlign w:val="bottom"/>
            <w:shd w:val="clear" w:color="auto" w:fill="CCEEFF"/>
          </w:tcPr>
          <w:p>
            <w:pPr>
              <w:spacing w:after="0"/>
              <w:rPr>
                <w:sz w:val="14"/>
                <w:szCs w:val="14"/>
                <w:color w:val="auto"/>
              </w:rPr>
            </w:pPr>
          </w:p>
        </w:tc>
        <w:tc>
          <w:tcPr>
            <w:tcW w:w="6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(268)</w:t>
            </w:r>
          </w:p>
        </w:tc>
        <w:tc>
          <w:tcPr>
            <w:tcW w:w="100" w:type="dxa"/>
            <w:vAlign w:val="bottom"/>
            <w:shd w:val="clear" w:color="auto" w:fill="CCEEFF"/>
          </w:tcPr>
          <w:p>
            <w:pPr>
              <w:spacing w:after="0"/>
              <w:rPr>
                <w:sz w:val="14"/>
                <w:szCs w:val="14"/>
                <w:color w:val="auto"/>
              </w:rPr>
            </w:pPr>
          </w:p>
        </w:tc>
        <w:tc>
          <w:tcPr>
            <w:tcW w:w="400" w:type="dxa"/>
            <w:vAlign w:val="bottom"/>
            <w:shd w:val="clear" w:color="auto" w:fill="CCEEFF"/>
          </w:tcPr>
          <w:p>
            <w:pPr>
              <w:spacing w:after="0"/>
              <w:rPr>
                <w:sz w:val="14"/>
                <w:szCs w:val="14"/>
                <w:color w:val="auto"/>
              </w:rPr>
            </w:pPr>
          </w:p>
        </w:tc>
        <w:tc>
          <w:tcPr>
            <w:tcW w:w="660" w:type="dxa"/>
            <w:vAlign w:val="bottom"/>
            <w:shd w:val="clear" w:color="auto" w:fill="CCEEFF"/>
          </w:tcPr>
          <w:p>
            <w:pPr>
              <w:jc w:val="right"/>
              <w:ind w:right="56"/>
              <w:spacing w:after="0"/>
              <w:rPr>
                <w:sz w:val="20"/>
                <w:szCs w:val="20"/>
                <w:color w:val="auto"/>
              </w:rPr>
            </w:pPr>
            <w:r>
              <w:rPr>
                <w:rFonts w:ascii="Times New Roman" w:cs="Times New Roman" w:eastAsia="Times New Roman" w:hAnsi="Times New Roman"/>
                <w:sz w:val="13"/>
                <w:szCs w:val="13"/>
                <w:color w:val="auto"/>
              </w:rPr>
              <w:t>(2.8)</w:t>
            </w:r>
          </w:p>
        </w:tc>
        <w:tc>
          <w:tcPr>
            <w:tcW w:w="100" w:type="dxa"/>
            <w:vAlign w:val="bottom"/>
            <w:shd w:val="clear" w:color="auto" w:fill="CCEEFF"/>
          </w:tcPr>
          <w:p>
            <w:pPr>
              <w:spacing w:after="0"/>
              <w:rPr>
                <w:sz w:val="14"/>
                <w:szCs w:val="14"/>
                <w:color w:val="auto"/>
              </w:rPr>
            </w:pPr>
          </w:p>
        </w:tc>
        <w:tc>
          <w:tcPr>
            <w:tcW w:w="220" w:type="dxa"/>
            <w:vAlign w:val="bottom"/>
            <w:shd w:val="clear" w:color="auto" w:fill="CCEEFF"/>
          </w:tcPr>
          <w:p>
            <w:pPr>
              <w:spacing w:after="0"/>
              <w:rPr>
                <w:sz w:val="14"/>
                <w:szCs w:val="14"/>
                <w:color w:val="auto"/>
              </w:rPr>
            </w:pPr>
          </w:p>
        </w:tc>
        <w:tc>
          <w:tcPr>
            <w:tcW w:w="7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158</w:t>
            </w:r>
          </w:p>
        </w:tc>
        <w:tc>
          <w:tcPr>
            <w:tcW w:w="1220" w:type="dxa"/>
            <w:vAlign w:val="bottom"/>
            <w:gridSpan w:val="3"/>
            <w:shd w:val="clear" w:color="auto" w:fill="CCEEFF"/>
          </w:tcPr>
          <w:p>
            <w:pPr>
              <w:jc w:val="right"/>
              <w:ind w:right="96"/>
              <w:spacing w:after="0"/>
              <w:rPr>
                <w:sz w:val="20"/>
                <w:szCs w:val="20"/>
                <w:color w:val="auto"/>
              </w:rPr>
            </w:pPr>
            <w:r>
              <w:rPr>
                <w:rFonts w:ascii="Times New Roman" w:cs="Times New Roman" w:eastAsia="Times New Roman" w:hAnsi="Times New Roman"/>
                <w:sz w:val="13"/>
                <w:szCs w:val="13"/>
                <w:color w:val="auto"/>
              </w:rPr>
              <w:t>3.9</w:t>
            </w:r>
          </w:p>
        </w:tc>
        <w:tc>
          <w:tcPr>
            <w:tcW w:w="80" w:type="dxa"/>
            <w:vAlign w:val="bottom"/>
            <w:shd w:val="clear" w:color="auto" w:fill="CCEEFF"/>
          </w:tcPr>
          <w:p>
            <w:pPr>
              <w:spacing w:after="0"/>
              <w:rPr>
                <w:sz w:val="14"/>
                <w:szCs w:val="14"/>
                <w:color w:val="auto"/>
              </w:rPr>
            </w:pPr>
          </w:p>
        </w:tc>
        <w:tc>
          <w:tcPr>
            <w:tcW w:w="360" w:type="dxa"/>
            <w:vAlign w:val="bottom"/>
            <w:shd w:val="clear" w:color="auto" w:fill="CCEEFF"/>
          </w:tcPr>
          <w:p>
            <w:pPr>
              <w:spacing w:after="0"/>
              <w:rPr>
                <w:sz w:val="14"/>
                <w:szCs w:val="14"/>
                <w:color w:val="auto"/>
              </w:rPr>
            </w:pPr>
          </w:p>
        </w:tc>
        <w:tc>
          <w:tcPr>
            <w:tcW w:w="6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452</w:t>
            </w:r>
          </w:p>
        </w:tc>
        <w:tc>
          <w:tcPr>
            <w:tcW w:w="80" w:type="dxa"/>
            <w:vAlign w:val="bottom"/>
            <w:shd w:val="clear" w:color="auto" w:fill="CCEEFF"/>
          </w:tcPr>
          <w:p>
            <w:pPr>
              <w:spacing w:after="0"/>
              <w:rPr>
                <w:sz w:val="14"/>
                <w:szCs w:val="14"/>
                <w:color w:val="auto"/>
              </w:rPr>
            </w:pPr>
          </w:p>
        </w:tc>
        <w:tc>
          <w:tcPr>
            <w:tcW w:w="420" w:type="dxa"/>
            <w:vAlign w:val="bottom"/>
            <w:shd w:val="clear" w:color="auto" w:fill="CCEEFF"/>
          </w:tcPr>
          <w:p>
            <w:pPr>
              <w:spacing w:after="0"/>
              <w:rPr>
                <w:sz w:val="14"/>
                <w:szCs w:val="14"/>
                <w:color w:val="auto"/>
              </w:rPr>
            </w:pPr>
          </w:p>
        </w:tc>
        <w:tc>
          <w:tcPr>
            <w:tcW w:w="660" w:type="dxa"/>
            <w:vAlign w:val="bottom"/>
            <w:shd w:val="clear" w:color="auto" w:fill="CCEEFF"/>
          </w:tcPr>
          <w:p>
            <w:pPr>
              <w:jc w:val="right"/>
              <w:ind w:right="96"/>
              <w:spacing w:after="0"/>
              <w:rPr>
                <w:sz w:val="20"/>
                <w:szCs w:val="20"/>
                <w:color w:val="auto"/>
              </w:rPr>
            </w:pPr>
            <w:r>
              <w:rPr>
                <w:rFonts w:ascii="Times New Roman" w:cs="Times New Roman" w:eastAsia="Times New Roman" w:hAnsi="Times New Roman"/>
                <w:sz w:val="13"/>
                <w:szCs w:val="13"/>
                <w:color w:val="auto"/>
              </w:rPr>
              <w:t>3.6</w:t>
            </w:r>
          </w:p>
        </w:tc>
      </w:tr>
      <w:tr>
        <w:trPr>
          <w:trHeight w:val="168"/>
        </w:trPr>
        <w:tc>
          <w:tcPr>
            <w:tcW w:w="4660" w:type="dxa"/>
            <w:vAlign w:val="bottom"/>
          </w:tcPr>
          <w:p>
            <w:pPr>
              <w:ind w:left="100"/>
              <w:spacing w:after="0"/>
              <w:rPr>
                <w:sz w:val="20"/>
                <w:szCs w:val="20"/>
                <w:color w:val="auto"/>
              </w:rPr>
            </w:pPr>
            <w:r>
              <w:rPr>
                <w:rFonts w:ascii="Times New Roman" w:cs="Times New Roman" w:eastAsia="Times New Roman" w:hAnsi="Times New Roman"/>
                <w:sz w:val="13"/>
                <w:szCs w:val="13"/>
                <w:color w:val="auto"/>
              </w:rPr>
              <w:t>Key person life insurance</w:t>
            </w:r>
          </w:p>
        </w:tc>
        <w:tc>
          <w:tcPr>
            <w:tcW w:w="360" w:type="dxa"/>
            <w:vAlign w:val="bottom"/>
          </w:tcPr>
          <w:p>
            <w:pPr>
              <w:spacing w:after="0"/>
              <w:rPr>
                <w:sz w:val="14"/>
                <w:szCs w:val="14"/>
                <w:color w:val="auto"/>
              </w:rPr>
            </w:pPr>
          </w:p>
        </w:tc>
        <w:tc>
          <w:tcPr>
            <w:tcW w:w="1100" w:type="dxa"/>
            <w:vAlign w:val="bottom"/>
            <w:gridSpan w:val="3"/>
          </w:tcPr>
          <w:p>
            <w:pPr>
              <w:jc w:val="right"/>
              <w:ind w:right="540"/>
              <w:spacing w:after="0"/>
              <w:rPr>
                <w:sz w:val="20"/>
                <w:szCs w:val="20"/>
                <w:color w:val="auto"/>
              </w:rPr>
            </w:pPr>
            <w:r>
              <w:rPr>
                <w:rFonts w:ascii="Times New Roman" w:cs="Times New Roman" w:eastAsia="Times New Roman" w:hAnsi="Times New Roman"/>
                <w:sz w:val="13"/>
                <w:szCs w:val="13"/>
                <w:color w:val="auto"/>
              </w:rPr>
              <w:t>—</w:t>
            </w:r>
          </w:p>
        </w:tc>
        <w:tc>
          <w:tcPr>
            <w:tcW w:w="760" w:type="dxa"/>
            <w:vAlign w:val="bottom"/>
            <w:gridSpan w:val="2"/>
          </w:tcPr>
          <w:p>
            <w:pPr>
              <w:jc w:val="right"/>
              <w:ind w:right="260"/>
              <w:spacing w:after="0"/>
              <w:rPr>
                <w:sz w:val="20"/>
                <w:szCs w:val="20"/>
                <w:color w:val="auto"/>
              </w:rPr>
            </w:pPr>
            <w:r>
              <w:rPr>
                <w:rFonts w:ascii="Times New Roman" w:cs="Times New Roman" w:eastAsia="Times New Roman" w:hAnsi="Times New Roman"/>
                <w:sz w:val="13"/>
                <w:szCs w:val="13"/>
                <w:color w:val="auto"/>
              </w:rPr>
              <w:t>—</w:t>
            </w:r>
          </w:p>
        </w:tc>
        <w:tc>
          <w:tcPr>
            <w:tcW w:w="220" w:type="dxa"/>
            <w:vAlign w:val="bottom"/>
          </w:tcPr>
          <w:p>
            <w:pPr>
              <w:spacing w:after="0"/>
              <w:rPr>
                <w:sz w:val="14"/>
                <w:szCs w:val="14"/>
                <w:color w:val="auto"/>
              </w:rPr>
            </w:pPr>
          </w:p>
        </w:tc>
        <w:tc>
          <w:tcPr>
            <w:tcW w:w="70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w:t>
            </w:r>
          </w:p>
        </w:tc>
        <w:tc>
          <w:tcPr>
            <w:tcW w:w="4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160" w:type="dxa"/>
            <w:vAlign w:val="bottom"/>
            <w:gridSpan w:val="2"/>
          </w:tcPr>
          <w:p>
            <w:pPr>
              <w:jc w:val="right"/>
              <w:ind w:right="240"/>
              <w:spacing w:after="0"/>
              <w:rPr>
                <w:sz w:val="20"/>
                <w:szCs w:val="20"/>
                <w:color w:val="auto"/>
              </w:rPr>
            </w:pPr>
            <w:r>
              <w:rPr>
                <w:rFonts w:ascii="Times New Roman" w:cs="Times New Roman" w:eastAsia="Times New Roman" w:hAnsi="Times New Roman"/>
                <w:sz w:val="13"/>
                <w:szCs w:val="13"/>
                <w:color w:val="auto"/>
              </w:rPr>
              <w:t>—</w:t>
            </w:r>
          </w:p>
        </w:tc>
        <w:tc>
          <w:tcPr>
            <w:tcW w:w="360" w:type="dxa"/>
            <w:vAlign w:val="bottom"/>
          </w:tcPr>
          <w:p>
            <w:pPr>
              <w:spacing w:after="0"/>
              <w:rPr>
                <w:sz w:val="14"/>
                <w:szCs w:val="14"/>
                <w:color w:val="auto"/>
              </w:rPr>
            </w:pPr>
          </w:p>
        </w:tc>
        <w:tc>
          <w:tcPr>
            <w:tcW w:w="62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(840)</w:t>
            </w:r>
          </w:p>
        </w:tc>
        <w:tc>
          <w:tcPr>
            <w:tcW w:w="80" w:type="dxa"/>
            <w:vAlign w:val="bottom"/>
          </w:tcPr>
          <w:p>
            <w:pPr>
              <w:spacing w:after="0"/>
              <w:rPr>
                <w:sz w:val="14"/>
                <w:szCs w:val="14"/>
                <w:color w:val="auto"/>
              </w:rPr>
            </w:pPr>
          </w:p>
        </w:tc>
        <w:tc>
          <w:tcPr>
            <w:tcW w:w="420" w:type="dxa"/>
            <w:vAlign w:val="bottom"/>
          </w:tcPr>
          <w:p>
            <w:pPr>
              <w:spacing w:after="0"/>
              <w:rPr>
                <w:sz w:val="14"/>
                <w:szCs w:val="14"/>
                <w:color w:val="auto"/>
              </w:rPr>
            </w:pPr>
          </w:p>
        </w:tc>
        <w:tc>
          <w:tcPr>
            <w:tcW w:w="660" w:type="dxa"/>
            <w:vAlign w:val="bottom"/>
          </w:tcPr>
          <w:p>
            <w:pPr>
              <w:jc w:val="right"/>
              <w:ind w:right="56"/>
              <w:spacing w:after="0"/>
              <w:rPr>
                <w:sz w:val="20"/>
                <w:szCs w:val="20"/>
                <w:color w:val="auto"/>
              </w:rPr>
            </w:pPr>
            <w:r>
              <w:rPr>
                <w:rFonts w:ascii="Times New Roman" w:cs="Times New Roman" w:eastAsia="Times New Roman" w:hAnsi="Times New Roman"/>
                <w:sz w:val="13"/>
                <w:szCs w:val="13"/>
                <w:color w:val="auto"/>
              </w:rPr>
              <w:t>(6.8)</w:t>
            </w:r>
          </w:p>
        </w:tc>
      </w:tr>
      <w:tr>
        <w:trPr>
          <w:trHeight w:val="172"/>
        </w:trPr>
        <w:tc>
          <w:tcPr>
            <w:tcW w:w="4660" w:type="dxa"/>
            <w:vAlign w:val="bottom"/>
            <w:shd w:val="clear" w:color="auto" w:fill="CCEEFF"/>
          </w:tcPr>
          <w:p>
            <w:pPr>
              <w:ind w:left="100"/>
              <w:spacing w:after="0"/>
              <w:rPr>
                <w:sz w:val="20"/>
                <w:szCs w:val="20"/>
                <w:color w:val="auto"/>
              </w:rPr>
            </w:pPr>
            <w:r>
              <w:rPr>
                <w:rFonts w:ascii="Times New Roman" w:cs="Times New Roman" w:eastAsia="Times New Roman" w:hAnsi="Times New Roman"/>
                <w:sz w:val="13"/>
                <w:szCs w:val="13"/>
                <w:color w:val="auto"/>
              </w:rPr>
              <w:t>Other</w:t>
            </w:r>
          </w:p>
        </w:tc>
        <w:tc>
          <w:tcPr>
            <w:tcW w:w="360" w:type="dxa"/>
            <w:vAlign w:val="bottom"/>
            <w:shd w:val="clear" w:color="auto" w:fill="CCEEFF"/>
          </w:tcPr>
          <w:p>
            <w:pPr>
              <w:spacing w:after="0"/>
              <w:rPr>
                <w:sz w:val="14"/>
                <w:szCs w:val="14"/>
                <w:color w:val="auto"/>
              </w:rPr>
            </w:pPr>
          </w:p>
        </w:tc>
        <w:tc>
          <w:tcPr>
            <w:tcW w:w="6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100</w:t>
            </w:r>
          </w:p>
        </w:tc>
        <w:tc>
          <w:tcPr>
            <w:tcW w:w="100" w:type="dxa"/>
            <w:vAlign w:val="bottom"/>
            <w:shd w:val="clear" w:color="auto" w:fill="CCEEFF"/>
          </w:tcPr>
          <w:p>
            <w:pPr>
              <w:spacing w:after="0"/>
              <w:rPr>
                <w:sz w:val="14"/>
                <w:szCs w:val="14"/>
                <w:color w:val="auto"/>
              </w:rPr>
            </w:pPr>
          </w:p>
        </w:tc>
        <w:tc>
          <w:tcPr>
            <w:tcW w:w="400" w:type="dxa"/>
            <w:vAlign w:val="bottom"/>
            <w:shd w:val="clear" w:color="auto" w:fill="CCEEFF"/>
          </w:tcPr>
          <w:p>
            <w:pPr>
              <w:spacing w:after="0"/>
              <w:rPr>
                <w:sz w:val="14"/>
                <w:szCs w:val="14"/>
                <w:color w:val="auto"/>
              </w:rPr>
            </w:pPr>
          </w:p>
        </w:tc>
        <w:tc>
          <w:tcPr>
            <w:tcW w:w="660" w:type="dxa"/>
            <w:vAlign w:val="bottom"/>
            <w:shd w:val="clear" w:color="auto" w:fill="CCEEFF"/>
          </w:tcPr>
          <w:p>
            <w:pPr>
              <w:jc w:val="right"/>
              <w:ind w:right="96"/>
              <w:spacing w:after="0"/>
              <w:rPr>
                <w:sz w:val="20"/>
                <w:szCs w:val="20"/>
                <w:color w:val="auto"/>
              </w:rPr>
            </w:pPr>
            <w:r>
              <w:rPr>
                <w:rFonts w:ascii="Times New Roman" w:cs="Times New Roman" w:eastAsia="Times New Roman" w:hAnsi="Times New Roman"/>
                <w:sz w:val="13"/>
                <w:szCs w:val="13"/>
                <w:color w:val="auto"/>
              </w:rPr>
              <w:t>1.1</w:t>
            </w:r>
          </w:p>
        </w:tc>
        <w:tc>
          <w:tcPr>
            <w:tcW w:w="100" w:type="dxa"/>
            <w:vAlign w:val="bottom"/>
            <w:shd w:val="clear" w:color="auto" w:fill="CCEEFF"/>
          </w:tcPr>
          <w:p>
            <w:pPr>
              <w:spacing w:after="0"/>
              <w:rPr>
                <w:sz w:val="14"/>
                <w:szCs w:val="14"/>
                <w:color w:val="auto"/>
              </w:rPr>
            </w:pPr>
          </w:p>
        </w:tc>
        <w:tc>
          <w:tcPr>
            <w:tcW w:w="220" w:type="dxa"/>
            <w:vAlign w:val="bottom"/>
            <w:shd w:val="clear" w:color="auto" w:fill="CCEEFF"/>
          </w:tcPr>
          <w:p>
            <w:pPr>
              <w:spacing w:after="0"/>
              <w:rPr>
                <w:sz w:val="14"/>
                <w:szCs w:val="14"/>
                <w:color w:val="auto"/>
              </w:rPr>
            </w:pPr>
          </w:p>
        </w:tc>
        <w:tc>
          <w:tcPr>
            <w:tcW w:w="7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80</w:t>
            </w:r>
          </w:p>
        </w:tc>
        <w:tc>
          <w:tcPr>
            <w:tcW w:w="1220" w:type="dxa"/>
            <w:vAlign w:val="bottom"/>
            <w:gridSpan w:val="3"/>
            <w:shd w:val="clear" w:color="auto" w:fill="CCEEFF"/>
          </w:tcPr>
          <w:p>
            <w:pPr>
              <w:jc w:val="right"/>
              <w:ind w:right="96"/>
              <w:spacing w:after="0"/>
              <w:rPr>
                <w:sz w:val="20"/>
                <w:szCs w:val="20"/>
                <w:color w:val="auto"/>
              </w:rPr>
            </w:pPr>
            <w:r>
              <w:rPr>
                <w:rFonts w:ascii="Times New Roman" w:cs="Times New Roman" w:eastAsia="Times New Roman" w:hAnsi="Times New Roman"/>
                <w:sz w:val="13"/>
                <w:szCs w:val="13"/>
                <w:color w:val="auto"/>
              </w:rPr>
              <w:t>2.0</w:t>
            </w:r>
          </w:p>
        </w:tc>
        <w:tc>
          <w:tcPr>
            <w:tcW w:w="80" w:type="dxa"/>
            <w:vAlign w:val="bottom"/>
            <w:shd w:val="clear" w:color="auto" w:fill="CCEEFF"/>
          </w:tcPr>
          <w:p>
            <w:pPr>
              <w:spacing w:after="0"/>
              <w:rPr>
                <w:sz w:val="14"/>
                <w:szCs w:val="14"/>
                <w:color w:val="auto"/>
              </w:rPr>
            </w:pPr>
          </w:p>
        </w:tc>
        <w:tc>
          <w:tcPr>
            <w:tcW w:w="360" w:type="dxa"/>
            <w:vAlign w:val="bottom"/>
            <w:shd w:val="clear" w:color="auto" w:fill="CCEEFF"/>
          </w:tcPr>
          <w:p>
            <w:pPr>
              <w:spacing w:after="0"/>
              <w:rPr>
                <w:sz w:val="14"/>
                <w:szCs w:val="14"/>
                <w:color w:val="auto"/>
              </w:rPr>
            </w:pPr>
          </w:p>
        </w:tc>
        <w:tc>
          <w:tcPr>
            <w:tcW w:w="6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161</w:t>
            </w:r>
          </w:p>
        </w:tc>
        <w:tc>
          <w:tcPr>
            <w:tcW w:w="80" w:type="dxa"/>
            <w:vAlign w:val="bottom"/>
            <w:shd w:val="clear" w:color="auto" w:fill="CCEEFF"/>
          </w:tcPr>
          <w:p>
            <w:pPr>
              <w:spacing w:after="0"/>
              <w:rPr>
                <w:sz w:val="14"/>
                <w:szCs w:val="14"/>
                <w:color w:val="auto"/>
              </w:rPr>
            </w:pPr>
          </w:p>
        </w:tc>
        <w:tc>
          <w:tcPr>
            <w:tcW w:w="420" w:type="dxa"/>
            <w:vAlign w:val="bottom"/>
            <w:shd w:val="clear" w:color="auto" w:fill="CCEEFF"/>
          </w:tcPr>
          <w:p>
            <w:pPr>
              <w:spacing w:after="0"/>
              <w:rPr>
                <w:sz w:val="14"/>
                <w:szCs w:val="14"/>
                <w:color w:val="auto"/>
              </w:rPr>
            </w:pPr>
          </w:p>
        </w:tc>
        <w:tc>
          <w:tcPr>
            <w:tcW w:w="660" w:type="dxa"/>
            <w:vAlign w:val="bottom"/>
            <w:shd w:val="clear" w:color="auto" w:fill="CCEEFF"/>
          </w:tcPr>
          <w:p>
            <w:pPr>
              <w:jc w:val="right"/>
              <w:ind w:right="96"/>
              <w:spacing w:after="0"/>
              <w:rPr>
                <w:sz w:val="20"/>
                <w:szCs w:val="20"/>
                <w:color w:val="auto"/>
              </w:rPr>
            </w:pPr>
            <w:r>
              <w:rPr>
                <w:rFonts w:ascii="Times New Roman" w:cs="Times New Roman" w:eastAsia="Times New Roman" w:hAnsi="Times New Roman"/>
                <w:sz w:val="13"/>
                <w:szCs w:val="13"/>
                <w:color w:val="auto"/>
              </w:rPr>
              <w:t>1.3</w:t>
            </w:r>
          </w:p>
        </w:tc>
      </w:tr>
      <w:tr>
        <w:trPr>
          <w:trHeight w:val="168"/>
        </w:trPr>
        <w:tc>
          <w:tcPr>
            <w:tcW w:w="4660" w:type="dxa"/>
            <w:vAlign w:val="bottom"/>
          </w:tcPr>
          <w:p>
            <w:pPr>
              <w:ind w:left="20"/>
              <w:spacing w:after="0"/>
              <w:rPr>
                <w:sz w:val="20"/>
                <w:szCs w:val="20"/>
                <w:color w:val="auto"/>
              </w:rPr>
            </w:pPr>
            <w:r>
              <w:rPr>
                <w:rFonts w:ascii="Times New Roman" w:cs="Times New Roman" w:eastAsia="Times New Roman" w:hAnsi="Times New Roman"/>
                <w:sz w:val="13"/>
                <w:szCs w:val="13"/>
                <w:color w:val="auto"/>
              </w:rPr>
              <w:t>Other adjustments:</w:t>
            </w:r>
          </w:p>
        </w:tc>
        <w:tc>
          <w:tcPr>
            <w:tcW w:w="360" w:type="dxa"/>
            <w:vAlign w:val="bottom"/>
          </w:tcPr>
          <w:p>
            <w:pPr>
              <w:spacing w:after="0"/>
              <w:rPr>
                <w:sz w:val="14"/>
                <w:szCs w:val="14"/>
                <w:color w:val="auto"/>
              </w:rPr>
            </w:pPr>
          </w:p>
        </w:tc>
        <w:tc>
          <w:tcPr>
            <w:tcW w:w="60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400" w:type="dxa"/>
            <w:vAlign w:val="bottom"/>
          </w:tcPr>
          <w:p>
            <w:pPr>
              <w:spacing w:after="0"/>
              <w:rPr>
                <w:sz w:val="14"/>
                <w:szCs w:val="14"/>
                <w:color w:val="auto"/>
              </w:rPr>
            </w:pPr>
          </w:p>
        </w:tc>
        <w:tc>
          <w:tcPr>
            <w:tcW w:w="66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70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08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360" w:type="dxa"/>
            <w:vAlign w:val="bottom"/>
          </w:tcPr>
          <w:p>
            <w:pPr>
              <w:spacing w:after="0"/>
              <w:rPr>
                <w:sz w:val="14"/>
                <w:szCs w:val="14"/>
                <w:color w:val="auto"/>
              </w:rPr>
            </w:pPr>
          </w:p>
        </w:tc>
        <w:tc>
          <w:tcPr>
            <w:tcW w:w="62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420" w:type="dxa"/>
            <w:vAlign w:val="bottom"/>
          </w:tcPr>
          <w:p>
            <w:pPr>
              <w:spacing w:after="0"/>
              <w:rPr>
                <w:sz w:val="14"/>
                <w:szCs w:val="14"/>
                <w:color w:val="auto"/>
              </w:rPr>
            </w:pPr>
          </w:p>
        </w:tc>
        <w:tc>
          <w:tcPr>
            <w:tcW w:w="660" w:type="dxa"/>
            <w:vAlign w:val="bottom"/>
          </w:tcPr>
          <w:p>
            <w:pPr>
              <w:spacing w:after="0"/>
              <w:rPr>
                <w:sz w:val="14"/>
                <w:szCs w:val="14"/>
                <w:color w:val="auto"/>
              </w:rPr>
            </w:pPr>
          </w:p>
        </w:tc>
      </w:tr>
      <w:tr>
        <w:trPr>
          <w:trHeight w:val="172"/>
        </w:trPr>
        <w:tc>
          <w:tcPr>
            <w:tcW w:w="4660" w:type="dxa"/>
            <w:vAlign w:val="bottom"/>
            <w:shd w:val="clear" w:color="auto" w:fill="CCEEFF"/>
          </w:tcPr>
          <w:p>
            <w:pPr>
              <w:ind w:left="100"/>
              <w:spacing w:after="0"/>
              <w:rPr>
                <w:sz w:val="20"/>
                <w:szCs w:val="20"/>
                <w:color w:val="auto"/>
              </w:rPr>
            </w:pPr>
            <w:r>
              <w:rPr>
                <w:rFonts w:ascii="Times New Roman" w:cs="Times New Roman" w:eastAsia="Times New Roman" w:hAnsi="Times New Roman"/>
                <w:sz w:val="13"/>
                <w:szCs w:val="13"/>
                <w:color w:val="auto"/>
              </w:rPr>
              <w:t>Return to provision adjustments</w:t>
            </w:r>
          </w:p>
        </w:tc>
        <w:tc>
          <w:tcPr>
            <w:tcW w:w="360" w:type="dxa"/>
            <w:vAlign w:val="bottom"/>
            <w:shd w:val="clear" w:color="auto" w:fill="CCEEFF"/>
          </w:tcPr>
          <w:p>
            <w:pPr>
              <w:spacing w:after="0"/>
              <w:rPr>
                <w:sz w:val="14"/>
                <w:szCs w:val="14"/>
                <w:color w:val="auto"/>
              </w:rPr>
            </w:pPr>
          </w:p>
        </w:tc>
        <w:tc>
          <w:tcPr>
            <w:tcW w:w="6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(232)</w:t>
            </w:r>
          </w:p>
        </w:tc>
        <w:tc>
          <w:tcPr>
            <w:tcW w:w="100" w:type="dxa"/>
            <w:vAlign w:val="bottom"/>
            <w:shd w:val="clear" w:color="auto" w:fill="CCEEFF"/>
          </w:tcPr>
          <w:p>
            <w:pPr>
              <w:spacing w:after="0"/>
              <w:rPr>
                <w:sz w:val="14"/>
                <w:szCs w:val="14"/>
                <w:color w:val="auto"/>
              </w:rPr>
            </w:pPr>
          </w:p>
        </w:tc>
        <w:tc>
          <w:tcPr>
            <w:tcW w:w="400" w:type="dxa"/>
            <w:vAlign w:val="bottom"/>
            <w:shd w:val="clear" w:color="auto" w:fill="CCEEFF"/>
          </w:tcPr>
          <w:p>
            <w:pPr>
              <w:spacing w:after="0"/>
              <w:rPr>
                <w:sz w:val="14"/>
                <w:szCs w:val="14"/>
                <w:color w:val="auto"/>
              </w:rPr>
            </w:pPr>
          </w:p>
        </w:tc>
        <w:tc>
          <w:tcPr>
            <w:tcW w:w="660" w:type="dxa"/>
            <w:vAlign w:val="bottom"/>
            <w:shd w:val="clear" w:color="auto" w:fill="CCEEFF"/>
          </w:tcPr>
          <w:p>
            <w:pPr>
              <w:jc w:val="right"/>
              <w:ind w:right="56"/>
              <w:spacing w:after="0"/>
              <w:rPr>
                <w:sz w:val="20"/>
                <w:szCs w:val="20"/>
                <w:color w:val="auto"/>
              </w:rPr>
            </w:pPr>
            <w:r>
              <w:rPr>
                <w:rFonts w:ascii="Times New Roman" w:cs="Times New Roman" w:eastAsia="Times New Roman" w:hAnsi="Times New Roman"/>
                <w:sz w:val="13"/>
                <w:szCs w:val="13"/>
                <w:color w:val="auto"/>
              </w:rPr>
              <w:t>(2.4)</w:t>
            </w:r>
          </w:p>
        </w:tc>
        <w:tc>
          <w:tcPr>
            <w:tcW w:w="100" w:type="dxa"/>
            <w:vAlign w:val="bottom"/>
            <w:shd w:val="clear" w:color="auto" w:fill="CCEEFF"/>
          </w:tcPr>
          <w:p>
            <w:pPr>
              <w:spacing w:after="0"/>
              <w:rPr>
                <w:sz w:val="14"/>
                <w:szCs w:val="14"/>
                <w:color w:val="auto"/>
              </w:rPr>
            </w:pPr>
          </w:p>
        </w:tc>
        <w:tc>
          <w:tcPr>
            <w:tcW w:w="220" w:type="dxa"/>
            <w:vAlign w:val="bottom"/>
            <w:shd w:val="clear" w:color="auto" w:fill="CCEEFF"/>
          </w:tcPr>
          <w:p>
            <w:pPr>
              <w:spacing w:after="0"/>
              <w:rPr>
                <w:sz w:val="14"/>
                <w:szCs w:val="14"/>
                <w:color w:val="auto"/>
              </w:rPr>
            </w:pPr>
          </w:p>
        </w:tc>
        <w:tc>
          <w:tcPr>
            <w:tcW w:w="7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123</w:t>
            </w:r>
          </w:p>
        </w:tc>
        <w:tc>
          <w:tcPr>
            <w:tcW w:w="1220" w:type="dxa"/>
            <w:vAlign w:val="bottom"/>
            <w:gridSpan w:val="3"/>
            <w:shd w:val="clear" w:color="auto" w:fill="CCEEFF"/>
          </w:tcPr>
          <w:p>
            <w:pPr>
              <w:jc w:val="right"/>
              <w:ind w:right="96"/>
              <w:spacing w:after="0"/>
              <w:rPr>
                <w:sz w:val="20"/>
                <w:szCs w:val="20"/>
                <w:color w:val="auto"/>
              </w:rPr>
            </w:pPr>
            <w:r>
              <w:rPr>
                <w:rFonts w:ascii="Times New Roman" w:cs="Times New Roman" w:eastAsia="Times New Roman" w:hAnsi="Times New Roman"/>
                <w:sz w:val="13"/>
                <w:szCs w:val="13"/>
                <w:color w:val="auto"/>
              </w:rPr>
              <w:t>3.1</w:t>
            </w:r>
          </w:p>
        </w:tc>
        <w:tc>
          <w:tcPr>
            <w:tcW w:w="80" w:type="dxa"/>
            <w:vAlign w:val="bottom"/>
            <w:shd w:val="clear" w:color="auto" w:fill="CCEEFF"/>
          </w:tcPr>
          <w:p>
            <w:pPr>
              <w:spacing w:after="0"/>
              <w:rPr>
                <w:sz w:val="14"/>
                <w:szCs w:val="14"/>
                <w:color w:val="auto"/>
              </w:rPr>
            </w:pPr>
          </w:p>
        </w:tc>
        <w:tc>
          <w:tcPr>
            <w:tcW w:w="360" w:type="dxa"/>
            <w:vAlign w:val="bottom"/>
            <w:shd w:val="clear" w:color="auto" w:fill="CCEEFF"/>
          </w:tcPr>
          <w:p>
            <w:pPr>
              <w:spacing w:after="0"/>
              <w:rPr>
                <w:sz w:val="14"/>
                <w:szCs w:val="14"/>
                <w:color w:val="auto"/>
              </w:rPr>
            </w:pPr>
          </w:p>
        </w:tc>
        <w:tc>
          <w:tcPr>
            <w:tcW w:w="1120" w:type="dxa"/>
            <w:vAlign w:val="bottom"/>
            <w:gridSpan w:val="3"/>
            <w:shd w:val="clear" w:color="auto" w:fill="CCEEFF"/>
          </w:tcPr>
          <w:p>
            <w:pPr>
              <w:jc w:val="right"/>
              <w:ind w:right="560"/>
              <w:spacing w:after="0"/>
              <w:rPr>
                <w:sz w:val="20"/>
                <w:szCs w:val="20"/>
                <w:color w:val="auto"/>
              </w:rPr>
            </w:pPr>
            <w:r>
              <w:rPr>
                <w:rFonts w:ascii="Times New Roman" w:cs="Times New Roman" w:eastAsia="Times New Roman" w:hAnsi="Times New Roman"/>
                <w:sz w:val="13"/>
                <w:szCs w:val="13"/>
                <w:color w:val="auto"/>
              </w:rPr>
              <w:t>—</w:t>
            </w:r>
          </w:p>
        </w:tc>
        <w:tc>
          <w:tcPr>
            <w:tcW w:w="660" w:type="dxa"/>
            <w:vAlign w:val="bottom"/>
            <w:shd w:val="clear" w:color="auto" w:fill="CCEEFF"/>
          </w:tcPr>
          <w:p>
            <w:pPr>
              <w:jc w:val="right"/>
              <w:ind w:right="96"/>
              <w:spacing w:after="0"/>
              <w:rPr>
                <w:sz w:val="20"/>
                <w:szCs w:val="20"/>
                <w:color w:val="auto"/>
              </w:rPr>
            </w:pPr>
            <w:r>
              <w:rPr>
                <w:rFonts w:ascii="Times New Roman" w:cs="Times New Roman" w:eastAsia="Times New Roman" w:hAnsi="Times New Roman"/>
                <w:sz w:val="13"/>
                <w:szCs w:val="13"/>
                <w:color w:val="auto"/>
              </w:rPr>
              <w:t>—</w:t>
            </w:r>
          </w:p>
        </w:tc>
      </w:tr>
      <w:tr>
        <w:trPr>
          <w:trHeight w:val="168"/>
        </w:trPr>
        <w:tc>
          <w:tcPr>
            <w:tcW w:w="4660" w:type="dxa"/>
            <w:vAlign w:val="bottom"/>
          </w:tcPr>
          <w:p>
            <w:pPr>
              <w:ind w:left="100"/>
              <w:spacing w:after="0"/>
              <w:rPr>
                <w:sz w:val="20"/>
                <w:szCs w:val="20"/>
                <w:color w:val="auto"/>
              </w:rPr>
            </w:pPr>
            <w:r>
              <w:rPr>
                <w:rFonts w:ascii="Times New Roman" w:cs="Times New Roman" w:eastAsia="Times New Roman" w:hAnsi="Times New Roman"/>
                <w:sz w:val="13"/>
                <w:szCs w:val="13"/>
                <w:color w:val="auto"/>
              </w:rPr>
              <w:t>Restricted stock, Section 162(m) impact</w:t>
            </w:r>
          </w:p>
        </w:tc>
        <w:tc>
          <w:tcPr>
            <w:tcW w:w="360" w:type="dxa"/>
            <w:vAlign w:val="bottom"/>
          </w:tcPr>
          <w:p>
            <w:pPr>
              <w:spacing w:after="0"/>
              <w:rPr>
                <w:sz w:val="14"/>
                <w:szCs w:val="14"/>
                <w:color w:val="auto"/>
              </w:rPr>
            </w:pPr>
          </w:p>
        </w:tc>
        <w:tc>
          <w:tcPr>
            <w:tcW w:w="60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227</w:t>
            </w:r>
          </w:p>
        </w:tc>
        <w:tc>
          <w:tcPr>
            <w:tcW w:w="100" w:type="dxa"/>
            <w:vAlign w:val="bottom"/>
          </w:tcPr>
          <w:p>
            <w:pPr>
              <w:spacing w:after="0"/>
              <w:rPr>
                <w:sz w:val="14"/>
                <w:szCs w:val="14"/>
                <w:color w:val="auto"/>
              </w:rPr>
            </w:pPr>
          </w:p>
        </w:tc>
        <w:tc>
          <w:tcPr>
            <w:tcW w:w="400" w:type="dxa"/>
            <w:vAlign w:val="bottom"/>
          </w:tcPr>
          <w:p>
            <w:pPr>
              <w:spacing w:after="0"/>
              <w:rPr>
                <w:sz w:val="14"/>
                <w:szCs w:val="14"/>
                <w:color w:val="auto"/>
              </w:rPr>
            </w:pPr>
          </w:p>
        </w:tc>
        <w:tc>
          <w:tcPr>
            <w:tcW w:w="660" w:type="dxa"/>
            <w:vAlign w:val="bottom"/>
          </w:tcPr>
          <w:p>
            <w:pPr>
              <w:jc w:val="right"/>
              <w:ind w:right="96"/>
              <w:spacing w:after="0"/>
              <w:rPr>
                <w:sz w:val="20"/>
                <w:szCs w:val="20"/>
                <w:color w:val="auto"/>
              </w:rPr>
            </w:pPr>
            <w:r>
              <w:rPr>
                <w:rFonts w:ascii="Times New Roman" w:cs="Times New Roman" w:eastAsia="Times New Roman" w:hAnsi="Times New Roman"/>
                <w:sz w:val="13"/>
                <w:szCs w:val="13"/>
                <w:color w:val="auto"/>
              </w:rPr>
              <w:t>2.3</w:t>
            </w:r>
          </w:p>
        </w:tc>
        <w:tc>
          <w:tcPr>
            <w:tcW w:w="10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70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55</w:t>
            </w:r>
          </w:p>
        </w:tc>
        <w:tc>
          <w:tcPr>
            <w:tcW w:w="1220" w:type="dxa"/>
            <w:vAlign w:val="bottom"/>
            <w:gridSpan w:val="3"/>
          </w:tcPr>
          <w:p>
            <w:pPr>
              <w:jc w:val="right"/>
              <w:ind w:right="96"/>
              <w:spacing w:after="0"/>
              <w:rPr>
                <w:sz w:val="20"/>
                <w:szCs w:val="20"/>
                <w:color w:val="auto"/>
              </w:rPr>
            </w:pPr>
            <w:r>
              <w:rPr>
                <w:rFonts w:ascii="Times New Roman" w:cs="Times New Roman" w:eastAsia="Times New Roman" w:hAnsi="Times New Roman"/>
                <w:sz w:val="13"/>
                <w:szCs w:val="13"/>
                <w:color w:val="auto"/>
              </w:rPr>
              <w:t>1.4</w:t>
            </w:r>
          </w:p>
        </w:tc>
        <w:tc>
          <w:tcPr>
            <w:tcW w:w="80" w:type="dxa"/>
            <w:vAlign w:val="bottom"/>
          </w:tcPr>
          <w:p>
            <w:pPr>
              <w:spacing w:after="0"/>
              <w:rPr>
                <w:sz w:val="14"/>
                <w:szCs w:val="14"/>
                <w:color w:val="auto"/>
              </w:rPr>
            </w:pPr>
          </w:p>
        </w:tc>
        <w:tc>
          <w:tcPr>
            <w:tcW w:w="360" w:type="dxa"/>
            <w:vAlign w:val="bottom"/>
          </w:tcPr>
          <w:p>
            <w:pPr>
              <w:spacing w:after="0"/>
              <w:rPr>
                <w:sz w:val="14"/>
                <w:szCs w:val="14"/>
                <w:color w:val="auto"/>
              </w:rPr>
            </w:pPr>
          </w:p>
        </w:tc>
        <w:tc>
          <w:tcPr>
            <w:tcW w:w="62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147</w:t>
            </w:r>
          </w:p>
        </w:tc>
        <w:tc>
          <w:tcPr>
            <w:tcW w:w="80" w:type="dxa"/>
            <w:vAlign w:val="bottom"/>
          </w:tcPr>
          <w:p>
            <w:pPr>
              <w:spacing w:after="0"/>
              <w:rPr>
                <w:sz w:val="14"/>
                <w:szCs w:val="14"/>
                <w:color w:val="auto"/>
              </w:rPr>
            </w:pPr>
          </w:p>
        </w:tc>
        <w:tc>
          <w:tcPr>
            <w:tcW w:w="420" w:type="dxa"/>
            <w:vAlign w:val="bottom"/>
          </w:tcPr>
          <w:p>
            <w:pPr>
              <w:spacing w:after="0"/>
              <w:rPr>
                <w:sz w:val="14"/>
                <w:szCs w:val="14"/>
                <w:color w:val="auto"/>
              </w:rPr>
            </w:pPr>
          </w:p>
        </w:tc>
        <w:tc>
          <w:tcPr>
            <w:tcW w:w="660" w:type="dxa"/>
            <w:vAlign w:val="bottom"/>
          </w:tcPr>
          <w:p>
            <w:pPr>
              <w:jc w:val="right"/>
              <w:ind w:right="96"/>
              <w:spacing w:after="0"/>
              <w:rPr>
                <w:sz w:val="20"/>
                <w:szCs w:val="20"/>
                <w:color w:val="auto"/>
              </w:rPr>
            </w:pPr>
            <w:r>
              <w:rPr>
                <w:rFonts w:ascii="Times New Roman" w:cs="Times New Roman" w:eastAsia="Times New Roman" w:hAnsi="Times New Roman"/>
                <w:sz w:val="13"/>
                <w:szCs w:val="13"/>
                <w:color w:val="auto"/>
              </w:rPr>
              <w:t>1.2</w:t>
            </w:r>
          </w:p>
        </w:tc>
      </w:tr>
      <w:tr>
        <w:trPr>
          <w:trHeight w:val="185"/>
        </w:trPr>
        <w:tc>
          <w:tcPr>
            <w:tcW w:w="4660" w:type="dxa"/>
            <w:vAlign w:val="bottom"/>
            <w:tcBorders>
              <w:top w:val="single" w:sz="8" w:color="CCEEFF"/>
              <w:bottom w:val="single" w:sz="8" w:color="CCEEFF"/>
            </w:tcBorders>
            <w:shd w:val="clear" w:color="auto" w:fill="CCEEFF"/>
          </w:tcPr>
          <w:p>
            <w:pPr>
              <w:ind w:left="20"/>
              <w:spacing w:after="0" w:line="147" w:lineRule="exact"/>
              <w:rPr>
                <w:sz w:val="20"/>
                <w:szCs w:val="20"/>
                <w:color w:val="auto"/>
              </w:rPr>
            </w:pPr>
            <w:r>
              <w:rPr>
                <w:rFonts w:ascii="Times New Roman" w:cs="Times New Roman" w:eastAsia="Times New Roman" w:hAnsi="Times New Roman"/>
                <w:sz w:val="13"/>
                <w:szCs w:val="13"/>
                <w:color w:val="auto"/>
              </w:rPr>
              <w:t>Provision for income taxes and effective tax rate</w:t>
            </w:r>
          </w:p>
        </w:tc>
        <w:tc>
          <w:tcPr>
            <w:tcW w:w="360" w:type="dxa"/>
            <w:vAlign w:val="bottom"/>
            <w:tcBorders>
              <w:top w:val="single" w:sz="8" w:color="auto"/>
              <w:bottom w:val="single" w:sz="8" w:color="auto"/>
            </w:tcBorders>
            <w:shd w:val="clear" w:color="auto" w:fill="CCEEFF"/>
          </w:tcPr>
          <w:p>
            <w:pPr>
              <w:jc w:val="right"/>
              <w:ind w:right="216"/>
              <w:spacing w:after="0"/>
              <w:rPr>
                <w:sz w:val="20"/>
                <w:szCs w:val="20"/>
                <w:color w:val="auto"/>
              </w:rPr>
            </w:pPr>
            <w:r>
              <w:rPr>
                <w:rFonts w:ascii="Times New Roman" w:cs="Times New Roman" w:eastAsia="Times New Roman" w:hAnsi="Times New Roman"/>
                <w:sz w:val="13"/>
                <w:szCs w:val="13"/>
                <w:color w:val="auto"/>
                <w:w w:val="91"/>
              </w:rPr>
              <w:t>$</w:t>
            </w:r>
          </w:p>
        </w:tc>
        <w:tc>
          <w:tcPr>
            <w:tcW w:w="6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2,600</w:t>
            </w:r>
          </w:p>
        </w:tc>
        <w:tc>
          <w:tcPr>
            <w:tcW w:w="100" w:type="dxa"/>
            <w:vAlign w:val="bottom"/>
            <w:tcBorders>
              <w:top w:val="single" w:sz="8" w:color="CCEEFF"/>
              <w:bottom w:val="single" w:sz="8" w:color="CCEEFF"/>
            </w:tcBorders>
            <w:shd w:val="clear" w:color="auto" w:fill="CCEEFF"/>
          </w:tcPr>
          <w:p>
            <w:pPr>
              <w:spacing w:after="0"/>
              <w:rPr>
                <w:sz w:val="15"/>
                <w:szCs w:val="15"/>
                <w:color w:val="auto"/>
              </w:rPr>
            </w:pPr>
          </w:p>
        </w:tc>
        <w:tc>
          <w:tcPr>
            <w:tcW w:w="400" w:type="dxa"/>
            <w:vAlign w:val="bottom"/>
            <w:tcBorders>
              <w:top w:val="single" w:sz="8" w:color="auto"/>
              <w:bottom w:val="single" w:sz="8" w:color="auto"/>
            </w:tcBorders>
            <w:shd w:val="clear" w:color="auto" w:fill="CCEEFF"/>
          </w:tcPr>
          <w:p>
            <w:pPr>
              <w:spacing w:after="0"/>
              <w:rPr>
                <w:sz w:val="15"/>
                <w:szCs w:val="15"/>
                <w:color w:val="auto"/>
              </w:rPr>
            </w:pPr>
          </w:p>
        </w:tc>
        <w:tc>
          <w:tcPr>
            <w:tcW w:w="66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26.9 %</w:t>
            </w:r>
          </w:p>
        </w:tc>
        <w:tc>
          <w:tcPr>
            <w:tcW w:w="100" w:type="dxa"/>
            <w:vAlign w:val="bottom"/>
            <w:tcBorders>
              <w:top w:val="single" w:sz="8" w:color="CCEEFF"/>
              <w:bottom w:val="single" w:sz="8" w:color="CCEEFF"/>
            </w:tcBorders>
            <w:shd w:val="clear" w:color="auto" w:fill="CCEEFF"/>
          </w:tcPr>
          <w:p>
            <w:pPr>
              <w:spacing w:after="0"/>
              <w:rPr>
                <w:sz w:val="15"/>
                <w:szCs w:val="15"/>
                <w:color w:val="auto"/>
              </w:rPr>
            </w:pPr>
          </w:p>
        </w:tc>
        <w:tc>
          <w:tcPr>
            <w:tcW w:w="220" w:type="dxa"/>
            <w:vAlign w:val="bottom"/>
            <w:tcBorders>
              <w:top w:val="single" w:sz="8" w:color="auto"/>
              <w:bottom w:val="single" w:sz="8" w:color="auto"/>
            </w:tcBorders>
            <w:shd w:val="clear" w:color="auto" w:fill="CCEEFF"/>
          </w:tcPr>
          <w:p>
            <w:pPr>
              <w:jc w:val="right"/>
              <w:ind w:right="76"/>
              <w:spacing w:after="0"/>
              <w:rPr>
                <w:sz w:val="20"/>
                <w:szCs w:val="20"/>
                <w:color w:val="auto"/>
              </w:rPr>
            </w:pPr>
            <w:r>
              <w:rPr>
                <w:rFonts w:ascii="Times New Roman" w:cs="Times New Roman" w:eastAsia="Times New Roman" w:hAnsi="Times New Roman"/>
                <w:sz w:val="13"/>
                <w:szCs w:val="13"/>
                <w:color w:val="auto"/>
                <w:w w:val="91"/>
              </w:rPr>
              <w:t>$</w:t>
            </w:r>
          </w:p>
        </w:tc>
        <w:tc>
          <w:tcPr>
            <w:tcW w:w="7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1,804</w:t>
            </w:r>
          </w:p>
        </w:tc>
        <w:tc>
          <w:tcPr>
            <w:tcW w:w="40" w:type="dxa"/>
            <w:vAlign w:val="bottom"/>
            <w:tcBorders>
              <w:top w:val="single" w:sz="8" w:color="auto"/>
              <w:bottom w:val="single" w:sz="8" w:color="auto"/>
            </w:tcBorders>
            <w:shd w:val="clear" w:color="auto" w:fill="CCEEFF"/>
          </w:tcPr>
          <w:p>
            <w:pPr>
              <w:spacing w:after="0"/>
              <w:rPr>
                <w:sz w:val="15"/>
                <w:szCs w:val="15"/>
                <w:color w:val="auto"/>
              </w:rPr>
            </w:pPr>
          </w:p>
        </w:tc>
        <w:tc>
          <w:tcPr>
            <w:tcW w:w="100" w:type="dxa"/>
            <w:vAlign w:val="bottom"/>
            <w:tcBorders>
              <w:top w:val="single" w:sz="8" w:color="CCEEFF"/>
              <w:bottom w:val="single" w:sz="8" w:color="CCEEFF"/>
            </w:tcBorders>
            <w:shd w:val="clear" w:color="auto" w:fill="CCEEFF"/>
          </w:tcPr>
          <w:p>
            <w:pPr>
              <w:spacing w:after="0"/>
              <w:rPr>
                <w:sz w:val="15"/>
                <w:szCs w:val="15"/>
                <w:color w:val="auto"/>
              </w:rPr>
            </w:pPr>
          </w:p>
        </w:tc>
        <w:tc>
          <w:tcPr>
            <w:tcW w:w="108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44.9 %</w:t>
            </w:r>
          </w:p>
        </w:tc>
        <w:tc>
          <w:tcPr>
            <w:tcW w:w="80" w:type="dxa"/>
            <w:vAlign w:val="bottom"/>
            <w:tcBorders>
              <w:top w:val="single" w:sz="8" w:color="CCEEFF"/>
              <w:bottom w:val="single" w:sz="8" w:color="CCEEFF"/>
            </w:tcBorders>
            <w:shd w:val="clear" w:color="auto" w:fill="CCEEFF"/>
          </w:tcPr>
          <w:p>
            <w:pPr>
              <w:spacing w:after="0"/>
              <w:rPr>
                <w:sz w:val="15"/>
                <w:szCs w:val="15"/>
                <w:color w:val="auto"/>
              </w:rPr>
            </w:pPr>
          </w:p>
        </w:tc>
        <w:tc>
          <w:tcPr>
            <w:tcW w:w="360" w:type="dxa"/>
            <w:vAlign w:val="bottom"/>
            <w:tcBorders>
              <w:top w:val="single" w:sz="8" w:color="auto"/>
              <w:bottom w:val="single" w:sz="8" w:color="auto"/>
            </w:tcBorders>
            <w:shd w:val="clear" w:color="auto" w:fill="CCEEFF"/>
          </w:tcPr>
          <w:p>
            <w:pPr>
              <w:jc w:val="right"/>
              <w:ind w:right="216"/>
              <w:spacing w:after="0"/>
              <w:rPr>
                <w:sz w:val="20"/>
                <w:szCs w:val="20"/>
                <w:color w:val="auto"/>
              </w:rPr>
            </w:pPr>
            <w:r>
              <w:rPr>
                <w:rFonts w:ascii="Times New Roman" w:cs="Times New Roman" w:eastAsia="Times New Roman" w:hAnsi="Times New Roman"/>
                <w:sz w:val="13"/>
                <w:szCs w:val="13"/>
                <w:color w:val="auto"/>
                <w:w w:val="91"/>
              </w:rPr>
              <w:t>$</w:t>
            </w:r>
          </w:p>
        </w:tc>
        <w:tc>
          <w:tcPr>
            <w:tcW w:w="6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2,872</w:t>
            </w:r>
          </w:p>
        </w:tc>
        <w:tc>
          <w:tcPr>
            <w:tcW w:w="80" w:type="dxa"/>
            <w:vAlign w:val="bottom"/>
            <w:tcBorders>
              <w:top w:val="single" w:sz="8" w:color="CCEEFF"/>
              <w:bottom w:val="single" w:sz="8" w:color="CCEEFF"/>
            </w:tcBorders>
            <w:shd w:val="clear" w:color="auto" w:fill="CCEEFF"/>
          </w:tcPr>
          <w:p>
            <w:pPr>
              <w:spacing w:after="0"/>
              <w:rPr>
                <w:sz w:val="15"/>
                <w:szCs w:val="15"/>
                <w:color w:val="auto"/>
              </w:rPr>
            </w:pPr>
          </w:p>
        </w:tc>
        <w:tc>
          <w:tcPr>
            <w:tcW w:w="420" w:type="dxa"/>
            <w:vAlign w:val="bottom"/>
            <w:tcBorders>
              <w:top w:val="single" w:sz="8" w:color="auto"/>
              <w:bottom w:val="single" w:sz="8" w:color="auto"/>
            </w:tcBorders>
            <w:shd w:val="clear" w:color="auto" w:fill="CCEEFF"/>
          </w:tcPr>
          <w:p>
            <w:pPr>
              <w:spacing w:after="0"/>
              <w:rPr>
                <w:sz w:val="15"/>
                <w:szCs w:val="15"/>
                <w:color w:val="auto"/>
              </w:rPr>
            </w:pPr>
          </w:p>
        </w:tc>
        <w:tc>
          <w:tcPr>
            <w:tcW w:w="66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23.1 %</w:t>
            </w:r>
          </w:p>
        </w:tc>
      </w:tr>
      <w:tr>
        <w:trPr>
          <w:trHeight w:val="20"/>
        </w:trPr>
        <w:tc>
          <w:tcPr>
            <w:tcW w:w="4660" w:type="dxa"/>
            <w:vAlign w:val="bottom"/>
            <w:tcBorders>
              <w:top w:val="single" w:sz="8" w:color="CCEEFF"/>
            </w:tcBorders>
          </w:tcPr>
          <w:p>
            <w:pPr>
              <w:spacing w:after="0" w:line="20" w:lineRule="exact"/>
              <w:rPr>
                <w:sz w:val="1"/>
                <w:szCs w:val="1"/>
                <w:color w:val="auto"/>
              </w:rPr>
            </w:pPr>
          </w:p>
        </w:tc>
        <w:tc>
          <w:tcPr>
            <w:tcW w:w="360" w:type="dxa"/>
            <w:vAlign w:val="bottom"/>
            <w:tcBorders>
              <w:top w:val="single" w:sz="8" w:color="CCEEFF"/>
              <w:bottom w:val="single" w:sz="8" w:color="auto"/>
            </w:tcBorders>
          </w:tcPr>
          <w:p>
            <w:pPr>
              <w:spacing w:after="0" w:line="20" w:lineRule="exact"/>
              <w:rPr>
                <w:sz w:val="1"/>
                <w:szCs w:val="1"/>
                <w:color w:val="auto"/>
              </w:rPr>
            </w:pPr>
          </w:p>
        </w:tc>
        <w:tc>
          <w:tcPr>
            <w:tcW w:w="60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400" w:type="dxa"/>
            <w:vAlign w:val="bottom"/>
            <w:tcBorders>
              <w:top w:val="single" w:sz="8" w:color="CCEEFF"/>
              <w:bottom w:val="single" w:sz="8" w:color="auto"/>
            </w:tcBorders>
          </w:tcPr>
          <w:p>
            <w:pPr>
              <w:spacing w:after="0" w:line="20" w:lineRule="exact"/>
              <w:rPr>
                <w:sz w:val="1"/>
                <w:szCs w:val="1"/>
                <w:color w:val="auto"/>
              </w:rPr>
            </w:pPr>
          </w:p>
        </w:tc>
        <w:tc>
          <w:tcPr>
            <w:tcW w:w="66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220" w:type="dxa"/>
            <w:vAlign w:val="bottom"/>
            <w:tcBorders>
              <w:top w:val="single" w:sz="8" w:color="CCEEFF"/>
              <w:bottom w:val="single" w:sz="8" w:color="auto"/>
            </w:tcBorders>
          </w:tcPr>
          <w:p>
            <w:pPr>
              <w:spacing w:after="0" w:line="20" w:lineRule="exact"/>
              <w:rPr>
                <w:sz w:val="1"/>
                <w:szCs w:val="1"/>
                <w:color w:val="auto"/>
              </w:rPr>
            </w:pPr>
          </w:p>
        </w:tc>
        <w:tc>
          <w:tcPr>
            <w:tcW w:w="700" w:type="dxa"/>
            <w:vAlign w:val="bottom"/>
            <w:tcBorders>
              <w:top w:val="single" w:sz="8" w:color="CCEEFF"/>
              <w:bottom w:val="single" w:sz="8" w:color="auto"/>
            </w:tcBorders>
          </w:tcPr>
          <w:p>
            <w:pPr>
              <w:spacing w:after="0" w:line="20" w:lineRule="exact"/>
              <w:rPr>
                <w:sz w:val="1"/>
                <w:szCs w:val="1"/>
                <w:color w:val="auto"/>
              </w:rPr>
            </w:pPr>
          </w:p>
        </w:tc>
        <w:tc>
          <w:tcPr>
            <w:tcW w:w="4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080" w:type="dxa"/>
            <w:vAlign w:val="bottom"/>
            <w:tcBorders>
              <w:top w:val="single" w:sz="8" w:color="CCEEFF"/>
              <w:bottom w:val="single" w:sz="8" w:color="auto"/>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360" w:type="dxa"/>
            <w:vAlign w:val="bottom"/>
            <w:tcBorders>
              <w:top w:val="single" w:sz="8" w:color="CCEEFF"/>
              <w:bottom w:val="single" w:sz="8" w:color="auto"/>
            </w:tcBorders>
          </w:tcPr>
          <w:p>
            <w:pPr>
              <w:spacing w:after="0" w:line="20" w:lineRule="exact"/>
              <w:rPr>
                <w:sz w:val="1"/>
                <w:szCs w:val="1"/>
                <w:color w:val="auto"/>
              </w:rPr>
            </w:pPr>
          </w:p>
        </w:tc>
        <w:tc>
          <w:tcPr>
            <w:tcW w:w="620" w:type="dxa"/>
            <w:vAlign w:val="bottom"/>
            <w:tcBorders>
              <w:top w:val="single" w:sz="8" w:color="CCEEFF"/>
              <w:bottom w:val="single" w:sz="8" w:color="auto"/>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420" w:type="dxa"/>
            <w:vAlign w:val="bottom"/>
            <w:tcBorders>
              <w:top w:val="single" w:sz="8" w:color="CCEEFF"/>
              <w:bottom w:val="single" w:sz="8" w:color="auto"/>
            </w:tcBorders>
          </w:tcPr>
          <w:p>
            <w:pPr>
              <w:spacing w:after="0" w:line="20" w:lineRule="exact"/>
              <w:rPr>
                <w:sz w:val="1"/>
                <w:szCs w:val="1"/>
                <w:color w:val="auto"/>
              </w:rPr>
            </w:pPr>
          </w:p>
        </w:tc>
        <w:tc>
          <w:tcPr>
            <w:tcW w:w="660" w:type="dxa"/>
            <w:vAlign w:val="bottom"/>
            <w:tcBorders>
              <w:top w:val="single" w:sz="8" w:color="CCEEFF"/>
              <w:bottom w:val="single" w:sz="8" w:color="auto"/>
            </w:tcBorders>
          </w:tcPr>
          <w:p>
            <w:pPr>
              <w:spacing w:after="0" w:line="20" w:lineRule="exact"/>
              <w:rPr>
                <w:sz w:val="1"/>
                <w:szCs w:val="1"/>
                <w:color w:val="auto"/>
              </w:rPr>
            </w:pPr>
          </w:p>
        </w:tc>
      </w:tr>
    </w:tbl>
    <w:p>
      <w:pPr>
        <w:spacing w:after="0" w:line="87" w:lineRule="exact"/>
        <w:rPr>
          <w:sz w:val="20"/>
          <w:szCs w:val="20"/>
          <w:color w:val="auto"/>
        </w:rPr>
      </w:pPr>
    </w:p>
    <w:p>
      <w:pPr>
        <w:ind w:left="140" w:hanging="135"/>
        <w:spacing w:after="0"/>
        <w:tabs>
          <w:tab w:leader="none" w:pos="140" w:val="left"/>
        </w:tabs>
        <w:numPr>
          <w:ilvl w:val="0"/>
          <w:numId w:val="24"/>
        </w:numPr>
        <w:rPr>
          <w:rFonts w:ascii="Times New Roman" w:cs="Times New Roman" w:eastAsia="Times New Roman" w:hAnsi="Times New Roman"/>
          <w:sz w:val="17"/>
          <w:szCs w:val="17"/>
          <w:color w:val="auto"/>
          <w:vertAlign w:val="superscript"/>
        </w:rPr>
      </w:pPr>
      <w:r>
        <w:rPr>
          <w:rFonts w:ascii="Times New Roman" w:cs="Times New Roman" w:eastAsia="Times New Roman" w:hAnsi="Times New Roman"/>
          <w:sz w:val="13"/>
          <w:szCs w:val="13"/>
          <w:color w:val="auto"/>
        </w:rPr>
        <w:t>The state and local jurisdictions that contribute to the majority (greater than 50%) for this tax effect include New York, Texas and Pennsylvania.</w:t>
      </w:r>
    </w:p>
    <w:p>
      <w:pPr>
        <w:spacing w:after="0" w:line="350" w:lineRule="exact"/>
        <w:rPr>
          <w:rFonts w:ascii="Times New Roman" w:cs="Times New Roman" w:eastAsia="Times New Roman" w:hAnsi="Times New Roman"/>
          <w:sz w:val="17"/>
          <w:szCs w:val="17"/>
          <w:color w:val="auto"/>
          <w:vertAlign w:val="superscript"/>
        </w:rPr>
      </w:pPr>
    </w:p>
    <w:p>
      <w:pPr>
        <w:ind w:left="380"/>
        <w:spacing w:after="0"/>
        <w:rPr>
          <w:rFonts w:ascii="Times New Roman" w:cs="Times New Roman" w:eastAsia="Times New Roman" w:hAnsi="Times New Roman"/>
          <w:sz w:val="17"/>
          <w:szCs w:val="17"/>
          <w:color w:val="auto"/>
          <w:vertAlign w:val="superscript"/>
        </w:rPr>
      </w:pPr>
      <w:r>
        <w:rPr>
          <w:rFonts w:ascii="Times New Roman" w:cs="Times New Roman" w:eastAsia="Times New Roman" w:hAnsi="Times New Roman"/>
          <w:sz w:val="14"/>
          <w:szCs w:val="14"/>
          <w:color w:val="auto"/>
        </w:rPr>
        <w:t>Income taxes paid are as follows (in thousands):</w:t>
      </w:r>
    </w:p>
    <w:p>
      <w:pPr>
        <w:spacing w:after="0" w:line="200" w:lineRule="exact"/>
        <w:rPr>
          <w:sz w:val="20"/>
          <w:szCs w:val="20"/>
          <w:color w:val="auto"/>
        </w:rPr>
      </w:pPr>
    </w:p>
    <w:p>
      <w:pPr>
        <w:spacing w:after="0" w:line="244"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4"/>
          <w:szCs w:val="14"/>
          <w:color w:val="auto"/>
        </w:rPr>
        <w:t>23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-8890</wp:posOffset>
            </wp:positionH>
            <wp:positionV relativeFrom="paragraph">
              <wp:posOffset>55880</wp:posOffset>
            </wp:positionV>
            <wp:extent cx="7186930" cy="38735"/>
            <wp:wrapNone/>
            <wp:docPr id="128" name="Picture 1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8"/>
                    <pic:cNvPicPr>
                      <a:picLocks noChangeAspect="1" noChangeArrowheads="1"/>
                    </pic:cNvPicPr>
                  </pic:nvPicPr>
                  <pic:blipFill>
                    <a:blip r:embed="rId135">
                      <a:extLst>
                        <a:ext uri="{28A0092B-C50C-407E-A947-70E740481C1C}"/>
                      </a:extLst>
                    </a:blip>
                    <a:srcRect/>
                    <a:stretch>
                      <a:fillRect/>
                    </a:stretch>
                  </pic:blipFill>
                  <pic:spPr bwMode="auto">
                    <a:xfrm>
                      <a:off x="0" y="0"/>
                      <a:ext cx="7186930" cy="38735"/>
                    </a:xfrm>
                    <a:prstGeom prst="rect">
                      <a:avLst/>
                    </a:prstGeom>
                    <a:noFill/>
                  </pic:spPr>
                </pic:pic>
              </a:graphicData>
            </a:graphic>
          </wp:anchor>
        </w:drawing>
      </w:r>
    </w:p>
    <w:p>
      <w:pPr>
        <w:sectPr>
          <w:pgSz w:w="11900" w:h="16838" w:orient="portrait"/>
          <w:cols w:equalWidth="0" w:num="1">
            <w:col w:w="11280"/>
          </w:cols>
          <w:pgMar w:left="300" w:top="123" w:right="319" w:bottom="1440" w:gutter="0" w:footer="0" w:header="0"/>
        </w:sectPr>
      </w:pPr>
    </w:p>
    <w:bookmarkStart w:id="65" w:name="page66"/>
    <w:bookmarkEnd w:id="65"/>
    <w:p>
      <w:pPr>
        <w:jc w:val="center"/>
        <w:spacing w:after="0"/>
        <w:rPr>
          <w:sz w:val="20"/>
          <w:szCs w:val="20"/>
          <w:color w:val="auto"/>
        </w:rPr>
      </w:pPr>
      <w:r>
        <w:rPr>
          <w:rFonts w:ascii="Times New Roman" w:cs="Times New Roman" w:eastAsia="Times New Roman" w:hAnsi="Times New Roman"/>
          <w:sz w:val="14"/>
          <w:szCs w:val="14"/>
          <w:b w:val="1"/>
          <w:bCs w:val="1"/>
          <w:color w:val="auto"/>
        </w:rPr>
        <w:t>WESTWOOD HOLDINGS GROUP, INC.</w:t>
      </w:r>
    </w:p>
    <w:p>
      <w:pPr>
        <w:spacing w:after="0" w:line="5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4"/>
          <w:szCs w:val="14"/>
          <w:b w:val="1"/>
          <w:bCs w:val="1"/>
          <w:color w:val="auto"/>
        </w:rPr>
        <w:t>NOTES TO CONSOLIDATED FINANCIAL STATEMENTS — (Continued)</w:t>
      </w:r>
    </w:p>
    <w:p>
      <w:pPr>
        <w:spacing w:after="0" w:line="363" w:lineRule="exact"/>
        <w:rPr>
          <w:sz w:val="20"/>
          <w:szCs w:val="20"/>
          <w:color w:val="auto"/>
        </w:rPr>
      </w:pPr>
    </w:p>
    <w:tbl>
      <w:tblPr>
        <w:tblLayout w:type="fixed"/>
        <w:tblInd w:w="0" w:type="dxa"/>
        <w:tblCellMar>
          <w:top w:w="0" w:type="dxa"/>
          <w:left w:w="0" w:type="dxa"/>
          <w:bottom w:w="0" w:type="dxa"/>
          <w:right w:w="0" w:type="dxa"/>
        </w:tblCellMar>
      </w:tblPr>
      <w:tr>
        <w:trPr>
          <w:trHeight w:val="170"/>
        </w:trPr>
        <w:tc>
          <w:tcPr>
            <w:tcW w:w="7080" w:type="dxa"/>
            <w:vAlign w:val="bottom"/>
          </w:tcPr>
          <w:p>
            <w:pPr>
              <w:spacing w:after="0"/>
              <w:rPr>
                <w:sz w:val="14"/>
                <w:szCs w:val="14"/>
                <w:color w:val="auto"/>
              </w:rPr>
            </w:pPr>
          </w:p>
        </w:tc>
        <w:tc>
          <w:tcPr>
            <w:tcW w:w="900" w:type="dxa"/>
            <w:vAlign w:val="bottom"/>
            <w:tcBorders>
              <w:bottom w:val="single" w:sz="8" w:color="auto"/>
            </w:tcBorders>
          </w:tcPr>
          <w:p>
            <w:pPr>
              <w:spacing w:after="0"/>
              <w:rPr>
                <w:sz w:val="14"/>
                <w:szCs w:val="14"/>
                <w:color w:val="auto"/>
              </w:rPr>
            </w:pPr>
          </w:p>
        </w:tc>
        <w:tc>
          <w:tcPr>
            <w:tcW w:w="440" w:type="dxa"/>
            <w:vAlign w:val="bottom"/>
            <w:tcBorders>
              <w:bottom w:val="single" w:sz="8" w:color="auto"/>
            </w:tcBorders>
          </w:tcPr>
          <w:p>
            <w:pPr>
              <w:spacing w:after="0"/>
              <w:rPr>
                <w:sz w:val="14"/>
                <w:szCs w:val="14"/>
                <w:color w:val="auto"/>
              </w:rPr>
            </w:pPr>
          </w:p>
        </w:tc>
        <w:tc>
          <w:tcPr>
            <w:tcW w:w="1520" w:type="dxa"/>
            <w:vAlign w:val="bottom"/>
            <w:tcBorders>
              <w:bottom w:val="single" w:sz="8" w:color="auto"/>
            </w:tcBorders>
            <w:gridSpan w:val="4"/>
          </w:tcPr>
          <w:p>
            <w:pPr>
              <w:ind w:left="40"/>
              <w:spacing w:after="0"/>
              <w:rPr>
                <w:sz w:val="20"/>
                <w:szCs w:val="20"/>
                <w:color w:val="auto"/>
              </w:rPr>
            </w:pPr>
            <w:r>
              <w:rPr>
                <w:rFonts w:ascii="Times New Roman" w:cs="Times New Roman" w:eastAsia="Times New Roman" w:hAnsi="Times New Roman"/>
                <w:sz w:val="13"/>
                <w:szCs w:val="13"/>
                <w:b w:val="1"/>
                <w:bCs w:val="1"/>
                <w:color w:val="auto"/>
                <w:w w:val="98"/>
              </w:rPr>
              <w:t>Years ended December 31,</w:t>
            </w:r>
          </w:p>
        </w:tc>
        <w:tc>
          <w:tcPr>
            <w:tcW w:w="320" w:type="dxa"/>
            <w:vAlign w:val="bottom"/>
            <w:tcBorders>
              <w:bottom w:val="single" w:sz="8" w:color="auto"/>
            </w:tcBorders>
          </w:tcPr>
          <w:p>
            <w:pPr>
              <w:spacing w:after="0"/>
              <w:rPr>
                <w:sz w:val="14"/>
                <w:szCs w:val="14"/>
                <w:color w:val="auto"/>
              </w:rPr>
            </w:pPr>
          </w:p>
        </w:tc>
        <w:tc>
          <w:tcPr>
            <w:tcW w:w="1020" w:type="dxa"/>
            <w:vAlign w:val="bottom"/>
            <w:tcBorders>
              <w:bottom w:val="single" w:sz="8" w:color="auto"/>
            </w:tcBorders>
          </w:tcPr>
          <w:p>
            <w:pPr>
              <w:spacing w:after="0"/>
              <w:rPr>
                <w:sz w:val="14"/>
                <w:szCs w:val="14"/>
                <w:color w:val="auto"/>
              </w:rPr>
            </w:pPr>
          </w:p>
        </w:tc>
      </w:tr>
      <w:tr>
        <w:trPr>
          <w:trHeight w:val="161"/>
        </w:trPr>
        <w:tc>
          <w:tcPr>
            <w:tcW w:w="7080" w:type="dxa"/>
            <w:vAlign w:val="bottom"/>
            <w:tcBorders>
              <w:bottom w:val="single" w:sz="8" w:color="CCEEFF"/>
            </w:tcBorders>
          </w:tcPr>
          <w:p>
            <w:pPr>
              <w:spacing w:after="0"/>
              <w:rPr>
                <w:sz w:val="14"/>
                <w:szCs w:val="14"/>
                <w:color w:val="auto"/>
              </w:rPr>
            </w:pPr>
          </w:p>
        </w:tc>
        <w:tc>
          <w:tcPr>
            <w:tcW w:w="900" w:type="dxa"/>
            <w:vAlign w:val="bottom"/>
            <w:tcBorders>
              <w:bottom w:val="single" w:sz="8" w:color="auto"/>
            </w:tcBorders>
          </w:tcPr>
          <w:p>
            <w:pPr>
              <w:jc w:val="right"/>
              <w:ind w:right="36"/>
              <w:spacing w:after="0"/>
              <w:rPr>
                <w:sz w:val="20"/>
                <w:szCs w:val="20"/>
                <w:color w:val="auto"/>
              </w:rPr>
            </w:pPr>
            <w:r>
              <w:rPr>
                <w:rFonts w:ascii="Times New Roman" w:cs="Times New Roman" w:eastAsia="Times New Roman" w:hAnsi="Times New Roman"/>
                <w:sz w:val="13"/>
                <w:szCs w:val="13"/>
                <w:b w:val="1"/>
                <w:bCs w:val="1"/>
                <w:color w:val="auto"/>
              </w:rPr>
              <w:t>2025</w:t>
            </w:r>
          </w:p>
        </w:tc>
        <w:tc>
          <w:tcPr>
            <w:tcW w:w="440" w:type="dxa"/>
            <w:vAlign w:val="bottom"/>
            <w:tcBorders>
              <w:bottom w:val="single" w:sz="8" w:color="auto"/>
            </w:tcBorders>
          </w:tcPr>
          <w:p>
            <w:pPr>
              <w:spacing w:after="0"/>
              <w:rPr>
                <w:sz w:val="14"/>
                <w:szCs w:val="14"/>
                <w:color w:val="auto"/>
              </w:rPr>
            </w:pPr>
          </w:p>
        </w:tc>
        <w:tc>
          <w:tcPr>
            <w:tcW w:w="100" w:type="dxa"/>
            <w:vAlign w:val="bottom"/>
            <w:tcBorders>
              <w:bottom w:val="single" w:sz="8" w:color="CCEEFF"/>
            </w:tcBorders>
          </w:tcPr>
          <w:p>
            <w:pPr>
              <w:spacing w:after="0"/>
              <w:rPr>
                <w:sz w:val="14"/>
                <w:szCs w:val="14"/>
                <w:color w:val="auto"/>
              </w:rPr>
            </w:pPr>
          </w:p>
        </w:tc>
        <w:tc>
          <w:tcPr>
            <w:tcW w:w="300" w:type="dxa"/>
            <w:vAlign w:val="bottom"/>
            <w:tcBorders>
              <w:bottom w:val="single" w:sz="8" w:color="auto"/>
            </w:tcBorders>
          </w:tcPr>
          <w:p>
            <w:pPr>
              <w:spacing w:after="0"/>
              <w:rPr>
                <w:sz w:val="14"/>
                <w:szCs w:val="14"/>
                <w:color w:val="auto"/>
              </w:rPr>
            </w:pPr>
          </w:p>
        </w:tc>
        <w:tc>
          <w:tcPr>
            <w:tcW w:w="1040" w:type="dxa"/>
            <w:vAlign w:val="bottom"/>
            <w:tcBorders>
              <w:bottom w:val="single" w:sz="8" w:color="auto"/>
            </w:tcBorders>
          </w:tcPr>
          <w:p>
            <w:pPr>
              <w:jc w:val="right"/>
              <w:ind w:right="496"/>
              <w:spacing w:after="0"/>
              <w:rPr>
                <w:sz w:val="20"/>
                <w:szCs w:val="20"/>
                <w:color w:val="auto"/>
              </w:rPr>
            </w:pPr>
            <w:r>
              <w:rPr>
                <w:rFonts w:ascii="Times New Roman" w:cs="Times New Roman" w:eastAsia="Times New Roman" w:hAnsi="Times New Roman"/>
                <w:sz w:val="13"/>
                <w:szCs w:val="13"/>
                <w:b w:val="1"/>
                <w:bCs w:val="1"/>
                <w:color w:val="auto"/>
              </w:rPr>
              <w:t>2024</w:t>
            </w:r>
          </w:p>
        </w:tc>
        <w:tc>
          <w:tcPr>
            <w:tcW w:w="80" w:type="dxa"/>
            <w:vAlign w:val="bottom"/>
            <w:tcBorders>
              <w:bottom w:val="single" w:sz="8" w:color="CCEEFF"/>
            </w:tcBorders>
          </w:tcPr>
          <w:p>
            <w:pPr>
              <w:spacing w:after="0"/>
              <w:rPr>
                <w:sz w:val="14"/>
                <w:szCs w:val="14"/>
                <w:color w:val="auto"/>
              </w:rPr>
            </w:pPr>
          </w:p>
        </w:tc>
        <w:tc>
          <w:tcPr>
            <w:tcW w:w="320" w:type="dxa"/>
            <w:vAlign w:val="bottom"/>
            <w:tcBorders>
              <w:bottom w:val="single" w:sz="8" w:color="auto"/>
            </w:tcBorders>
          </w:tcPr>
          <w:p>
            <w:pPr>
              <w:spacing w:after="0"/>
              <w:rPr>
                <w:sz w:val="14"/>
                <w:szCs w:val="14"/>
                <w:color w:val="auto"/>
              </w:rPr>
            </w:pPr>
          </w:p>
        </w:tc>
        <w:tc>
          <w:tcPr>
            <w:tcW w:w="1020" w:type="dxa"/>
            <w:vAlign w:val="bottom"/>
            <w:tcBorders>
              <w:bottom w:val="single" w:sz="8" w:color="auto"/>
            </w:tcBorders>
          </w:tcPr>
          <w:p>
            <w:pPr>
              <w:jc w:val="right"/>
              <w:ind w:right="476"/>
              <w:spacing w:after="0"/>
              <w:rPr>
                <w:sz w:val="20"/>
                <w:szCs w:val="20"/>
                <w:color w:val="auto"/>
              </w:rPr>
            </w:pPr>
            <w:r>
              <w:rPr>
                <w:rFonts w:ascii="Times New Roman" w:cs="Times New Roman" w:eastAsia="Times New Roman" w:hAnsi="Times New Roman"/>
                <w:sz w:val="13"/>
                <w:szCs w:val="13"/>
                <w:b w:val="1"/>
                <w:bCs w:val="1"/>
                <w:color w:val="auto"/>
              </w:rPr>
              <w:t>2023</w:t>
            </w:r>
          </w:p>
        </w:tc>
      </w:tr>
      <w:tr>
        <w:trPr>
          <w:trHeight w:val="162"/>
        </w:trPr>
        <w:tc>
          <w:tcPr>
            <w:tcW w:w="7080" w:type="dxa"/>
            <w:vAlign w:val="bottom"/>
            <w:shd w:val="clear" w:color="auto" w:fill="CCEEFF"/>
          </w:tcPr>
          <w:p>
            <w:pPr>
              <w:ind w:left="20"/>
              <w:spacing w:after="0" w:line="147" w:lineRule="exact"/>
              <w:rPr>
                <w:sz w:val="20"/>
                <w:szCs w:val="20"/>
                <w:color w:val="auto"/>
              </w:rPr>
            </w:pPr>
            <w:r>
              <w:rPr>
                <w:rFonts w:ascii="Times New Roman" w:cs="Times New Roman" w:eastAsia="Times New Roman" w:hAnsi="Times New Roman"/>
                <w:sz w:val="13"/>
                <w:szCs w:val="13"/>
                <w:color w:val="auto"/>
              </w:rPr>
              <w:t>U.S. Federal</w:t>
            </w:r>
          </w:p>
        </w:tc>
        <w:tc>
          <w:tcPr>
            <w:tcW w:w="900" w:type="dxa"/>
            <w:vAlign w:val="bottom"/>
            <w:shd w:val="clear" w:color="auto" w:fill="CCEEFF"/>
          </w:tcPr>
          <w:p>
            <w:pPr>
              <w:jc w:val="right"/>
              <w:ind w:right="756"/>
              <w:spacing w:after="0"/>
              <w:rPr>
                <w:sz w:val="20"/>
                <w:szCs w:val="20"/>
                <w:color w:val="auto"/>
              </w:rPr>
            </w:pPr>
            <w:r>
              <w:rPr>
                <w:rFonts w:ascii="Times New Roman" w:cs="Times New Roman" w:eastAsia="Times New Roman" w:hAnsi="Times New Roman"/>
                <w:sz w:val="13"/>
                <w:szCs w:val="13"/>
                <w:color w:val="auto"/>
                <w:w w:val="91"/>
              </w:rPr>
              <w:t>$</w:t>
            </w:r>
          </w:p>
        </w:tc>
        <w:tc>
          <w:tcPr>
            <w:tcW w:w="4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500</w:t>
            </w:r>
          </w:p>
        </w:tc>
        <w:tc>
          <w:tcPr>
            <w:tcW w:w="100" w:type="dxa"/>
            <w:vAlign w:val="bottom"/>
            <w:shd w:val="clear" w:color="auto" w:fill="CCEEFF"/>
          </w:tcPr>
          <w:p>
            <w:pPr>
              <w:spacing w:after="0"/>
              <w:rPr>
                <w:sz w:val="14"/>
                <w:szCs w:val="14"/>
                <w:color w:val="auto"/>
              </w:rPr>
            </w:pPr>
          </w:p>
        </w:tc>
        <w:tc>
          <w:tcPr>
            <w:tcW w:w="300" w:type="dxa"/>
            <w:vAlign w:val="bottom"/>
            <w:shd w:val="clear" w:color="auto" w:fill="CCEEFF"/>
          </w:tcPr>
          <w:p>
            <w:pPr>
              <w:jc w:val="right"/>
              <w:ind w:right="156"/>
              <w:spacing w:after="0"/>
              <w:rPr>
                <w:sz w:val="20"/>
                <w:szCs w:val="20"/>
                <w:color w:val="auto"/>
              </w:rPr>
            </w:pPr>
            <w:r>
              <w:rPr>
                <w:rFonts w:ascii="Times New Roman" w:cs="Times New Roman" w:eastAsia="Times New Roman" w:hAnsi="Times New Roman"/>
                <w:sz w:val="13"/>
                <w:szCs w:val="13"/>
                <w:color w:val="auto"/>
                <w:w w:val="91"/>
              </w:rPr>
              <w:t>$</w:t>
            </w:r>
          </w:p>
        </w:tc>
        <w:tc>
          <w:tcPr>
            <w:tcW w:w="10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2,789</w:t>
            </w:r>
          </w:p>
        </w:tc>
        <w:tc>
          <w:tcPr>
            <w:tcW w:w="80" w:type="dxa"/>
            <w:vAlign w:val="bottom"/>
            <w:shd w:val="clear" w:color="auto" w:fill="CCEEFF"/>
          </w:tcPr>
          <w:p>
            <w:pPr>
              <w:spacing w:after="0"/>
              <w:rPr>
                <w:sz w:val="14"/>
                <w:szCs w:val="14"/>
                <w:color w:val="auto"/>
              </w:rPr>
            </w:pPr>
          </w:p>
        </w:tc>
        <w:tc>
          <w:tcPr>
            <w:tcW w:w="320" w:type="dxa"/>
            <w:vAlign w:val="bottom"/>
            <w:shd w:val="clear" w:color="auto" w:fill="CCEEFF"/>
          </w:tcPr>
          <w:p>
            <w:pPr>
              <w:jc w:val="right"/>
              <w:ind w:right="176"/>
              <w:spacing w:after="0"/>
              <w:rPr>
                <w:sz w:val="20"/>
                <w:szCs w:val="20"/>
                <w:color w:val="auto"/>
              </w:rPr>
            </w:pPr>
            <w:r>
              <w:rPr>
                <w:rFonts w:ascii="Times New Roman" w:cs="Times New Roman" w:eastAsia="Times New Roman" w:hAnsi="Times New Roman"/>
                <w:sz w:val="13"/>
                <w:szCs w:val="13"/>
                <w:color w:val="auto"/>
                <w:w w:val="91"/>
              </w:rPr>
              <w:t>$</w:t>
            </w:r>
          </w:p>
        </w:tc>
        <w:tc>
          <w:tcPr>
            <w:tcW w:w="10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1,100</w:t>
            </w:r>
          </w:p>
        </w:tc>
      </w:tr>
      <w:tr>
        <w:trPr>
          <w:trHeight w:val="168"/>
        </w:trPr>
        <w:tc>
          <w:tcPr>
            <w:tcW w:w="7080" w:type="dxa"/>
            <w:vAlign w:val="bottom"/>
          </w:tcPr>
          <w:p>
            <w:pPr>
              <w:ind w:left="20"/>
              <w:spacing w:after="0"/>
              <w:rPr>
                <w:sz w:val="20"/>
                <w:szCs w:val="20"/>
                <w:color w:val="auto"/>
              </w:rPr>
            </w:pPr>
            <w:r>
              <w:rPr>
                <w:rFonts w:ascii="Times New Roman" w:cs="Times New Roman" w:eastAsia="Times New Roman" w:hAnsi="Times New Roman"/>
                <w:sz w:val="13"/>
                <w:szCs w:val="13"/>
                <w:color w:val="auto"/>
              </w:rPr>
              <w:t>U.S. state and local:</w:t>
            </w:r>
          </w:p>
        </w:tc>
        <w:tc>
          <w:tcPr>
            <w:tcW w:w="900" w:type="dxa"/>
            <w:vAlign w:val="bottom"/>
          </w:tcPr>
          <w:p>
            <w:pPr>
              <w:spacing w:after="0"/>
              <w:rPr>
                <w:sz w:val="14"/>
                <w:szCs w:val="14"/>
                <w:color w:val="auto"/>
              </w:rPr>
            </w:pPr>
          </w:p>
        </w:tc>
        <w:tc>
          <w:tcPr>
            <w:tcW w:w="44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300" w:type="dxa"/>
            <w:vAlign w:val="bottom"/>
          </w:tcPr>
          <w:p>
            <w:pPr>
              <w:spacing w:after="0"/>
              <w:rPr>
                <w:sz w:val="14"/>
                <w:szCs w:val="14"/>
                <w:color w:val="auto"/>
              </w:rPr>
            </w:pPr>
          </w:p>
        </w:tc>
        <w:tc>
          <w:tcPr>
            <w:tcW w:w="104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320" w:type="dxa"/>
            <w:vAlign w:val="bottom"/>
          </w:tcPr>
          <w:p>
            <w:pPr>
              <w:spacing w:after="0"/>
              <w:rPr>
                <w:sz w:val="14"/>
                <w:szCs w:val="14"/>
                <w:color w:val="auto"/>
              </w:rPr>
            </w:pPr>
          </w:p>
        </w:tc>
        <w:tc>
          <w:tcPr>
            <w:tcW w:w="1020" w:type="dxa"/>
            <w:vAlign w:val="bottom"/>
          </w:tcPr>
          <w:p>
            <w:pPr>
              <w:spacing w:after="0"/>
              <w:rPr>
                <w:sz w:val="14"/>
                <w:szCs w:val="14"/>
                <w:color w:val="auto"/>
              </w:rPr>
            </w:pPr>
          </w:p>
        </w:tc>
      </w:tr>
      <w:tr>
        <w:trPr>
          <w:trHeight w:val="172"/>
        </w:trPr>
        <w:tc>
          <w:tcPr>
            <w:tcW w:w="7080" w:type="dxa"/>
            <w:vAlign w:val="bottom"/>
            <w:shd w:val="clear" w:color="auto" w:fill="CCEEFF"/>
          </w:tcPr>
          <w:p>
            <w:pPr>
              <w:ind w:left="100"/>
              <w:spacing w:after="0"/>
              <w:rPr>
                <w:sz w:val="20"/>
                <w:szCs w:val="20"/>
                <w:color w:val="auto"/>
              </w:rPr>
            </w:pPr>
            <w:r>
              <w:rPr>
                <w:rFonts w:ascii="Times New Roman" w:cs="Times New Roman" w:eastAsia="Times New Roman" w:hAnsi="Times New Roman"/>
                <w:sz w:val="13"/>
                <w:szCs w:val="13"/>
                <w:color w:val="auto"/>
              </w:rPr>
              <w:t>Massachusetts</w:t>
            </w:r>
          </w:p>
        </w:tc>
        <w:tc>
          <w:tcPr>
            <w:tcW w:w="900" w:type="dxa"/>
            <w:vAlign w:val="bottom"/>
            <w:shd w:val="clear" w:color="auto" w:fill="CCEEFF"/>
          </w:tcPr>
          <w:p>
            <w:pPr>
              <w:spacing w:after="0"/>
              <w:rPr>
                <w:sz w:val="14"/>
                <w:szCs w:val="14"/>
                <w:color w:val="auto"/>
              </w:rPr>
            </w:pPr>
          </w:p>
        </w:tc>
        <w:tc>
          <w:tcPr>
            <w:tcW w:w="4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63</w:t>
            </w:r>
          </w:p>
        </w:tc>
        <w:tc>
          <w:tcPr>
            <w:tcW w:w="100" w:type="dxa"/>
            <w:vAlign w:val="bottom"/>
            <w:shd w:val="clear" w:color="auto" w:fill="CCEEFF"/>
          </w:tcPr>
          <w:p>
            <w:pPr>
              <w:spacing w:after="0"/>
              <w:rPr>
                <w:sz w:val="14"/>
                <w:szCs w:val="14"/>
                <w:color w:val="auto"/>
              </w:rPr>
            </w:pPr>
          </w:p>
        </w:tc>
        <w:tc>
          <w:tcPr>
            <w:tcW w:w="300" w:type="dxa"/>
            <w:vAlign w:val="bottom"/>
            <w:shd w:val="clear" w:color="auto" w:fill="CCEEFF"/>
          </w:tcPr>
          <w:p>
            <w:pPr>
              <w:spacing w:after="0"/>
              <w:rPr>
                <w:sz w:val="14"/>
                <w:szCs w:val="14"/>
                <w:color w:val="auto"/>
              </w:rPr>
            </w:pPr>
          </w:p>
        </w:tc>
        <w:tc>
          <w:tcPr>
            <w:tcW w:w="10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w:t>
            </w:r>
          </w:p>
        </w:tc>
        <w:tc>
          <w:tcPr>
            <w:tcW w:w="80" w:type="dxa"/>
            <w:vAlign w:val="bottom"/>
            <w:shd w:val="clear" w:color="auto" w:fill="CCEEFF"/>
          </w:tcPr>
          <w:p>
            <w:pPr>
              <w:spacing w:after="0"/>
              <w:rPr>
                <w:sz w:val="14"/>
                <w:szCs w:val="14"/>
                <w:color w:val="auto"/>
              </w:rPr>
            </w:pPr>
          </w:p>
        </w:tc>
        <w:tc>
          <w:tcPr>
            <w:tcW w:w="320" w:type="dxa"/>
            <w:vAlign w:val="bottom"/>
            <w:shd w:val="clear" w:color="auto" w:fill="CCEEFF"/>
          </w:tcPr>
          <w:p>
            <w:pPr>
              <w:spacing w:after="0"/>
              <w:rPr>
                <w:sz w:val="14"/>
                <w:szCs w:val="14"/>
                <w:color w:val="auto"/>
              </w:rPr>
            </w:pPr>
          </w:p>
        </w:tc>
        <w:tc>
          <w:tcPr>
            <w:tcW w:w="10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w:t>
            </w:r>
          </w:p>
        </w:tc>
      </w:tr>
      <w:tr>
        <w:trPr>
          <w:trHeight w:val="168"/>
        </w:trPr>
        <w:tc>
          <w:tcPr>
            <w:tcW w:w="7080" w:type="dxa"/>
            <w:vAlign w:val="bottom"/>
          </w:tcPr>
          <w:p>
            <w:pPr>
              <w:ind w:left="100"/>
              <w:spacing w:after="0"/>
              <w:rPr>
                <w:sz w:val="20"/>
                <w:szCs w:val="20"/>
                <w:color w:val="auto"/>
              </w:rPr>
            </w:pPr>
            <w:r>
              <w:rPr>
                <w:rFonts w:ascii="Times New Roman" w:cs="Times New Roman" w:eastAsia="Times New Roman" w:hAnsi="Times New Roman"/>
                <w:sz w:val="13"/>
                <w:szCs w:val="13"/>
                <w:color w:val="auto"/>
              </w:rPr>
              <w:t>New York</w:t>
            </w:r>
          </w:p>
        </w:tc>
        <w:tc>
          <w:tcPr>
            <w:tcW w:w="900" w:type="dxa"/>
            <w:vAlign w:val="bottom"/>
          </w:tcPr>
          <w:p>
            <w:pPr>
              <w:spacing w:after="0"/>
              <w:rPr>
                <w:sz w:val="14"/>
                <w:szCs w:val="14"/>
                <w:color w:val="auto"/>
              </w:rPr>
            </w:pPr>
          </w:p>
        </w:tc>
        <w:tc>
          <w:tcPr>
            <w:tcW w:w="44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132</w:t>
            </w:r>
          </w:p>
        </w:tc>
        <w:tc>
          <w:tcPr>
            <w:tcW w:w="100" w:type="dxa"/>
            <w:vAlign w:val="bottom"/>
          </w:tcPr>
          <w:p>
            <w:pPr>
              <w:spacing w:after="0"/>
              <w:rPr>
                <w:sz w:val="14"/>
                <w:szCs w:val="14"/>
                <w:color w:val="auto"/>
              </w:rPr>
            </w:pPr>
          </w:p>
        </w:tc>
        <w:tc>
          <w:tcPr>
            <w:tcW w:w="300" w:type="dxa"/>
            <w:vAlign w:val="bottom"/>
          </w:tcPr>
          <w:p>
            <w:pPr>
              <w:spacing w:after="0"/>
              <w:rPr>
                <w:sz w:val="14"/>
                <w:szCs w:val="14"/>
                <w:color w:val="auto"/>
              </w:rPr>
            </w:pPr>
          </w:p>
        </w:tc>
        <w:tc>
          <w:tcPr>
            <w:tcW w:w="104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214</w:t>
            </w:r>
          </w:p>
        </w:tc>
        <w:tc>
          <w:tcPr>
            <w:tcW w:w="80" w:type="dxa"/>
            <w:vAlign w:val="bottom"/>
          </w:tcPr>
          <w:p>
            <w:pPr>
              <w:spacing w:after="0"/>
              <w:rPr>
                <w:sz w:val="14"/>
                <w:szCs w:val="14"/>
                <w:color w:val="auto"/>
              </w:rPr>
            </w:pPr>
          </w:p>
        </w:tc>
        <w:tc>
          <w:tcPr>
            <w:tcW w:w="320" w:type="dxa"/>
            <w:vAlign w:val="bottom"/>
          </w:tcPr>
          <w:p>
            <w:pPr>
              <w:spacing w:after="0"/>
              <w:rPr>
                <w:sz w:val="14"/>
                <w:szCs w:val="14"/>
                <w:color w:val="auto"/>
              </w:rPr>
            </w:pPr>
          </w:p>
        </w:tc>
        <w:tc>
          <w:tcPr>
            <w:tcW w:w="102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173</w:t>
            </w:r>
          </w:p>
        </w:tc>
      </w:tr>
      <w:tr>
        <w:trPr>
          <w:trHeight w:val="172"/>
        </w:trPr>
        <w:tc>
          <w:tcPr>
            <w:tcW w:w="7080" w:type="dxa"/>
            <w:vAlign w:val="bottom"/>
            <w:shd w:val="clear" w:color="auto" w:fill="CCEEFF"/>
          </w:tcPr>
          <w:p>
            <w:pPr>
              <w:ind w:left="100"/>
              <w:spacing w:after="0"/>
              <w:rPr>
                <w:sz w:val="20"/>
                <w:szCs w:val="20"/>
                <w:color w:val="auto"/>
              </w:rPr>
            </w:pPr>
            <w:r>
              <w:rPr>
                <w:rFonts w:ascii="Times New Roman" w:cs="Times New Roman" w:eastAsia="Times New Roman" w:hAnsi="Times New Roman"/>
                <w:sz w:val="13"/>
                <w:szCs w:val="13"/>
                <w:color w:val="auto"/>
              </w:rPr>
              <w:t>Pennsylvania</w:t>
            </w:r>
          </w:p>
        </w:tc>
        <w:tc>
          <w:tcPr>
            <w:tcW w:w="900" w:type="dxa"/>
            <w:vAlign w:val="bottom"/>
            <w:shd w:val="clear" w:color="auto" w:fill="CCEEFF"/>
          </w:tcPr>
          <w:p>
            <w:pPr>
              <w:spacing w:after="0"/>
              <w:rPr>
                <w:sz w:val="14"/>
                <w:szCs w:val="14"/>
                <w:color w:val="auto"/>
              </w:rPr>
            </w:pPr>
          </w:p>
        </w:tc>
        <w:tc>
          <w:tcPr>
            <w:tcW w:w="4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100</w:t>
            </w:r>
          </w:p>
        </w:tc>
        <w:tc>
          <w:tcPr>
            <w:tcW w:w="100" w:type="dxa"/>
            <w:vAlign w:val="bottom"/>
            <w:shd w:val="clear" w:color="auto" w:fill="CCEEFF"/>
          </w:tcPr>
          <w:p>
            <w:pPr>
              <w:spacing w:after="0"/>
              <w:rPr>
                <w:sz w:val="14"/>
                <w:szCs w:val="14"/>
                <w:color w:val="auto"/>
              </w:rPr>
            </w:pPr>
          </w:p>
        </w:tc>
        <w:tc>
          <w:tcPr>
            <w:tcW w:w="300" w:type="dxa"/>
            <w:vAlign w:val="bottom"/>
            <w:shd w:val="clear" w:color="auto" w:fill="CCEEFF"/>
          </w:tcPr>
          <w:p>
            <w:pPr>
              <w:spacing w:after="0"/>
              <w:rPr>
                <w:sz w:val="14"/>
                <w:szCs w:val="14"/>
                <w:color w:val="auto"/>
              </w:rPr>
            </w:pPr>
          </w:p>
        </w:tc>
        <w:tc>
          <w:tcPr>
            <w:tcW w:w="10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w:t>
            </w:r>
          </w:p>
        </w:tc>
        <w:tc>
          <w:tcPr>
            <w:tcW w:w="80" w:type="dxa"/>
            <w:vAlign w:val="bottom"/>
            <w:shd w:val="clear" w:color="auto" w:fill="CCEEFF"/>
          </w:tcPr>
          <w:p>
            <w:pPr>
              <w:spacing w:after="0"/>
              <w:rPr>
                <w:sz w:val="14"/>
                <w:szCs w:val="14"/>
                <w:color w:val="auto"/>
              </w:rPr>
            </w:pPr>
          </w:p>
        </w:tc>
        <w:tc>
          <w:tcPr>
            <w:tcW w:w="320" w:type="dxa"/>
            <w:vAlign w:val="bottom"/>
            <w:shd w:val="clear" w:color="auto" w:fill="CCEEFF"/>
          </w:tcPr>
          <w:p>
            <w:pPr>
              <w:spacing w:after="0"/>
              <w:rPr>
                <w:sz w:val="14"/>
                <w:szCs w:val="14"/>
                <w:color w:val="auto"/>
              </w:rPr>
            </w:pPr>
          </w:p>
        </w:tc>
        <w:tc>
          <w:tcPr>
            <w:tcW w:w="10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w:t>
            </w:r>
          </w:p>
        </w:tc>
      </w:tr>
      <w:tr>
        <w:trPr>
          <w:trHeight w:val="168"/>
        </w:trPr>
        <w:tc>
          <w:tcPr>
            <w:tcW w:w="7080" w:type="dxa"/>
            <w:vAlign w:val="bottom"/>
          </w:tcPr>
          <w:p>
            <w:pPr>
              <w:ind w:left="100"/>
              <w:spacing w:after="0"/>
              <w:rPr>
                <w:sz w:val="20"/>
                <w:szCs w:val="20"/>
                <w:color w:val="auto"/>
              </w:rPr>
            </w:pPr>
            <w:r>
              <w:rPr>
                <w:rFonts w:ascii="Times New Roman" w:cs="Times New Roman" w:eastAsia="Times New Roman" w:hAnsi="Times New Roman"/>
                <w:sz w:val="13"/>
                <w:szCs w:val="13"/>
                <w:color w:val="auto"/>
              </w:rPr>
              <w:t>Texas</w:t>
            </w:r>
          </w:p>
        </w:tc>
        <w:tc>
          <w:tcPr>
            <w:tcW w:w="900" w:type="dxa"/>
            <w:vAlign w:val="bottom"/>
          </w:tcPr>
          <w:p>
            <w:pPr>
              <w:spacing w:after="0"/>
              <w:rPr>
                <w:sz w:val="14"/>
                <w:szCs w:val="14"/>
                <w:color w:val="auto"/>
              </w:rPr>
            </w:pPr>
          </w:p>
        </w:tc>
        <w:tc>
          <w:tcPr>
            <w:tcW w:w="44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119</w:t>
            </w:r>
          </w:p>
        </w:tc>
        <w:tc>
          <w:tcPr>
            <w:tcW w:w="100" w:type="dxa"/>
            <w:vAlign w:val="bottom"/>
          </w:tcPr>
          <w:p>
            <w:pPr>
              <w:spacing w:after="0"/>
              <w:rPr>
                <w:sz w:val="14"/>
                <w:szCs w:val="14"/>
                <w:color w:val="auto"/>
              </w:rPr>
            </w:pPr>
          </w:p>
        </w:tc>
        <w:tc>
          <w:tcPr>
            <w:tcW w:w="300" w:type="dxa"/>
            <w:vAlign w:val="bottom"/>
          </w:tcPr>
          <w:p>
            <w:pPr>
              <w:spacing w:after="0"/>
              <w:rPr>
                <w:sz w:val="14"/>
                <w:szCs w:val="14"/>
                <w:color w:val="auto"/>
              </w:rPr>
            </w:pPr>
          </w:p>
        </w:tc>
        <w:tc>
          <w:tcPr>
            <w:tcW w:w="104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w:t>
            </w:r>
          </w:p>
        </w:tc>
        <w:tc>
          <w:tcPr>
            <w:tcW w:w="80" w:type="dxa"/>
            <w:vAlign w:val="bottom"/>
          </w:tcPr>
          <w:p>
            <w:pPr>
              <w:spacing w:after="0"/>
              <w:rPr>
                <w:sz w:val="14"/>
                <w:szCs w:val="14"/>
                <w:color w:val="auto"/>
              </w:rPr>
            </w:pPr>
          </w:p>
        </w:tc>
        <w:tc>
          <w:tcPr>
            <w:tcW w:w="320" w:type="dxa"/>
            <w:vAlign w:val="bottom"/>
          </w:tcPr>
          <w:p>
            <w:pPr>
              <w:spacing w:after="0"/>
              <w:rPr>
                <w:sz w:val="14"/>
                <w:szCs w:val="14"/>
                <w:color w:val="auto"/>
              </w:rPr>
            </w:pPr>
          </w:p>
        </w:tc>
        <w:tc>
          <w:tcPr>
            <w:tcW w:w="102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146</w:t>
            </w:r>
          </w:p>
        </w:tc>
      </w:tr>
      <w:tr>
        <w:trPr>
          <w:trHeight w:val="172"/>
        </w:trPr>
        <w:tc>
          <w:tcPr>
            <w:tcW w:w="7080" w:type="dxa"/>
            <w:vAlign w:val="bottom"/>
            <w:shd w:val="clear" w:color="auto" w:fill="CCEEFF"/>
          </w:tcPr>
          <w:p>
            <w:pPr>
              <w:ind w:left="100"/>
              <w:spacing w:after="0"/>
              <w:rPr>
                <w:sz w:val="20"/>
                <w:szCs w:val="20"/>
                <w:color w:val="auto"/>
              </w:rPr>
            </w:pPr>
            <w:r>
              <w:rPr>
                <w:rFonts w:ascii="Times New Roman" w:cs="Times New Roman" w:eastAsia="Times New Roman" w:hAnsi="Times New Roman"/>
                <w:sz w:val="13"/>
                <w:szCs w:val="13"/>
                <w:color w:val="auto"/>
              </w:rPr>
              <w:t>Other</w:t>
            </w:r>
          </w:p>
        </w:tc>
        <w:tc>
          <w:tcPr>
            <w:tcW w:w="900" w:type="dxa"/>
            <w:vAlign w:val="bottom"/>
            <w:tcBorders>
              <w:bottom w:val="single" w:sz="8" w:color="auto"/>
            </w:tcBorders>
            <w:shd w:val="clear" w:color="auto" w:fill="CCEEFF"/>
          </w:tcPr>
          <w:p>
            <w:pPr>
              <w:spacing w:after="0"/>
              <w:rPr>
                <w:sz w:val="14"/>
                <w:szCs w:val="14"/>
                <w:color w:val="auto"/>
              </w:rPr>
            </w:pPr>
          </w:p>
        </w:tc>
        <w:tc>
          <w:tcPr>
            <w:tcW w:w="4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105</w:t>
            </w:r>
          </w:p>
        </w:tc>
        <w:tc>
          <w:tcPr>
            <w:tcW w:w="100" w:type="dxa"/>
            <w:vAlign w:val="bottom"/>
            <w:shd w:val="clear" w:color="auto" w:fill="CCEEFF"/>
          </w:tcPr>
          <w:p>
            <w:pPr>
              <w:spacing w:after="0"/>
              <w:rPr>
                <w:sz w:val="14"/>
                <w:szCs w:val="14"/>
                <w:color w:val="auto"/>
              </w:rPr>
            </w:pPr>
          </w:p>
        </w:tc>
        <w:tc>
          <w:tcPr>
            <w:tcW w:w="300" w:type="dxa"/>
            <w:vAlign w:val="bottom"/>
            <w:tcBorders>
              <w:bottom w:val="single" w:sz="8" w:color="auto"/>
            </w:tcBorders>
            <w:shd w:val="clear" w:color="auto" w:fill="CCEEFF"/>
          </w:tcPr>
          <w:p>
            <w:pPr>
              <w:spacing w:after="0"/>
              <w:rPr>
                <w:sz w:val="14"/>
                <w:szCs w:val="14"/>
                <w:color w:val="auto"/>
              </w:rPr>
            </w:pPr>
          </w:p>
        </w:tc>
        <w:tc>
          <w:tcPr>
            <w:tcW w:w="10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428</w:t>
            </w:r>
          </w:p>
        </w:tc>
        <w:tc>
          <w:tcPr>
            <w:tcW w:w="80" w:type="dxa"/>
            <w:vAlign w:val="bottom"/>
            <w:shd w:val="clear" w:color="auto" w:fill="CCEEFF"/>
          </w:tcPr>
          <w:p>
            <w:pPr>
              <w:spacing w:after="0"/>
              <w:rPr>
                <w:sz w:val="14"/>
                <w:szCs w:val="14"/>
                <w:color w:val="auto"/>
              </w:rPr>
            </w:pPr>
          </w:p>
        </w:tc>
        <w:tc>
          <w:tcPr>
            <w:tcW w:w="320" w:type="dxa"/>
            <w:vAlign w:val="bottom"/>
            <w:tcBorders>
              <w:bottom w:val="single" w:sz="8" w:color="auto"/>
            </w:tcBorders>
            <w:shd w:val="clear" w:color="auto" w:fill="CCEEFF"/>
          </w:tcPr>
          <w:p>
            <w:pPr>
              <w:spacing w:after="0"/>
              <w:rPr>
                <w:sz w:val="14"/>
                <w:szCs w:val="14"/>
                <w:color w:val="auto"/>
              </w:rPr>
            </w:pPr>
          </w:p>
        </w:tc>
        <w:tc>
          <w:tcPr>
            <w:tcW w:w="10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175</w:t>
            </w:r>
          </w:p>
        </w:tc>
      </w:tr>
      <w:tr>
        <w:trPr>
          <w:trHeight w:val="158"/>
        </w:trPr>
        <w:tc>
          <w:tcPr>
            <w:tcW w:w="7080" w:type="dxa"/>
            <w:vAlign w:val="bottom"/>
          </w:tcPr>
          <w:p>
            <w:pPr>
              <w:ind w:left="20"/>
              <w:spacing w:after="0" w:line="147" w:lineRule="exact"/>
              <w:rPr>
                <w:sz w:val="20"/>
                <w:szCs w:val="20"/>
                <w:color w:val="auto"/>
              </w:rPr>
            </w:pPr>
            <w:r>
              <w:rPr>
                <w:rFonts w:ascii="Times New Roman" w:cs="Times New Roman" w:eastAsia="Times New Roman" w:hAnsi="Times New Roman"/>
                <w:sz w:val="13"/>
                <w:szCs w:val="13"/>
                <w:b w:val="1"/>
                <w:bCs w:val="1"/>
                <w:color w:val="auto"/>
              </w:rPr>
              <w:t>Total</w:t>
            </w:r>
          </w:p>
        </w:tc>
        <w:tc>
          <w:tcPr>
            <w:tcW w:w="900" w:type="dxa"/>
            <w:vAlign w:val="bottom"/>
            <w:tcBorders>
              <w:bottom w:val="single" w:sz="8" w:color="auto"/>
            </w:tcBorders>
          </w:tcPr>
          <w:p>
            <w:pPr>
              <w:jc w:val="right"/>
              <w:ind w:right="756"/>
              <w:spacing w:after="0"/>
              <w:rPr>
                <w:sz w:val="20"/>
                <w:szCs w:val="20"/>
                <w:color w:val="auto"/>
              </w:rPr>
            </w:pPr>
            <w:r>
              <w:rPr>
                <w:rFonts w:ascii="Times New Roman" w:cs="Times New Roman" w:eastAsia="Times New Roman" w:hAnsi="Times New Roman"/>
                <w:sz w:val="13"/>
                <w:szCs w:val="13"/>
                <w:color w:val="auto"/>
                <w:w w:val="91"/>
              </w:rPr>
              <w:t>$</w:t>
            </w:r>
          </w:p>
        </w:tc>
        <w:tc>
          <w:tcPr>
            <w:tcW w:w="4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3"/>
                <w:szCs w:val="13"/>
                <w:color w:val="auto"/>
              </w:rPr>
              <w:t>1,019</w:t>
            </w:r>
          </w:p>
        </w:tc>
        <w:tc>
          <w:tcPr>
            <w:tcW w:w="100" w:type="dxa"/>
            <w:vAlign w:val="bottom"/>
          </w:tcPr>
          <w:p>
            <w:pPr>
              <w:spacing w:after="0"/>
              <w:rPr>
                <w:sz w:val="13"/>
                <w:szCs w:val="13"/>
                <w:color w:val="auto"/>
              </w:rPr>
            </w:pPr>
          </w:p>
        </w:tc>
        <w:tc>
          <w:tcPr>
            <w:tcW w:w="300" w:type="dxa"/>
            <w:vAlign w:val="bottom"/>
            <w:tcBorders>
              <w:bottom w:val="single" w:sz="8" w:color="auto"/>
            </w:tcBorders>
          </w:tcPr>
          <w:p>
            <w:pPr>
              <w:jc w:val="right"/>
              <w:ind w:right="156"/>
              <w:spacing w:after="0"/>
              <w:rPr>
                <w:sz w:val="20"/>
                <w:szCs w:val="20"/>
                <w:color w:val="auto"/>
              </w:rPr>
            </w:pPr>
            <w:r>
              <w:rPr>
                <w:rFonts w:ascii="Times New Roman" w:cs="Times New Roman" w:eastAsia="Times New Roman" w:hAnsi="Times New Roman"/>
                <w:sz w:val="13"/>
                <w:szCs w:val="13"/>
                <w:color w:val="auto"/>
                <w:w w:val="91"/>
              </w:rPr>
              <w:t>$</w:t>
            </w:r>
          </w:p>
        </w:tc>
        <w:tc>
          <w:tcPr>
            <w:tcW w:w="10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3"/>
                <w:szCs w:val="13"/>
                <w:color w:val="auto"/>
              </w:rPr>
              <w:t>3,431</w:t>
            </w:r>
          </w:p>
        </w:tc>
        <w:tc>
          <w:tcPr>
            <w:tcW w:w="80" w:type="dxa"/>
            <w:vAlign w:val="bottom"/>
          </w:tcPr>
          <w:p>
            <w:pPr>
              <w:spacing w:after="0"/>
              <w:rPr>
                <w:sz w:val="13"/>
                <w:szCs w:val="13"/>
                <w:color w:val="auto"/>
              </w:rPr>
            </w:pPr>
          </w:p>
        </w:tc>
        <w:tc>
          <w:tcPr>
            <w:tcW w:w="320" w:type="dxa"/>
            <w:vAlign w:val="bottom"/>
            <w:tcBorders>
              <w:bottom w:val="single" w:sz="8" w:color="auto"/>
            </w:tcBorders>
          </w:tcPr>
          <w:p>
            <w:pPr>
              <w:jc w:val="right"/>
              <w:ind w:right="176"/>
              <w:spacing w:after="0"/>
              <w:rPr>
                <w:sz w:val="20"/>
                <w:szCs w:val="20"/>
                <w:color w:val="auto"/>
              </w:rPr>
            </w:pPr>
            <w:r>
              <w:rPr>
                <w:rFonts w:ascii="Times New Roman" w:cs="Times New Roman" w:eastAsia="Times New Roman" w:hAnsi="Times New Roman"/>
                <w:sz w:val="13"/>
                <w:szCs w:val="13"/>
                <w:color w:val="auto"/>
                <w:w w:val="91"/>
              </w:rPr>
              <w:t>$</w:t>
            </w:r>
          </w:p>
        </w:tc>
        <w:tc>
          <w:tcPr>
            <w:tcW w:w="10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3"/>
                <w:szCs w:val="13"/>
                <w:color w:val="auto"/>
              </w:rPr>
              <w:t>1,594</w:t>
            </w:r>
          </w:p>
        </w:tc>
      </w:tr>
      <w:tr>
        <w:trPr>
          <w:trHeight w:val="20"/>
        </w:trPr>
        <w:tc>
          <w:tcPr>
            <w:tcW w:w="7080" w:type="dxa"/>
            <w:vAlign w:val="bottom"/>
          </w:tcPr>
          <w:p>
            <w:pPr>
              <w:spacing w:after="0" w:line="20" w:lineRule="exact"/>
              <w:rPr>
                <w:sz w:val="1"/>
                <w:szCs w:val="1"/>
                <w:color w:val="auto"/>
              </w:rPr>
            </w:pPr>
          </w:p>
        </w:tc>
        <w:tc>
          <w:tcPr>
            <w:tcW w:w="900" w:type="dxa"/>
            <w:vAlign w:val="bottom"/>
            <w:tcBorders>
              <w:bottom w:val="single" w:sz="8" w:color="auto"/>
            </w:tcBorders>
          </w:tcPr>
          <w:p>
            <w:pPr>
              <w:spacing w:after="0" w:line="20" w:lineRule="exact"/>
              <w:rPr>
                <w:sz w:val="1"/>
                <w:szCs w:val="1"/>
                <w:color w:val="auto"/>
              </w:rPr>
            </w:pPr>
          </w:p>
        </w:tc>
        <w:tc>
          <w:tcPr>
            <w:tcW w:w="44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00" w:type="dxa"/>
            <w:vAlign w:val="bottom"/>
            <w:tcBorders>
              <w:bottom w:val="single" w:sz="8" w:color="auto"/>
            </w:tcBorders>
          </w:tcPr>
          <w:p>
            <w:pPr>
              <w:spacing w:after="0" w:line="20" w:lineRule="exact"/>
              <w:rPr>
                <w:sz w:val="1"/>
                <w:szCs w:val="1"/>
                <w:color w:val="auto"/>
              </w:rPr>
            </w:pPr>
          </w:p>
        </w:tc>
        <w:tc>
          <w:tcPr>
            <w:tcW w:w="104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320" w:type="dxa"/>
            <w:vAlign w:val="bottom"/>
            <w:tcBorders>
              <w:bottom w:val="single" w:sz="8" w:color="auto"/>
            </w:tcBorders>
          </w:tcPr>
          <w:p>
            <w:pPr>
              <w:spacing w:after="0" w:line="20" w:lineRule="exact"/>
              <w:rPr>
                <w:sz w:val="1"/>
                <w:szCs w:val="1"/>
                <w:color w:val="auto"/>
              </w:rPr>
            </w:pPr>
          </w:p>
        </w:tc>
        <w:tc>
          <w:tcPr>
            <w:tcW w:w="1020" w:type="dxa"/>
            <w:vAlign w:val="bottom"/>
            <w:tcBorders>
              <w:bottom w:val="single" w:sz="8" w:color="auto"/>
            </w:tcBorders>
          </w:tcPr>
          <w:p>
            <w:pPr>
              <w:spacing w:after="0" w:line="20" w:lineRule="exact"/>
              <w:rPr>
                <w:sz w:val="1"/>
                <w:szCs w:val="1"/>
                <w:color w:val="auto"/>
              </w:rPr>
            </w:pPr>
          </w:p>
        </w:tc>
      </w:tr>
    </w:tbl>
    <w:p>
      <w:pPr>
        <w:spacing w:after="0" w:line="33" w:lineRule="exact"/>
        <w:rPr>
          <w:sz w:val="20"/>
          <w:szCs w:val="20"/>
          <w:color w:val="auto"/>
        </w:rPr>
      </w:pPr>
    </w:p>
    <w:p>
      <w:pPr>
        <w:ind w:left="80" w:hanging="75"/>
        <w:spacing w:after="0"/>
        <w:tabs>
          <w:tab w:leader="none" w:pos="80" w:val="left"/>
        </w:tabs>
        <w:numPr>
          <w:ilvl w:val="0"/>
          <w:numId w:val="25"/>
        </w:numPr>
        <w:rPr>
          <w:rFonts w:ascii="Times New Roman" w:cs="Times New Roman" w:eastAsia="Times New Roman" w:hAnsi="Times New Roman"/>
          <w:sz w:val="18"/>
          <w:szCs w:val="18"/>
          <w:color w:val="auto"/>
          <w:vertAlign w:val="superscript"/>
        </w:rPr>
      </w:pPr>
      <w:r>
        <w:rPr>
          <w:rFonts w:ascii="Times New Roman" w:cs="Times New Roman" w:eastAsia="Times New Roman" w:hAnsi="Times New Roman"/>
          <w:sz w:val="13"/>
          <w:szCs w:val="13"/>
          <w:color w:val="auto"/>
        </w:rPr>
        <w:t>The amount of income taxes paid during the year does not meet the 5% disaggregation threshold.</w:t>
      </w:r>
    </w:p>
    <w:p>
      <w:pPr>
        <w:spacing w:after="0" w:line="264"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b w:val="1"/>
          <w:bCs w:val="1"/>
          <w:i w:val="1"/>
          <w:iCs w:val="1"/>
          <w:color w:val="auto"/>
        </w:rPr>
        <w:t>Deferred Income Taxes</w:t>
      </w:r>
    </w:p>
    <w:p>
      <w:pPr>
        <w:spacing w:after="0" w:line="96" w:lineRule="exact"/>
        <w:rPr>
          <w:sz w:val="20"/>
          <w:szCs w:val="20"/>
          <w:color w:val="auto"/>
        </w:rPr>
      </w:pPr>
    </w:p>
    <w:p>
      <w:pPr>
        <w:ind w:left="380"/>
        <w:spacing w:after="0"/>
        <w:rPr>
          <w:sz w:val="20"/>
          <w:szCs w:val="20"/>
          <w:color w:val="auto"/>
        </w:rPr>
      </w:pPr>
      <w:r>
        <w:rPr>
          <w:rFonts w:ascii="Times New Roman" w:cs="Times New Roman" w:eastAsia="Times New Roman" w:hAnsi="Times New Roman"/>
          <w:sz w:val="14"/>
          <w:szCs w:val="14"/>
          <w:color w:val="auto"/>
        </w:rPr>
        <w:t>The tax effects of temporary differences that give rise to the deferred tax assets and deferred tax liabilities are presented below (in thousands).</w:t>
      </w:r>
    </w:p>
    <w:p>
      <w:pPr>
        <w:spacing w:after="0" w:line="43" w:lineRule="exact"/>
        <w:rPr>
          <w:sz w:val="20"/>
          <w:szCs w:val="20"/>
          <w:color w:val="auto"/>
        </w:rPr>
      </w:pPr>
    </w:p>
    <w:tbl>
      <w:tblPr>
        <w:tblLayout w:type="fixed"/>
        <w:tblInd w:w="0" w:type="dxa"/>
        <w:tblCellMar>
          <w:top w:w="0" w:type="dxa"/>
          <w:left w:w="0" w:type="dxa"/>
          <w:bottom w:w="0" w:type="dxa"/>
          <w:right w:w="0" w:type="dxa"/>
        </w:tblCellMar>
      </w:tblPr>
      <w:tr>
        <w:trPr>
          <w:trHeight w:val="170"/>
        </w:trPr>
        <w:tc>
          <w:tcPr>
            <w:tcW w:w="8980" w:type="dxa"/>
            <w:vAlign w:val="bottom"/>
          </w:tcPr>
          <w:p>
            <w:pPr>
              <w:spacing w:after="0"/>
              <w:rPr>
                <w:sz w:val="14"/>
                <w:szCs w:val="14"/>
                <w:color w:val="auto"/>
              </w:rPr>
            </w:pPr>
          </w:p>
        </w:tc>
        <w:tc>
          <w:tcPr>
            <w:tcW w:w="1900" w:type="dxa"/>
            <w:vAlign w:val="bottom"/>
            <w:tcBorders>
              <w:bottom w:val="single" w:sz="8" w:color="auto"/>
            </w:tcBorders>
            <w:gridSpan w:val="4"/>
          </w:tcPr>
          <w:p>
            <w:pPr>
              <w:jc w:val="right"/>
              <w:ind w:right="156"/>
              <w:spacing w:after="0"/>
              <w:rPr>
                <w:sz w:val="20"/>
                <w:szCs w:val="20"/>
                <w:color w:val="auto"/>
              </w:rPr>
            </w:pPr>
            <w:r>
              <w:rPr>
                <w:rFonts w:ascii="Times New Roman" w:cs="Times New Roman" w:eastAsia="Times New Roman" w:hAnsi="Times New Roman"/>
                <w:sz w:val="13"/>
                <w:szCs w:val="13"/>
                <w:b w:val="1"/>
                <w:bCs w:val="1"/>
                <w:color w:val="auto"/>
              </w:rPr>
              <w:t>As of December 31,</w:t>
            </w:r>
          </w:p>
        </w:tc>
        <w:tc>
          <w:tcPr>
            <w:tcW w:w="400" w:type="dxa"/>
            <w:vAlign w:val="bottom"/>
            <w:tcBorders>
              <w:bottom w:val="single" w:sz="8" w:color="auto"/>
            </w:tcBorders>
          </w:tcPr>
          <w:p>
            <w:pPr>
              <w:spacing w:after="0"/>
              <w:rPr>
                <w:sz w:val="14"/>
                <w:szCs w:val="14"/>
                <w:color w:val="auto"/>
              </w:rPr>
            </w:pPr>
          </w:p>
        </w:tc>
      </w:tr>
      <w:tr>
        <w:trPr>
          <w:trHeight w:val="161"/>
        </w:trPr>
        <w:tc>
          <w:tcPr>
            <w:tcW w:w="8980" w:type="dxa"/>
            <w:vAlign w:val="bottom"/>
            <w:tcBorders>
              <w:bottom w:val="single" w:sz="8" w:color="CCEEFF"/>
            </w:tcBorders>
          </w:tcPr>
          <w:p>
            <w:pPr>
              <w:spacing w:after="0"/>
              <w:rPr>
                <w:sz w:val="14"/>
                <w:szCs w:val="14"/>
                <w:color w:val="auto"/>
              </w:rPr>
            </w:pPr>
          </w:p>
        </w:tc>
        <w:tc>
          <w:tcPr>
            <w:tcW w:w="7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3"/>
                <w:szCs w:val="13"/>
                <w:b w:val="1"/>
                <w:bCs w:val="1"/>
                <w:color w:val="auto"/>
              </w:rPr>
              <w:t>2025</w:t>
            </w:r>
          </w:p>
        </w:tc>
        <w:tc>
          <w:tcPr>
            <w:tcW w:w="400" w:type="dxa"/>
            <w:vAlign w:val="bottom"/>
            <w:tcBorders>
              <w:bottom w:val="single" w:sz="8" w:color="auto"/>
            </w:tcBorders>
          </w:tcPr>
          <w:p>
            <w:pPr>
              <w:spacing w:after="0"/>
              <w:rPr>
                <w:sz w:val="14"/>
                <w:szCs w:val="14"/>
                <w:color w:val="auto"/>
              </w:rPr>
            </w:pPr>
          </w:p>
        </w:tc>
        <w:tc>
          <w:tcPr>
            <w:tcW w:w="100" w:type="dxa"/>
            <w:vAlign w:val="bottom"/>
            <w:tcBorders>
              <w:bottom w:val="single" w:sz="8" w:color="CCEEFF"/>
            </w:tcBorders>
          </w:tcPr>
          <w:p>
            <w:pPr>
              <w:spacing w:after="0"/>
              <w:rPr>
                <w:sz w:val="14"/>
                <w:szCs w:val="14"/>
                <w:color w:val="auto"/>
              </w:rPr>
            </w:pPr>
          </w:p>
        </w:tc>
        <w:tc>
          <w:tcPr>
            <w:tcW w:w="7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3"/>
                <w:szCs w:val="13"/>
                <w:b w:val="1"/>
                <w:bCs w:val="1"/>
                <w:color w:val="auto"/>
              </w:rPr>
              <w:t>2024</w:t>
            </w:r>
          </w:p>
        </w:tc>
        <w:tc>
          <w:tcPr>
            <w:tcW w:w="400" w:type="dxa"/>
            <w:vAlign w:val="bottom"/>
            <w:tcBorders>
              <w:bottom w:val="single" w:sz="8" w:color="auto"/>
            </w:tcBorders>
          </w:tcPr>
          <w:p>
            <w:pPr>
              <w:spacing w:after="0"/>
              <w:rPr>
                <w:sz w:val="14"/>
                <w:szCs w:val="14"/>
                <w:color w:val="auto"/>
              </w:rPr>
            </w:pPr>
          </w:p>
        </w:tc>
      </w:tr>
      <w:tr>
        <w:trPr>
          <w:trHeight w:val="162"/>
        </w:trPr>
        <w:tc>
          <w:tcPr>
            <w:tcW w:w="898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3"/>
                <w:szCs w:val="13"/>
                <w:b w:val="1"/>
                <w:bCs w:val="1"/>
                <w:color w:val="auto"/>
              </w:rPr>
              <w:t>Deferred tax assets:</w:t>
            </w:r>
          </w:p>
        </w:tc>
        <w:tc>
          <w:tcPr>
            <w:tcW w:w="700" w:type="dxa"/>
            <w:vAlign w:val="bottom"/>
            <w:shd w:val="clear" w:color="auto" w:fill="CCEEFF"/>
          </w:tcPr>
          <w:p>
            <w:pPr>
              <w:spacing w:after="0"/>
              <w:rPr>
                <w:sz w:val="14"/>
                <w:szCs w:val="14"/>
                <w:color w:val="auto"/>
              </w:rPr>
            </w:pPr>
          </w:p>
        </w:tc>
        <w:tc>
          <w:tcPr>
            <w:tcW w:w="40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700" w:type="dxa"/>
            <w:vAlign w:val="bottom"/>
            <w:shd w:val="clear" w:color="auto" w:fill="CCEEFF"/>
          </w:tcPr>
          <w:p>
            <w:pPr>
              <w:spacing w:after="0"/>
              <w:rPr>
                <w:sz w:val="14"/>
                <w:szCs w:val="14"/>
                <w:color w:val="auto"/>
              </w:rPr>
            </w:pPr>
          </w:p>
        </w:tc>
        <w:tc>
          <w:tcPr>
            <w:tcW w:w="400" w:type="dxa"/>
            <w:vAlign w:val="bottom"/>
            <w:shd w:val="clear" w:color="auto" w:fill="CCEEFF"/>
          </w:tcPr>
          <w:p>
            <w:pPr>
              <w:spacing w:after="0"/>
              <w:rPr>
                <w:sz w:val="14"/>
                <w:szCs w:val="14"/>
                <w:color w:val="auto"/>
              </w:rPr>
            </w:pPr>
          </w:p>
        </w:tc>
      </w:tr>
      <w:tr>
        <w:trPr>
          <w:trHeight w:val="168"/>
        </w:trPr>
        <w:tc>
          <w:tcPr>
            <w:tcW w:w="8980" w:type="dxa"/>
            <w:vAlign w:val="bottom"/>
          </w:tcPr>
          <w:p>
            <w:pPr>
              <w:ind w:left="360"/>
              <w:spacing w:after="0"/>
              <w:rPr>
                <w:sz w:val="20"/>
                <w:szCs w:val="20"/>
                <w:color w:val="auto"/>
              </w:rPr>
            </w:pPr>
            <w:r>
              <w:rPr>
                <w:rFonts w:ascii="Times New Roman" w:cs="Times New Roman" w:eastAsia="Times New Roman" w:hAnsi="Times New Roman"/>
                <w:sz w:val="13"/>
                <w:szCs w:val="13"/>
                <w:color w:val="auto"/>
              </w:rPr>
              <w:t>Stock-based compensation expense</w:t>
            </w:r>
          </w:p>
        </w:tc>
        <w:tc>
          <w:tcPr>
            <w:tcW w:w="700" w:type="dxa"/>
            <w:vAlign w:val="bottom"/>
          </w:tcPr>
          <w:p>
            <w:pPr>
              <w:jc w:val="right"/>
              <w:ind w:right="582"/>
              <w:spacing w:after="0"/>
              <w:rPr>
                <w:sz w:val="20"/>
                <w:szCs w:val="20"/>
                <w:color w:val="auto"/>
              </w:rPr>
            </w:pPr>
            <w:r>
              <w:rPr>
                <w:rFonts w:ascii="Times New Roman" w:cs="Times New Roman" w:eastAsia="Times New Roman" w:hAnsi="Times New Roman"/>
                <w:sz w:val="11"/>
                <w:szCs w:val="11"/>
                <w:color w:val="auto"/>
                <w:w w:val="71"/>
              </w:rPr>
              <w:t>$</w:t>
            </w:r>
          </w:p>
        </w:tc>
        <w:tc>
          <w:tcPr>
            <w:tcW w:w="40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1,059</w:t>
            </w:r>
          </w:p>
        </w:tc>
        <w:tc>
          <w:tcPr>
            <w:tcW w:w="100" w:type="dxa"/>
            <w:vAlign w:val="bottom"/>
          </w:tcPr>
          <w:p>
            <w:pPr>
              <w:spacing w:after="0"/>
              <w:rPr>
                <w:sz w:val="14"/>
                <w:szCs w:val="14"/>
                <w:color w:val="auto"/>
              </w:rPr>
            </w:pPr>
          </w:p>
        </w:tc>
        <w:tc>
          <w:tcPr>
            <w:tcW w:w="700" w:type="dxa"/>
            <w:vAlign w:val="bottom"/>
          </w:tcPr>
          <w:p>
            <w:pPr>
              <w:jc w:val="right"/>
              <w:ind w:right="556"/>
              <w:spacing w:after="0"/>
              <w:rPr>
                <w:sz w:val="20"/>
                <w:szCs w:val="20"/>
                <w:color w:val="auto"/>
              </w:rPr>
            </w:pPr>
            <w:r>
              <w:rPr>
                <w:rFonts w:ascii="Times New Roman" w:cs="Times New Roman" w:eastAsia="Times New Roman" w:hAnsi="Times New Roman"/>
                <w:sz w:val="13"/>
                <w:szCs w:val="13"/>
                <w:color w:val="auto"/>
                <w:w w:val="91"/>
              </w:rPr>
              <w:t>$</w:t>
            </w:r>
          </w:p>
        </w:tc>
        <w:tc>
          <w:tcPr>
            <w:tcW w:w="40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1,156</w:t>
            </w:r>
          </w:p>
        </w:tc>
      </w:tr>
      <w:tr>
        <w:trPr>
          <w:trHeight w:val="172"/>
        </w:trPr>
        <w:tc>
          <w:tcPr>
            <w:tcW w:w="8980" w:type="dxa"/>
            <w:vAlign w:val="bottom"/>
            <w:shd w:val="clear" w:color="auto" w:fill="CCEEFF"/>
          </w:tcPr>
          <w:p>
            <w:pPr>
              <w:ind w:left="360"/>
              <w:spacing w:after="0"/>
              <w:rPr>
                <w:sz w:val="20"/>
                <w:szCs w:val="20"/>
                <w:color w:val="auto"/>
              </w:rPr>
            </w:pPr>
            <w:r>
              <w:rPr>
                <w:rFonts w:ascii="Times New Roman" w:cs="Times New Roman" w:eastAsia="Times New Roman" w:hAnsi="Times New Roman"/>
                <w:sz w:val="13"/>
                <w:szCs w:val="13"/>
                <w:color w:val="auto"/>
              </w:rPr>
              <w:t>Operating lease liabilities</w:t>
            </w:r>
          </w:p>
        </w:tc>
        <w:tc>
          <w:tcPr>
            <w:tcW w:w="700" w:type="dxa"/>
            <w:vAlign w:val="bottom"/>
            <w:shd w:val="clear" w:color="auto" w:fill="CCEEFF"/>
          </w:tcPr>
          <w:p>
            <w:pPr>
              <w:spacing w:after="0"/>
              <w:rPr>
                <w:sz w:val="14"/>
                <w:szCs w:val="14"/>
                <w:color w:val="auto"/>
              </w:rPr>
            </w:pPr>
          </w:p>
        </w:tc>
        <w:tc>
          <w:tcPr>
            <w:tcW w:w="4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2,370</w:t>
            </w:r>
          </w:p>
        </w:tc>
        <w:tc>
          <w:tcPr>
            <w:tcW w:w="100" w:type="dxa"/>
            <w:vAlign w:val="bottom"/>
            <w:shd w:val="clear" w:color="auto" w:fill="CCEEFF"/>
          </w:tcPr>
          <w:p>
            <w:pPr>
              <w:spacing w:after="0"/>
              <w:rPr>
                <w:sz w:val="14"/>
                <w:szCs w:val="14"/>
                <w:color w:val="auto"/>
              </w:rPr>
            </w:pPr>
          </w:p>
        </w:tc>
        <w:tc>
          <w:tcPr>
            <w:tcW w:w="700" w:type="dxa"/>
            <w:vAlign w:val="bottom"/>
            <w:shd w:val="clear" w:color="auto" w:fill="CCEEFF"/>
          </w:tcPr>
          <w:p>
            <w:pPr>
              <w:spacing w:after="0"/>
              <w:rPr>
                <w:sz w:val="14"/>
                <w:szCs w:val="14"/>
                <w:color w:val="auto"/>
              </w:rPr>
            </w:pPr>
          </w:p>
        </w:tc>
        <w:tc>
          <w:tcPr>
            <w:tcW w:w="4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735</w:t>
            </w:r>
          </w:p>
        </w:tc>
      </w:tr>
      <w:tr>
        <w:trPr>
          <w:trHeight w:val="168"/>
        </w:trPr>
        <w:tc>
          <w:tcPr>
            <w:tcW w:w="8980" w:type="dxa"/>
            <w:vAlign w:val="bottom"/>
          </w:tcPr>
          <w:p>
            <w:pPr>
              <w:ind w:left="360"/>
              <w:spacing w:after="0"/>
              <w:rPr>
                <w:sz w:val="20"/>
                <w:szCs w:val="20"/>
                <w:color w:val="auto"/>
              </w:rPr>
            </w:pPr>
            <w:r>
              <w:rPr>
                <w:rFonts w:ascii="Times New Roman" w:cs="Times New Roman" w:eastAsia="Times New Roman" w:hAnsi="Times New Roman"/>
                <w:sz w:val="13"/>
                <w:szCs w:val="13"/>
                <w:color w:val="auto"/>
              </w:rPr>
              <w:t>Compensation and benefits payable</w:t>
            </w:r>
          </w:p>
        </w:tc>
        <w:tc>
          <w:tcPr>
            <w:tcW w:w="700" w:type="dxa"/>
            <w:vAlign w:val="bottom"/>
          </w:tcPr>
          <w:p>
            <w:pPr>
              <w:spacing w:after="0"/>
              <w:rPr>
                <w:sz w:val="14"/>
                <w:szCs w:val="14"/>
                <w:color w:val="auto"/>
              </w:rPr>
            </w:pPr>
          </w:p>
        </w:tc>
        <w:tc>
          <w:tcPr>
            <w:tcW w:w="40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2,582</w:t>
            </w:r>
          </w:p>
        </w:tc>
        <w:tc>
          <w:tcPr>
            <w:tcW w:w="100" w:type="dxa"/>
            <w:vAlign w:val="bottom"/>
          </w:tcPr>
          <w:p>
            <w:pPr>
              <w:spacing w:after="0"/>
              <w:rPr>
                <w:sz w:val="14"/>
                <w:szCs w:val="14"/>
                <w:color w:val="auto"/>
              </w:rPr>
            </w:pPr>
          </w:p>
        </w:tc>
        <w:tc>
          <w:tcPr>
            <w:tcW w:w="700" w:type="dxa"/>
            <w:vAlign w:val="bottom"/>
          </w:tcPr>
          <w:p>
            <w:pPr>
              <w:spacing w:after="0"/>
              <w:rPr>
                <w:sz w:val="14"/>
                <w:szCs w:val="14"/>
                <w:color w:val="auto"/>
              </w:rPr>
            </w:pPr>
          </w:p>
        </w:tc>
        <w:tc>
          <w:tcPr>
            <w:tcW w:w="40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1,867</w:t>
            </w:r>
          </w:p>
        </w:tc>
      </w:tr>
      <w:tr>
        <w:trPr>
          <w:trHeight w:val="172"/>
        </w:trPr>
        <w:tc>
          <w:tcPr>
            <w:tcW w:w="8980" w:type="dxa"/>
            <w:vAlign w:val="bottom"/>
            <w:shd w:val="clear" w:color="auto" w:fill="CCEEFF"/>
          </w:tcPr>
          <w:p>
            <w:pPr>
              <w:ind w:left="360"/>
              <w:spacing w:after="0"/>
              <w:rPr>
                <w:sz w:val="20"/>
                <w:szCs w:val="20"/>
                <w:color w:val="auto"/>
              </w:rPr>
            </w:pPr>
            <w:r>
              <w:rPr>
                <w:rFonts w:ascii="Times New Roman" w:cs="Times New Roman" w:eastAsia="Times New Roman" w:hAnsi="Times New Roman"/>
                <w:sz w:val="13"/>
                <w:szCs w:val="13"/>
                <w:color w:val="auto"/>
              </w:rPr>
              <w:t>Accrued contingent consideration</w:t>
            </w:r>
          </w:p>
        </w:tc>
        <w:tc>
          <w:tcPr>
            <w:tcW w:w="700" w:type="dxa"/>
            <w:vAlign w:val="bottom"/>
            <w:shd w:val="clear" w:color="auto" w:fill="CCEEFF"/>
          </w:tcPr>
          <w:p>
            <w:pPr>
              <w:spacing w:after="0"/>
              <w:rPr>
                <w:sz w:val="14"/>
                <w:szCs w:val="14"/>
                <w:color w:val="auto"/>
              </w:rPr>
            </w:pPr>
          </w:p>
        </w:tc>
        <w:tc>
          <w:tcPr>
            <w:tcW w:w="500" w:type="dxa"/>
            <w:vAlign w:val="bottom"/>
            <w:gridSpan w:val="2"/>
            <w:shd w:val="clear" w:color="auto" w:fill="CCEEFF"/>
          </w:tcPr>
          <w:p>
            <w:pPr>
              <w:jc w:val="right"/>
              <w:ind w:right="140"/>
              <w:spacing w:after="0"/>
              <w:rPr>
                <w:sz w:val="20"/>
                <w:szCs w:val="20"/>
                <w:color w:val="auto"/>
              </w:rPr>
            </w:pPr>
            <w:r>
              <w:rPr>
                <w:rFonts w:ascii="Times New Roman" w:cs="Times New Roman" w:eastAsia="Times New Roman" w:hAnsi="Times New Roman"/>
                <w:sz w:val="13"/>
                <w:szCs w:val="13"/>
                <w:color w:val="auto"/>
              </w:rPr>
              <w:t>—</w:t>
            </w:r>
          </w:p>
        </w:tc>
        <w:tc>
          <w:tcPr>
            <w:tcW w:w="700" w:type="dxa"/>
            <w:vAlign w:val="bottom"/>
            <w:shd w:val="clear" w:color="auto" w:fill="CCEEFF"/>
          </w:tcPr>
          <w:p>
            <w:pPr>
              <w:spacing w:after="0"/>
              <w:rPr>
                <w:sz w:val="14"/>
                <w:szCs w:val="14"/>
                <w:color w:val="auto"/>
              </w:rPr>
            </w:pPr>
          </w:p>
        </w:tc>
        <w:tc>
          <w:tcPr>
            <w:tcW w:w="4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490</w:t>
            </w:r>
          </w:p>
        </w:tc>
      </w:tr>
      <w:tr>
        <w:trPr>
          <w:trHeight w:val="168"/>
        </w:trPr>
        <w:tc>
          <w:tcPr>
            <w:tcW w:w="8980" w:type="dxa"/>
            <w:vAlign w:val="bottom"/>
          </w:tcPr>
          <w:p>
            <w:pPr>
              <w:ind w:left="360"/>
              <w:spacing w:after="0"/>
              <w:rPr>
                <w:sz w:val="20"/>
                <w:szCs w:val="20"/>
                <w:color w:val="auto"/>
              </w:rPr>
            </w:pPr>
            <w:r>
              <w:rPr>
                <w:rFonts w:ascii="Times New Roman" w:cs="Times New Roman" w:eastAsia="Times New Roman" w:hAnsi="Times New Roman"/>
                <w:sz w:val="13"/>
                <w:szCs w:val="13"/>
                <w:color w:val="auto"/>
              </w:rPr>
              <w:t>Deferred compensation</w:t>
            </w:r>
          </w:p>
        </w:tc>
        <w:tc>
          <w:tcPr>
            <w:tcW w:w="700" w:type="dxa"/>
            <w:vAlign w:val="bottom"/>
          </w:tcPr>
          <w:p>
            <w:pPr>
              <w:spacing w:after="0"/>
              <w:rPr>
                <w:sz w:val="14"/>
                <w:szCs w:val="14"/>
                <w:color w:val="auto"/>
              </w:rPr>
            </w:pPr>
          </w:p>
        </w:tc>
        <w:tc>
          <w:tcPr>
            <w:tcW w:w="40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473</w:t>
            </w:r>
          </w:p>
        </w:tc>
        <w:tc>
          <w:tcPr>
            <w:tcW w:w="100" w:type="dxa"/>
            <w:vAlign w:val="bottom"/>
          </w:tcPr>
          <w:p>
            <w:pPr>
              <w:spacing w:after="0"/>
              <w:rPr>
                <w:sz w:val="14"/>
                <w:szCs w:val="14"/>
                <w:color w:val="auto"/>
              </w:rPr>
            </w:pPr>
          </w:p>
        </w:tc>
        <w:tc>
          <w:tcPr>
            <w:tcW w:w="700" w:type="dxa"/>
            <w:vAlign w:val="bottom"/>
          </w:tcPr>
          <w:p>
            <w:pPr>
              <w:spacing w:after="0"/>
              <w:rPr>
                <w:sz w:val="14"/>
                <w:szCs w:val="14"/>
                <w:color w:val="auto"/>
              </w:rPr>
            </w:pPr>
          </w:p>
        </w:tc>
        <w:tc>
          <w:tcPr>
            <w:tcW w:w="40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468</w:t>
            </w:r>
          </w:p>
        </w:tc>
      </w:tr>
      <w:tr>
        <w:trPr>
          <w:trHeight w:val="172"/>
        </w:trPr>
        <w:tc>
          <w:tcPr>
            <w:tcW w:w="8980" w:type="dxa"/>
            <w:vAlign w:val="bottom"/>
            <w:shd w:val="clear" w:color="auto" w:fill="CCEEFF"/>
          </w:tcPr>
          <w:p>
            <w:pPr>
              <w:ind w:left="360"/>
              <w:spacing w:after="0"/>
              <w:rPr>
                <w:sz w:val="20"/>
                <w:szCs w:val="20"/>
                <w:color w:val="auto"/>
              </w:rPr>
            </w:pPr>
            <w:r>
              <w:rPr>
                <w:rFonts w:ascii="Times New Roman" w:cs="Times New Roman" w:eastAsia="Times New Roman" w:hAnsi="Times New Roman"/>
                <w:sz w:val="13"/>
                <w:szCs w:val="13"/>
                <w:color w:val="auto"/>
              </w:rPr>
              <w:t>Acquisition expenses</w:t>
            </w:r>
          </w:p>
        </w:tc>
        <w:tc>
          <w:tcPr>
            <w:tcW w:w="700" w:type="dxa"/>
            <w:vAlign w:val="bottom"/>
            <w:shd w:val="clear" w:color="auto" w:fill="CCEEFF"/>
          </w:tcPr>
          <w:p>
            <w:pPr>
              <w:spacing w:after="0"/>
              <w:rPr>
                <w:sz w:val="14"/>
                <w:szCs w:val="14"/>
                <w:color w:val="auto"/>
              </w:rPr>
            </w:pPr>
          </w:p>
        </w:tc>
        <w:tc>
          <w:tcPr>
            <w:tcW w:w="4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892</w:t>
            </w:r>
          </w:p>
        </w:tc>
        <w:tc>
          <w:tcPr>
            <w:tcW w:w="100" w:type="dxa"/>
            <w:vAlign w:val="bottom"/>
            <w:shd w:val="clear" w:color="auto" w:fill="CCEEFF"/>
          </w:tcPr>
          <w:p>
            <w:pPr>
              <w:spacing w:after="0"/>
              <w:rPr>
                <w:sz w:val="14"/>
                <w:szCs w:val="14"/>
                <w:color w:val="auto"/>
              </w:rPr>
            </w:pPr>
          </w:p>
        </w:tc>
        <w:tc>
          <w:tcPr>
            <w:tcW w:w="700" w:type="dxa"/>
            <w:vAlign w:val="bottom"/>
            <w:shd w:val="clear" w:color="auto" w:fill="CCEEFF"/>
          </w:tcPr>
          <w:p>
            <w:pPr>
              <w:spacing w:after="0"/>
              <w:rPr>
                <w:sz w:val="14"/>
                <w:szCs w:val="14"/>
                <w:color w:val="auto"/>
              </w:rPr>
            </w:pPr>
          </w:p>
        </w:tc>
        <w:tc>
          <w:tcPr>
            <w:tcW w:w="4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885</w:t>
            </w:r>
          </w:p>
        </w:tc>
      </w:tr>
      <w:tr>
        <w:trPr>
          <w:trHeight w:val="168"/>
        </w:trPr>
        <w:tc>
          <w:tcPr>
            <w:tcW w:w="8980" w:type="dxa"/>
            <w:vAlign w:val="bottom"/>
          </w:tcPr>
          <w:p>
            <w:pPr>
              <w:ind w:left="360"/>
              <w:spacing w:after="0"/>
              <w:rPr>
                <w:sz w:val="20"/>
                <w:szCs w:val="20"/>
                <w:color w:val="auto"/>
              </w:rPr>
            </w:pPr>
            <w:r>
              <w:rPr>
                <w:rFonts w:ascii="Times New Roman" w:cs="Times New Roman" w:eastAsia="Times New Roman" w:hAnsi="Times New Roman"/>
                <w:sz w:val="13"/>
                <w:szCs w:val="13"/>
                <w:color w:val="auto"/>
              </w:rPr>
              <w:t>Investments in U.S. partnerships</w:t>
            </w:r>
          </w:p>
        </w:tc>
        <w:tc>
          <w:tcPr>
            <w:tcW w:w="700" w:type="dxa"/>
            <w:vAlign w:val="bottom"/>
          </w:tcPr>
          <w:p>
            <w:pPr>
              <w:spacing w:after="0"/>
              <w:rPr>
                <w:sz w:val="14"/>
                <w:szCs w:val="14"/>
                <w:color w:val="auto"/>
              </w:rPr>
            </w:pPr>
          </w:p>
        </w:tc>
        <w:tc>
          <w:tcPr>
            <w:tcW w:w="40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538</w:t>
            </w:r>
          </w:p>
        </w:tc>
        <w:tc>
          <w:tcPr>
            <w:tcW w:w="100" w:type="dxa"/>
            <w:vAlign w:val="bottom"/>
          </w:tcPr>
          <w:p>
            <w:pPr>
              <w:spacing w:after="0"/>
              <w:rPr>
                <w:sz w:val="14"/>
                <w:szCs w:val="14"/>
                <w:color w:val="auto"/>
              </w:rPr>
            </w:pPr>
          </w:p>
        </w:tc>
        <w:tc>
          <w:tcPr>
            <w:tcW w:w="700" w:type="dxa"/>
            <w:vAlign w:val="bottom"/>
          </w:tcPr>
          <w:p>
            <w:pPr>
              <w:spacing w:after="0"/>
              <w:rPr>
                <w:sz w:val="14"/>
                <w:szCs w:val="14"/>
                <w:color w:val="auto"/>
              </w:rPr>
            </w:pPr>
          </w:p>
        </w:tc>
        <w:tc>
          <w:tcPr>
            <w:tcW w:w="40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w:t>
            </w:r>
          </w:p>
        </w:tc>
      </w:tr>
      <w:tr>
        <w:trPr>
          <w:trHeight w:val="172"/>
        </w:trPr>
        <w:tc>
          <w:tcPr>
            <w:tcW w:w="8980" w:type="dxa"/>
            <w:vAlign w:val="bottom"/>
            <w:shd w:val="clear" w:color="auto" w:fill="CCEEFF"/>
          </w:tcPr>
          <w:p>
            <w:pPr>
              <w:ind w:left="360"/>
              <w:spacing w:after="0"/>
              <w:rPr>
                <w:sz w:val="20"/>
                <w:szCs w:val="20"/>
                <w:color w:val="auto"/>
              </w:rPr>
            </w:pPr>
            <w:r>
              <w:rPr>
                <w:rFonts w:ascii="Times New Roman" w:cs="Times New Roman" w:eastAsia="Times New Roman" w:hAnsi="Times New Roman"/>
                <w:sz w:val="13"/>
                <w:szCs w:val="13"/>
                <w:color w:val="auto"/>
              </w:rPr>
              <w:t>Property and equipment</w:t>
            </w:r>
          </w:p>
        </w:tc>
        <w:tc>
          <w:tcPr>
            <w:tcW w:w="700" w:type="dxa"/>
            <w:vAlign w:val="bottom"/>
            <w:shd w:val="clear" w:color="auto" w:fill="CCEEFF"/>
          </w:tcPr>
          <w:p>
            <w:pPr>
              <w:spacing w:after="0"/>
              <w:rPr>
                <w:sz w:val="14"/>
                <w:szCs w:val="14"/>
                <w:color w:val="auto"/>
              </w:rPr>
            </w:pPr>
          </w:p>
        </w:tc>
        <w:tc>
          <w:tcPr>
            <w:tcW w:w="4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31</w:t>
            </w:r>
          </w:p>
        </w:tc>
        <w:tc>
          <w:tcPr>
            <w:tcW w:w="100" w:type="dxa"/>
            <w:vAlign w:val="bottom"/>
            <w:shd w:val="clear" w:color="auto" w:fill="CCEEFF"/>
          </w:tcPr>
          <w:p>
            <w:pPr>
              <w:spacing w:after="0"/>
              <w:rPr>
                <w:sz w:val="14"/>
                <w:szCs w:val="14"/>
                <w:color w:val="auto"/>
              </w:rPr>
            </w:pPr>
          </w:p>
        </w:tc>
        <w:tc>
          <w:tcPr>
            <w:tcW w:w="700" w:type="dxa"/>
            <w:vAlign w:val="bottom"/>
            <w:shd w:val="clear" w:color="auto" w:fill="CCEEFF"/>
          </w:tcPr>
          <w:p>
            <w:pPr>
              <w:spacing w:after="0"/>
              <w:rPr>
                <w:sz w:val="14"/>
                <w:szCs w:val="14"/>
                <w:color w:val="auto"/>
              </w:rPr>
            </w:pPr>
          </w:p>
        </w:tc>
        <w:tc>
          <w:tcPr>
            <w:tcW w:w="4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w:t>
            </w:r>
          </w:p>
        </w:tc>
      </w:tr>
      <w:tr>
        <w:trPr>
          <w:trHeight w:val="168"/>
        </w:trPr>
        <w:tc>
          <w:tcPr>
            <w:tcW w:w="8980" w:type="dxa"/>
            <w:vAlign w:val="bottom"/>
          </w:tcPr>
          <w:p>
            <w:pPr>
              <w:ind w:left="360"/>
              <w:spacing w:after="0"/>
              <w:rPr>
                <w:sz w:val="20"/>
                <w:szCs w:val="20"/>
                <w:color w:val="auto"/>
              </w:rPr>
            </w:pPr>
            <w:r>
              <w:rPr>
                <w:rFonts w:ascii="Times New Roman" w:cs="Times New Roman" w:eastAsia="Times New Roman" w:hAnsi="Times New Roman"/>
                <w:sz w:val="13"/>
                <w:szCs w:val="13"/>
                <w:color w:val="auto"/>
              </w:rPr>
              <w:t>Other</w:t>
            </w:r>
          </w:p>
        </w:tc>
        <w:tc>
          <w:tcPr>
            <w:tcW w:w="700" w:type="dxa"/>
            <w:vAlign w:val="bottom"/>
          </w:tcPr>
          <w:p>
            <w:pPr>
              <w:spacing w:after="0"/>
              <w:rPr>
                <w:sz w:val="14"/>
                <w:szCs w:val="14"/>
                <w:color w:val="auto"/>
              </w:rPr>
            </w:pPr>
          </w:p>
        </w:tc>
        <w:tc>
          <w:tcPr>
            <w:tcW w:w="500" w:type="dxa"/>
            <w:vAlign w:val="bottom"/>
            <w:gridSpan w:val="2"/>
          </w:tcPr>
          <w:p>
            <w:pPr>
              <w:jc w:val="right"/>
              <w:ind w:right="140"/>
              <w:spacing w:after="0"/>
              <w:rPr>
                <w:sz w:val="20"/>
                <w:szCs w:val="20"/>
                <w:color w:val="auto"/>
              </w:rPr>
            </w:pPr>
            <w:r>
              <w:rPr>
                <w:rFonts w:ascii="Times New Roman" w:cs="Times New Roman" w:eastAsia="Times New Roman" w:hAnsi="Times New Roman"/>
                <w:sz w:val="13"/>
                <w:szCs w:val="13"/>
                <w:color w:val="auto"/>
              </w:rPr>
              <w:t>—</w:t>
            </w:r>
          </w:p>
        </w:tc>
        <w:tc>
          <w:tcPr>
            <w:tcW w:w="700" w:type="dxa"/>
            <w:vAlign w:val="bottom"/>
          </w:tcPr>
          <w:p>
            <w:pPr>
              <w:spacing w:after="0"/>
              <w:rPr>
                <w:sz w:val="14"/>
                <w:szCs w:val="14"/>
                <w:color w:val="auto"/>
              </w:rPr>
            </w:pPr>
          </w:p>
        </w:tc>
        <w:tc>
          <w:tcPr>
            <w:tcW w:w="40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91</w:t>
            </w:r>
          </w:p>
        </w:tc>
      </w:tr>
      <w:tr>
        <w:trPr>
          <w:trHeight w:val="163"/>
        </w:trPr>
        <w:tc>
          <w:tcPr>
            <w:tcW w:w="8980" w:type="dxa"/>
            <w:vAlign w:val="bottom"/>
            <w:tcBorders>
              <w:top w:val="single" w:sz="8" w:color="CCEEFF"/>
            </w:tcBorders>
            <w:shd w:val="clear" w:color="auto" w:fill="CCEEFF"/>
          </w:tcPr>
          <w:p>
            <w:pPr>
              <w:ind w:left="20"/>
              <w:spacing w:after="0" w:line="147" w:lineRule="exact"/>
              <w:rPr>
                <w:sz w:val="20"/>
                <w:szCs w:val="20"/>
                <w:color w:val="auto"/>
              </w:rPr>
            </w:pPr>
            <w:r>
              <w:rPr>
                <w:rFonts w:ascii="Times New Roman" w:cs="Times New Roman" w:eastAsia="Times New Roman" w:hAnsi="Times New Roman"/>
                <w:sz w:val="13"/>
                <w:szCs w:val="13"/>
                <w:color w:val="auto"/>
              </w:rPr>
              <w:t>Total deferred tax assets</w:t>
            </w:r>
          </w:p>
        </w:tc>
        <w:tc>
          <w:tcPr>
            <w:tcW w:w="700" w:type="dxa"/>
            <w:vAlign w:val="bottom"/>
            <w:tcBorders>
              <w:top w:val="single" w:sz="8" w:color="auto"/>
              <w:bottom w:val="single" w:sz="8" w:color="auto"/>
            </w:tcBorders>
            <w:shd w:val="clear" w:color="auto" w:fill="CCEEFF"/>
          </w:tcPr>
          <w:p>
            <w:pPr>
              <w:spacing w:after="0"/>
              <w:rPr>
                <w:sz w:val="14"/>
                <w:szCs w:val="14"/>
                <w:color w:val="auto"/>
              </w:rPr>
            </w:pPr>
          </w:p>
        </w:tc>
        <w:tc>
          <w:tcPr>
            <w:tcW w:w="4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7,945</w:t>
            </w:r>
          </w:p>
        </w:tc>
        <w:tc>
          <w:tcPr>
            <w:tcW w:w="100" w:type="dxa"/>
            <w:vAlign w:val="bottom"/>
            <w:tcBorders>
              <w:top w:val="single" w:sz="8" w:color="CCEEFF"/>
            </w:tcBorders>
            <w:shd w:val="clear" w:color="auto" w:fill="CCEEFF"/>
          </w:tcPr>
          <w:p>
            <w:pPr>
              <w:spacing w:after="0"/>
              <w:rPr>
                <w:sz w:val="14"/>
                <w:szCs w:val="14"/>
                <w:color w:val="auto"/>
              </w:rPr>
            </w:pPr>
          </w:p>
        </w:tc>
        <w:tc>
          <w:tcPr>
            <w:tcW w:w="700" w:type="dxa"/>
            <w:vAlign w:val="bottom"/>
            <w:tcBorders>
              <w:top w:val="single" w:sz="8" w:color="auto"/>
              <w:bottom w:val="single" w:sz="8" w:color="auto"/>
            </w:tcBorders>
            <w:shd w:val="clear" w:color="auto" w:fill="CCEEFF"/>
          </w:tcPr>
          <w:p>
            <w:pPr>
              <w:spacing w:after="0"/>
              <w:rPr>
                <w:sz w:val="14"/>
                <w:szCs w:val="14"/>
                <w:color w:val="auto"/>
              </w:rPr>
            </w:pPr>
          </w:p>
        </w:tc>
        <w:tc>
          <w:tcPr>
            <w:tcW w:w="4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5,692</w:t>
            </w:r>
          </w:p>
        </w:tc>
      </w:tr>
      <w:tr>
        <w:trPr>
          <w:trHeight w:val="154"/>
        </w:trPr>
        <w:tc>
          <w:tcPr>
            <w:tcW w:w="8980" w:type="dxa"/>
            <w:vAlign w:val="bottom"/>
          </w:tcPr>
          <w:p>
            <w:pPr>
              <w:ind w:left="20"/>
              <w:spacing w:after="0" w:line="147" w:lineRule="exact"/>
              <w:rPr>
                <w:sz w:val="20"/>
                <w:szCs w:val="20"/>
                <w:color w:val="auto"/>
              </w:rPr>
            </w:pPr>
            <w:r>
              <w:rPr>
                <w:rFonts w:ascii="Times New Roman" w:cs="Times New Roman" w:eastAsia="Times New Roman" w:hAnsi="Times New Roman"/>
                <w:sz w:val="13"/>
                <w:szCs w:val="13"/>
                <w:b w:val="1"/>
                <w:bCs w:val="1"/>
                <w:color w:val="auto"/>
              </w:rPr>
              <w:t>Deferred tax liabilities:</w:t>
            </w:r>
          </w:p>
        </w:tc>
        <w:tc>
          <w:tcPr>
            <w:tcW w:w="700" w:type="dxa"/>
            <w:vAlign w:val="bottom"/>
          </w:tcPr>
          <w:p>
            <w:pPr>
              <w:spacing w:after="0"/>
              <w:rPr>
                <w:sz w:val="13"/>
                <w:szCs w:val="13"/>
                <w:color w:val="auto"/>
              </w:rPr>
            </w:pPr>
          </w:p>
        </w:tc>
        <w:tc>
          <w:tcPr>
            <w:tcW w:w="40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700" w:type="dxa"/>
            <w:vAlign w:val="bottom"/>
          </w:tcPr>
          <w:p>
            <w:pPr>
              <w:spacing w:after="0"/>
              <w:rPr>
                <w:sz w:val="13"/>
                <w:szCs w:val="13"/>
                <w:color w:val="auto"/>
              </w:rPr>
            </w:pPr>
          </w:p>
        </w:tc>
        <w:tc>
          <w:tcPr>
            <w:tcW w:w="400" w:type="dxa"/>
            <w:vAlign w:val="bottom"/>
          </w:tcPr>
          <w:p>
            <w:pPr>
              <w:spacing w:after="0"/>
              <w:rPr>
                <w:sz w:val="13"/>
                <w:szCs w:val="13"/>
                <w:color w:val="auto"/>
              </w:rPr>
            </w:pPr>
          </w:p>
        </w:tc>
      </w:tr>
      <w:tr>
        <w:trPr>
          <w:trHeight w:val="176"/>
        </w:trPr>
        <w:tc>
          <w:tcPr>
            <w:tcW w:w="8980" w:type="dxa"/>
            <w:vAlign w:val="bottom"/>
            <w:shd w:val="clear" w:color="auto" w:fill="CCEEFF"/>
          </w:tcPr>
          <w:p>
            <w:pPr>
              <w:ind w:left="360"/>
              <w:spacing w:after="0"/>
              <w:rPr>
                <w:sz w:val="20"/>
                <w:szCs w:val="20"/>
                <w:color w:val="auto"/>
              </w:rPr>
            </w:pPr>
            <w:r>
              <w:rPr>
                <w:rFonts w:ascii="Times New Roman" w:cs="Times New Roman" w:eastAsia="Times New Roman" w:hAnsi="Times New Roman"/>
                <w:sz w:val="13"/>
                <w:szCs w:val="13"/>
                <w:color w:val="auto"/>
              </w:rPr>
              <w:t>Property and equipment</w:t>
            </w:r>
          </w:p>
        </w:tc>
        <w:tc>
          <w:tcPr>
            <w:tcW w:w="700" w:type="dxa"/>
            <w:vAlign w:val="bottom"/>
            <w:shd w:val="clear" w:color="auto" w:fill="CCEEFF"/>
          </w:tcPr>
          <w:p>
            <w:pPr>
              <w:spacing w:after="0"/>
              <w:rPr>
                <w:sz w:val="15"/>
                <w:szCs w:val="15"/>
                <w:color w:val="auto"/>
              </w:rPr>
            </w:pPr>
          </w:p>
        </w:tc>
        <w:tc>
          <w:tcPr>
            <w:tcW w:w="500" w:type="dxa"/>
            <w:vAlign w:val="bottom"/>
            <w:gridSpan w:val="2"/>
            <w:shd w:val="clear" w:color="auto" w:fill="CCEEFF"/>
          </w:tcPr>
          <w:p>
            <w:pPr>
              <w:jc w:val="right"/>
              <w:ind w:right="140"/>
              <w:spacing w:after="0"/>
              <w:rPr>
                <w:sz w:val="20"/>
                <w:szCs w:val="20"/>
                <w:color w:val="auto"/>
              </w:rPr>
            </w:pPr>
            <w:r>
              <w:rPr>
                <w:rFonts w:ascii="Times New Roman" w:cs="Times New Roman" w:eastAsia="Times New Roman" w:hAnsi="Times New Roman"/>
                <w:sz w:val="13"/>
                <w:szCs w:val="13"/>
                <w:color w:val="auto"/>
              </w:rPr>
              <w:t>—</w:t>
            </w:r>
          </w:p>
        </w:tc>
        <w:tc>
          <w:tcPr>
            <w:tcW w:w="700" w:type="dxa"/>
            <w:vAlign w:val="bottom"/>
            <w:shd w:val="clear" w:color="auto" w:fill="CCEEFF"/>
          </w:tcPr>
          <w:p>
            <w:pPr>
              <w:spacing w:after="0"/>
              <w:rPr>
                <w:sz w:val="15"/>
                <w:szCs w:val="15"/>
                <w:color w:val="auto"/>
              </w:rPr>
            </w:pPr>
          </w:p>
        </w:tc>
        <w:tc>
          <w:tcPr>
            <w:tcW w:w="4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(36)</w:t>
            </w:r>
          </w:p>
        </w:tc>
      </w:tr>
      <w:tr>
        <w:trPr>
          <w:trHeight w:val="168"/>
        </w:trPr>
        <w:tc>
          <w:tcPr>
            <w:tcW w:w="8980" w:type="dxa"/>
            <w:vAlign w:val="bottom"/>
          </w:tcPr>
          <w:p>
            <w:pPr>
              <w:ind w:left="360"/>
              <w:spacing w:after="0"/>
              <w:rPr>
                <w:sz w:val="20"/>
                <w:szCs w:val="20"/>
                <w:color w:val="auto"/>
              </w:rPr>
            </w:pPr>
            <w:r>
              <w:rPr>
                <w:rFonts w:ascii="Times New Roman" w:cs="Times New Roman" w:eastAsia="Times New Roman" w:hAnsi="Times New Roman"/>
                <w:sz w:val="13"/>
                <w:szCs w:val="13"/>
                <w:color w:val="auto"/>
              </w:rPr>
              <w:t>Intangibles</w:t>
            </w:r>
          </w:p>
        </w:tc>
        <w:tc>
          <w:tcPr>
            <w:tcW w:w="700" w:type="dxa"/>
            <w:vAlign w:val="bottom"/>
          </w:tcPr>
          <w:p>
            <w:pPr>
              <w:spacing w:after="0"/>
              <w:rPr>
                <w:sz w:val="14"/>
                <w:szCs w:val="14"/>
                <w:color w:val="auto"/>
              </w:rPr>
            </w:pPr>
          </w:p>
        </w:tc>
        <w:tc>
          <w:tcPr>
            <w:tcW w:w="400" w:type="dxa"/>
            <w:vAlign w:val="bottom"/>
          </w:tcPr>
          <w:p>
            <w:pPr>
              <w:jc w:val="right"/>
              <w:spacing w:after="0"/>
              <w:rPr>
                <w:sz w:val="20"/>
                <w:szCs w:val="20"/>
                <w:color w:val="auto"/>
              </w:rPr>
            </w:pPr>
            <w:r>
              <w:rPr>
                <w:rFonts w:ascii="Times New Roman" w:cs="Times New Roman" w:eastAsia="Times New Roman" w:hAnsi="Times New Roman"/>
                <w:sz w:val="13"/>
                <w:szCs w:val="13"/>
                <w:color w:val="auto"/>
                <w:w w:val="94"/>
              </w:rPr>
              <w:t>(2,109)</w:t>
            </w:r>
          </w:p>
        </w:tc>
        <w:tc>
          <w:tcPr>
            <w:tcW w:w="100" w:type="dxa"/>
            <w:vAlign w:val="bottom"/>
          </w:tcPr>
          <w:p>
            <w:pPr>
              <w:spacing w:after="0"/>
              <w:rPr>
                <w:sz w:val="14"/>
                <w:szCs w:val="14"/>
                <w:color w:val="auto"/>
              </w:rPr>
            </w:pPr>
          </w:p>
        </w:tc>
        <w:tc>
          <w:tcPr>
            <w:tcW w:w="700" w:type="dxa"/>
            <w:vAlign w:val="bottom"/>
          </w:tcPr>
          <w:p>
            <w:pPr>
              <w:spacing w:after="0"/>
              <w:rPr>
                <w:sz w:val="14"/>
                <w:szCs w:val="14"/>
                <w:color w:val="auto"/>
              </w:rPr>
            </w:pPr>
          </w:p>
        </w:tc>
        <w:tc>
          <w:tcPr>
            <w:tcW w:w="400" w:type="dxa"/>
            <w:vAlign w:val="bottom"/>
          </w:tcPr>
          <w:p>
            <w:pPr>
              <w:jc w:val="right"/>
              <w:spacing w:after="0"/>
              <w:rPr>
                <w:sz w:val="20"/>
                <w:szCs w:val="20"/>
                <w:color w:val="auto"/>
              </w:rPr>
            </w:pPr>
            <w:r>
              <w:rPr>
                <w:rFonts w:ascii="Times New Roman" w:cs="Times New Roman" w:eastAsia="Times New Roman" w:hAnsi="Times New Roman"/>
                <w:sz w:val="13"/>
                <w:szCs w:val="13"/>
                <w:color w:val="auto"/>
                <w:w w:val="94"/>
              </w:rPr>
              <w:t>(2,137)</w:t>
            </w:r>
          </w:p>
        </w:tc>
      </w:tr>
      <w:tr>
        <w:trPr>
          <w:trHeight w:val="172"/>
        </w:trPr>
        <w:tc>
          <w:tcPr>
            <w:tcW w:w="8980" w:type="dxa"/>
            <w:vAlign w:val="bottom"/>
            <w:shd w:val="clear" w:color="auto" w:fill="CCEEFF"/>
          </w:tcPr>
          <w:p>
            <w:pPr>
              <w:ind w:left="360"/>
              <w:spacing w:after="0"/>
              <w:rPr>
                <w:sz w:val="20"/>
                <w:szCs w:val="20"/>
                <w:color w:val="auto"/>
              </w:rPr>
            </w:pPr>
            <w:r>
              <w:rPr>
                <w:rFonts w:ascii="Times New Roman" w:cs="Times New Roman" w:eastAsia="Times New Roman" w:hAnsi="Times New Roman"/>
                <w:sz w:val="13"/>
                <w:szCs w:val="13"/>
                <w:color w:val="auto"/>
              </w:rPr>
              <w:t>Unrealized gains on investments</w:t>
            </w:r>
          </w:p>
        </w:tc>
        <w:tc>
          <w:tcPr>
            <w:tcW w:w="700" w:type="dxa"/>
            <w:vAlign w:val="bottom"/>
            <w:shd w:val="clear" w:color="auto" w:fill="CCEEFF"/>
          </w:tcPr>
          <w:p>
            <w:pPr>
              <w:spacing w:after="0"/>
              <w:rPr>
                <w:sz w:val="14"/>
                <w:szCs w:val="14"/>
                <w:color w:val="auto"/>
              </w:rPr>
            </w:pPr>
          </w:p>
        </w:tc>
        <w:tc>
          <w:tcPr>
            <w:tcW w:w="4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w w:val="94"/>
              </w:rPr>
              <w:t>(1,117)</w:t>
            </w:r>
          </w:p>
        </w:tc>
        <w:tc>
          <w:tcPr>
            <w:tcW w:w="100" w:type="dxa"/>
            <w:vAlign w:val="bottom"/>
            <w:shd w:val="clear" w:color="auto" w:fill="CCEEFF"/>
          </w:tcPr>
          <w:p>
            <w:pPr>
              <w:spacing w:after="0"/>
              <w:rPr>
                <w:sz w:val="14"/>
                <w:szCs w:val="14"/>
                <w:color w:val="auto"/>
              </w:rPr>
            </w:pPr>
          </w:p>
        </w:tc>
        <w:tc>
          <w:tcPr>
            <w:tcW w:w="700" w:type="dxa"/>
            <w:vAlign w:val="bottom"/>
            <w:shd w:val="clear" w:color="auto" w:fill="CCEEFF"/>
          </w:tcPr>
          <w:p>
            <w:pPr>
              <w:spacing w:after="0"/>
              <w:rPr>
                <w:sz w:val="14"/>
                <w:szCs w:val="14"/>
                <w:color w:val="auto"/>
              </w:rPr>
            </w:pPr>
          </w:p>
        </w:tc>
        <w:tc>
          <w:tcPr>
            <w:tcW w:w="4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(642)</w:t>
            </w:r>
          </w:p>
        </w:tc>
      </w:tr>
      <w:tr>
        <w:trPr>
          <w:trHeight w:val="168"/>
        </w:trPr>
        <w:tc>
          <w:tcPr>
            <w:tcW w:w="8980" w:type="dxa"/>
            <w:vAlign w:val="bottom"/>
            <w:tcBorders>
              <w:bottom w:val="single" w:sz="8" w:color="CCEEFF"/>
            </w:tcBorders>
          </w:tcPr>
          <w:p>
            <w:pPr>
              <w:ind w:left="360"/>
              <w:spacing w:after="0"/>
              <w:rPr>
                <w:sz w:val="20"/>
                <w:szCs w:val="20"/>
                <w:color w:val="auto"/>
              </w:rPr>
            </w:pPr>
            <w:r>
              <w:rPr>
                <w:rFonts w:ascii="Times New Roman" w:cs="Times New Roman" w:eastAsia="Times New Roman" w:hAnsi="Times New Roman"/>
                <w:sz w:val="13"/>
                <w:szCs w:val="13"/>
                <w:color w:val="auto"/>
              </w:rPr>
              <w:t>Operating lease right-of-use assets</w:t>
            </w:r>
          </w:p>
        </w:tc>
        <w:tc>
          <w:tcPr>
            <w:tcW w:w="700" w:type="dxa"/>
            <w:vAlign w:val="bottom"/>
            <w:tcBorders>
              <w:bottom w:val="single" w:sz="8" w:color="auto"/>
            </w:tcBorders>
          </w:tcPr>
          <w:p>
            <w:pPr>
              <w:spacing w:after="0"/>
              <w:rPr>
                <w:sz w:val="14"/>
                <w:szCs w:val="14"/>
                <w:color w:val="auto"/>
              </w:rPr>
            </w:pPr>
          </w:p>
        </w:tc>
        <w:tc>
          <w:tcPr>
            <w:tcW w:w="4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3"/>
                <w:szCs w:val="13"/>
                <w:color w:val="auto"/>
                <w:w w:val="94"/>
              </w:rPr>
              <w:t>(2,267)</w:t>
            </w:r>
          </w:p>
        </w:tc>
        <w:tc>
          <w:tcPr>
            <w:tcW w:w="100" w:type="dxa"/>
            <w:vAlign w:val="bottom"/>
            <w:tcBorders>
              <w:bottom w:val="single" w:sz="8" w:color="CCEEFF"/>
            </w:tcBorders>
          </w:tcPr>
          <w:p>
            <w:pPr>
              <w:spacing w:after="0"/>
              <w:rPr>
                <w:sz w:val="14"/>
                <w:szCs w:val="14"/>
                <w:color w:val="auto"/>
              </w:rPr>
            </w:pPr>
          </w:p>
        </w:tc>
        <w:tc>
          <w:tcPr>
            <w:tcW w:w="700" w:type="dxa"/>
            <w:vAlign w:val="bottom"/>
            <w:tcBorders>
              <w:bottom w:val="single" w:sz="8" w:color="auto"/>
            </w:tcBorders>
          </w:tcPr>
          <w:p>
            <w:pPr>
              <w:spacing w:after="0"/>
              <w:rPr>
                <w:sz w:val="14"/>
                <w:szCs w:val="14"/>
                <w:color w:val="auto"/>
              </w:rPr>
            </w:pPr>
          </w:p>
        </w:tc>
        <w:tc>
          <w:tcPr>
            <w:tcW w:w="4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3"/>
                <w:szCs w:val="13"/>
                <w:color w:val="auto"/>
              </w:rPr>
              <w:t>(633)</w:t>
            </w:r>
          </w:p>
        </w:tc>
      </w:tr>
      <w:tr>
        <w:trPr>
          <w:trHeight w:val="163"/>
        </w:trPr>
        <w:tc>
          <w:tcPr>
            <w:tcW w:w="8980" w:type="dxa"/>
            <w:vAlign w:val="bottom"/>
            <w:shd w:val="clear" w:color="auto" w:fill="CCEEFF"/>
          </w:tcPr>
          <w:p>
            <w:pPr>
              <w:ind w:left="20"/>
              <w:spacing w:after="0" w:line="147" w:lineRule="exact"/>
              <w:rPr>
                <w:sz w:val="20"/>
                <w:szCs w:val="20"/>
                <w:color w:val="auto"/>
              </w:rPr>
            </w:pPr>
            <w:r>
              <w:rPr>
                <w:rFonts w:ascii="Times New Roman" w:cs="Times New Roman" w:eastAsia="Times New Roman" w:hAnsi="Times New Roman"/>
                <w:sz w:val="13"/>
                <w:szCs w:val="13"/>
                <w:color w:val="auto"/>
              </w:rPr>
              <w:t>Total deferred tax liabilities</w:t>
            </w:r>
          </w:p>
        </w:tc>
        <w:tc>
          <w:tcPr>
            <w:tcW w:w="700" w:type="dxa"/>
            <w:vAlign w:val="bottom"/>
            <w:tcBorders>
              <w:bottom w:val="single" w:sz="8" w:color="auto"/>
            </w:tcBorders>
            <w:shd w:val="clear" w:color="auto" w:fill="CCEEFF"/>
          </w:tcPr>
          <w:p>
            <w:pPr>
              <w:spacing w:after="0"/>
              <w:rPr>
                <w:sz w:val="14"/>
                <w:szCs w:val="14"/>
                <w:color w:val="auto"/>
              </w:rPr>
            </w:pPr>
          </w:p>
        </w:tc>
        <w:tc>
          <w:tcPr>
            <w:tcW w:w="4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w w:val="94"/>
              </w:rPr>
              <w:t>(5,493)</w:t>
            </w:r>
          </w:p>
        </w:tc>
        <w:tc>
          <w:tcPr>
            <w:tcW w:w="100" w:type="dxa"/>
            <w:vAlign w:val="bottom"/>
            <w:shd w:val="clear" w:color="auto" w:fill="CCEEFF"/>
          </w:tcPr>
          <w:p>
            <w:pPr>
              <w:spacing w:after="0"/>
              <w:rPr>
                <w:sz w:val="14"/>
                <w:szCs w:val="14"/>
                <w:color w:val="auto"/>
              </w:rPr>
            </w:pPr>
          </w:p>
        </w:tc>
        <w:tc>
          <w:tcPr>
            <w:tcW w:w="700" w:type="dxa"/>
            <w:vAlign w:val="bottom"/>
            <w:tcBorders>
              <w:bottom w:val="single" w:sz="8" w:color="auto"/>
            </w:tcBorders>
            <w:shd w:val="clear" w:color="auto" w:fill="CCEEFF"/>
          </w:tcPr>
          <w:p>
            <w:pPr>
              <w:spacing w:after="0"/>
              <w:rPr>
                <w:sz w:val="14"/>
                <w:szCs w:val="14"/>
                <w:color w:val="auto"/>
              </w:rPr>
            </w:pPr>
          </w:p>
        </w:tc>
        <w:tc>
          <w:tcPr>
            <w:tcW w:w="4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w w:val="94"/>
              </w:rPr>
              <w:t>(3,448)</w:t>
            </w:r>
          </w:p>
        </w:tc>
      </w:tr>
      <w:tr>
        <w:trPr>
          <w:trHeight w:val="158"/>
        </w:trPr>
        <w:tc>
          <w:tcPr>
            <w:tcW w:w="8980" w:type="dxa"/>
            <w:vAlign w:val="bottom"/>
          </w:tcPr>
          <w:p>
            <w:pPr>
              <w:ind w:left="20"/>
              <w:spacing w:after="0" w:line="147" w:lineRule="exact"/>
              <w:rPr>
                <w:sz w:val="20"/>
                <w:szCs w:val="20"/>
                <w:color w:val="auto"/>
              </w:rPr>
            </w:pPr>
            <w:r>
              <w:rPr>
                <w:rFonts w:ascii="Times New Roman" w:cs="Times New Roman" w:eastAsia="Times New Roman" w:hAnsi="Times New Roman"/>
                <w:sz w:val="13"/>
                <w:szCs w:val="13"/>
                <w:b w:val="1"/>
                <w:bCs w:val="1"/>
                <w:color w:val="auto"/>
              </w:rPr>
              <w:t>Net deferred tax assets</w:t>
            </w:r>
          </w:p>
        </w:tc>
        <w:tc>
          <w:tcPr>
            <w:tcW w:w="700" w:type="dxa"/>
            <w:vAlign w:val="bottom"/>
            <w:tcBorders>
              <w:bottom w:val="single" w:sz="8" w:color="auto"/>
            </w:tcBorders>
          </w:tcPr>
          <w:p>
            <w:pPr>
              <w:jc w:val="right"/>
              <w:ind w:right="582"/>
              <w:spacing w:after="0"/>
              <w:rPr>
                <w:sz w:val="20"/>
                <w:szCs w:val="20"/>
                <w:color w:val="auto"/>
              </w:rPr>
            </w:pPr>
            <w:r>
              <w:rPr>
                <w:rFonts w:ascii="Times New Roman" w:cs="Times New Roman" w:eastAsia="Times New Roman" w:hAnsi="Times New Roman"/>
                <w:sz w:val="11"/>
                <w:szCs w:val="11"/>
                <w:color w:val="auto"/>
                <w:w w:val="71"/>
              </w:rPr>
              <w:t>$</w:t>
            </w:r>
          </w:p>
        </w:tc>
        <w:tc>
          <w:tcPr>
            <w:tcW w:w="4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3"/>
                <w:szCs w:val="13"/>
                <w:color w:val="auto"/>
              </w:rPr>
              <w:t>2,452</w:t>
            </w:r>
          </w:p>
        </w:tc>
        <w:tc>
          <w:tcPr>
            <w:tcW w:w="100" w:type="dxa"/>
            <w:vAlign w:val="bottom"/>
          </w:tcPr>
          <w:p>
            <w:pPr>
              <w:spacing w:after="0"/>
              <w:rPr>
                <w:sz w:val="13"/>
                <w:szCs w:val="13"/>
                <w:color w:val="auto"/>
              </w:rPr>
            </w:pPr>
          </w:p>
        </w:tc>
        <w:tc>
          <w:tcPr>
            <w:tcW w:w="700" w:type="dxa"/>
            <w:vAlign w:val="bottom"/>
            <w:tcBorders>
              <w:bottom w:val="single" w:sz="8" w:color="auto"/>
            </w:tcBorders>
          </w:tcPr>
          <w:p>
            <w:pPr>
              <w:jc w:val="right"/>
              <w:ind w:right="556"/>
              <w:spacing w:after="0"/>
              <w:rPr>
                <w:sz w:val="20"/>
                <w:szCs w:val="20"/>
                <w:color w:val="auto"/>
              </w:rPr>
            </w:pPr>
            <w:r>
              <w:rPr>
                <w:rFonts w:ascii="Times New Roman" w:cs="Times New Roman" w:eastAsia="Times New Roman" w:hAnsi="Times New Roman"/>
                <w:sz w:val="13"/>
                <w:szCs w:val="13"/>
                <w:color w:val="auto"/>
                <w:w w:val="91"/>
              </w:rPr>
              <w:t>$</w:t>
            </w:r>
          </w:p>
        </w:tc>
        <w:tc>
          <w:tcPr>
            <w:tcW w:w="4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3"/>
                <w:szCs w:val="13"/>
                <w:color w:val="auto"/>
              </w:rPr>
              <w:t>2,244</w:t>
            </w:r>
          </w:p>
        </w:tc>
      </w:tr>
      <w:tr>
        <w:trPr>
          <w:trHeight w:val="20"/>
        </w:trPr>
        <w:tc>
          <w:tcPr>
            <w:tcW w:w="8980" w:type="dxa"/>
            <w:vAlign w:val="bottom"/>
          </w:tcPr>
          <w:p>
            <w:pPr>
              <w:spacing w:after="0" w:line="20" w:lineRule="exact"/>
              <w:rPr>
                <w:sz w:val="1"/>
                <w:szCs w:val="1"/>
                <w:color w:val="auto"/>
              </w:rPr>
            </w:pPr>
          </w:p>
        </w:tc>
        <w:tc>
          <w:tcPr>
            <w:tcW w:w="700" w:type="dxa"/>
            <w:vAlign w:val="bottom"/>
            <w:tcBorders>
              <w:bottom w:val="single" w:sz="8" w:color="auto"/>
            </w:tcBorders>
          </w:tcPr>
          <w:p>
            <w:pPr>
              <w:spacing w:after="0" w:line="20" w:lineRule="exact"/>
              <w:rPr>
                <w:sz w:val="1"/>
                <w:szCs w:val="1"/>
                <w:color w:val="auto"/>
              </w:rPr>
            </w:pPr>
          </w:p>
        </w:tc>
        <w:tc>
          <w:tcPr>
            <w:tcW w:w="40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700" w:type="dxa"/>
            <w:vAlign w:val="bottom"/>
            <w:tcBorders>
              <w:bottom w:val="single" w:sz="8" w:color="auto"/>
            </w:tcBorders>
          </w:tcPr>
          <w:p>
            <w:pPr>
              <w:spacing w:after="0" w:line="20" w:lineRule="exact"/>
              <w:rPr>
                <w:sz w:val="1"/>
                <w:szCs w:val="1"/>
                <w:color w:val="auto"/>
              </w:rPr>
            </w:pPr>
          </w:p>
        </w:tc>
        <w:tc>
          <w:tcPr>
            <w:tcW w:w="400" w:type="dxa"/>
            <w:vAlign w:val="bottom"/>
            <w:tcBorders>
              <w:bottom w:val="single" w:sz="8" w:color="auto"/>
            </w:tcBorders>
          </w:tcPr>
          <w:p>
            <w:pPr>
              <w:spacing w:after="0" w:line="20" w:lineRule="exact"/>
              <w:rPr>
                <w:sz w:val="1"/>
                <w:szCs w:val="1"/>
                <w:color w:val="auto"/>
              </w:rPr>
            </w:pPr>
          </w:p>
        </w:tc>
      </w:tr>
    </w:tbl>
    <w:p>
      <w:pPr>
        <w:spacing w:after="0" w:line="134" w:lineRule="exact"/>
        <w:rPr>
          <w:sz w:val="20"/>
          <w:szCs w:val="20"/>
          <w:color w:val="auto"/>
        </w:rPr>
      </w:pPr>
    </w:p>
    <w:p>
      <w:pPr>
        <w:ind w:right="440" w:firstLine="382"/>
        <w:spacing w:after="0" w:line="287" w:lineRule="auto"/>
        <w:rPr>
          <w:sz w:val="20"/>
          <w:szCs w:val="20"/>
          <w:color w:val="auto"/>
        </w:rPr>
      </w:pPr>
      <w:r>
        <w:rPr>
          <w:rFonts w:ascii="Times New Roman" w:cs="Times New Roman" w:eastAsia="Times New Roman" w:hAnsi="Times New Roman"/>
          <w:sz w:val="14"/>
          <w:szCs w:val="14"/>
          <w:color w:val="auto"/>
        </w:rPr>
        <w:t>The Company is subject to taxation in the U. S. and various state jurisdictions. As of December 31, 2025, the Company’s 2022, 2023 and 2024 tax years are open for examination by the Internal Revenue Service, and various state and foreign jurisdiction tax years remain open to examination.</w:t>
      </w:r>
    </w:p>
    <w:p>
      <w:pPr>
        <w:spacing w:after="0" w:line="39" w:lineRule="exact"/>
        <w:rPr>
          <w:sz w:val="20"/>
          <w:szCs w:val="20"/>
          <w:color w:val="auto"/>
        </w:rPr>
      </w:pPr>
    </w:p>
    <w:p>
      <w:pPr>
        <w:jc w:val="both"/>
        <w:ind w:right="20" w:firstLine="382"/>
        <w:spacing w:after="0" w:line="270" w:lineRule="auto"/>
        <w:rPr>
          <w:sz w:val="20"/>
          <w:szCs w:val="20"/>
          <w:color w:val="auto"/>
        </w:rPr>
      </w:pPr>
      <w:r>
        <w:rPr>
          <w:rFonts w:ascii="Times New Roman" w:cs="Times New Roman" w:eastAsia="Times New Roman" w:hAnsi="Times New Roman"/>
          <w:sz w:val="14"/>
          <w:szCs w:val="14"/>
          <w:color w:val="auto"/>
        </w:rPr>
        <w:t>At December 31, 2025, 2024 and 2023, the Company's gross liability related to uncertain tax positions was de minimis. A number of years may elapse before an uncertain tax position is finally resolved. To the extent that the Company has favorable tax settlements, or determines that accrued amounts are no longer needed due to a lapse in the applicable statute of limitations or other changes in circumstances, such liabilities, as well as the related interest and penalties, are reversed as a reduction of income tax expense, net of federal tax effects, in the period such determination is made.</w:t>
      </w:r>
    </w:p>
    <w:p>
      <w:pPr>
        <w:spacing w:after="0" w:line="49"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b w:val="1"/>
          <w:bCs w:val="1"/>
          <w:color w:val="auto"/>
        </w:rPr>
        <w:t>10. EARNINGS PER SHARE:</w:t>
      </w:r>
    </w:p>
    <w:p>
      <w:pPr>
        <w:spacing w:after="0" w:line="96" w:lineRule="exact"/>
        <w:rPr>
          <w:sz w:val="20"/>
          <w:szCs w:val="20"/>
          <w:color w:val="auto"/>
        </w:rPr>
      </w:pPr>
    </w:p>
    <w:p>
      <w:pPr>
        <w:jc w:val="both"/>
        <w:ind w:right="240" w:firstLine="382"/>
        <w:spacing w:after="0" w:line="270" w:lineRule="auto"/>
        <w:rPr>
          <w:sz w:val="20"/>
          <w:szCs w:val="20"/>
          <w:color w:val="auto"/>
        </w:rPr>
      </w:pPr>
      <w:r>
        <w:rPr>
          <w:rFonts w:ascii="Times New Roman" w:cs="Times New Roman" w:eastAsia="Times New Roman" w:hAnsi="Times New Roman"/>
          <w:sz w:val="14"/>
          <w:szCs w:val="14"/>
          <w:color w:val="auto"/>
        </w:rPr>
        <w:t>Basic earnings per common share is computed by dividing income attributable to Westwood Holdings Group, Inc. by the weighted average number of shares outstanding for the applicable period. Diluted earnings per share is computed based on the weighted average number of shares outstanding plus the effect of any dilutive shares of restricted stock granted to employees and non-employee directors using the treasury stock method. There were approximately 5,000, 7,000 and 63,000 anti-dilutive</w:t>
      </w:r>
    </w:p>
    <w:p>
      <w:pPr>
        <w:spacing w:after="0" w:line="200" w:lineRule="exact"/>
        <w:rPr>
          <w:sz w:val="20"/>
          <w:szCs w:val="20"/>
          <w:color w:val="auto"/>
        </w:rPr>
      </w:pPr>
    </w:p>
    <w:p>
      <w:pPr>
        <w:spacing w:after="0" w:line="20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4"/>
          <w:szCs w:val="14"/>
          <w:color w:val="auto"/>
        </w:rPr>
        <w:t>24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-8890</wp:posOffset>
            </wp:positionH>
            <wp:positionV relativeFrom="paragraph">
              <wp:posOffset>55880</wp:posOffset>
            </wp:positionV>
            <wp:extent cx="7186930" cy="38735"/>
            <wp:wrapNone/>
            <wp:docPr id="129" name="Picture 1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9"/>
                    <pic:cNvPicPr>
                      <a:picLocks noChangeAspect="1" noChangeArrowheads="1"/>
                    </pic:cNvPicPr>
                  </pic:nvPicPr>
                  <pic:blipFill>
                    <a:blip r:embed="rId136">
                      <a:extLst>
                        <a:ext uri="{28A0092B-C50C-407E-A947-70E740481C1C}"/>
                      </a:extLst>
                    </a:blip>
                    <a:srcRect/>
                    <a:stretch>
                      <a:fillRect/>
                    </a:stretch>
                  </pic:blipFill>
                  <pic:spPr bwMode="auto">
                    <a:xfrm>
                      <a:off x="0" y="0"/>
                      <a:ext cx="7186930" cy="38735"/>
                    </a:xfrm>
                    <a:prstGeom prst="rect">
                      <a:avLst/>
                    </a:prstGeom>
                    <a:noFill/>
                  </pic:spPr>
                </pic:pic>
              </a:graphicData>
            </a:graphic>
          </wp:anchor>
        </w:drawing>
      </w:r>
    </w:p>
    <w:p>
      <w:pPr>
        <w:sectPr>
          <w:pgSz w:w="11900" w:h="16838" w:orient="portrait"/>
          <w:cols w:equalWidth="0" w:num="1">
            <w:col w:w="11280"/>
          </w:cols>
          <w:pgMar w:left="300" w:top="123" w:right="319" w:bottom="1440" w:gutter="0" w:footer="0" w:header="0"/>
        </w:sectPr>
      </w:pPr>
    </w:p>
    <w:bookmarkStart w:id="66" w:name="page67"/>
    <w:bookmarkEnd w:id="66"/>
    <w:p>
      <w:pPr>
        <w:jc w:val="center"/>
        <w:spacing w:after="0"/>
        <w:rPr>
          <w:sz w:val="20"/>
          <w:szCs w:val="20"/>
          <w:color w:val="auto"/>
        </w:rPr>
      </w:pPr>
      <w:r>
        <w:rPr>
          <w:rFonts w:ascii="Times New Roman" w:cs="Times New Roman" w:eastAsia="Times New Roman" w:hAnsi="Times New Roman"/>
          <w:sz w:val="14"/>
          <w:szCs w:val="14"/>
          <w:b w:val="1"/>
          <w:bCs w:val="1"/>
          <w:color w:val="auto"/>
        </w:rPr>
        <w:t>WESTWOOD HOLDINGS GROUP, INC.</w:t>
      </w:r>
    </w:p>
    <w:p>
      <w:pPr>
        <w:spacing w:after="0" w:line="5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4"/>
          <w:szCs w:val="14"/>
          <w:b w:val="1"/>
          <w:bCs w:val="1"/>
          <w:color w:val="auto"/>
        </w:rPr>
        <w:t>NOTES TO CONSOLIDATED FINANCIAL STATEMENTS — (Continued)</w:t>
      </w:r>
    </w:p>
    <w:p>
      <w:pPr>
        <w:spacing w:after="0" w:line="318"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color w:val="auto"/>
        </w:rPr>
        <w:t>restricted shares as of December 31, 2025, 2024 and 2023, respectively, which were excluded from weighted average shares outstanding.</w:t>
      </w:r>
    </w:p>
    <w:p>
      <w:pPr>
        <w:spacing w:after="0" w:line="94" w:lineRule="exact"/>
        <w:rPr>
          <w:sz w:val="20"/>
          <w:szCs w:val="20"/>
          <w:color w:val="auto"/>
        </w:rPr>
      </w:pPr>
    </w:p>
    <w:p>
      <w:pPr>
        <w:ind w:left="380"/>
        <w:spacing w:after="0"/>
        <w:rPr>
          <w:sz w:val="20"/>
          <w:szCs w:val="20"/>
          <w:color w:val="auto"/>
        </w:rPr>
      </w:pPr>
      <w:r>
        <w:rPr>
          <w:rFonts w:ascii="Times New Roman" w:cs="Times New Roman" w:eastAsia="Times New Roman" w:hAnsi="Times New Roman"/>
          <w:sz w:val="14"/>
          <w:szCs w:val="14"/>
          <w:color w:val="auto"/>
        </w:rPr>
        <w:t>The following table sets forth the computation of basic and diluted earnings per share (in thousands, except per share and share amounts):</w:t>
      </w:r>
    </w:p>
    <w:p>
      <w:pPr>
        <w:spacing w:after="0" w:line="43" w:lineRule="exact"/>
        <w:rPr>
          <w:sz w:val="20"/>
          <w:szCs w:val="20"/>
          <w:color w:val="auto"/>
        </w:rPr>
      </w:pPr>
    </w:p>
    <w:tbl>
      <w:tblPr>
        <w:tblLayout w:type="fixed"/>
        <w:tblInd w:w="0" w:type="dxa"/>
        <w:tblCellMar>
          <w:top w:w="0" w:type="dxa"/>
          <w:left w:w="0" w:type="dxa"/>
          <w:bottom w:w="0" w:type="dxa"/>
          <w:right w:w="0" w:type="dxa"/>
        </w:tblCellMar>
      </w:tblPr>
      <w:tr>
        <w:trPr>
          <w:trHeight w:val="170"/>
        </w:trPr>
        <w:tc>
          <w:tcPr>
            <w:tcW w:w="7340" w:type="dxa"/>
            <w:vAlign w:val="bottom"/>
          </w:tcPr>
          <w:p>
            <w:pPr>
              <w:spacing w:after="0"/>
              <w:rPr>
                <w:sz w:val="14"/>
                <w:szCs w:val="14"/>
                <w:color w:val="auto"/>
              </w:rPr>
            </w:pPr>
          </w:p>
        </w:tc>
        <w:tc>
          <w:tcPr>
            <w:tcW w:w="280" w:type="dxa"/>
            <w:vAlign w:val="bottom"/>
            <w:tcBorders>
              <w:bottom w:val="single" w:sz="8" w:color="auto"/>
            </w:tcBorders>
          </w:tcPr>
          <w:p>
            <w:pPr>
              <w:spacing w:after="0"/>
              <w:rPr>
                <w:sz w:val="14"/>
                <w:szCs w:val="14"/>
                <w:color w:val="auto"/>
              </w:rPr>
            </w:pPr>
          </w:p>
        </w:tc>
        <w:tc>
          <w:tcPr>
            <w:tcW w:w="960" w:type="dxa"/>
            <w:vAlign w:val="bottom"/>
            <w:tcBorders>
              <w:bottom w:val="single" w:sz="8" w:color="auto"/>
            </w:tcBorders>
          </w:tcPr>
          <w:p>
            <w:pPr>
              <w:spacing w:after="0"/>
              <w:rPr>
                <w:sz w:val="14"/>
                <w:szCs w:val="14"/>
                <w:color w:val="auto"/>
              </w:rPr>
            </w:pPr>
          </w:p>
        </w:tc>
        <w:tc>
          <w:tcPr>
            <w:tcW w:w="1460" w:type="dxa"/>
            <w:vAlign w:val="bottom"/>
            <w:tcBorders>
              <w:bottom w:val="single" w:sz="8" w:color="auto"/>
            </w:tcBorders>
            <w:gridSpan w:val="4"/>
          </w:tcPr>
          <w:p>
            <w:pPr>
              <w:ind w:left="20"/>
              <w:spacing w:after="0"/>
              <w:rPr>
                <w:sz w:val="20"/>
                <w:szCs w:val="20"/>
                <w:color w:val="auto"/>
              </w:rPr>
            </w:pPr>
            <w:r>
              <w:rPr>
                <w:rFonts w:ascii="Times New Roman" w:cs="Times New Roman" w:eastAsia="Times New Roman" w:hAnsi="Times New Roman"/>
                <w:sz w:val="13"/>
                <w:szCs w:val="13"/>
                <w:b w:val="1"/>
                <w:bCs w:val="1"/>
                <w:color w:val="auto"/>
                <w:w w:val="95"/>
              </w:rPr>
              <w:t>Years ended December 31,</w:t>
            </w:r>
          </w:p>
        </w:tc>
        <w:tc>
          <w:tcPr>
            <w:tcW w:w="280" w:type="dxa"/>
            <w:vAlign w:val="bottom"/>
            <w:tcBorders>
              <w:bottom w:val="single" w:sz="8" w:color="auto"/>
            </w:tcBorders>
          </w:tcPr>
          <w:p>
            <w:pPr>
              <w:spacing w:after="0"/>
              <w:rPr>
                <w:sz w:val="14"/>
                <w:szCs w:val="14"/>
                <w:color w:val="auto"/>
              </w:rPr>
            </w:pPr>
          </w:p>
        </w:tc>
        <w:tc>
          <w:tcPr>
            <w:tcW w:w="960" w:type="dxa"/>
            <w:vAlign w:val="bottom"/>
            <w:tcBorders>
              <w:bottom w:val="single" w:sz="8" w:color="auto"/>
            </w:tcBorders>
          </w:tcPr>
          <w:p>
            <w:pPr>
              <w:spacing w:after="0"/>
              <w:rPr>
                <w:sz w:val="14"/>
                <w:szCs w:val="14"/>
                <w:color w:val="auto"/>
              </w:rPr>
            </w:pPr>
          </w:p>
        </w:tc>
      </w:tr>
      <w:tr>
        <w:trPr>
          <w:trHeight w:val="161"/>
        </w:trPr>
        <w:tc>
          <w:tcPr>
            <w:tcW w:w="7340" w:type="dxa"/>
            <w:vAlign w:val="bottom"/>
            <w:tcBorders>
              <w:bottom w:val="single" w:sz="8" w:color="CCEEFF"/>
            </w:tcBorders>
          </w:tcPr>
          <w:p>
            <w:pPr>
              <w:spacing w:after="0"/>
              <w:rPr>
                <w:sz w:val="14"/>
                <w:szCs w:val="14"/>
                <w:color w:val="auto"/>
              </w:rPr>
            </w:pPr>
          </w:p>
        </w:tc>
        <w:tc>
          <w:tcPr>
            <w:tcW w:w="280" w:type="dxa"/>
            <w:vAlign w:val="bottom"/>
            <w:tcBorders>
              <w:bottom w:val="single" w:sz="8" w:color="auto"/>
            </w:tcBorders>
          </w:tcPr>
          <w:p>
            <w:pPr>
              <w:spacing w:after="0"/>
              <w:rPr>
                <w:sz w:val="14"/>
                <w:szCs w:val="14"/>
                <w:color w:val="auto"/>
              </w:rPr>
            </w:pPr>
          </w:p>
        </w:tc>
        <w:tc>
          <w:tcPr>
            <w:tcW w:w="960" w:type="dxa"/>
            <w:vAlign w:val="bottom"/>
            <w:tcBorders>
              <w:bottom w:val="single" w:sz="8" w:color="auto"/>
            </w:tcBorders>
          </w:tcPr>
          <w:p>
            <w:pPr>
              <w:jc w:val="right"/>
              <w:ind w:right="436"/>
              <w:spacing w:after="0"/>
              <w:rPr>
                <w:sz w:val="20"/>
                <w:szCs w:val="20"/>
                <w:color w:val="auto"/>
              </w:rPr>
            </w:pPr>
            <w:r>
              <w:rPr>
                <w:rFonts w:ascii="Times New Roman" w:cs="Times New Roman" w:eastAsia="Times New Roman" w:hAnsi="Times New Roman"/>
                <w:sz w:val="13"/>
                <w:szCs w:val="13"/>
                <w:b w:val="1"/>
                <w:bCs w:val="1"/>
                <w:color w:val="auto"/>
              </w:rPr>
              <w:t>2025</w:t>
            </w:r>
          </w:p>
        </w:tc>
        <w:tc>
          <w:tcPr>
            <w:tcW w:w="100" w:type="dxa"/>
            <w:vAlign w:val="bottom"/>
            <w:tcBorders>
              <w:bottom w:val="single" w:sz="8" w:color="CCEEFF"/>
            </w:tcBorders>
          </w:tcPr>
          <w:p>
            <w:pPr>
              <w:spacing w:after="0"/>
              <w:rPr>
                <w:sz w:val="14"/>
                <w:szCs w:val="14"/>
                <w:color w:val="auto"/>
              </w:rPr>
            </w:pPr>
          </w:p>
        </w:tc>
        <w:tc>
          <w:tcPr>
            <w:tcW w:w="300" w:type="dxa"/>
            <w:vAlign w:val="bottom"/>
            <w:tcBorders>
              <w:bottom w:val="single" w:sz="8" w:color="auto"/>
            </w:tcBorders>
          </w:tcPr>
          <w:p>
            <w:pPr>
              <w:spacing w:after="0"/>
              <w:rPr>
                <w:sz w:val="14"/>
                <w:szCs w:val="14"/>
                <w:color w:val="auto"/>
              </w:rPr>
            </w:pPr>
          </w:p>
        </w:tc>
        <w:tc>
          <w:tcPr>
            <w:tcW w:w="960" w:type="dxa"/>
            <w:vAlign w:val="bottom"/>
            <w:tcBorders>
              <w:bottom w:val="single" w:sz="8" w:color="auto"/>
            </w:tcBorders>
          </w:tcPr>
          <w:p>
            <w:pPr>
              <w:jc w:val="right"/>
              <w:ind w:right="436"/>
              <w:spacing w:after="0"/>
              <w:rPr>
                <w:sz w:val="20"/>
                <w:szCs w:val="20"/>
                <w:color w:val="auto"/>
              </w:rPr>
            </w:pPr>
            <w:r>
              <w:rPr>
                <w:rFonts w:ascii="Times New Roman" w:cs="Times New Roman" w:eastAsia="Times New Roman" w:hAnsi="Times New Roman"/>
                <w:sz w:val="13"/>
                <w:szCs w:val="13"/>
                <w:b w:val="1"/>
                <w:bCs w:val="1"/>
                <w:color w:val="auto"/>
              </w:rPr>
              <w:t>2024</w:t>
            </w:r>
          </w:p>
        </w:tc>
        <w:tc>
          <w:tcPr>
            <w:tcW w:w="100" w:type="dxa"/>
            <w:vAlign w:val="bottom"/>
            <w:tcBorders>
              <w:bottom w:val="single" w:sz="8" w:color="CCEEFF"/>
            </w:tcBorders>
          </w:tcPr>
          <w:p>
            <w:pPr>
              <w:spacing w:after="0"/>
              <w:rPr>
                <w:sz w:val="14"/>
                <w:szCs w:val="14"/>
                <w:color w:val="auto"/>
              </w:rPr>
            </w:pPr>
          </w:p>
        </w:tc>
        <w:tc>
          <w:tcPr>
            <w:tcW w:w="280" w:type="dxa"/>
            <w:vAlign w:val="bottom"/>
            <w:tcBorders>
              <w:bottom w:val="single" w:sz="8" w:color="auto"/>
            </w:tcBorders>
          </w:tcPr>
          <w:p>
            <w:pPr>
              <w:spacing w:after="0"/>
              <w:rPr>
                <w:sz w:val="14"/>
                <w:szCs w:val="14"/>
                <w:color w:val="auto"/>
              </w:rPr>
            </w:pPr>
          </w:p>
        </w:tc>
        <w:tc>
          <w:tcPr>
            <w:tcW w:w="960" w:type="dxa"/>
            <w:vAlign w:val="bottom"/>
            <w:tcBorders>
              <w:bottom w:val="single" w:sz="8" w:color="auto"/>
            </w:tcBorders>
          </w:tcPr>
          <w:p>
            <w:pPr>
              <w:jc w:val="right"/>
              <w:ind w:right="436"/>
              <w:spacing w:after="0"/>
              <w:rPr>
                <w:sz w:val="20"/>
                <w:szCs w:val="20"/>
                <w:color w:val="auto"/>
              </w:rPr>
            </w:pPr>
            <w:r>
              <w:rPr>
                <w:rFonts w:ascii="Times New Roman" w:cs="Times New Roman" w:eastAsia="Times New Roman" w:hAnsi="Times New Roman"/>
                <w:sz w:val="13"/>
                <w:szCs w:val="13"/>
                <w:b w:val="1"/>
                <w:bCs w:val="1"/>
                <w:color w:val="auto"/>
              </w:rPr>
              <w:t>2023</w:t>
            </w:r>
          </w:p>
        </w:tc>
      </w:tr>
      <w:tr>
        <w:trPr>
          <w:trHeight w:val="162"/>
        </w:trPr>
        <w:tc>
          <w:tcPr>
            <w:tcW w:w="734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3"/>
                <w:szCs w:val="13"/>
                <w:b w:val="1"/>
                <w:bCs w:val="1"/>
                <w:color w:val="auto"/>
              </w:rPr>
              <w:t>Income attributable to Westwood Holdings Group, Inc.</w:t>
            </w:r>
          </w:p>
        </w:tc>
        <w:tc>
          <w:tcPr>
            <w:tcW w:w="280" w:type="dxa"/>
            <w:vAlign w:val="bottom"/>
            <w:shd w:val="clear" w:color="auto" w:fill="CCEEFF"/>
          </w:tcPr>
          <w:p>
            <w:pPr>
              <w:jc w:val="right"/>
              <w:ind w:right="136"/>
              <w:spacing w:after="0"/>
              <w:rPr>
                <w:sz w:val="20"/>
                <w:szCs w:val="20"/>
                <w:color w:val="auto"/>
              </w:rPr>
            </w:pPr>
            <w:r>
              <w:rPr>
                <w:rFonts w:ascii="Times New Roman" w:cs="Times New Roman" w:eastAsia="Times New Roman" w:hAnsi="Times New Roman"/>
                <w:sz w:val="13"/>
                <w:szCs w:val="13"/>
                <w:color w:val="auto"/>
                <w:w w:val="91"/>
              </w:rPr>
              <w:t>$</w:t>
            </w:r>
          </w:p>
        </w:tc>
        <w:tc>
          <w:tcPr>
            <w:tcW w:w="9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7,058</w:t>
            </w:r>
          </w:p>
        </w:tc>
        <w:tc>
          <w:tcPr>
            <w:tcW w:w="100" w:type="dxa"/>
            <w:vAlign w:val="bottom"/>
            <w:shd w:val="clear" w:color="auto" w:fill="CCEEFF"/>
          </w:tcPr>
          <w:p>
            <w:pPr>
              <w:spacing w:after="0"/>
              <w:rPr>
                <w:sz w:val="14"/>
                <w:szCs w:val="14"/>
                <w:color w:val="auto"/>
              </w:rPr>
            </w:pPr>
          </w:p>
        </w:tc>
        <w:tc>
          <w:tcPr>
            <w:tcW w:w="300" w:type="dxa"/>
            <w:vAlign w:val="bottom"/>
            <w:shd w:val="clear" w:color="auto" w:fill="CCEEFF"/>
          </w:tcPr>
          <w:p>
            <w:pPr>
              <w:jc w:val="right"/>
              <w:ind w:right="156"/>
              <w:spacing w:after="0"/>
              <w:rPr>
                <w:sz w:val="20"/>
                <w:szCs w:val="20"/>
                <w:color w:val="auto"/>
              </w:rPr>
            </w:pPr>
            <w:r>
              <w:rPr>
                <w:rFonts w:ascii="Times New Roman" w:cs="Times New Roman" w:eastAsia="Times New Roman" w:hAnsi="Times New Roman"/>
                <w:sz w:val="13"/>
                <w:szCs w:val="13"/>
                <w:color w:val="auto"/>
                <w:w w:val="91"/>
              </w:rPr>
              <w:t>$</w:t>
            </w:r>
          </w:p>
        </w:tc>
        <w:tc>
          <w:tcPr>
            <w:tcW w:w="9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2,215</w:t>
            </w:r>
          </w:p>
        </w:tc>
        <w:tc>
          <w:tcPr>
            <w:tcW w:w="100" w:type="dxa"/>
            <w:vAlign w:val="bottom"/>
            <w:shd w:val="clear" w:color="auto" w:fill="CCEEFF"/>
          </w:tcPr>
          <w:p>
            <w:pPr>
              <w:spacing w:after="0"/>
              <w:rPr>
                <w:sz w:val="14"/>
                <w:szCs w:val="14"/>
                <w:color w:val="auto"/>
              </w:rPr>
            </w:pPr>
          </w:p>
        </w:tc>
        <w:tc>
          <w:tcPr>
            <w:tcW w:w="280" w:type="dxa"/>
            <w:vAlign w:val="bottom"/>
            <w:shd w:val="clear" w:color="auto" w:fill="CCEEFF"/>
          </w:tcPr>
          <w:p>
            <w:pPr>
              <w:jc w:val="right"/>
              <w:ind w:right="167"/>
              <w:spacing w:after="0"/>
              <w:rPr>
                <w:sz w:val="20"/>
                <w:szCs w:val="20"/>
                <w:color w:val="auto"/>
              </w:rPr>
            </w:pPr>
            <w:r>
              <w:rPr>
                <w:rFonts w:ascii="Times New Roman" w:cs="Times New Roman" w:eastAsia="Times New Roman" w:hAnsi="Times New Roman"/>
                <w:sz w:val="11"/>
                <w:szCs w:val="11"/>
                <w:color w:val="auto"/>
                <w:w w:val="71"/>
              </w:rPr>
              <w:t>$</w:t>
            </w:r>
          </w:p>
        </w:tc>
        <w:tc>
          <w:tcPr>
            <w:tcW w:w="9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9,520</w:t>
            </w:r>
          </w:p>
        </w:tc>
      </w:tr>
      <w:tr>
        <w:trPr>
          <w:trHeight w:val="212"/>
        </w:trPr>
        <w:tc>
          <w:tcPr>
            <w:tcW w:w="734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9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9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960" w:type="dxa"/>
            <w:vAlign w:val="bottom"/>
          </w:tcPr>
          <w:p>
            <w:pPr>
              <w:spacing w:after="0"/>
              <w:rPr>
                <w:sz w:val="18"/>
                <w:szCs w:val="18"/>
                <w:color w:val="auto"/>
              </w:rPr>
            </w:pPr>
          </w:p>
        </w:tc>
      </w:tr>
      <w:tr>
        <w:trPr>
          <w:trHeight w:val="170"/>
        </w:trPr>
        <w:tc>
          <w:tcPr>
            <w:tcW w:w="734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3"/>
                <w:szCs w:val="13"/>
                <w:b w:val="1"/>
                <w:bCs w:val="1"/>
                <w:color w:val="auto"/>
              </w:rPr>
              <w:t>Weighted average shares outstanding – basic</w:t>
            </w:r>
          </w:p>
        </w:tc>
        <w:tc>
          <w:tcPr>
            <w:tcW w:w="280" w:type="dxa"/>
            <w:vAlign w:val="bottom"/>
            <w:shd w:val="clear" w:color="auto" w:fill="CCEEFF"/>
          </w:tcPr>
          <w:p>
            <w:pPr>
              <w:spacing w:after="0"/>
              <w:rPr>
                <w:sz w:val="14"/>
                <w:szCs w:val="14"/>
                <w:color w:val="auto"/>
              </w:rPr>
            </w:pPr>
          </w:p>
        </w:tc>
        <w:tc>
          <w:tcPr>
            <w:tcW w:w="9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8,374,352</w:t>
            </w:r>
          </w:p>
        </w:tc>
        <w:tc>
          <w:tcPr>
            <w:tcW w:w="100" w:type="dxa"/>
            <w:vAlign w:val="bottom"/>
            <w:shd w:val="clear" w:color="auto" w:fill="CCEEFF"/>
          </w:tcPr>
          <w:p>
            <w:pPr>
              <w:spacing w:after="0"/>
              <w:rPr>
                <w:sz w:val="14"/>
                <w:szCs w:val="14"/>
                <w:color w:val="auto"/>
              </w:rPr>
            </w:pPr>
          </w:p>
        </w:tc>
        <w:tc>
          <w:tcPr>
            <w:tcW w:w="300" w:type="dxa"/>
            <w:vAlign w:val="bottom"/>
            <w:shd w:val="clear" w:color="auto" w:fill="CCEEFF"/>
          </w:tcPr>
          <w:p>
            <w:pPr>
              <w:spacing w:after="0"/>
              <w:rPr>
                <w:sz w:val="14"/>
                <w:szCs w:val="14"/>
                <w:color w:val="auto"/>
              </w:rPr>
            </w:pPr>
          </w:p>
        </w:tc>
        <w:tc>
          <w:tcPr>
            <w:tcW w:w="9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8,163,465</w:t>
            </w:r>
          </w:p>
        </w:tc>
        <w:tc>
          <w:tcPr>
            <w:tcW w:w="100" w:type="dxa"/>
            <w:vAlign w:val="bottom"/>
            <w:shd w:val="clear" w:color="auto" w:fill="CCEEFF"/>
          </w:tcPr>
          <w:p>
            <w:pPr>
              <w:spacing w:after="0"/>
              <w:rPr>
                <w:sz w:val="14"/>
                <w:szCs w:val="14"/>
                <w:color w:val="auto"/>
              </w:rPr>
            </w:pPr>
          </w:p>
        </w:tc>
        <w:tc>
          <w:tcPr>
            <w:tcW w:w="280" w:type="dxa"/>
            <w:vAlign w:val="bottom"/>
            <w:shd w:val="clear" w:color="auto" w:fill="CCEEFF"/>
          </w:tcPr>
          <w:p>
            <w:pPr>
              <w:spacing w:after="0"/>
              <w:rPr>
                <w:sz w:val="14"/>
                <w:szCs w:val="14"/>
                <w:color w:val="auto"/>
              </w:rPr>
            </w:pPr>
          </w:p>
        </w:tc>
        <w:tc>
          <w:tcPr>
            <w:tcW w:w="9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7,964,423</w:t>
            </w:r>
          </w:p>
        </w:tc>
      </w:tr>
      <w:tr>
        <w:trPr>
          <w:trHeight w:val="168"/>
        </w:trPr>
        <w:tc>
          <w:tcPr>
            <w:tcW w:w="7340" w:type="dxa"/>
            <w:vAlign w:val="bottom"/>
            <w:tcBorders>
              <w:bottom w:val="single" w:sz="8" w:color="CCEEFF"/>
            </w:tcBorders>
          </w:tcPr>
          <w:p>
            <w:pPr>
              <w:ind w:left="280"/>
              <w:spacing w:after="0"/>
              <w:rPr>
                <w:sz w:val="20"/>
                <w:szCs w:val="20"/>
                <w:color w:val="auto"/>
              </w:rPr>
            </w:pPr>
            <w:r>
              <w:rPr>
                <w:rFonts w:ascii="Times New Roman" w:cs="Times New Roman" w:eastAsia="Times New Roman" w:hAnsi="Times New Roman"/>
                <w:sz w:val="13"/>
                <w:szCs w:val="13"/>
                <w:color w:val="auto"/>
              </w:rPr>
              <w:t>Dilutive potential shares from unvested restricted shares</w:t>
            </w:r>
          </w:p>
        </w:tc>
        <w:tc>
          <w:tcPr>
            <w:tcW w:w="280" w:type="dxa"/>
            <w:vAlign w:val="bottom"/>
            <w:tcBorders>
              <w:bottom w:val="single" w:sz="8" w:color="auto"/>
            </w:tcBorders>
          </w:tcPr>
          <w:p>
            <w:pPr>
              <w:spacing w:after="0"/>
              <w:rPr>
                <w:sz w:val="14"/>
                <w:szCs w:val="14"/>
                <w:color w:val="auto"/>
              </w:rPr>
            </w:pPr>
          </w:p>
        </w:tc>
        <w:tc>
          <w:tcPr>
            <w:tcW w:w="9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3"/>
                <w:szCs w:val="13"/>
                <w:color w:val="auto"/>
              </w:rPr>
              <w:t>511,228</w:t>
            </w:r>
          </w:p>
        </w:tc>
        <w:tc>
          <w:tcPr>
            <w:tcW w:w="100" w:type="dxa"/>
            <w:vAlign w:val="bottom"/>
            <w:tcBorders>
              <w:bottom w:val="single" w:sz="8" w:color="CCEEFF"/>
            </w:tcBorders>
          </w:tcPr>
          <w:p>
            <w:pPr>
              <w:spacing w:after="0"/>
              <w:rPr>
                <w:sz w:val="14"/>
                <w:szCs w:val="14"/>
                <w:color w:val="auto"/>
              </w:rPr>
            </w:pPr>
          </w:p>
        </w:tc>
        <w:tc>
          <w:tcPr>
            <w:tcW w:w="300" w:type="dxa"/>
            <w:vAlign w:val="bottom"/>
            <w:tcBorders>
              <w:bottom w:val="single" w:sz="8" w:color="auto"/>
            </w:tcBorders>
          </w:tcPr>
          <w:p>
            <w:pPr>
              <w:spacing w:after="0"/>
              <w:rPr>
                <w:sz w:val="14"/>
                <w:szCs w:val="14"/>
                <w:color w:val="auto"/>
              </w:rPr>
            </w:pPr>
          </w:p>
        </w:tc>
        <w:tc>
          <w:tcPr>
            <w:tcW w:w="9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3"/>
                <w:szCs w:val="13"/>
                <w:color w:val="auto"/>
              </w:rPr>
              <w:t>352,314</w:t>
            </w:r>
          </w:p>
        </w:tc>
        <w:tc>
          <w:tcPr>
            <w:tcW w:w="100" w:type="dxa"/>
            <w:vAlign w:val="bottom"/>
            <w:tcBorders>
              <w:bottom w:val="single" w:sz="8" w:color="CCEEFF"/>
            </w:tcBorders>
          </w:tcPr>
          <w:p>
            <w:pPr>
              <w:spacing w:after="0"/>
              <w:rPr>
                <w:sz w:val="14"/>
                <w:szCs w:val="14"/>
                <w:color w:val="auto"/>
              </w:rPr>
            </w:pPr>
          </w:p>
        </w:tc>
        <w:tc>
          <w:tcPr>
            <w:tcW w:w="280" w:type="dxa"/>
            <w:vAlign w:val="bottom"/>
            <w:tcBorders>
              <w:bottom w:val="single" w:sz="8" w:color="auto"/>
            </w:tcBorders>
          </w:tcPr>
          <w:p>
            <w:pPr>
              <w:spacing w:after="0"/>
              <w:rPr>
                <w:sz w:val="14"/>
                <w:szCs w:val="14"/>
                <w:color w:val="auto"/>
              </w:rPr>
            </w:pPr>
          </w:p>
        </w:tc>
        <w:tc>
          <w:tcPr>
            <w:tcW w:w="9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3"/>
                <w:szCs w:val="13"/>
                <w:color w:val="auto"/>
              </w:rPr>
              <w:t>147,716</w:t>
            </w:r>
          </w:p>
        </w:tc>
      </w:tr>
      <w:tr>
        <w:trPr>
          <w:trHeight w:val="163"/>
        </w:trPr>
        <w:tc>
          <w:tcPr>
            <w:tcW w:w="734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3"/>
                <w:szCs w:val="13"/>
                <w:b w:val="1"/>
                <w:bCs w:val="1"/>
                <w:color w:val="auto"/>
              </w:rPr>
              <w:t>Weighted average shares outstanding – diluted</w:t>
            </w:r>
          </w:p>
        </w:tc>
        <w:tc>
          <w:tcPr>
            <w:tcW w:w="280" w:type="dxa"/>
            <w:vAlign w:val="bottom"/>
            <w:shd w:val="clear" w:color="auto" w:fill="CCEEFF"/>
          </w:tcPr>
          <w:p>
            <w:pPr>
              <w:spacing w:after="0"/>
              <w:rPr>
                <w:sz w:val="14"/>
                <w:szCs w:val="14"/>
                <w:color w:val="auto"/>
              </w:rPr>
            </w:pPr>
          </w:p>
        </w:tc>
        <w:tc>
          <w:tcPr>
            <w:tcW w:w="9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8,885,580</w:t>
            </w:r>
          </w:p>
        </w:tc>
        <w:tc>
          <w:tcPr>
            <w:tcW w:w="100" w:type="dxa"/>
            <w:vAlign w:val="bottom"/>
            <w:shd w:val="clear" w:color="auto" w:fill="CCEEFF"/>
          </w:tcPr>
          <w:p>
            <w:pPr>
              <w:spacing w:after="0"/>
              <w:rPr>
                <w:sz w:val="14"/>
                <w:szCs w:val="14"/>
                <w:color w:val="auto"/>
              </w:rPr>
            </w:pPr>
          </w:p>
        </w:tc>
        <w:tc>
          <w:tcPr>
            <w:tcW w:w="300" w:type="dxa"/>
            <w:vAlign w:val="bottom"/>
            <w:shd w:val="clear" w:color="auto" w:fill="CCEEFF"/>
          </w:tcPr>
          <w:p>
            <w:pPr>
              <w:spacing w:after="0"/>
              <w:rPr>
                <w:sz w:val="14"/>
                <w:szCs w:val="14"/>
                <w:color w:val="auto"/>
              </w:rPr>
            </w:pPr>
          </w:p>
        </w:tc>
        <w:tc>
          <w:tcPr>
            <w:tcW w:w="9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8,515,779</w:t>
            </w:r>
          </w:p>
        </w:tc>
        <w:tc>
          <w:tcPr>
            <w:tcW w:w="100" w:type="dxa"/>
            <w:vAlign w:val="bottom"/>
            <w:shd w:val="clear" w:color="auto" w:fill="CCEEFF"/>
          </w:tcPr>
          <w:p>
            <w:pPr>
              <w:spacing w:after="0"/>
              <w:rPr>
                <w:sz w:val="14"/>
                <w:szCs w:val="14"/>
                <w:color w:val="auto"/>
              </w:rPr>
            </w:pPr>
          </w:p>
        </w:tc>
        <w:tc>
          <w:tcPr>
            <w:tcW w:w="280" w:type="dxa"/>
            <w:vAlign w:val="bottom"/>
            <w:shd w:val="clear" w:color="auto" w:fill="CCEEFF"/>
          </w:tcPr>
          <w:p>
            <w:pPr>
              <w:spacing w:after="0"/>
              <w:rPr>
                <w:sz w:val="14"/>
                <w:szCs w:val="14"/>
                <w:color w:val="auto"/>
              </w:rPr>
            </w:pPr>
          </w:p>
        </w:tc>
        <w:tc>
          <w:tcPr>
            <w:tcW w:w="9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8,112,139</w:t>
            </w:r>
          </w:p>
        </w:tc>
      </w:tr>
      <w:tr>
        <w:trPr>
          <w:trHeight w:val="169"/>
        </w:trPr>
        <w:tc>
          <w:tcPr>
            <w:tcW w:w="7340" w:type="dxa"/>
            <w:vAlign w:val="bottom"/>
          </w:tcPr>
          <w:p>
            <w:pPr>
              <w:ind w:left="20"/>
              <w:spacing w:after="0"/>
              <w:rPr>
                <w:sz w:val="20"/>
                <w:szCs w:val="20"/>
                <w:color w:val="auto"/>
              </w:rPr>
            </w:pPr>
            <w:r>
              <w:rPr>
                <w:rFonts w:ascii="Times New Roman" w:cs="Times New Roman" w:eastAsia="Times New Roman" w:hAnsi="Times New Roman"/>
                <w:sz w:val="13"/>
                <w:szCs w:val="13"/>
                <w:b w:val="1"/>
                <w:bCs w:val="1"/>
                <w:color w:val="auto"/>
              </w:rPr>
              <w:t>Earnings per share:</w:t>
            </w:r>
          </w:p>
        </w:tc>
        <w:tc>
          <w:tcPr>
            <w:tcW w:w="280" w:type="dxa"/>
            <w:vAlign w:val="bottom"/>
          </w:tcPr>
          <w:p>
            <w:pPr>
              <w:spacing w:after="0"/>
              <w:rPr>
                <w:sz w:val="14"/>
                <w:szCs w:val="14"/>
                <w:color w:val="auto"/>
              </w:rPr>
            </w:pPr>
          </w:p>
        </w:tc>
        <w:tc>
          <w:tcPr>
            <w:tcW w:w="96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300" w:type="dxa"/>
            <w:vAlign w:val="bottom"/>
          </w:tcPr>
          <w:p>
            <w:pPr>
              <w:spacing w:after="0"/>
              <w:rPr>
                <w:sz w:val="14"/>
                <w:szCs w:val="14"/>
                <w:color w:val="auto"/>
              </w:rPr>
            </w:pPr>
          </w:p>
        </w:tc>
        <w:tc>
          <w:tcPr>
            <w:tcW w:w="96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280" w:type="dxa"/>
            <w:vAlign w:val="bottom"/>
          </w:tcPr>
          <w:p>
            <w:pPr>
              <w:spacing w:after="0"/>
              <w:rPr>
                <w:sz w:val="14"/>
                <w:szCs w:val="14"/>
                <w:color w:val="auto"/>
              </w:rPr>
            </w:pPr>
          </w:p>
        </w:tc>
        <w:tc>
          <w:tcPr>
            <w:tcW w:w="960" w:type="dxa"/>
            <w:vAlign w:val="bottom"/>
          </w:tcPr>
          <w:p>
            <w:pPr>
              <w:spacing w:after="0"/>
              <w:rPr>
                <w:sz w:val="14"/>
                <w:szCs w:val="14"/>
                <w:color w:val="auto"/>
              </w:rPr>
            </w:pPr>
          </w:p>
        </w:tc>
      </w:tr>
      <w:tr>
        <w:trPr>
          <w:trHeight w:val="171"/>
        </w:trPr>
        <w:tc>
          <w:tcPr>
            <w:tcW w:w="7340" w:type="dxa"/>
            <w:vAlign w:val="bottom"/>
            <w:shd w:val="clear" w:color="auto" w:fill="CCEEFF"/>
          </w:tcPr>
          <w:p>
            <w:pPr>
              <w:ind w:left="280"/>
              <w:spacing w:after="0"/>
              <w:rPr>
                <w:sz w:val="20"/>
                <w:szCs w:val="20"/>
                <w:color w:val="auto"/>
              </w:rPr>
            </w:pPr>
            <w:r>
              <w:rPr>
                <w:rFonts w:ascii="Times New Roman" w:cs="Times New Roman" w:eastAsia="Times New Roman" w:hAnsi="Times New Roman"/>
                <w:sz w:val="13"/>
                <w:szCs w:val="13"/>
                <w:color w:val="auto"/>
              </w:rPr>
              <w:t>Basic</w:t>
            </w:r>
          </w:p>
        </w:tc>
        <w:tc>
          <w:tcPr>
            <w:tcW w:w="280" w:type="dxa"/>
            <w:vAlign w:val="bottom"/>
            <w:shd w:val="clear" w:color="auto" w:fill="CCEEFF"/>
          </w:tcPr>
          <w:p>
            <w:pPr>
              <w:jc w:val="right"/>
              <w:ind w:right="136"/>
              <w:spacing w:after="0"/>
              <w:rPr>
                <w:sz w:val="20"/>
                <w:szCs w:val="20"/>
                <w:color w:val="auto"/>
              </w:rPr>
            </w:pPr>
            <w:r>
              <w:rPr>
                <w:rFonts w:ascii="Times New Roman" w:cs="Times New Roman" w:eastAsia="Times New Roman" w:hAnsi="Times New Roman"/>
                <w:sz w:val="13"/>
                <w:szCs w:val="13"/>
                <w:color w:val="auto"/>
                <w:w w:val="91"/>
              </w:rPr>
              <w:t>$</w:t>
            </w:r>
          </w:p>
        </w:tc>
        <w:tc>
          <w:tcPr>
            <w:tcW w:w="9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0.84</w:t>
            </w:r>
          </w:p>
        </w:tc>
        <w:tc>
          <w:tcPr>
            <w:tcW w:w="400" w:type="dxa"/>
            <w:vAlign w:val="bottom"/>
            <w:gridSpan w:val="2"/>
            <w:shd w:val="clear" w:color="auto" w:fill="CCEEFF"/>
          </w:tcPr>
          <w:p>
            <w:pPr>
              <w:jc w:val="right"/>
              <w:ind w:right="156"/>
              <w:spacing w:after="0"/>
              <w:rPr>
                <w:sz w:val="20"/>
                <w:szCs w:val="20"/>
                <w:color w:val="auto"/>
              </w:rPr>
            </w:pPr>
            <w:r>
              <w:rPr>
                <w:rFonts w:ascii="Times New Roman" w:cs="Times New Roman" w:eastAsia="Times New Roman" w:hAnsi="Times New Roman"/>
                <w:sz w:val="13"/>
                <w:szCs w:val="13"/>
                <w:color w:val="auto"/>
              </w:rPr>
              <w:t>$</w:t>
            </w:r>
          </w:p>
        </w:tc>
        <w:tc>
          <w:tcPr>
            <w:tcW w:w="9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0.27</w:t>
            </w:r>
          </w:p>
        </w:tc>
        <w:tc>
          <w:tcPr>
            <w:tcW w:w="100" w:type="dxa"/>
            <w:vAlign w:val="bottom"/>
            <w:shd w:val="clear" w:color="auto" w:fill="CCEEFF"/>
          </w:tcPr>
          <w:p>
            <w:pPr>
              <w:spacing w:after="0"/>
              <w:rPr>
                <w:sz w:val="14"/>
                <w:szCs w:val="14"/>
                <w:color w:val="auto"/>
              </w:rPr>
            </w:pPr>
          </w:p>
        </w:tc>
        <w:tc>
          <w:tcPr>
            <w:tcW w:w="280" w:type="dxa"/>
            <w:vAlign w:val="bottom"/>
            <w:shd w:val="clear" w:color="auto" w:fill="CCEEFF"/>
          </w:tcPr>
          <w:p>
            <w:pPr>
              <w:jc w:val="right"/>
              <w:ind w:right="167"/>
              <w:spacing w:after="0"/>
              <w:rPr>
                <w:sz w:val="20"/>
                <w:szCs w:val="20"/>
                <w:color w:val="auto"/>
              </w:rPr>
            </w:pPr>
            <w:r>
              <w:rPr>
                <w:rFonts w:ascii="Times New Roman" w:cs="Times New Roman" w:eastAsia="Times New Roman" w:hAnsi="Times New Roman"/>
                <w:sz w:val="11"/>
                <w:szCs w:val="11"/>
                <w:color w:val="auto"/>
                <w:w w:val="71"/>
              </w:rPr>
              <w:t>$</w:t>
            </w:r>
          </w:p>
        </w:tc>
        <w:tc>
          <w:tcPr>
            <w:tcW w:w="9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1.20</w:t>
            </w:r>
          </w:p>
        </w:tc>
      </w:tr>
      <w:tr>
        <w:trPr>
          <w:trHeight w:val="165"/>
        </w:trPr>
        <w:tc>
          <w:tcPr>
            <w:tcW w:w="7340" w:type="dxa"/>
            <w:vAlign w:val="bottom"/>
          </w:tcPr>
          <w:p>
            <w:pPr>
              <w:ind w:left="280"/>
              <w:spacing w:after="0"/>
              <w:rPr>
                <w:sz w:val="20"/>
                <w:szCs w:val="20"/>
                <w:color w:val="auto"/>
              </w:rPr>
            </w:pPr>
            <w:r>
              <w:rPr>
                <w:rFonts w:ascii="Times New Roman" w:cs="Times New Roman" w:eastAsia="Times New Roman" w:hAnsi="Times New Roman"/>
                <w:sz w:val="13"/>
                <w:szCs w:val="13"/>
                <w:color w:val="auto"/>
              </w:rPr>
              <w:t>Diluted</w:t>
            </w:r>
          </w:p>
        </w:tc>
        <w:tc>
          <w:tcPr>
            <w:tcW w:w="280" w:type="dxa"/>
            <w:vAlign w:val="bottom"/>
          </w:tcPr>
          <w:p>
            <w:pPr>
              <w:jc w:val="right"/>
              <w:ind w:right="136"/>
              <w:spacing w:after="0"/>
              <w:rPr>
                <w:sz w:val="20"/>
                <w:szCs w:val="20"/>
                <w:color w:val="auto"/>
              </w:rPr>
            </w:pPr>
            <w:r>
              <w:rPr>
                <w:rFonts w:ascii="Times New Roman" w:cs="Times New Roman" w:eastAsia="Times New Roman" w:hAnsi="Times New Roman"/>
                <w:sz w:val="13"/>
                <w:szCs w:val="13"/>
                <w:color w:val="auto"/>
                <w:w w:val="91"/>
              </w:rPr>
              <w:t>$</w:t>
            </w:r>
          </w:p>
        </w:tc>
        <w:tc>
          <w:tcPr>
            <w:tcW w:w="96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0.79</w:t>
            </w:r>
          </w:p>
        </w:tc>
        <w:tc>
          <w:tcPr>
            <w:tcW w:w="400" w:type="dxa"/>
            <w:vAlign w:val="bottom"/>
            <w:gridSpan w:val="2"/>
          </w:tcPr>
          <w:p>
            <w:pPr>
              <w:jc w:val="right"/>
              <w:ind w:right="156"/>
              <w:spacing w:after="0"/>
              <w:rPr>
                <w:sz w:val="20"/>
                <w:szCs w:val="20"/>
                <w:color w:val="auto"/>
              </w:rPr>
            </w:pPr>
            <w:r>
              <w:rPr>
                <w:rFonts w:ascii="Times New Roman" w:cs="Times New Roman" w:eastAsia="Times New Roman" w:hAnsi="Times New Roman"/>
                <w:sz w:val="13"/>
                <w:szCs w:val="13"/>
                <w:color w:val="auto"/>
              </w:rPr>
              <w:t>$</w:t>
            </w:r>
          </w:p>
        </w:tc>
        <w:tc>
          <w:tcPr>
            <w:tcW w:w="96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0.26</w:t>
            </w:r>
          </w:p>
        </w:tc>
        <w:tc>
          <w:tcPr>
            <w:tcW w:w="100" w:type="dxa"/>
            <w:vAlign w:val="bottom"/>
          </w:tcPr>
          <w:p>
            <w:pPr>
              <w:spacing w:after="0"/>
              <w:rPr>
                <w:sz w:val="14"/>
                <w:szCs w:val="14"/>
                <w:color w:val="auto"/>
              </w:rPr>
            </w:pPr>
          </w:p>
        </w:tc>
        <w:tc>
          <w:tcPr>
            <w:tcW w:w="280" w:type="dxa"/>
            <w:vAlign w:val="bottom"/>
          </w:tcPr>
          <w:p>
            <w:pPr>
              <w:jc w:val="right"/>
              <w:ind w:right="167"/>
              <w:spacing w:after="0"/>
              <w:rPr>
                <w:sz w:val="20"/>
                <w:szCs w:val="20"/>
                <w:color w:val="auto"/>
              </w:rPr>
            </w:pPr>
            <w:r>
              <w:rPr>
                <w:rFonts w:ascii="Times New Roman" w:cs="Times New Roman" w:eastAsia="Times New Roman" w:hAnsi="Times New Roman"/>
                <w:sz w:val="11"/>
                <w:szCs w:val="11"/>
                <w:color w:val="auto"/>
                <w:w w:val="71"/>
              </w:rPr>
              <w:t>$</w:t>
            </w:r>
          </w:p>
        </w:tc>
        <w:tc>
          <w:tcPr>
            <w:tcW w:w="96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1.17</w:t>
            </w:r>
          </w:p>
        </w:tc>
      </w:tr>
    </w:tbl>
    <w:p>
      <w:pPr>
        <w:spacing w:after="0" w:line="338" w:lineRule="exact"/>
        <w:rPr>
          <w:sz w:val="20"/>
          <w:szCs w:val="20"/>
          <w:color w:val="auto"/>
        </w:rPr>
      </w:pPr>
    </w:p>
    <w:p>
      <w:pPr>
        <w:ind w:right="7820" w:firstLine="5"/>
        <w:spacing w:after="0" w:line="381" w:lineRule="auto"/>
        <w:tabs>
          <w:tab w:leader="none" w:pos="204" w:val="left"/>
        </w:tabs>
        <w:numPr>
          <w:ilvl w:val="0"/>
          <w:numId w:val="26"/>
        </w:numPr>
        <w:rPr>
          <w:rFonts w:ascii="Times New Roman" w:cs="Times New Roman" w:eastAsia="Times New Roman" w:hAnsi="Times New Roman"/>
          <w:sz w:val="14"/>
          <w:szCs w:val="14"/>
          <w:b w:val="1"/>
          <w:bCs w:val="1"/>
          <w:color w:val="auto"/>
        </w:rPr>
      </w:pPr>
      <w:r>
        <w:rPr>
          <w:rFonts w:ascii="Times New Roman" w:cs="Times New Roman" w:eastAsia="Times New Roman" w:hAnsi="Times New Roman"/>
          <w:sz w:val="14"/>
          <w:szCs w:val="14"/>
          <w:b w:val="1"/>
          <w:bCs w:val="1"/>
          <w:color w:val="auto"/>
        </w:rPr>
        <w:t>GOODWILL AND OTHER INTANGIBLE ASSETS: Goodwill</w:t>
      </w:r>
    </w:p>
    <w:p>
      <w:pPr>
        <w:ind w:right="520" w:firstLine="382"/>
        <w:spacing w:after="0" w:line="287" w:lineRule="auto"/>
        <w:rPr>
          <w:sz w:val="20"/>
          <w:szCs w:val="20"/>
          <w:color w:val="auto"/>
        </w:rPr>
      </w:pPr>
      <w:r>
        <w:rPr>
          <w:rFonts w:ascii="Times New Roman" w:cs="Times New Roman" w:eastAsia="Times New Roman" w:hAnsi="Times New Roman"/>
          <w:sz w:val="14"/>
          <w:szCs w:val="14"/>
          <w:color w:val="auto"/>
        </w:rPr>
        <w:t>Goodwill represents the excess of the cost of acquired assets over the fair value of the underlying liabilities assumed at the date of acquisition. Changes in goodwill were as follows (in thousands):</w:t>
      </w:r>
    </w:p>
    <w:p>
      <w:pPr>
        <w:spacing w:after="0" w:line="73" w:lineRule="exact"/>
        <w:rPr>
          <w:sz w:val="20"/>
          <w:szCs w:val="20"/>
          <w:color w:val="auto"/>
        </w:rPr>
      </w:pPr>
    </w:p>
    <w:tbl>
      <w:tblPr>
        <w:tblLayout w:type="fixed"/>
        <w:tblInd w:w="0" w:type="dxa"/>
        <w:tblCellMar>
          <w:top w:w="0" w:type="dxa"/>
          <w:left w:w="0" w:type="dxa"/>
          <w:bottom w:w="0" w:type="dxa"/>
          <w:right w:w="0" w:type="dxa"/>
        </w:tblCellMar>
      </w:tblPr>
      <w:tr>
        <w:trPr>
          <w:trHeight w:val="170"/>
        </w:trPr>
        <w:tc>
          <w:tcPr>
            <w:tcW w:w="4660" w:type="dxa"/>
            <w:vAlign w:val="bottom"/>
          </w:tcPr>
          <w:p>
            <w:pPr>
              <w:spacing w:after="0"/>
              <w:rPr>
                <w:sz w:val="14"/>
                <w:szCs w:val="14"/>
                <w:color w:val="auto"/>
              </w:rPr>
            </w:pPr>
          </w:p>
        </w:tc>
        <w:tc>
          <w:tcPr>
            <w:tcW w:w="1600" w:type="dxa"/>
            <w:vAlign w:val="bottom"/>
          </w:tcPr>
          <w:p>
            <w:pPr>
              <w:jc w:val="right"/>
              <w:ind w:right="76"/>
              <w:spacing w:after="0"/>
              <w:rPr>
                <w:sz w:val="20"/>
                <w:szCs w:val="20"/>
                <w:color w:val="auto"/>
              </w:rPr>
            </w:pPr>
            <w:r>
              <w:rPr>
                <w:rFonts w:ascii="Times New Roman" w:cs="Times New Roman" w:eastAsia="Times New Roman" w:hAnsi="Times New Roman"/>
                <w:sz w:val="13"/>
                <w:szCs w:val="13"/>
                <w:b w:val="1"/>
                <w:bCs w:val="1"/>
                <w:color w:val="auto"/>
              </w:rPr>
              <w:t>Trust Segment</w:t>
            </w:r>
          </w:p>
        </w:tc>
        <w:tc>
          <w:tcPr>
            <w:tcW w:w="52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320" w:type="dxa"/>
            <w:vAlign w:val="bottom"/>
          </w:tcPr>
          <w:p>
            <w:pPr>
              <w:spacing w:after="0"/>
              <w:rPr>
                <w:sz w:val="14"/>
                <w:szCs w:val="14"/>
                <w:color w:val="auto"/>
              </w:rPr>
            </w:pPr>
          </w:p>
        </w:tc>
        <w:tc>
          <w:tcPr>
            <w:tcW w:w="1920" w:type="dxa"/>
            <w:vAlign w:val="bottom"/>
            <w:gridSpan w:val="2"/>
          </w:tcPr>
          <w:p>
            <w:pPr>
              <w:ind w:left="240"/>
              <w:spacing w:after="0"/>
              <w:rPr>
                <w:sz w:val="20"/>
                <w:szCs w:val="20"/>
                <w:color w:val="auto"/>
              </w:rPr>
            </w:pPr>
            <w:r>
              <w:rPr>
                <w:rFonts w:ascii="Times New Roman" w:cs="Times New Roman" w:eastAsia="Times New Roman" w:hAnsi="Times New Roman"/>
                <w:sz w:val="13"/>
                <w:szCs w:val="13"/>
                <w:b w:val="1"/>
                <w:bCs w:val="1"/>
                <w:color w:val="auto"/>
              </w:rPr>
              <w:t>Advisory Segment</w:t>
            </w:r>
          </w:p>
        </w:tc>
        <w:tc>
          <w:tcPr>
            <w:tcW w:w="500" w:type="dxa"/>
            <w:vAlign w:val="bottom"/>
          </w:tcPr>
          <w:p>
            <w:pPr>
              <w:spacing w:after="0"/>
              <w:rPr>
                <w:sz w:val="14"/>
                <w:szCs w:val="14"/>
                <w:color w:val="auto"/>
              </w:rPr>
            </w:pPr>
          </w:p>
        </w:tc>
        <w:tc>
          <w:tcPr>
            <w:tcW w:w="1620" w:type="dxa"/>
            <w:vAlign w:val="bottom"/>
          </w:tcPr>
          <w:p>
            <w:pPr>
              <w:jc w:val="right"/>
              <w:ind w:right="856"/>
              <w:spacing w:after="0"/>
              <w:rPr>
                <w:sz w:val="20"/>
                <w:szCs w:val="20"/>
                <w:color w:val="auto"/>
              </w:rPr>
            </w:pPr>
            <w:r>
              <w:rPr>
                <w:rFonts w:ascii="Times New Roman" w:cs="Times New Roman" w:eastAsia="Times New Roman" w:hAnsi="Times New Roman"/>
                <w:sz w:val="13"/>
                <w:szCs w:val="13"/>
                <w:b w:val="1"/>
                <w:bCs w:val="1"/>
                <w:color w:val="auto"/>
              </w:rPr>
              <w:t>Total</w:t>
            </w:r>
          </w:p>
        </w:tc>
      </w:tr>
      <w:tr>
        <w:trPr>
          <w:trHeight w:val="163"/>
        </w:trPr>
        <w:tc>
          <w:tcPr>
            <w:tcW w:w="4660" w:type="dxa"/>
            <w:vAlign w:val="bottom"/>
            <w:tcBorders>
              <w:top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3"/>
                <w:szCs w:val="13"/>
                <w:b w:val="1"/>
                <w:bCs w:val="1"/>
                <w:color w:val="auto"/>
              </w:rPr>
              <w:t>Balance at December 31, 2023</w:t>
            </w:r>
          </w:p>
        </w:tc>
        <w:tc>
          <w:tcPr>
            <w:tcW w:w="1600" w:type="dxa"/>
            <w:vAlign w:val="bottom"/>
            <w:tcBorders>
              <w:top w:val="single" w:sz="8" w:color="auto"/>
              <w:bottom w:val="single" w:sz="8" w:color="auto"/>
            </w:tcBorders>
            <w:shd w:val="clear" w:color="auto" w:fill="CCEEFF"/>
          </w:tcPr>
          <w:p>
            <w:pPr>
              <w:jc w:val="right"/>
              <w:ind w:right="1456"/>
              <w:spacing w:after="0"/>
              <w:rPr>
                <w:sz w:val="20"/>
                <w:szCs w:val="20"/>
                <w:color w:val="auto"/>
              </w:rPr>
            </w:pPr>
            <w:r>
              <w:rPr>
                <w:rFonts w:ascii="Times New Roman" w:cs="Times New Roman" w:eastAsia="Times New Roman" w:hAnsi="Times New Roman"/>
                <w:sz w:val="13"/>
                <w:szCs w:val="13"/>
                <w:color w:val="auto"/>
                <w:w w:val="91"/>
              </w:rPr>
              <w:t>$</w:t>
            </w:r>
          </w:p>
        </w:tc>
        <w:tc>
          <w:tcPr>
            <w:tcW w:w="5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16,401</w:t>
            </w:r>
          </w:p>
        </w:tc>
        <w:tc>
          <w:tcPr>
            <w:tcW w:w="140" w:type="dxa"/>
            <w:vAlign w:val="bottom"/>
            <w:tcBorders>
              <w:top w:val="single" w:sz="8" w:color="CCEEFF"/>
            </w:tcBorders>
            <w:shd w:val="clear" w:color="auto" w:fill="CCEEFF"/>
          </w:tcPr>
          <w:p>
            <w:pPr>
              <w:spacing w:after="0"/>
              <w:rPr>
                <w:sz w:val="14"/>
                <w:szCs w:val="14"/>
                <w:color w:val="auto"/>
              </w:rPr>
            </w:pPr>
          </w:p>
        </w:tc>
        <w:tc>
          <w:tcPr>
            <w:tcW w:w="320" w:type="dxa"/>
            <w:vAlign w:val="bottom"/>
            <w:tcBorders>
              <w:top w:val="single" w:sz="8" w:color="auto"/>
              <w:bottom w:val="single" w:sz="8" w:color="auto"/>
            </w:tcBorders>
            <w:shd w:val="clear" w:color="auto" w:fill="CCEEFF"/>
          </w:tcPr>
          <w:p>
            <w:pPr>
              <w:jc w:val="right"/>
              <w:ind w:right="207"/>
              <w:spacing w:after="0"/>
              <w:rPr>
                <w:sz w:val="20"/>
                <w:szCs w:val="20"/>
                <w:color w:val="auto"/>
              </w:rPr>
            </w:pPr>
            <w:r>
              <w:rPr>
                <w:rFonts w:ascii="Times New Roman" w:cs="Times New Roman" w:eastAsia="Times New Roman" w:hAnsi="Times New Roman"/>
                <w:sz w:val="11"/>
                <w:szCs w:val="11"/>
                <w:color w:val="auto"/>
                <w:w w:val="71"/>
              </w:rPr>
              <w:t>$</w:t>
            </w:r>
          </w:p>
        </w:tc>
        <w:tc>
          <w:tcPr>
            <w:tcW w:w="18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23,100</w:t>
            </w:r>
          </w:p>
        </w:tc>
        <w:tc>
          <w:tcPr>
            <w:tcW w:w="120" w:type="dxa"/>
            <w:vAlign w:val="bottom"/>
            <w:tcBorders>
              <w:top w:val="single" w:sz="8" w:color="CCEEFF"/>
            </w:tcBorders>
            <w:shd w:val="clear" w:color="auto" w:fill="CCEEFF"/>
          </w:tcPr>
          <w:p>
            <w:pPr>
              <w:spacing w:after="0"/>
              <w:rPr>
                <w:sz w:val="14"/>
                <w:szCs w:val="14"/>
                <w:color w:val="auto"/>
              </w:rPr>
            </w:pPr>
          </w:p>
        </w:tc>
        <w:tc>
          <w:tcPr>
            <w:tcW w:w="500" w:type="dxa"/>
            <w:vAlign w:val="bottom"/>
            <w:tcBorders>
              <w:top w:val="single" w:sz="8" w:color="auto"/>
              <w:bottom w:val="single" w:sz="8" w:color="auto"/>
            </w:tcBorders>
            <w:shd w:val="clear" w:color="auto" w:fill="CCEEFF"/>
          </w:tcPr>
          <w:p>
            <w:pPr>
              <w:jc w:val="right"/>
              <w:ind w:right="356"/>
              <w:spacing w:after="0"/>
              <w:rPr>
                <w:sz w:val="20"/>
                <w:szCs w:val="20"/>
                <w:color w:val="auto"/>
              </w:rPr>
            </w:pPr>
            <w:r>
              <w:rPr>
                <w:rFonts w:ascii="Times New Roman" w:cs="Times New Roman" w:eastAsia="Times New Roman" w:hAnsi="Times New Roman"/>
                <w:sz w:val="13"/>
                <w:szCs w:val="13"/>
                <w:color w:val="auto"/>
                <w:w w:val="91"/>
              </w:rPr>
              <w:t>$</w:t>
            </w:r>
          </w:p>
        </w:tc>
        <w:tc>
          <w:tcPr>
            <w:tcW w:w="16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39,501</w:t>
            </w:r>
          </w:p>
        </w:tc>
      </w:tr>
      <w:tr>
        <w:trPr>
          <w:trHeight w:val="158"/>
        </w:trPr>
        <w:tc>
          <w:tcPr>
            <w:tcW w:w="4660" w:type="dxa"/>
            <w:vAlign w:val="bottom"/>
            <w:tcBorders>
              <w:bottom w:val="single" w:sz="8" w:color="CCEEFF"/>
            </w:tcBorders>
          </w:tcPr>
          <w:p>
            <w:pPr>
              <w:ind w:left="20"/>
              <w:spacing w:after="0"/>
              <w:rPr>
                <w:sz w:val="20"/>
                <w:szCs w:val="20"/>
                <w:color w:val="auto"/>
              </w:rPr>
            </w:pPr>
            <w:r>
              <w:rPr>
                <w:rFonts w:ascii="Times New Roman" w:cs="Times New Roman" w:eastAsia="Times New Roman" w:hAnsi="Times New Roman"/>
                <w:sz w:val="13"/>
                <w:szCs w:val="13"/>
                <w:b w:val="1"/>
                <w:bCs w:val="1"/>
                <w:color w:val="auto"/>
              </w:rPr>
              <w:t>Balance at December 31, 2024</w:t>
            </w:r>
          </w:p>
        </w:tc>
        <w:tc>
          <w:tcPr>
            <w:tcW w:w="1600" w:type="dxa"/>
            <w:vAlign w:val="bottom"/>
            <w:tcBorders>
              <w:bottom w:val="single" w:sz="8" w:color="auto"/>
            </w:tcBorders>
          </w:tcPr>
          <w:p>
            <w:pPr>
              <w:spacing w:after="0"/>
              <w:rPr>
                <w:sz w:val="13"/>
                <w:szCs w:val="13"/>
                <w:color w:val="auto"/>
              </w:rPr>
            </w:pPr>
          </w:p>
        </w:tc>
        <w:tc>
          <w:tcPr>
            <w:tcW w:w="5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3"/>
                <w:szCs w:val="13"/>
                <w:color w:val="auto"/>
              </w:rPr>
              <w:t>16,401</w:t>
            </w:r>
          </w:p>
        </w:tc>
        <w:tc>
          <w:tcPr>
            <w:tcW w:w="140" w:type="dxa"/>
            <w:vAlign w:val="bottom"/>
            <w:tcBorders>
              <w:bottom w:val="single" w:sz="8" w:color="CCEEFF"/>
            </w:tcBorders>
          </w:tcPr>
          <w:p>
            <w:pPr>
              <w:spacing w:after="0"/>
              <w:rPr>
                <w:sz w:val="13"/>
                <w:szCs w:val="13"/>
                <w:color w:val="auto"/>
              </w:rPr>
            </w:pPr>
          </w:p>
        </w:tc>
        <w:tc>
          <w:tcPr>
            <w:tcW w:w="320" w:type="dxa"/>
            <w:vAlign w:val="bottom"/>
            <w:tcBorders>
              <w:bottom w:val="single" w:sz="8" w:color="auto"/>
            </w:tcBorders>
          </w:tcPr>
          <w:p>
            <w:pPr>
              <w:spacing w:after="0"/>
              <w:rPr>
                <w:sz w:val="13"/>
                <w:szCs w:val="13"/>
                <w:color w:val="auto"/>
              </w:rPr>
            </w:pPr>
          </w:p>
        </w:tc>
        <w:tc>
          <w:tcPr>
            <w:tcW w:w="18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3"/>
                <w:szCs w:val="13"/>
                <w:color w:val="auto"/>
              </w:rPr>
              <w:t>23,100</w:t>
            </w:r>
          </w:p>
        </w:tc>
        <w:tc>
          <w:tcPr>
            <w:tcW w:w="120" w:type="dxa"/>
            <w:vAlign w:val="bottom"/>
            <w:tcBorders>
              <w:bottom w:val="single" w:sz="8" w:color="CCEEFF"/>
            </w:tcBorders>
          </w:tcPr>
          <w:p>
            <w:pPr>
              <w:spacing w:after="0"/>
              <w:rPr>
                <w:sz w:val="13"/>
                <w:szCs w:val="13"/>
                <w:color w:val="auto"/>
              </w:rPr>
            </w:pPr>
          </w:p>
        </w:tc>
        <w:tc>
          <w:tcPr>
            <w:tcW w:w="500" w:type="dxa"/>
            <w:vAlign w:val="bottom"/>
            <w:tcBorders>
              <w:bottom w:val="single" w:sz="8" w:color="auto"/>
            </w:tcBorders>
          </w:tcPr>
          <w:p>
            <w:pPr>
              <w:spacing w:after="0"/>
              <w:rPr>
                <w:sz w:val="13"/>
                <w:szCs w:val="13"/>
                <w:color w:val="auto"/>
              </w:rPr>
            </w:pPr>
          </w:p>
        </w:tc>
        <w:tc>
          <w:tcPr>
            <w:tcW w:w="16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3"/>
                <w:szCs w:val="13"/>
                <w:color w:val="auto"/>
              </w:rPr>
              <w:t>39,501</w:t>
            </w:r>
          </w:p>
        </w:tc>
      </w:tr>
      <w:tr>
        <w:trPr>
          <w:trHeight w:val="188"/>
        </w:trPr>
        <w:tc>
          <w:tcPr>
            <w:tcW w:w="466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3"/>
                <w:szCs w:val="13"/>
                <w:b w:val="1"/>
                <w:bCs w:val="1"/>
                <w:color w:val="auto"/>
              </w:rPr>
              <w:t>Balance at December 31, 2025</w:t>
            </w:r>
          </w:p>
        </w:tc>
        <w:tc>
          <w:tcPr>
            <w:tcW w:w="1600" w:type="dxa"/>
            <w:vAlign w:val="bottom"/>
            <w:tcBorders>
              <w:bottom w:val="single" w:sz="8" w:color="auto"/>
            </w:tcBorders>
            <w:shd w:val="clear" w:color="auto" w:fill="CCEEFF"/>
          </w:tcPr>
          <w:p>
            <w:pPr>
              <w:jc w:val="right"/>
              <w:ind w:right="1456"/>
              <w:spacing w:after="0"/>
              <w:rPr>
                <w:sz w:val="20"/>
                <w:szCs w:val="20"/>
                <w:color w:val="auto"/>
              </w:rPr>
            </w:pPr>
            <w:r>
              <w:rPr>
                <w:rFonts w:ascii="Times New Roman" w:cs="Times New Roman" w:eastAsia="Times New Roman" w:hAnsi="Times New Roman"/>
                <w:sz w:val="13"/>
                <w:szCs w:val="13"/>
                <w:color w:val="auto"/>
                <w:w w:val="91"/>
              </w:rPr>
              <w:t>$</w:t>
            </w:r>
          </w:p>
        </w:tc>
        <w:tc>
          <w:tcPr>
            <w:tcW w:w="5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16,401</w:t>
            </w:r>
          </w:p>
        </w:tc>
        <w:tc>
          <w:tcPr>
            <w:tcW w:w="140" w:type="dxa"/>
            <w:vAlign w:val="bottom"/>
            <w:tcBorders>
              <w:bottom w:val="single" w:sz="8" w:color="CCEEFF"/>
            </w:tcBorders>
            <w:shd w:val="clear" w:color="auto" w:fill="CCEEFF"/>
          </w:tcPr>
          <w:p>
            <w:pPr>
              <w:spacing w:after="0"/>
              <w:rPr>
                <w:sz w:val="15"/>
                <w:szCs w:val="15"/>
                <w:color w:val="auto"/>
              </w:rPr>
            </w:pPr>
          </w:p>
        </w:tc>
        <w:tc>
          <w:tcPr>
            <w:tcW w:w="320" w:type="dxa"/>
            <w:vAlign w:val="bottom"/>
            <w:tcBorders>
              <w:bottom w:val="single" w:sz="8" w:color="auto"/>
            </w:tcBorders>
            <w:shd w:val="clear" w:color="auto" w:fill="CCEEFF"/>
          </w:tcPr>
          <w:p>
            <w:pPr>
              <w:jc w:val="right"/>
              <w:ind w:right="207"/>
              <w:spacing w:after="0"/>
              <w:rPr>
                <w:sz w:val="20"/>
                <w:szCs w:val="20"/>
                <w:color w:val="auto"/>
              </w:rPr>
            </w:pPr>
            <w:r>
              <w:rPr>
                <w:rFonts w:ascii="Times New Roman" w:cs="Times New Roman" w:eastAsia="Times New Roman" w:hAnsi="Times New Roman"/>
                <w:sz w:val="11"/>
                <w:szCs w:val="11"/>
                <w:color w:val="auto"/>
                <w:w w:val="71"/>
              </w:rPr>
              <w:t>$</w:t>
            </w:r>
          </w:p>
        </w:tc>
        <w:tc>
          <w:tcPr>
            <w:tcW w:w="18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23,100</w:t>
            </w:r>
          </w:p>
        </w:tc>
        <w:tc>
          <w:tcPr>
            <w:tcW w:w="120" w:type="dxa"/>
            <w:vAlign w:val="bottom"/>
            <w:tcBorders>
              <w:bottom w:val="single" w:sz="8" w:color="CCEEFF"/>
            </w:tcBorders>
            <w:shd w:val="clear" w:color="auto" w:fill="CCEEFF"/>
          </w:tcPr>
          <w:p>
            <w:pPr>
              <w:spacing w:after="0"/>
              <w:rPr>
                <w:sz w:val="15"/>
                <w:szCs w:val="15"/>
                <w:color w:val="auto"/>
              </w:rPr>
            </w:pPr>
          </w:p>
        </w:tc>
        <w:tc>
          <w:tcPr>
            <w:tcW w:w="500" w:type="dxa"/>
            <w:vAlign w:val="bottom"/>
            <w:tcBorders>
              <w:bottom w:val="single" w:sz="8" w:color="auto"/>
            </w:tcBorders>
            <w:shd w:val="clear" w:color="auto" w:fill="CCEEFF"/>
          </w:tcPr>
          <w:p>
            <w:pPr>
              <w:jc w:val="right"/>
              <w:ind w:right="356"/>
              <w:spacing w:after="0"/>
              <w:rPr>
                <w:sz w:val="20"/>
                <w:szCs w:val="20"/>
                <w:color w:val="auto"/>
              </w:rPr>
            </w:pPr>
            <w:r>
              <w:rPr>
                <w:rFonts w:ascii="Times New Roman" w:cs="Times New Roman" w:eastAsia="Times New Roman" w:hAnsi="Times New Roman"/>
                <w:sz w:val="13"/>
                <w:szCs w:val="13"/>
                <w:color w:val="auto"/>
                <w:w w:val="91"/>
              </w:rPr>
              <w:t>$</w:t>
            </w:r>
          </w:p>
        </w:tc>
        <w:tc>
          <w:tcPr>
            <w:tcW w:w="16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39,501</w:t>
            </w:r>
          </w:p>
        </w:tc>
      </w:tr>
      <w:tr>
        <w:trPr>
          <w:trHeight w:val="20"/>
        </w:trPr>
        <w:tc>
          <w:tcPr>
            <w:tcW w:w="4660" w:type="dxa"/>
            <w:vAlign w:val="bottom"/>
            <w:tcBorders>
              <w:top w:val="single" w:sz="8" w:color="CCEEFF"/>
            </w:tcBorders>
          </w:tcPr>
          <w:p>
            <w:pPr>
              <w:spacing w:after="0" w:line="20" w:lineRule="exact"/>
              <w:rPr>
                <w:sz w:val="1"/>
                <w:szCs w:val="1"/>
                <w:color w:val="auto"/>
              </w:rPr>
            </w:pPr>
          </w:p>
        </w:tc>
        <w:tc>
          <w:tcPr>
            <w:tcW w:w="1600" w:type="dxa"/>
            <w:vAlign w:val="bottom"/>
            <w:tcBorders>
              <w:top w:val="single" w:sz="8" w:color="CCEEFF"/>
              <w:bottom w:val="single" w:sz="8" w:color="auto"/>
            </w:tcBorders>
          </w:tcPr>
          <w:p>
            <w:pPr>
              <w:spacing w:after="0" w:line="20" w:lineRule="exact"/>
              <w:rPr>
                <w:sz w:val="1"/>
                <w:szCs w:val="1"/>
                <w:color w:val="auto"/>
              </w:rPr>
            </w:pPr>
          </w:p>
        </w:tc>
        <w:tc>
          <w:tcPr>
            <w:tcW w:w="520" w:type="dxa"/>
            <w:vAlign w:val="bottom"/>
            <w:tcBorders>
              <w:top w:val="single" w:sz="8" w:color="CCEEFF"/>
              <w:bottom w:val="single" w:sz="8" w:color="auto"/>
            </w:tcBorders>
          </w:tcPr>
          <w:p>
            <w:pPr>
              <w:spacing w:after="0" w:line="20" w:lineRule="exact"/>
              <w:rPr>
                <w:sz w:val="1"/>
                <w:szCs w:val="1"/>
                <w:color w:val="auto"/>
              </w:rPr>
            </w:pPr>
          </w:p>
        </w:tc>
        <w:tc>
          <w:tcPr>
            <w:tcW w:w="140" w:type="dxa"/>
            <w:vAlign w:val="bottom"/>
            <w:tcBorders>
              <w:top w:val="single" w:sz="8" w:color="CCEEFF"/>
            </w:tcBorders>
          </w:tcPr>
          <w:p>
            <w:pPr>
              <w:spacing w:after="0" w:line="20" w:lineRule="exact"/>
              <w:rPr>
                <w:sz w:val="1"/>
                <w:szCs w:val="1"/>
                <w:color w:val="auto"/>
              </w:rPr>
            </w:pPr>
          </w:p>
        </w:tc>
        <w:tc>
          <w:tcPr>
            <w:tcW w:w="320" w:type="dxa"/>
            <w:vAlign w:val="bottom"/>
            <w:tcBorders>
              <w:top w:val="single" w:sz="8" w:color="CCEEFF"/>
              <w:bottom w:val="single" w:sz="8" w:color="auto"/>
            </w:tcBorders>
          </w:tcPr>
          <w:p>
            <w:pPr>
              <w:spacing w:after="0" w:line="20" w:lineRule="exact"/>
              <w:rPr>
                <w:sz w:val="1"/>
                <w:szCs w:val="1"/>
                <w:color w:val="auto"/>
              </w:rPr>
            </w:pPr>
          </w:p>
        </w:tc>
        <w:tc>
          <w:tcPr>
            <w:tcW w:w="1800" w:type="dxa"/>
            <w:vAlign w:val="bottom"/>
            <w:tcBorders>
              <w:top w:val="single" w:sz="8" w:color="CCEEFF"/>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500" w:type="dxa"/>
            <w:vAlign w:val="bottom"/>
            <w:tcBorders>
              <w:top w:val="single" w:sz="8" w:color="CCEEFF"/>
              <w:bottom w:val="single" w:sz="8" w:color="auto"/>
            </w:tcBorders>
          </w:tcPr>
          <w:p>
            <w:pPr>
              <w:spacing w:after="0" w:line="20" w:lineRule="exact"/>
              <w:rPr>
                <w:sz w:val="1"/>
                <w:szCs w:val="1"/>
                <w:color w:val="auto"/>
              </w:rPr>
            </w:pPr>
          </w:p>
        </w:tc>
        <w:tc>
          <w:tcPr>
            <w:tcW w:w="1620" w:type="dxa"/>
            <w:vAlign w:val="bottom"/>
            <w:tcBorders>
              <w:top w:val="single" w:sz="8" w:color="CCEEFF"/>
              <w:bottom w:val="single" w:sz="8" w:color="auto"/>
            </w:tcBorders>
          </w:tcPr>
          <w:p>
            <w:pPr>
              <w:spacing w:after="0" w:line="20" w:lineRule="exact"/>
              <w:rPr>
                <w:sz w:val="1"/>
                <w:szCs w:val="1"/>
                <w:color w:val="auto"/>
              </w:rPr>
            </w:pPr>
          </w:p>
        </w:tc>
      </w:tr>
    </w:tbl>
    <w:p>
      <w:pPr>
        <w:spacing w:after="0" w:line="134" w:lineRule="exact"/>
        <w:rPr>
          <w:sz w:val="20"/>
          <w:szCs w:val="20"/>
          <w:color w:val="auto"/>
        </w:rPr>
      </w:pPr>
    </w:p>
    <w:p>
      <w:pPr>
        <w:ind w:right="300" w:firstLine="382"/>
        <w:spacing w:after="0" w:line="287" w:lineRule="auto"/>
        <w:rPr>
          <w:sz w:val="20"/>
          <w:szCs w:val="20"/>
          <w:color w:val="auto"/>
        </w:rPr>
      </w:pPr>
      <w:r>
        <w:rPr>
          <w:rFonts w:ascii="Times New Roman" w:cs="Times New Roman" w:eastAsia="Times New Roman" w:hAnsi="Times New Roman"/>
          <w:sz w:val="14"/>
          <w:szCs w:val="14"/>
          <w:color w:val="auto"/>
        </w:rPr>
        <w:t>Goodwill is not amortized but is tested for impairment at least annually. We completed our annual goodwill impairment assessment during the third quarter of 2025 and determined that no impairment loss was required. No impairments were recorded during the years ended December 31, 2025, 2024 or 2023.</w:t>
      </w:r>
    </w:p>
    <w:p>
      <w:pPr>
        <w:spacing w:after="0" w:line="37"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b w:val="1"/>
          <w:bCs w:val="1"/>
          <w:color w:val="auto"/>
        </w:rPr>
        <w:t>Other Intangible Assets</w:t>
      </w:r>
    </w:p>
    <w:p>
      <w:pPr>
        <w:spacing w:after="0" w:line="96" w:lineRule="exact"/>
        <w:rPr>
          <w:sz w:val="20"/>
          <w:szCs w:val="20"/>
          <w:color w:val="auto"/>
        </w:rPr>
      </w:pPr>
    </w:p>
    <w:p>
      <w:pPr>
        <w:ind w:right="80" w:firstLine="382"/>
        <w:spacing w:after="0" w:line="287" w:lineRule="auto"/>
        <w:rPr>
          <w:sz w:val="20"/>
          <w:szCs w:val="20"/>
          <w:color w:val="auto"/>
        </w:rPr>
      </w:pPr>
      <w:r>
        <w:rPr>
          <w:rFonts w:ascii="Times New Roman" w:cs="Times New Roman" w:eastAsia="Times New Roman" w:hAnsi="Times New Roman"/>
          <w:sz w:val="14"/>
          <w:szCs w:val="14"/>
          <w:color w:val="auto"/>
        </w:rPr>
        <w:t>Our intangible assets represent the acquisition date fair value of acquired client relationships, internally-developed software, non-compete agreements and trade names, and are reflected net of amortization. In valuing these assets, we made significant estimates regarding their useful lives, growth rates and potential attrition.</w:t>
      </w:r>
    </w:p>
    <w:p>
      <w:pPr>
        <w:spacing w:after="0" w:line="39" w:lineRule="exact"/>
        <w:rPr>
          <w:sz w:val="20"/>
          <w:szCs w:val="20"/>
          <w:color w:val="auto"/>
        </w:rPr>
      </w:pPr>
    </w:p>
    <w:p>
      <w:pPr>
        <w:ind w:left="380"/>
        <w:spacing w:after="0"/>
        <w:rPr>
          <w:sz w:val="20"/>
          <w:szCs w:val="20"/>
          <w:color w:val="auto"/>
        </w:rPr>
      </w:pPr>
      <w:r>
        <w:rPr>
          <w:rFonts w:ascii="Times New Roman" w:cs="Times New Roman" w:eastAsia="Times New Roman" w:hAnsi="Times New Roman"/>
          <w:sz w:val="14"/>
          <w:szCs w:val="14"/>
          <w:color w:val="auto"/>
        </w:rPr>
        <w:t>The following is a summary of intangible assets at December 31, 2025 and 2024 (in thousands, except years):</w:t>
      </w:r>
    </w:p>
    <w:p>
      <w:pPr>
        <w:spacing w:after="0" w:line="23" w:lineRule="exact"/>
        <w:rPr>
          <w:sz w:val="20"/>
          <w:szCs w:val="20"/>
          <w:color w:val="auto"/>
        </w:rPr>
      </w:pPr>
    </w:p>
    <w:tbl>
      <w:tblPr>
        <w:tblLayout w:type="fixed"/>
        <w:tblInd w:w="0" w:type="dxa"/>
        <w:tblCellMar>
          <w:top w:w="0" w:type="dxa"/>
          <w:left w:w="0" w:type="dxa"/>
          <w:bottom w:w="0" w:type="dxa"/>
          <w:right w:w="0" w:type="dxa"/>
        </w:tblCellMar>
      </w:tblPr>
      <w:tr>
        <w:trPr>
          <w:trHeight w:val="149"/>
        </w:trPr>
        <w:tc>
          <w:tcPr>
            <w:tcW w:w="5300" w:type="dxa"/>
            <w:vAlign w:val="bottom"/>
          </w:tcPr>
          <w:p>
            <w:pPr>
              <w:spacing w:after="0"/>
              <w:rPr>
                <w:sz w:val="12"/>
                <w:szCs w:val="12"/>
                <w:color w:val="auto"/>
              </w:rPr>
            </w:pPr>
          </w:p>
        </w:tc>
        <w:tc>
          <w:tcPr>
            <w:tcW w:w="1600" w:type="dxa"/>
            <w:vAlign w:val="bottom"/>
            <w:gridSpan w:val="2"/>
          </w:tcPr>
          <w:p>
            <w:pPr>
              <w:jc w:val="center"/>
              <w:ind w:right="100"/>
              <w:spacing w:after="0"/>
              <w:rPr>
                <w:sz w:val="20"/>
                <w:szCs w:val="20"/>
                <w:color w:val="auto"/>
              </w:rPr>
            </w:pPr>
            <w:r>
              <w:rPr>
                <w:rFonts w:ascii="Times New Roman" w:cs="Times New Roman" w:eastAsia="Times New Roman" w:hAnsi="Times New Roman"/>
                <w:sz w:val="13"/>
                <w:szCs w:val="13"/>
                <w:b w:val="1"/>
                <w:bCs w:val="1"/>
                <w:color w:val="auto"/>
                <w:w w:val="95"/>
              </w:rPr>
              <w:t>Weighted Average</w:t>
            </w:r>
          </w:p>
        </w:tc>
        <w:tc>
          <w:tcPr>
            <w:tcW w:w="960" w:type="dxa"/>
            <w:vAlign w:val="bottom"/>
          </w:tcPr>
          <w:p>
            <w:pPr>
              <w:jc w:val="center"/>
              <w:ind w:left="362"/>
              <w:spacing w:after="0"/>
              <w:rPr>
                <w:sz w:val="20"/>
                <w:szCs w:val="20"/>
                <w:color w:val="auto"/>
              </w:rPr>
            </w:pPr>
            <w:r>
              <w:rPr>
                <w:rFonts w:ascii="Times New Roman" w:cs="Times New Roman" w:eastAsia="Times New Roman" w:hAnsi="Times New Roman"/>
                <w:sz w:val="13"/>
                <w:szCs w:val="13"/>
                <w:b w:val="1"/>
                <w:bCs w:val="1"/>
                <w:color w:val="auto"/>
                <w:w w:val="92"/>
              </w:rPr>
              <w:t>Gross</w:t>
            </w:r>
          </w:p>
        </w:tc>
        <w:tc>
          <w:tcPr>
            <w:tcW w:w="44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1280" w:type="dxa"/>
            <w:vAlign w:val="bottom"/>
            <w:gridSpan w:val="2"/>
            <w:vMerge w:val="restart"/>
          </w:tcPr>
          <w:p>
            <w:pPr>
              <w:ind w:left="120"/>
              <w:spacing w:after="0"/>
              <w:rPr>
                <w:sz w:val="20"/>
                <w:szCs w:val="20"/>
                <w:color w:val="auto"/>
              </w:rPr>
            </w:pPr>
            <w:r>
              <w:rPr>
                <w:rFonts w:ascii="Times New Roman" w:cs="Times New Roman" w:eastAsia="Times New Roman" w:hAnsi="Times New Roman"/>
                <w:sz w:val="13"/>
                <w:szCs w:val="13"/>
                <w:b w:val="1"/>
                <w:bCs w:val="1"/>
                <w:color w:val="auto"/>
              </w:rPr>
              <w:t>Accumulated</w:t>
            </w:r>
          </w:p>
        </w:tc>
        <w:tc>
          <w:tcPr>
            <w:tcW w:w="260" w:type="dxa"/>
            <w:vAlign w:val="bottom"/>
          </w:tcPr>
          <w:p>
            <w:pPr>
              <w:spacing w:after="0"/>
              <w:rPr>
                <w:sz w:val="12"/>
                <w:szCs w:val="12"/>
                <w:color w:val="auto"/>
              </w:rPr>
            </w:pPr>
          </w:p>
        </w:tc>
        <w:tc>
          <w:tcPr>
            <w:tcW w:w="1140" w:type="dxa"/>
            <w:vAlign w:val="bottom"/>
          </w:tcPr>
          <w:p>
            <w:pPr>
              <w:jc w:val="center"/>
              <w:ind w:right="196"/>
              <w:spacing w:after="0"/>
              <w:rPr>
                <w:sz w:val="20"/>
                <w:szCs w:val="20"/>
                <w:color w:val="auto"/>
              </w:rPr>
            </w:pPr>
            <w:r>
              <w:rPr>
                <w:rFonts w:ascii="Times New Roman" w:cs="Times New Roman" w:eastAsia="Times New Roman" w:hAnsi="Times New Roman"/>
                <w:sz w:val="13"/>
                <w:szCs w:val="13"/>
                <w:b w:val="1"/>
                <w:bCs w:val="1"/>
                <w:color w:val="auto"/>
              </w:rPr>
              <w:t>Net</w:t>
            </w:r>
          </w:p>
        </w:tc>
        <w:tc>
          <w:tcPr>
            <w:tcW w:w="0" w:type="dxa"/>
            <w:vAlign w:val="bottom"/>
          </w:tcPr>
          <w:p>
            <w:pPr>
              <w:spacing w:after="0"/>
              <w:rPr>
                <w:sz w:val="1"/>
                <w:szCs w:val="1"/>
                <w:color w:val="auto"/>
              </w:rPr>
            </w:pPr>
          </w:p>
        </w:tc>
      </w:tr>
      <w:tr>
        <w:trPr>
          <w:trHeight w:val="127"/>
        </w:trPr>
        <w:tc>
          <w:tcPr>
            <w:tcW w:w="5300" w:type="dxa"/>
            <w:vAlign w:val="bottom"/>
          </w:tcPr>
          <w:p>
            <w:pPr>
              <w:spacing w:after="0"/>
              <w:rPr>
                <w:sz w:val="11"/>
                <w:szCs w:val="11"/>
                <w:color w:val="auto"/>
              </w:rPr>
            </w:pPr>
          </w:p>
        </w:tc>
        <w:tc>
          <w:tcPr>
            <w:tcW w:w="1600" w:type="dxa"/>
            <w:vAlign w:val="bottom"/>
            <w:gridSpan w:val="2"/>
          </w:tcPr>
          <w:p>
            <w:pPr>
              <w:jc w:val="center"/>
              <w:ind w:right="100"/>
              <w:spacing w:after="0" w:line="128" w:lineRule="exact"/>
              <w:rPr>
                <w:sz w:val="20"/>
                <w:szCs w:val="20"/>
                <w:color w:val="auto"/>
              </w:rPr>
            </w:pPr>
            <w:r>
              <w:rPr>
                <w:rFonts w:ascii="Times New Roman" w:cs="Times New Roman" w:eastAsia="Times New Roman" w:hAnsi="Times New Roman"/>
                <w:sz w:val="13"/>
                <w:szCs w:val="13"/>
                <w:b w:val="1"/>
                <w:bCs w:val="1"/>
                <w:color w:val="auto"/>
                <w:w w:val="99"/>
              </w:rPr>
              <w:t>Amortization</w:t>
            </w:r>
          </w:p>
        </w:tc>
        <w:tc>
          <w:tcPr>
            <w:tcW w:w="960" w:type="dxa"/>
            <w:vAlign w:val="bottom"/>
          </w:tcPr>
          <w:p>
            <w:pPr>
              <w:jc w:val="center"/>
              <w:ind w:left="362"/>
              <w:spacing w:after="0" w:line="128" w:lineRule="exact"/>
              <w:rPr>
                <w:sz w:val="20"/>
                <w:szCs w:val="20"/>
                <w:color w:val="auto"/>
              </w:rPr>
            </w:pPr>
            <w:r>
              <w:rPr>
                <w:rFonts w:ascii="Times New Roman" w:cs="Times New Roman" w:eastAsia="Times New Roman" w:hAnsi="Times New Roman"/>
                <w:sz w:val="13"/>
                <w:szCs w:val="13"/>
                <w:b w:val="1"/>
                <w:bCs w:val="1"/>
                <w:color w:val="auto"/>
                <w:w w:val="97"/>
              </w:rPr>
              <w:t>Carrying</w:t>
            </w:r>
          </w:p>
        </w:tc>
        <w:tc>
          <w:tcPr>
            <w:tcW w:w="44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1280" w:type="dxa"/>
            <w:vAlign w:val="bottom"/>
            <w:gridSpan w:val="2"/>
            <w:vMerge w:val="continue"/>
          </w:tcPr>
          <w:p>
            <w:pPr>
              <w:spacing w:after="0"/>
              <w:rPr>
                <w:sz w:val="11"/>
                <w:szCs w:val="11"/>
                <w:color w:val="auto"/>
              </w:rPr>
            </w:pPr>
          </w:p>
        </w:tc>
        <w:tc>
          <w:tcPr>
            <w:tcW w:w="260" w:type="dxa"/>
            <w:vAlign w:val="bottom"/>
          </w:tcPr>
          <w:p>
            <w:pPr>
              <w:spacing w:after="0"/>
              <w:rPr>
                <w:sz w:val="11"/>
                <w:szCs w:val="11"/>
                <w:color w:val="auto"/>
              </w:rPr>
            </w:pPr>
          </w:p>
        </w:tc>
        <w:tc>
          <w:tcPr>
            <w:tcW w:w="1140" w:type="dxa"/>
            <w:vAlign w:val="bottom"/>
          </w:tcPr>
          <w:p>
            <w:pPr>
              <w:jc w:val="center"/>
              <w:ind w:right="176"/>
              <w:spacing w:after="0" w:line="128" w:lineRule="exact"/>
              <w:rPr>
                <w:sz w:val="20"/>
                <w:szCs w:val="20"/>
                <w:color w:val="auto"/>
              </w:rPr>
            </w:pPr>
            <w:r>
              <w:rPr>
                <w:rFonts w:ascii="Times New Roman" w:cs="Times New Roman" w:eastAsia="Times New Roman" w:hAnsi="Times New Roman"/>
                <w:sz w:val="13"/>
                <w:szCs w:val="13"/>
                <w:b w:val="1"/>
                <w:bCs w:val="1"/>
                <w:color w:val="auto"/>
                <w:w w:val="97"/>
              </w:rPr>
              <w:t>Carrying</w:t>
            </w:r>
          </w:p>
        </w:tc>
        <w:tc>
          <w:tcPr>
            <w:tcW w:w="0" w:type="dxa"/>
            <w:vAlign w:val="bottom"/>
          </w:tcPr>
          <w:p>
            <w:pPr>
              <w:spacing w:after="0"/>
              <w:rPr>
                <w:sz w:val="1"/>
                <w:szCs w:val="1"/>
                <w:color w:val="auto"/>
              </w:rPr>
            </w:pPr>
          </w:p>
        </w:tc>
      </w:tr>
      <w:tr>
        <w:trPr>
          <w:trHeight w:val="169"/>
        </w:trPr>
        <w:tc>
          <w:tcPr>
            <w:tcW w:w="5300" w:type="dxa"/>
            <w:vAlign w:val="bottom"/>
          </w:tcPr>
          <w:p>
            <w:pPr>
              <w:spacing w:after="0"/>
              <w:rPr>
                <w:sz w:val="14"/>
                <w:szCs w:val="14"/>
                <w:color w:val="auto"/>
              </w:rPr>
            </w:pPr>
          </w:p>
        </w:tc>
        <w:tc>
          <w:tcPr>
            <w:tcW w:w="1600" w:type="dxa"/>
            <w:vAlign w:val="bottom"/>
            <w:gridSpan w:val="2"/>
          </w:tcPr>
          <w:p>
            <w:pPr>
              <w:jc w:val="center"/>
              <w:ind w:right="100"/>
              <w:spacing w:after="0"/>
              <w:rPr>
                <w:sz w:val="20"/>
                <w:szCs w:val="20"/>
                <w:color w:val="auto"/>
              </w:rPr>
            </w:pPr>
            <w:r>
              <w:rPr>
                <w:rFonts w:ascii="Times New Roman" w:cs="Times New Roman" w:eastAsia="Times New Roman" w:hAnsi="Times New Roman"/>
                <w:sz w:val="13"/>
                <w:szCs w:val="13"/>
                <w:b w:val="1"/>
                <w:bCs w:val="1"/>
                <w:color w:val="auto"/>
                <w:w w:val="99"/>
              </w:rPr>
              <w:t>Period (years)</w:t>
            </w:r>
          </w:p>
        </w:tc>
        <w:tc>
          <w:tcPr>
            <w:tcW w:w="960" w:type="dxa"/>
            <w:vAlign w:val="bottom"/>
          </w:tcPr>
          <w:p>
            <w:pPr>
              <w:jc w:val="center"/>
              <w:ind w:left="362"/>
              <w:spacing w:after="0"/>
              <w:rPr>
                <w:sz w:val="20"/>
                <w:szCs w:val="20"/>
                <w:color w:val="auto"/>
              </w:rPr>
            </w:pPr>
            <w:r>
              <w:rPr>
                <w:rFonts w:ascii="Times New Roman" w:cs="Times New Roman" w:eastAsia="Times New Roman" w:hAnsi="Times New Roman"/>
                <w:sz w:val="13"/>
                <w:szCs w:val="13"/>
                <w:b w:val="1"/>
                <w:bCs w:val="1"/>
                <w:color w:val="auto"/>
              </w:rPr>
              <w:t>Amount</w:t>
            </w:r>
          </w:p>
        </w:tc>
        <w:tc>
          <w:tcPr>
            <w:tcW w:w="44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1280" w:type="dxa"/>
            <w:vAlign w:val="bottom"/>
            <w:gridSpan w:val="2"/>
          </w:tcPr>
          <w:p>
            <w:pPr>
              <w:ind w:left="120"/>
              <w:spacing w:after="0"/>
              <w:rPr>
                <w:sz w:val="20"/>
                <w:szCs w:val="20"/>
                <w:color w:val="auto"/>
              </w:rPr>
            </w:pPr>
            <w:r>
              <w:rPr>
                <w:rFonts w:ascii="Times New Roman" w:cs="Times New Roman" w:eastAsia="Times New Roman" w:hAnsi="Times New Roman"/>
                <w:sz w:val="13"/>
                <w:szCs w:val="13"/>
                <w:b w:val="1"/>
                <w:bCs w:val="1"/>
                <w:color w:val="auto"/>
              </w:rPr>
              <w:t>Amortization</w:t>
            </w:r>
          </w:p>
        </w:tc>
        <w:tc>
          <w:tcPr>
            <w:tcW w:w="260" w:type="dxa"/>
            <w:vAlign w:val="bottom"/>
          </w:tcPr>
          <w:p>
            <w:pPr>
              <w:spacing w:after="0"/>
              <w:rPr>
                <w:sz w:val="14"/>
                <w:szCs w:val="14"/>
                <w:color w:val="auto"/>
              </w:rPr>
            </w:pPr>
          </w:p>
        </w:tc>
        <w:tc>
          <w:tcPr>
            <w:tcW w:w="1140" w:type="dxa"/>
            <w:vAlign w:val="bottom"/>
          </w:tcPr>
          <w:p>
            <w:pPr>
              <w:jc w:val="center"/>
              <w:ind w:right="196"/>
              <w:spacing w:after="0"/>
              <w:rPr>
                <w:sz w:val="20"/>
                <w:szCs w:val="20"/>
                <w:color w:val="auto"/>
              </w:rPr>
            </w:pPr>
            <w:r>
              <w:rPr>
                <w:rFonts w:ascii="Times New Roman" w:cs="Times New Roman" w:eastAsia="Times New Roman" w:hAnsi="Times New Roman"/>
                <w:sz w:val="13"/>
                <w:szCs w:val="13"/>
                <w:b w:val="1"/>
                <w:bCs w:val="1"/>
                <w:color w:val="auto"/>
                <w:w w:val="96"/>
              </w:rPr>
              <w:t>Amount</w:t>
            </w:r>
          </w:p>
        </w:tc>
        <w:tc>
          <w:tcPr>
            <w:tcW w:w="0" w:type="dxa"/>
            <w:vAlign w:val="bottom"/>
          </w:tcPr>
          <w:p>
            <w:pPr>
              <w:spacing w:after="0"/>
              <w:rPr>
                <w:sz w:val="1"/>
                <w:szCs w:val="1"/>
                <w:color w:val="auto"/>
              </w:rPr>
            </w:pPr>
          </w:p>
        </w:tc>
      </w:tr>
      <w:tr>
        <w:trPr>
          <w:trHeight w:val="162"/>
        </w:trPr>
        <w:tc>
          <w:tcPr>
            <w:tcW w:w="5300" w:type="dxa"/>
            <w:vAlign w:val="bottom"/>
            <w:tcBorders>
              <w:top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3"/>
                <w:szCs w:val="13"/>
                <w:b w:val="1"/>
                <w:bCs w:val="1"/>
                <w:color w:val="auto"/>
              </w:rPr>
              <w:t>2025</w:t>
            </w:r>
          </w:p>
        </w:tc>
        <w:tc>
          <w:tcPr>
            <w:tcW w:w="1500" w:type="dxa"/>
            <w:vAlign w:val="bottom"/>
            <w:tcBorders>
              <w:top w:val="single" w:sz="8" w:color="auto"/>
            </w:tcBorders>
            <w:shd w:val="clear" w:color="auto" w:fill="CCEEFF"/>
          </w:tcPr>
          <w:p>
            <w:pPr>
              <w:spacing w:after="0"/>
              <w:rPr>
                <w:sz w:val="14"/>
                <w:szCs w:val="14"/>
                <w:color w:val="auto"/>
              </w:rPr>
            </w:pPr>
          </w:p>
        </w:tc>
        <w:tc>
          <w:tcPr>
            <w:tcW w:w="100" w:type="dxa"/>
            <w:vAlign w:val="bottom"/>
            <w:tcBorders>
              <w:top w:val="single" w:sz="8" w:color="CCEEFF"/>
            </w:tcBorders>
            <w:shd w:val="clear" w:color="auto" w:fill="CCEEFF"/>
          </w:tcPr>
          <w:p>
            <w:pPr>
              <w:spacing w:after="0"/>
              <w:rPr>
                <w:sz w:val="14"/>
                <w:szCs w:val="14"/>
                <w:color w:val="auto"/>
              </w:rPr>
            </w:pPr>
          </w:p>
        </w:tc>
        <w:tc>
          <w:tcPr>
            <w:tcW w:w="960" w:type="dxa"/>
            <w:vAlign w:val="bottom"/>
            <w:tcBorders>
              <w:top w:val="single" w:sz="8" w:color="auto"/>
            </w:tcBorders>
            <w:shd w:val="clear" w:color="auto" w:fill="CCEEFF"/>
          </w:tcPr>
          <w:p>
            <w:pPr>
              <w:spacing w:after="0"/>
              <w:rPr>
                <w:sz w:val="14"/>
                <w:szCs w:val="14"/>
                <w:color w:val="auto"/>
              </w:rPr>
            </w:pPr>
          </w:p>
        </w:tc>
        <w:tc>
          <w:tcPr>
            <w:tcW w:w="440" w:type="dxa"/>
            <w:vAlign w:val="bottom"/>
            <w:tcBorders>
              <w:top w:val="single" w:sz="8" w:color="auto"/>
            </w:tcBorders>
            <w:shd w:val="clear" w:color="auto" w:fill="CCEEFF"/>
          </w:tcPr>
          <w:p>
            <w:pPr>
              <w:spacing w:after="0"/>
              <w:rPr>
                <w:sz w:val="14"/>
                <w:szCs w:val="14"/>
                <w:color w:val="auto"/>
              </w:rPr>
            </w:pPr>
          </w:p>
        </w:tc>
        <w:tc>
          <w:tcPr>
            <w:tcW w:w="80" w:type="dxa"/>
            <w:vAlign w:val="bottom"/>
            <w:tcBorders>
              <w:top w:val="single" w:sz="8" w:color="CCEEFF"/>
            </w:tcBorders>
            <w:shd w:val="clear" w:color="auto" w:fill="CCEEFF"/>
          </w:tcPr>
          <w:p>
            <w:pPr>
              <w:spacing w:after="0"/>
              <w:rPr>
                <w:sz w:val="14"/>
                <w:szCs w:val="14"/>
                <w:color w:val="auto"/>
              </w:rPr>
            </w:pPr>
          </w:p>
        </w:tc>
        <w:tc>
          <w:tcPr>
            <w:tcW w:w="220" w:type="dxa"/>
            <w:vAlign w:val="bottom"/>
            <w:tcBorders>
              <w:top w:val="single" w:sz="8" w:color="auto"/>
            </w:tcBorders>
            <w:shd w:val="clear" w:color="auto" w:fill="CCEEFF"/>
          </w:tcPr>
          <w:p>
            <w:pPr>
              <w:spacing w:after="0"/>
              <w:rPr>
                <w:sz w:val="14"/>
                <w:szCs w:val="14"/>
                <w:color w:val="auto"/>
              </w:rPr>
            </w:pPr>
          </w:p>
        </w:tc>
        <w:tc>
          <w:tcPr>
            <w:tcW w:w="1180" w:type="dxa"/>
            <w:vAlign w:val="bottom"/>
            <w:tcBorders>
              <w:top w:val="single" w:sz="8" w:color="auto"/>
            </w:tcBorders>
            <w:shd w:val="clear" w:color="auto" w:fill="CCEEFF"/>
          </w:tcPr>
          <w:p>
            <w:pPr>
              <w:spacing w:after="0"/>
              <w:rPr>
                <w:sz w:val="14"/>
                <w:szCs w:val="14"/>
                <w:color w:val="auto"/>
              </w:rPr>
            </w:pPr>
          </w:p>
        </w:tc>
        <w:tc>
          <w:tcPr>
            <w:tcW w:w="100" w:type="dxa"/>
            <w:vAlign w:val="bottom"/>
            <w:tcBorders>
              <w:top w:val="single" w:sz="8" w:color="CCEEFF"/>
            </w:tcBorders>
            <w:shd w:val="clear" w:color="auto" w:fill="CCEEFF"/>
          </w:tcPr>
          <w:p>
            <w:pPr>
              <w:spacing w:after="0"/>
              <w:rPr>
                <w:sz w:val="14"/>
                <w:szCs w:val="14"/>
                <w:color w:val="auto"/>
              </w:rPr>
            </w:pPr>
          </w:p>
        </w:tc>
        <w:tc>
          <w:tcPr>
            <w:tcW w:w="260" w:type="dxa"/>
            <w:vAlign w:val="bottom"/>
            <w:tcBorders>
              <w:top w:val="single" w:sz="8" w:color="auto"/>
            </w:tcBorders>
            <w:shd w:val="clear" w:color="auto" w:fill="CCEEFF"/>
          </w:tcPr>
          <w:p>
            <w:pPr>
              <w:spacing w:after="0"/>
              <w:rPr>
                <w:sz w:val="14"/>
                <w:szCs w:val="14"/>
                <w:color w:val="auto"/>
              </w:rPr>
            </w:pPr>
          </w:p>
        </w:tc>
        <w:tc>
          <w:tcPr>
            <w:tcW w:w="1140" w:type="dxa"/>
            <w:vAlign w:val="bottom"/>
            <w:tcBorders>
              <w:top w:val="single" w:sz="8" w:color="auto"/>
            </w:tcBorders>
            <w:shd w:val="clear" w:color="auto" w:fill="CCEEFF"/>
          </w:tcPr>
          <w:p>
            <w:pPr>
              <w:spacing w:after="0"/>
              <w:rPr>
                <w:sz w:val="14"/>
                <w:szCs w:val="14"/>
                <w:color w:val="auto"/>
              </w:rPr>
            </w:pPr>
          </w:p>
        </w:tc>
        <w:tc>
          <w:tcPr>
            <w:tcW w:w="0" w:type="dxa"/>
            <w:vAlign w:val="bottom"/>
          </w:tcPr>
          <w:p>
            <w:pPr>
              <w:spacing w:after="0"/>
              <w:rPr>
                <w:sz w:val="1"/>
                <w:szCs w:val="1"/>
                <w:color w:val="auto"/>
              </w:rPr>
            </w:pPr>
          </w:p>
        </w:tc>
      </w:tr>
      <w:tr>
        <w:trPr>
          <w:trHeight w:val="168"/>
        </w:trPr>
        <w:tc>
          <w:tcPr>
            <w:tcW w:w="5300" w:type="dxa"/>
            <w:vAlign w:val="bottom"/>
          </w:tcPr>
          <w:p>
            <w:pPr>
              <w:ind w:left="180"/>
              <w:spacing w:after="0"/>
              <w:rPr>
                <w:sz w:val="20"/>
                <w:szCs w:val="20"/>
                <w:color w:val="auto"/>
              </w:rPr>
            </w:pPr>
            <w:r>
              <w:rPr>
                <w:rFonts w:ascii="Times New Roman" w:cs="Times New Roman" w:eastAsia="Times New Roman" w:hAnsi="Times New Roman"/>
                <w:sz w:val="13"/>
                <w:szCs w:val="13"/>
                <w:color w:val="auto"/>
              </w:rPr>
              <w:t>Client relationships</w:t>
            </w:r>
          </w:p>
        </w:tc>
        <w:tc>
          <w:tcPr>
            <w:tcW w:w="1500" w:type="dxa"/>
            <w:vAlign w:val="bottom"/>
          </w:tcPr>
          <w:p>
            <w:pPr>
              <w:jc w:val="center"/>
              <w:spacing w:after="0"/>
              <w:rPr>
                <w:sz w:val="20"/>
                <w:szCs w:val="20"/>
                <w:color w:val="auto"/>
              </w:rPr>
            </w:pPr>
            <w:r>
              <w:rPr>
                <w:rFonts w:ascii="Times New Roman" w:cs="Times New Roman" w:eastAsia="Times New Roman" w:hAnsi="Times New Roman"/>
                <w:sz w:val="13"/>
                <w:szCs w:val="13"/>
                <w:color w:val="auto"/>
                <w:w w:val="96"/>
              </w:rPr>
              <w:t>15.0</w:t>
            </w:r>
          </w:p>
        </w:tc>
        <w:tc>
          <w:tcPr>
            <w:tcW w:w="100" w:type="dxa"/>
            <w:vAlign w:val="bottom"/>
          </w:tcPr>
          <w:p>
            <w:pPr>
              <w:spacing w:after="0"/>
              <w:rPr>
                <w:sz w:val="14"/>
                <w:szCs w:val="14"/>
                <w:color w:val="auto"/>
              </w:rPr>
            </w:pPr>
          </w:p>
        </w:tc>
        <w:tc>
          <w:tcPr>
            <w:tcW w:w="960" w:type="dxa"/>
            <w:vAlign w:val="bottom"/>
          </w:tcPr>
          <w:p>
            <w:pPr>
              <w:jc w:val="right"/>
              <w:ind w:right="842"/>
              <w:spacing w:after="0"/>
              <w:rPr>
                <w:sz w:val="20"/>
                <w:szCs w:val="20"/>
                <w:color w:val="auto"/>
              </w:rPr>
            </w:pPr>
            <w:r>
              <w:rPr>
                <w:rFonts w:ascii="Times New Roman" w:cs="Times New Roman" w:eastAsia="Times New Roman" w:hAnsi="Times New Roman"/>
                <w:sz w:val="11"/>
                <w:szCs w:val="11"/>
                <w:color w:val="auto"/>
                <w:w w:val="71"/>
              </w:rPr>
              <w:t>$</w:t>
            </w:r>
          </w:p>
        </w:tc>
        <w:tc>
          <w:tcPr>
            <w:tcW w:w="44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34,397</w:t>
            </w:r>
          </w:p>
        </w:tc>
        <w:tc>
          <w:tcPr>
            <w:tcW w:w="80" w:type="dxa"/>
            <w:vAlign w:val="bottom"/>
          </w:tcPr>
          <w:p>
            <w:pPr>
              <w:spacing w:after="0"/>
              <w:rPr>
                <w:sz w:val="14"/>
                <w:szCs w:val="14"/>
                <w:color w:val="auto"/>
              </w:rPr>
            </w:pPr>
          </w:p>
        </w:tc>
        <w:tc>
          <w:tcPr>
            <w:tcW w:w="220" w:type="dxa"/>
            <w:vAlign w:val="bottom"/>
          </w:tcPr>
          <w:p>
            <w:pPr>
              <w:jc w:val="right"/>
              <w:ind w:right="76"/>
              <w:spacing w:after="0"/>
              <w:rPr>
                <w:sz w:val="20"/>
                <w:szCs w:val="20"/>
                <w:color w:val="auto"/>
              </w:rPr>
            </w:pPr>
            <w:r>
              <w:rPr>
                <w:rFonts w:ascii="Times New Roman" w:cs="Times New Roman" w:eastAsia="Times New Roman" w:hAnsi="Times New Roman"/>
                <w:sz w:val="13"/>
                <w:szCs w:val="13"/>
                <w:color w:val="auto"/>
                <w:w w:val="91"/>
              </w:rPr>
              <w:t>$</w:t>
            </w:r>
          </w:p>
        </w:tc>
        <w:tc>
          <w:tcPr>
            <w:tcW w:w="118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(17,491)</w:t>
            </w:r>
          </w:p>
        </w:tc>
        <w:tc>
          <w:tcPr>
            <w:tcW w:w="100" w:type="dxa"/>
            <w:vAlign w:val="bottom"/>
          </w:tcPr>
          <w:p>
            <w:pPr>
              <w:spacing w:after="0"/>
              <w:rPr>
                <w:sz w:val="14"/>
                <w:szCs w:val="14"/>
                <w:color w:val="auto"/>
              </w:rPr>
            </w:pPr>
          </w:p>
        </w:tc>
        <w:tc>
          <w:tcPr>
            <w:tcW w:w="260" w:type="dxa"/>
            <w:vAlign w:val="bottom"/>
          </w:tcPr>
          <w:p>
            <w:pPr>
              <w:jc w:val="right"/>
              <w:ind w:right="116"/>
              <w:spacing w:after="0"/>
              <w:rPr>
                <w:sz w:val="20"/>
                <w:szCs w:val="20"/>
                <w:color w:val="auto"/>
              </w:rPr>
            </w:pPr>
            <w:r>
              <w:rPr>
                <w:rFonts w:ascii="Times New Roman" w:cs="Times New Roman" w:eastAsia="Times New Roman" w:hAnsi="Times New Roman"/>
                <w:sz w:val="13"/>
                <w:szCs w:val="13"/>
                <w:color w:val="auto"/>
                <w:w w:val="91"/>
              </w:rPr>
              <w:t>$</w:t>
            </w:r>
          </w:p>
        </w:tc>
        <w:tc>
          <w:tcPr>
            <w:tcW w:w="114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16,906</w:t>
            </w:r>
          </w:p>
        </w:tc>
        <w:tc>
          <w:tcPr>
            <w:tcW w:w="0" w:type="dxa"/>
            <w:vAlign w:val="bottom"/>
          </w:tcPr>
          <w:p>
            <w:pPr>
              <w:spacing w:after="0"/>
              <w:rPr>
                <w:sz w:val="1"/>
                <w:szCs w:val="1"/>
                <w:color w:val="auto"/>
              </w:rPr>
            </w:pPr>
          </w:p>
        </w:tc>
      </w:tr>
      <w:tr>
        <w:trPr>
          <w:trHeight w:val="172"/>
        </w:trPr>
        <w:tc>
          <w:tcPr>
            <w:tcW w:w="5300" w:type="dxa"/>
            <w:vAlign w:val="bottom"/>
            <w:shd w:val="clear" w:color="auto" w:fill="CCEEFF"/>
          </w:tcPr>
          <w:p>
            <w:pPr>
              <w:ind w:left="180"/>
              <w:spacing w:after="0"/>
              <w:rPr>
                <w:sz w:val="20"/>
                <w:szCs w:val="20"/>
                <w:color w:val="auto"/>
              </w:rPr>
            </w:pPr>
            <w:r>
              <w:rPr>
                <w:rFonts w:ascii="Times New Roman" w:cs="Times New Roman" w:eastAsia="Times New Roman" w:hAnsi="Times New Roman"/>
                <w:sz w:val="13"/>
                <w:szCs w:val="13"/>
                <w:color w:val="auto"/>
              </w:rPr>
              <w:t>Internally developed software</w:t>
            </w:r>
          </w:p>
        </w:tc>
        <w:tc>
          <w:tcPr>
            <w:tcW w:w="1500" w:type="dxa"/>
            <w:vAlign w:val="bottom"/>
            <w:shd w:val="clear" w:color="auto" w:fill="CCEEFF"/>
          </w:tcPr>
          <w:p>
            <w:pPr>
              <w:jc w:val="center"/>
              <w:spacing w:after="0"/>
              <w:rPr>
                <w:sz w:val="20"/>
                <w:szCs w:val="20"/>
                <w:color w:val="auto"/>
              </w:rPr>
            </w:pPr>
            <w:r>
              <w:rPr>
                <w:rFonts w:ascii="Times New Roman" w:cs="Times New Roman" w:eastAsia="Times New Roman" w:hAnsi="Times New Roman"/>
                <w:sz w:val="13"/>
                <w:szCs w:val="13"/>
                <w:color w:val="auto"/>
                <w:w w:val="98"/>
              </w:rPr>
              <w:t>7.9</w:t>
            </w:r>
          </w:p>
        </w:tc>
        <w:tc>
          <w:tcPr>
            <w:tcW w:w="100" w:type="dxa"/>
            <w:vAlign w:val="bottom"/>
            <w:shd w:val="clear" w:color="auto" w:fill="CCEEFF"/>
          </w:tcPr>
          <w:p>
            <w:pPr>
              <w:spacing w:after="0"/>
              <w:rPr>
                <w:sz w:val="14"/>
                <w:szCs w:val="14"/>
                <w:color w:val="auto"/>
              </w:rPr>
            </w:pPr>
          </w:p>
        </w:tc>
        <w:tc>
          <w:tcPr>
            <w:tcW w:w="960" w:type="dxa"/>
            <w:vAlign w:val="bottom"/>
            <w:shd w:val="clear" w:color="auto" w:fill="CCEEFF"/>
          </w:tcPr>
          <w:p>
            <w:pPr>
              <w:spacing w:after="0"/>
              <w:rPr>
                <w:sz w:val="14"/>
                <w:szCs w:val="14"/>
                <w:color w:val="auto"/>
              </w:rPr>
            </w:pPr>
          </w:p>
        </w:tc>
        <w:tc>
          <w:tcPr>
            <w:tcW w:w="4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2,244</w:t>
            </w:r>
          </w:p>
        </w:tc>
        <w:tc>
          <w:tcPr>
            <w:tcW w:w="80" w:type="dxa"/>
            <w:vAlign w:val="bottom"/>
            <w:shd w:val="clear" w:color="auto" w:fill="CCEEFF"/>
          </w:tcPr>
          <w:p>
            <w:pPr>
              <w:spacing w:after="0"/>
              <w:rPr>
                <w:sz w:val="14"/>
                <w:szCs w:val="14"/>
                <w:color w:val="auto"/>
              </w:rPr>
            </w:pPr>
          </w:p>
        </w:tc>
        <w:tc>
          <w:tcPr>
            <w:tcW w:w="220" w:type="dxa"/>
            <w:vAlign w:val="bottom"/>
            <w:shd w:val="clear" w:color="auto" w:fill="CCEEFF"/>
          </w:tcPr>
          <w:p>
            <w:pPr>
              <w:spacing w:after="0"/>
              <w:rPr>
                <w:sz w:val="14"/>
                <w:szCs w:val="14"/>
                <w:color w:val="auto"/>
              </w:rPr>
            </w:pPr>
          </w:p>
        </w:tc>
        <w:tc>
          <w:tcPr>
            <w:tcW w:w="11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(1,088)</w:t>
            </w:r>
          </w:p>
        </w:tc>
        <w:tc>
          <w:tcPr>
            <w:tcW w:w="100" w:type="dxa"/>
            <w:vAlign w:val="bottom"/>
            <w:shd w:val="clear" w:color="auto" w:fill="CCEEFF"/>
          </w:tcPr>
          <w:p>
            <w:pPr>
              <w:spacing w:after="0"/>
              <w:rPr>
                <w:sz w:val="14"/>
                <w:szCs w:val="14"/>
                <w:color w:val="auto"/>
              </w:rPr>
            </w:pPr>
          </w:p>
        </w:tc>
        <w:tc>
          <w:tcPr>
            <w:tcW w:w="260" w:type="dxa"/>
            <w:vAlign w:val="bottom"/>
            <w:shd w:val="clear" w:color="auto" w:fill="CCEEFF"/>
          </w:tcPr>
          <w:p>
            <w:pPr>
              <w:spacing w:after="0"/>
              <w:rPr>
                <w:sz w:val="14"/>
                <w:szCs w:val="14"/>
                <w:color w:val="auto"/>
              </w:rPr>
            </w:pPr>
          </w:p>
        </w:tc>
        <w:tc>
          <w:tcPr>
            <w:tcW w:w="11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1,156</w:t>
            </w:r>
          </w:p>
        </w:tc>
        <w:tc>
          <w:tcPr>
            <w:tcW w:w="0" w:type="dxa"/>
            <w:vAlign w:val="bottom"/>
          </w:tcPr>
          <w:p>
            <w:pPr>
              <w:spacing w:after="0"/>
              <w:rPr>
                <w:sz w:val="1"/>
                <w:szCs w:val="1"/>
                <w:color w:val="auto"/>
              </w:rPr>
            </w:pPr>
          </w:p>
        </w:tc>
      </w:tr>
      <w:tr>
        <w:trPr>
          <w:trHeight w:val="168"/>
        </w:trPr>
        <w:tc>
          <w:tcPr>
            <w:tcW w:w="5300" w:type="dxa"/>
            <w:vAlign w:val="bottom"/>
          </w:tcPr>
          <w:p>
            <w:pPr>
              <w:ind w:left="180"/>
              <w:spacing w:after="0"/>
              <w:rPr>
                <w:sz w:val="20"/>
                <w:szCs w:val="20"/>
                <w:color w:val="auto"/>
              </w:rPr>
            </w:pPr>
            <w:r>
              <w:rPr>
                <w:rFonts w:ascii="Times New Roman" w:cs="Times New Roman" w:eastAsia="Times New Roman" w:hAnsi="Times New Roman"/>
                <w:sz w:val="13"/>
                <w:szCs w:val="13"/>
                <w:color w:val="auto"/>
              </w:rPr>
              <w:t>Trade name</w:t>
            </w:r>
          </w:p>
        </w:tc>
        <w:tc>
          <w:tcPr>
            <w:tcW w:w="1500" w:type="dxa"/>
            <w:vAlign w:val="bottom"/>
          </w:tcPr>
          <w:p>
            <w:pPr>
              <w:jc w:val="center"/>
              <w:spacing w:after="0"/>
              <w:rPr>
                <w:sz w:val="20"/>
                <w:szCs w:val="20"/>
                <w:color w:val="auto"/>
              </w:rPr>
            </w:pPr>
            <w:r>
              <w:rPr>
                <w:rFonts w:ascii="Times New Roman" w:cs="Times New Roman" w:eastAsia="Times New Roman" w:hAnsi="Times New Roman"/>
                <w:sz w:val="13"/>
                <w:szCs w:val="13"/>
                <w:color w:val="auto"/>
                <w:w w:val="98"/>
              </w:rPr>
              <w:t>3.0</w:t>
            </w:r>
          </w:p>
        </w:tc>
        <w:tc>
          <w:tcPr>
            <w:tcW w:w="100" w:type="dxa"/>
            <w:vAlign w:val="bottom"/>
          </w:tcPr>
          <w:p>
            <w:pPr>
              <w:spacing w:after="0"/>
              <w:rPr>
                <w:sz w:val="14"/>
                <w:szCs w:val="14"/>
                <w:color w:val="auto"/>
              </w:rPr>
            </w:pPr>
          </w:p>
        </w:tc>
        <w:tc>
          <w:tcPr>
            <w:tcW w:w="960" w:type="dxa"/>
            <w:vAlign w:val="bottom"/>
          </w:tcPr>
          <w:p>
            <w:pPr>
              <w:spacing w:after="0"/>
              <w:rPr>
                <w:sz w:val="14"/>
                <w:szCs w:val="14"/>
                <w:color w:val="auto"/>
              </w:rPr>
            </w:pPr>
          </w:p>
        </w:tc>
        <w:tc>
          <w:tcPr>
            <w:tcW w:w="44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3,800</w:t>
            </w:r>
          </w:p>
        </w:tc>
        <w:tc>
          <w:tcPr>
            <w:tcW w:w="8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118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(3,694)</w:t>
            </w:r>
          </w:p>
        </w:tc>
        <w:tc>
          <w:tcPr>
            <w:tcW w:w="10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114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106</w:t>
            </w:r>
          </w:p>
        </w:tc>
        <w:tc>
          <w:tcPr>
            <w:tcW w:w="0" w:type="dxa"/>
            <w:vAlign w:val="bottom"/>
          </w:tcPr>
          <w:p>
            <w:pPr>
              <w:spacing w:after="0"/>
              <w:rPr>
                <w:sz w:val="1"/>
                <w:szCs w:val="1"/>
                <w:color w:val="auto"/>
              </w:rPr>
            </w:pPr>
          </w:p>
        </w:tc>
      </w:tr>
      <w:tr>
        <w:trPr>
          <w:trHeight w:val="170"/>
        </w:trPr>
        <w:tc>
          <w:tcPr>
            <w:tcW w:w="5300" w:type="dxa"/>
            <w:vAlign w:val="bottom"/>
            <w:shd w:val="clear" w:color="auto" w:fill="CCEEFF"/>
          </w:tcPr>
          <w:p>
            <w:pPr>
              <w:ind w:left="180"/>
              <w:spacing w:after="0"/>
              <w:rPr>
                <w:sz w:val="20"/>
                <w:szCs w:val="20"/>
                <w:color w:val="auto"/>
              </w:rPr>
            </w:pPr>
            <w:r>
              <w:rPr>
                <w:rFonts w:ascii="Times New Roman" w:cs="Times New Roman" w:eastAsia="Times New Roman" w:hAnsi="Times New Roman"/>
                <w:sz w:val="13"/>
                <w:szCs w:val="13"/>
                <w:color w:val="auto"/>
              </w:rPr>
              <w:t>Non-compete agreements</w:t>
            </w:r>
          </w:p>
        </w:tc>
        <w:tc>
          <w:tcPr>
            <w:tcW w:w="1500" w:type="dxa"/>
            <w:vAlign w:val="bottom"/>
            <w:shd w:val="clear" w:color="auto" w:fill="CCEEFF"/>
          </w:tcPr>
          <w:p>
            <w:pPr>
              <w:jc w:val="center"/>
              <w:spacing w:after="0"/>
              <w:rPr>
                <w:sz w:val="20"/>
                <w:szCs w:val="20"/>
                <w:color w:val="auto"/>
              </w:rPr>
            </w:pPr>
            <w:r>
              <w:rPr>
                <w:rFonts w:ascii="Times New Roman" w:cs="Times New Roman" w:eastAsia="Times New Roman" w:hAnsi="Times New Roman"/>
                <w:sz w:val="13"/>
                <w:szCs w:val="13"/>
                <w:color w:val="auto"/>
                <w:w w:val="98"/>
              </w:rPr>
              <w:t>3.0</w:t>
            </w:r>
          </w:p>
        </w:tc>
        <w:tc>
          <w:tcPr>
            <w:tcW w:w="100" w:type="dxa"/>
            <w:vAlign w:val="bottom"/>
            <w:shd w:val="clear" w:color="auto" w:fill="CCEEFF"/>
          </w:tcPr>
          <w:p>
            <w:pPr>
              <w:spacing w:after="0"/>
              <w:rPr>
                <w:sz w:val="14"/>
                <w:szCs w:val="14"/>
                <w:color w:val="auto"/>
              </w:rPr>
            </w:pPr>
          </w:p>
        </w:tc>
        <w:tc>
          <w:tcPr>
            <w:tcW w:w="960" w:type="dxa"/>
            <w:vAlign w:val="bottom"/>
            <w:tcBorders>
              <w:bottom w:val="single" w:sz="8" w:color="auto"/>
            </w:tcBorders>
            <w:shd w:val="clear" w:color="auto" w:fill="CCEEFF"/>
          </w:tcPr>
          <w:p>
            <w:pPr>
              <w:spacing w:after="0"/>
              <w:rPr>
                <w:sz w:val="14"/>
                <w:szCs w:val="14"/>
                <w:color w:val="auto"/>
              </w:rPr>
            </w:pPr>
          </w:p>
        </w:tc>
        <w:tc>
          <w:tcPr>
            <w:tcW w:w="4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1,100</w:t>
            </w:r>
          </w:p>
        </w:tc>
        <w:tc>
          <w:tcPr>
            <w:tcW w:w="80" w:type="dxa"/>
            <w:vAlign w:val="bottom"/>
            <w:shd w:val="clear" w:color="auto" w:fill="CCEEFF"/>
          </w:tcPr>
          <w:p>
            <w:pPr>
              <w:spacing w:after="0"/>
              <w:rPr>
                <w:sz w:val="14"/>
                <w:szCs w:val="14"/>
                <w:color w:val="auto"/>
              </w:rPr>
            </w:pPr>
          </w:p>
        </w:tc>
        <w:tc>
          <w:tcPr>
            <w:tcW w:w="220" w:type="dxa"/>
            <w:vAlign w:val="bottom"/>
            <w:tcBorders>
              <w:bottom w:val="single" w:sz="8" w:color="auto"/>
            </w:tcBorders>
            <w:shd w:val="clear" w:color="auto" w:fill="CCEEFF"/>
          </w:tcPr>
          <w:p>
            <w:pPr>
              <w:spacing w:after="0"/>
              <w:rPr>
                <w:sz w:val="14"/>
                <w:szCs w:val="14"/>
                <w:color w:val="auto"/>
              </w:rPr>
            </w:pPr>
          </w:p>
        </w:tc>
        <w:tc>
          <w:tcPr>
            <w:tcW w:w="11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(1,069)</w:t>
            </w:r>
          </w:p>
        </w:tc>
        <w:tc>
          <w:tcPr>
            <w:tcW w:w="100" w:type="dxa"/>
            <w:vAlign w:val="bottom"/>
            <w:shd w:val="clear" w:color="auto" w:fill="CCEEFF"/>
          </w:tcPr>
          <w:p>
            <w:pPr>
              <w:spacing w:after="0"/>
              <w:rPr>
                <w:sz w:val="14"/>
                <w:szCs w:val="14"/>
                <w:color w:val="auto"/>
              </w:rPr>
            </w:pPr>
          </w:p>
        </w:tc>
        <w:tc>
          <w:tcPr>
            <w:tcW w:w="260" w:type="dxa"/>
            <w:vAlign w:val="bottom"/>
            <w:tcBorders>
              <w:bottom w:val="single" w:sz="8" w:color="auto"/>
            </w:tcBorders>
            <w:shd w:val="clear" w:color="auto" w:fill="CCEEFF"/>
          </w:tcPr>
          <w:p>
            <w:pPr>
              <w:spacing w:after="0"/>
              <w:rPr>
                <w:sz w:val="14"/>
                <w:szCs w:val="14"/>
                <w:color w:val="auto"/>
              </w:rPr>
            </w:pPr>
          </w:p>
        </w:tc>
        <w:tc>
          <w:tcPr>
            <w:tcW w:w="11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31</w:t>
            </w:r>
          </w:p>
        </w:tc>
        <w:tc>
          <w:tcPr>
            <w:tcW w:w="0" w:type="dxa"/>
            <w:vAlign w:val="bottom"/>
          </w:tcPr>
          <w:p>
            <w:pPr>
              <w:spacing w:after="0"/>
              <w:rPr>
                <w:sz w:val="1"/>
                <w:szCs w:val="1"/>
                <w:color w:val="auto"/>
              </w:rPr>
            </w:pPr>
          </w:p>
        </w:tc>
      </w:tr>
      <w:tr>
        <w:trPr>
          <w:trHeight w:val="160"/>
        </w:trPr>
        <w:tc>
          <w:tcPr>
            <w:tcW w:w="5300" w:type="dxa"/>
            <w:vAlign w:val="bottom"/>
          </w:tcPr>
          <w:p>
            <w:pPr>
              <w:spacing w:after="0"/>
              <w:rPr>
                <w:sz w:val="13"/>
                <w:szCs w:val="13"/>
                <w:color w:val="auto"/>
              </w:rPr>
            </w:pPr>
          </w:p>
        </w:tc>
        <w:tc>
          <w:tcPr>
            <w:tcW w:w="150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960" w:type="dxa"/>
            <w:vAlign w:val="bottom"/>
            <w:tcBorders>
              <w:bottom w:val="single" w:sz="8" w:color="auto"/>
            </w:tcBorders>
          </w:tcPr>
          <w:p>
            <w:pPr>
              <w:jc w:val="right"/>
              <w:ind w:right="842"/>
              <w:spacing w:after="0"/>
              <w:rPr>
                <w:sz w:val="20"/>
                <w:szCs w:val="20"/>
                <w:color w:val="auto"/>
              </w:rPr>
            </w:pPr>
            <w:r>
              <w:rPr>
                <w:rFonts w:ascii="Times New Roman" w:cs="Times New Roman" w:eastAsia="Times New Roman" w:hAnsi="Times New Roman"/>
                <w:sz w:val="11"/>
                <w:szCs w:val="11"/>
                <w:color w:val="auto"/>
                <w:w w:val="71"/>
              </w:rPr>
              <w:t>$</w:t>
            </w:r>
          </w:p>
        </w:tc>
        <w:tc>
          <w:tcPr>
            <w:tcW w:w="4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3"/>
                <w:szCs w:val="13"/>
                <w:color w:val="auto"/>
              </w:rPr>
              <w:t>41,541</w:t>
            </w:r>
          </w:p>
        </w:tc>
        <w:tc>
          <w:tcPr>
            <w:tcW w:w="80" w:type="dxa"/>
            <w:vAlign w:val="bottom"/>
          </w:tcPr>
          <w:p>
            <w:pPr>
              <w:spacing w:after="0"/>
              <w:rPr>
                <w:sz w:val="13"/>
                <w:szCs w:val="13"/>
                <w:color w:val="auto"/>
              </w:rPr>
            </w:pPr>
          </w:p>
        </w:tc>
        <w:tc>
          <w:tcPr>
            <w:tcW w:w="220" w:type="dxa"/>
            <w:vAlign w:val="bottom"/>
            <w:tcBorders>
              <w:bottom w:val="single" w:sz="8" w:color="auto"/>
            </w:tcBorders>
          </w:tcPr>
          <w:p>
            <w:pPr>
              <w:jc w:val="right"/>
              <w:ind w:right="76"/>
              <w:spacing w:after="0"/>
              <w:rPr>
                <w:sz w:val="20"/>
                <w:szCs w:val="20"/>
                <w:color w:val="auto"/>
              </w:rPr>
            </w:pPr>
            <w:r>
              <w:rPr>
                <w:rFonts w:ascii="Times New Roman" w:cs="Times New Roman" w:eastAsia="Times New Roman" w:hAnsi="Times New Roman"/>
                <w:sz w:val="13"/>
                <w:szCs w:val="13"/>
                <w:color w:val="auto"/>
                <w:w w:val="91"/>
              </w:rPr>
              <w:t>$</w:t>
            </w:r>
          </w:p>
        </w:tc>
        <w:tc>
          <w:tcPr>
            <w:tcW w:w="11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3"/>
                <w:szCs w:val="13"/>
                <w:color w:val="auto"/>
              </w:rPr>
              <w:t>(23,342)</w:t>
            </w:r>
          </w:p>
        </w:tc>
        <w:tc>
          <w:tcPr>
            <w:tcW w:w="100" w:type="dxa"/>
            <w:vAlign w:val="bottom"/>
          </w:tcPr>
          <w:p>
            <w:pPr>
              <w:spacing w:after="0"/>
              <w:rPr>
                <w:sz w:val="13"/>
                <w:szCs w:val="13"/>
                <w:color w:val="auto"/>
              </w:rPr>
            </w:pPr>
          </w:p>
        </w:tc>
        <w:tc>
          <w:tcPr>
            <w:tcW w:w="260" w:type="dxa"/>
            <w:vAlign w:val="bottom"/>
            <w:tcBorders>
              <w:bottom w:val="single" w:sz="8" w:color="auto"/>
            </w:tcBorders>
          </w:tcPr>
          <w:p>
            <w:pPr>
              <w:jc w:val="right"/>
              <w:ind w:right="116"/>
              <w:spacing w:after="0"/>
              <w:rPr>
                <w:sz w:val="20"/>
                <w:szCs w:val="20"/>
                <w:color w:val="auto"/>
              </w:rPr>
            </w:pPr>
            <w:r>
              <w:rPr>
                <w:rFonts w:ascii="Times New Roman" w:cs="Times New Roman" w:eastAsia="Times New Roman" w:hAnsi="Times New Roman"/>
                <w:sz w:val="13"/>
                <w:szCs w:val="13"/>
                <w:color w:val="auto"/>
                <w:w w:val="91"/>
              </w:rPr>
              <w:t>$</w:t>
            </w:r>
          </w:p>
        </w:tc>
        <w:tc>
          <w:tcPr>
            <w:tcW w:w="11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3"/>
                <w:szCs w:val="13"/>
                <w:color w:val="auto"/>
              </w:rPr>
              <w:t>18,199</w:t>
            </w:r>
          </w:p>
        </w:tc>
        <w:tc>
          <w:tcPr>
            <w:tcW w:w="0" w:type="dxa"/>
            <w:vAlign w:val="bottom"/>
          </w:tcPr>
          <w:p>
            <w:pPr>
              <w:spacing w:after="0"/>
              <w:rPr>
                <w:sz w:val="1"/>
                <w:szCs w:val="1"/>
                <w:color w:val="auto"/>
              </w:rPr>
            </w:pPr>
          </w:p>
        </w:tc>
      </w:tr>
      <w:tr>
        <w:trPr>
          <w:trHeight w:val="20"/>
        </w:trPr>
        <w:tc>
          <w:tcPr>
            <w:tcW w:w="5300" w:type="dxa"/>
            <w:vAlign w:val="bottom"/>
            <w:tcBorders>
              <w:bottom w:val="single" w:sz="8" w:color="CCEEFF"/>
            </w:tcBorders>
          </w:tcPr>
          <w:p>
            <w:pPr>
              <w:spacing w:after="0" w:line="20" w:lineRule="exact"/>
              <w:rPr>
                <w:sz w:val="1"/>
                <w:szCs w:val="1"/>
                <w:color w:val="auto"/>
              </w:rPr>
            </w:pPr>
          </w:p>
        </w:tc>
        <w:tc>
          <w:tcPr>
            <w:tcW w:w="1500" w:type="dxa"/>
            <w:vAlign w:val="bottom"/>
            <w:tcBorders>
              <w:bottom w:val="single" w:sz="8" w:color="CCEEFF"/>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960" w:type="dxa"/>
            <w:vAlign w:val="bottom"/>
            <w:tcBorders>
              <w:bottom w:val="single" w:sz="8" w:color="auto"/>
            </w:tcBorders>
          </w:tcPr>
          <w:p>
            <w:pPr>
              <w:spacing w:after="0" w:line="20" w:lineRule="exact"/>
              <w:rPr>
                <w:sz w:val="1"/>
                <w:szCs w:val="1"/>
                <w:color w:val="auto"/>
              </w:rPr>
            </w:pPr>
          </w:p>
        </w:tc>
        <w:tc>
          <w:tcPr>
            <w:tcW w:w="440" w:type="dxa"/>
            <w:vAlign w:val="bottom"/>
            <w:tcBorders>
              <w:bottom w:val="single" w:sz="8" w:color="auto"/>
            </w:tcBorders>
          </w:tcPr>
          <w:p>
            <w:pPr>
              <w:spacing w:after="0" w:line="20" w:lineRule="exact"/>
              <w:rPr>
                <w:sz w:val="1"/>
                <w:szCs w:val="1"/>
                <w:color w:val="auto"/>
              </w:rPr>
            </w:pPr>
          </w:p>
        </w:tc>
        <w:tc>
          <w:tcPr>
            <w:tcW w:w="80" w:type="dxa"/>
            <w:vAlign w:val="bottom"/>
            <w:tcBorders>
              <w:bottom w:val="single" w:sz="8" w:color="CCEEFF"/>
            </w:tcBorders>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118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c>
          <w:tcPr>
            <w:tcW w:w="114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54"/>
        </w:trPr>
        <w:tc>
          <w:tcPr>
            <w:tcW w:w="530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3"/>
                <w:szCs w:val="13"/>
                <w:b w:val="1"/>
                <w:bCs w:val="1"/>
                <w:color w:val="auto"/>
              </w:rPr>
              <w:t>2024</w:t>
            </w:r>
          </w:p>
        </w:tc>
        <w:tc>
          <w:tcPr>
            <w:tcW w:w="1500" w:type="dxa"/>
            <w:vAlign w:val="bottom"/>
            <w:shd w:val="clear" w:color="auto" w:fill="CCEEFF"/>
          </w:tcPr>
          <w:p>
            <w:pPr>
              <w:spacing w:after="0"/>
              <w:rPr>
                <w:sz w:val="13"/>
                <w:szCs w:val="13"/>
                <w:color w:val="auto"/>
              </w:rPr>
            </w:pPr>
          </w:p>
        </w:tc>
        <w:tc>
          <w:tcPr>
            <w:tcW w:w="100" w:type="dxa"/>
            <w:vAlign w:val="bottom"/>
            <w:shd w:val="clear" w:color="auto" w:fill="CCEEFF"/>
          </w:tcPr>
          <w:p>
            <w:pPr>
              <w:spacing w:after="0"/>
              <w:rPr>
                <w:sz w:val="13"/>
                <w:szCs w:val="13"/>
                <w:color w:val="auto"/>
              </w:rPr>
            </w:pPr>
          </w:p>
        </w:tc>
        <w:tc>
          <w:tcPr>
            <w:tcW w:w="960" w:type="dxa"/>
            <w:vAlign w:val="bottom"/>
            <w:shd w:val="clear" w:color="auto" w:fill="CCEEFF"/>
          </w:tcPr>
          <w:p>
            <w:pPr>
              <w:spacing w:after="0"/>
              <w:rPr>
                <w:sz w:val="13"/>
                <w:szCs w:val="13"/>
                <w:color w:val="auto"/>
              </w:rPr>
            </w:pPr>
          </w:p>
        </w:tc>
        <w:tc>
          <w:tcPr>
            <w:tcW w:w="440" w:type="dxa"/>
            <w:vAlign w:val="bottom"/>
            <w:shd w:val="clear" w:color="auto" w:fill="CCEEFF"/>
          </w:tcPr>
          <w:p>
            <w:pPr>
              <w:spacing w:after="0"/>
              <w:rPr>
                <w:sz w:val="13"/>
                <w:szCs w:val="13"/>
                <w:color w:val="auto"/>
              </w:rPr>
            </w:pPr>
          </w:p>
        </w:tc>
        <w:tc>
          <w:tcPr>
            <w:tcW w:w="80" w:type="dxa"/>
            <w:vAlign w:val="bottom"/>
            <w:shd w:val="clear" w:color="auto" w:fill="CCEEFF"/>
          </w:tcPr>
          <w:p>
            <w:pPr>
              <w:spacing w:after="0"/>
              <w:rPr>
                <w:sz w:val="13"/>
                <w:szCs w:val="13"/>
                <w:color w:val="auto"/>
              </w:rPr>
            </w:pPr>
          </w:p>
        </w:tc>
        <w:tc>
          <w:tcPr>
            <w:tcW w:w="220" w:type="dxa"/>
            <w:vAlign w:val="bottom"/>
            <w:shd w:val="clear" w:color="auto" w:fill="CCEEFF"/>
          </w:tcPr>
          <w:p>
            <w:pPr>
              <w:spacing w:after="0"/>
              <w:rPr>
                <w:sz w:val="13"/>
                <w:szCs w:val="13"/>
                <w:color w:val="auto"/>
              </w:rPr>
            </w:pPr>
          </w:p>
        </w:tc>
        <w:tc>
          <w:tcPr>
            <w:tcW w:w="1180" w:type="dxa"/>
            <w:vAlign w:val="bottom"/>
            <w:shd w:val="clear" w:color="auto" w:fill="CCEEFF"/>
          </w:tcPr>
          <w:p>
            <w:pPr>
              <w:spacing w:after="0"/>
              <w:rPr>
                <w:sz w:val="13"/>
                <w:szCs w:val="13"/>
                <w:color w:val="auto"/>
              </w:rPr>
            </w:pPr>
          </w:p>
        </w:tc>
        <w:tc>
          <w:tcPr>
            <w:tcW w:w="100" w:type="dxa"/>
            <w:vAlign w:val="bottom"/>
            <w:shd w:val="clear" w:color="auto" w:fill="CCEEFF"/>
          </w:tcPr>
          <w:p>
            <w:pPr>
              <w:spacing w:after="0"/>
              <w:rPr>
                <w:sz w:val="13"/>
                <w:szCs w:val="13"/>
                <w:color w:val="auto"/>
              </w:rPr>
            </w:pPr>
          </w:p>
        </w:tc>
        <w:tc>
          <w:tcPr>
            <w:tcW w:w="260" w:type="dxa"/>
            <w:vAlign w:val="bottom"/>
            <w:shd w:val="clear" w:color="auto" w:fill="CCEEFF"/>
          </w:tcPr>
          <w:p>
            <w:pPr>
              <w:spacing w:after="0"/>
              <w:rPr>
                <w:sz w:val="13"/>
                <w:szCs w:val="13"/>
                <w:color w:val="auto"/>
              </w:rPr>
            </w:pPr>
          </w:p>
        </w:tc>
        <w:tc>
          <w:tcPr>
            <w:tcW w:w="1140" w:type="dxa"/>
            <w:vAlign w:val="bottom"/>
            <w:shd w:val="clear" w:color="auto" w:fill="CCEEFF"/>
          </w:tcPr>
          <w:p>
            <w:pPr>
              <w:spacing w:after="0"/>
              <w:rPr>
                <w:sz w:val="13"/>
                <w:szCs w:val="13"/>
                <w:color w:val="auto"/>
              </w:rPr>
            </w:pPr>
          </w:p>
        </w:tc>
        <w:tc>
          <w:tcPr>
            <w:tcW w:w="0" w:type="dxa"/>
            <w:vAlign w:val="bottom"/>
          </w:tcPr>
          <w:p>
            <w:pPr>
              <w:spacing w:after="0"/>
              <w:rPr>
                <w:sz w:val="1"/>
                <w:szCs w:val="1"/>
                <w:color w:val="auto"/>
              </w:rPr>
            </w:pPr>
          </w:p>
        </w:tc>
      </w:tr>
      <w:tr>
        <w:trPr>
          <w:trHeight w:val="168"/>
        </w:trPr>
        <w:tc>
          <w:tcPr>
            <w:tcW w:w="5300" w:type="dxa"/>
            <w:vAlign w:val="bottom"/>
          </w:tcPr>
          <w:p>
            <w:pPr>
              <w:ind w:left="180"/>
              <w:spacing w:after="0"/>
              <w:rPr>
                <w:sz w:val="20"/>
                <w:szCs w:val="20"/>
                <w:color w:val="auto"/>
              </w:rPr>
            </w:pPr>
            <w:r>
              <w:rPr>
                <w:rFonts w:ascii="Times New Roman" w:cs="Times New Roman" w:eastAsia="Times New Roman" w:hAnsi="Times New Roman"/>
                <w:sz w:val="13"/>
                <w:szCs w:val="13"/>
                <w:color w:val="auto"/>
              </w:rPr>
              <w:t>Client relationships</w:t>
            </w:r>
          </w:p>
        </w:tc>
        <w:tc>
          <w:tcPr>
            <w:tcW w:w="1500" w:type="dxa"/>
            <w:vAlign w:val="bottom"/>
          </w:tcPr>
          <w:p>
            <w:pPr>
              <w:jc w:val="center"/>
              <w:spacing w:after="0"/>
              <w:rPr>
                <w:sz w:val="20"/>
                <w:szCs w:val="20"/>
                <w:color w:val="auto"/>
              </w:rPr>
            </w:pPr>
            <w:r>
              <w:rPr>
                <w:rFonts w:ascii="Times New Roman" w:cs="Times New Roman" w:eastAsia="Times New Roman" w:hAnsi="Times New Roman"/>
                <w:sz w:val="13"/>
                <w:szCs w:val="13"/>
                <w:color w:val="auto"/>
                <w:w w:val="96"/>
              </w:rPr>
              <w:t>15.0</w:t>
            </w:r>
          </w:p>
        </w:tc>
        <w:tc>
          <w:tcPr>
            <w:tcW w:w="100" w:type="dxa"/>
            <w:vAlign w:val="bottom"/>
          </w:tcPr>
          <w:p>
            <w:pPr>
              <w:spacing w:after="0"/>
              <w:rPr>
                <w:sz w:val="14"/>
                <w:szCs w:val="14"/>
                <w:color w:val="auto"/>
              </w:rPr>
            </w:pPr>
          </w:p>
        </w:tc>
        <w:tc>
          <w:tcPr>
            <w:tcW w:w="960" w:type="dxa"/>
            <w:vAlign w:val="bottom"/>
          </w:tcPr>
          <w:p>
            <w:pPr>
              <w:jc w:val="right"/>
              <w:ind w:right="842"/>
              <w:spacing w:after="0"/>
              <w:rPr>
                <w:sz w:val="20"/>
                <w:szCs w:val="20"/>
                <w:color w:val="auto"/>
              </w:rPr>
            </w:pPr>
            <w:r>
              <w:rPr>
                <w:rFonts w:ascii="Times New Roman" w:cs="Times New Roman" w:eastAsia="Times New Roman" w:hAnsi="Times New Roman"/>
                <w:sz w:val="11"/>
                <w:szCs w:val="11"/>
                <w:color w:val="auto"/>
                <w:w w:val="71"/>
              </w:rPr>
              <w:t>$</w:t>
            </w:r>
          </w:p>
        </w:tc>
        <w:tc>
          <w:tcPr>
            <w:tcW w:w="44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34,397</w:t>
            </w:r>
          </w:p>
        </w:tc>
        <w:tc>
          <w:tcPr>
            <w:tcW w:w="80" w:type="dxa"/>
            <w:vAlign w:val="bottom"/>
          </w:tcPr>
          <w:p>
            <w:pPr>
              <w:spacing w:after="0"/>
              <w:rPr>
                <w:sz w:val="14"/>
                <w:szCs w:val="14"/>
                <w:color w:val="auto"/>
              </w:rPr>
            </w:pPr>
          </w:p>
        </w:tc>
        <w:tc>
          <w:tcPr>
            <w:tcW w:w="220" w:type="dxa"/>
            <w:vAlign w:val="bottom"/>
          </w:tcPr>
          <w:p>
            <w:pPr>
              <w:jc w:val="right"/>
              <w:ind w:right="76"/>
              <w:spacing w:after="0"/>
              <w:rPr>
                <w:sz w:val="20"/>
                <w:szCs w:val="20"/>
                <w:color w:val="auto"/>
              </w:rPr>
            </w:pPr>
            <w:r>
              <w:rPr>
                <w:rFonts w:ascii="Times New Roman" w:cs="Times New Roman" w:eastAsia="Times New Roman" w:hAnsi="Times New Roman"/>
                <w:sz w:val="13"/>
                <w:szCs w:val="13"/>
                <w:color w:val="auto"/>
                <w:w w:val="91"/>
              </w:rPr>
              <w:t>$</w:t>
            </w:r>
          </w:p>
        </w:tc>
        <w:tc>
          <w:tcPr>
            <w:tcW w:w="118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(15,199)</w:t>
            </w:r>
          </w:p>
        </w:tc>
        <w:tc>
          <w:tcPr>
            <w:tcW w:w="100" w:type="dxa"/>
            <w:vAlign w:val="bottom"/>
          </w:tcPr>
          <w:p>
            <w:pPr>
              <w:spacing w:after="0"/>
              <w:rPr>
                <w:sz w:val="14"/>
                <w:szCs w:val="14"/>
                <w:color w:val="auto"/>
              </w:rPr>
            </w:pPr>
          </w:p>
        </w:tc>
        <w:tc>
          <w:tcPr>
            <w:tcW w:w="260" w:type="dxa"/>
            <w:vAlign w:val="bottom"/>
          </w:tcPr>
          <w:p>
            <w:pPr>
              <w:jc w:val="right"/>
              <w:ind w:right="116"/>
              <w:spacing w:after="0"/>
              <w:rPr>
                <w:sz w:val="20"/>
                <w:szCs w:val="20"/>
                <w:color w:val="auto"/>
              </w:rPr>
            </w:pPr>
            <w:r>
              <w:rPr>
                <w:rFonts w:ascii="Times New Roman" w:cs="Times New Roman" w:eastAsia="Times New Roman" w:hAnsi="Times New Roman"/>
                <w:sz w:val="13"/>
                <w:szCs w:val="13"/>
                <w:color w:val="auto"/>
                <w:w w:val="91"/>
              </w:rPr>
              <w:t>$</w:t>
            </w:r>
          </w:p>
        </w:tc>
        <w:tc>
          <w:tcPr>
            <w:tcW w:w="114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19,198</w:t>
            </w:r>
          </w:p>
        </w:tc>
        <w:tc>
          <w:tcPr>
            <w:tcW w:w="0" w:type="dxa"/>
            <w:vAlign w:val="bottom"/>
          </w:tcPr>
          <w:p>
            <w:pPr>
              <w:spacing w:after="0"/>
              <w:rPr>
                <w:sz w:val="1"/>
                <w:szCs w:val="1"/>
                <w:color w:val="auto"/>
              </w:rPr>
            </w:pPr>
          </w:p>
        </w:tc>
      </w:tr>
      <w:tr>
        <w:trPr>
          <w:trHeight w:val="172"/>
        </w:trPr>
        <w:tc>
          <w:tcPr>
            <w:tcW w:w="5300" w:type="dxa"/>
            <w:vAlign w:val="bottom"/>
            <w:shd w:val="clear" w:color="auto" w:fill="CCEEFF"/>
          </w:tcPr>
          <w:p>
            <w:pPr>
              <w:ind w:left="180"/>
              <w:spacing w:after="0"/>
              <w:rPr>
                <w:sz w:val="20"/>
                <w:szCs w:val="20"/>
                <w:color w:val="auto"/>
              </w:rPr>
            </w:pPr>
            <w:r>
              <w:rPr>
                <w:rFonts w:ascii="Times New Roman" w:cs="Times New Roman" w:eastAsia="Times New Roman" w:hAnsi="Times New Roman"/>
                <w:sz w:val="13"/>
                <w:szCs w:val="13"/>
                <w:color w:val="auto"/>
              </w:rPr>
              <w:t>Internally developed software</w:t>
            </w:r>
          </w:p>
        </w:tc>
        <w:tc>
          <w:tcPr>
            <w:tcW w:w="1500" w:type="dxa"/>
            <w:vAlign w:val="bottom"/>
            <w:shd w:val="clear" w:color="auto" w:fill="CCEEFF"/>
          </w:tcPr>
          <w:p>
            <w:pPr>
              <w:jc w:val="center"/>
              <w:spacing w:after="0"/>
              <w:rPr>
                <w:sz w:val="20"/>
                <w:szCs w:val="20"/>
                <w:color w:val="auto"/>
              </w:rPr>
            </w:pPr>
            <w:r>
              <w:rPr>
                <w:rFonts w:ascii="Times New Roman" w:cs="Times New Roman" w:eastAsia="Times New Roman" w:hAnsi="Times New Roman"/>
                <w:sz w:val="13"/>
                <w:szCs w:val="13"/>
                <w:color w:val="auto"/>
                <w:w w:val="98"/>
              </w:rPr>
              <w:t>7.9</w:t>
            </w:r>
          </w:p>
        </w:tc>
        <w:tc>
          <w:tcPr>
            <w:tcW w:w="100" w:type="dxa"/>
            <w:vAlign w:val="bottom"/>
            <w:shd w:val="clear" w:color="auto" w:fill="CCEEFF"/>
          </w:tcPr>
          <w:p>
            <w:pPr>
              <w:spacing w:after="0"/>
              <w:rPr>
                <w:sz w:val="14"/>
                <w:szCs w:val="14"/>
                <w:color w:val="auto"/>
              </w:rPr>
            </w:pPr>
          </w:p>
        </w:tc>
        <w:tc>
          <w:tcPr>
            <w:tcW w:w="960" w:type="dxa"/>
            <w:vAlign w:val="bottom"/>
            <w:shd w:val="clear" w:color="auto" w:fill="CCEEFF"/>
          </w:tcPr>
          <w:p>
            <w:pPr>
              <w:spacing w:after="0"/>
              <w:rPr>
                <w:sz w:val="14"/>
                <w:szCs w:val="14"/>
                <w:color w:val="auto"/>
              </w:rPr>
            </w:pPr>
          </w:p>
        </w:tc>
        <w:tc>
          <w:tcPr>
            <w:tcW w:w="4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2,452</w:t>
            </w:r>
          </w:p>
        </w:tc>
        <w:tc>
          <w:tcPr>
            <w:tcW w:w="80" w:type="dxa"/>
            <w:vAlign w:val="bottom"/>
            <w:shd w:val="clear" w:color="auto" w:fill="CCEEFF"/>
          </w:tcPr>
          <w:p>
            <w:pPr>
              <w:spacing w:after="0"/>
              <w:rPr>
                <w:sz w:val="14"/>
                <w:szCs w:val="14"/>
                <w:color w:val="auto"/>
              </w:rPr>
            </w:pPr>
          </w:p>
        </w:tc>
        <w:tc>
          <w:tcPr>
            <w:tcW w:w="220" w:type="dxa"/>
            <w:vAlign w:val="bottom"/>
            <w:shd w:val="clear" w:color="auto" w:fill="CCEEFF"/>
          </w:tcPr>
          <w:p>
            <w:pPr>
              <w:spacing w:after="0"/>
              <w:rPr>
                <w:sz w:val="14"/>
                <w:szCs w:val="14"/>
                <w:color w:val="auto"/>
              </w:rPr>
            </w:pPr>
          </w:p>
        </w:tc>
        <w:tc>
          <w:tcPr>
            <w:tcW w:w="11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(1,479)</w:t>
            </w:r>
          </w:p>
        </w:tc>
        <w:tc>
          <w:tcPr>
            <w:tcW w:w="100" w:type="dxa"/>
            <w:vAlign w:val="bottom"/>
            <w:shd w:val="clear" w:color="auto" w:fill="CCEEFF"/>
          </w:tcPr>
          <w:p>
            <w:pPr>
              <w:spacing w:after="0"/>
              <w:rPr>
                <w:sz w:val="14"/>
                <w:szCs w:val="14"/>
                <w:color w:val="auto"/>
              </w:rPr>
            </w:pPr>
          </w:p>
        </w:tc>
        <w:tc>
          <w:tcPr>
            <w:tcW w:w="260" w:type="dxa"/>
            <w:vAlign w:val="bottom"/>
            <w:shd w:val="clear" w:color="auto" w:fill="CCEEFF"/>
          </w:tcPr>
          <w:p>
            <w:pPr>
              <w:spacing w:after="0"/>
              <w:rPr>
                <w:sz w:val="14"/>
                <w:szCs w:val="14"/>
                <w:color w:val="auto"/>
              </w:rPr>
            </w:pPr>
          </w:p>
        </w:tc>
        <w:tc>
          <w:tcPr>
            <w:tcW w:w="11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973</w:t>
            </w:r>
          </w:p>
        </w:tc>
        <w:tc>
          <w:tcPr>
            <w:tcW w:w="0" w:type="dxa"/>
            <w:vAlign w:val="bottom"/>
          </w:tcPr>
          <w:p>
            <w:pPr>
              <w:spacing w:after="0"/>
              <w:rPr>
                <w:sz w:val="1"/>
                <w:szCs w:val="1"/>
                <w:color w:val="auto"/>
              </w:rPr>
            </w:pPr>
          </w:p>
        </w:tc>
      </w:tr>
      <w:tr>
        <w:trPr>
          <w:trHeight w:val="168"/>
        </w:trPr>
        <w:tc>
          <w:tcPr>
            <w:tcW w:w="5300" w:type="dxa"/>
            <w:vAlign w:val="bottom"/>
          </w:tcPr>
          <w:p>
            <w:pPr>
              <w:ind w:left="180"/>
              <w:spacing w:after="0"/>
              <w:rPr>
                <w:sz w:val="20"/>
                <w:szCs w:val="20"/>
                <w:color w:val="auto"/>
              </w:rPr>
            </w:pPr>
            <w:r>
              <w:rPr>
                <w:rFonts w:ascii="Times New Roman" w:cs="Times New Roman" w:eastAsia="Times New Roman" w:hAnsi="Times New Roman"/>
                <w:sz w:val="13"/>
                <w:szCs w:val="13"/>
                <w:color w:val="auto"/>
              </w:rPr>
              <w:t>Trade name</w:t>
            </w:r>
          </w:p>
        </w:tc>
        <w:tc>
          <w:tcPr>
            <w:tcW w:w="1500" w:type="dxa"/>
            <w:vAlign w:val="bottom"/>
          </w:tcPr>
          <w:p>
            <w:pPr>
              <w:jc w:val="center"/>
              <w:spacing w:after="0"/>
              <w:rPr>
                <w:sz w:val="20"/>
                <w:szCs w:val="20"/>
                <w:color w:val="auto"/>
              </w:rPr>
            </w:pPr>
            <w:r>
              <w:rPr>
                <w:rFonts w:ascii="Times New Roman" w:cs="Times New Roman" w:eastAsia="Times New Roman" w:hAnsi="Times New Roman"/>
                <w:sz w:val="13"/>
                <w:szCs w:val="13"/>
                <w:color w:val="auto"/>
                <w:w w:val="98"/>
              </w:rPr>
              <w:t>3.0</w:t>
            </w:r>
          </w:p>
        </w:tc>
        <w:tc>
          <w:tcPr>
            <w:tcW w:w="100" w:type="dxa"/>
            <w:vAlign w:val="bottom"/>
          </w:tcPr>
          <w:p>
            <w:pPr>
              <w:spacing w:after="0"/>
              <w:rPr>
                <w:sz w:val="14"/>
                <w:szCs w:val="14"/>
                <w:color w:val="auto"/>
              </w:rPr>
            </w:pPr>
          </w:p>
        </w:tc>
        <w:tc>
          <w:tcPr>
            <w:tcW w:w="960" w:type="dxa"/>
            <w:vAlign w:val="bottom"/>
          </w:tcPr>
          <w:p>
            <w:pPr>
              <w:spacing w:after="0"/>
              <w:rPr>
                <w:sz w:val="14"/>
                <w:szCs w:val="14"/>
                <w:color w:val="auto"/>
              </w:rPr>
            </w:pPr>
          </w:p>
        </w:tc>
        <w:tc>
          <w:tcPr>
            <w:tcW w:w="44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3,800</w:t>
            </w:r>
          </w:p>
        </w:tc>
        <w:tc>
          <w:tcPr>
            <w:tcW w:w="8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118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(2,639)</w:t>
            </w:r>
          </w:p>
        </w:tc>
        <w:tc>
          <w:tcPr>
            <w:tcW w:w="10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114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1,161</w:t>
            </w:r>
          </w:p>
        </w:tc>
        <w:tc>
          <w:tcPr>
            <w:tcW w:w="0" w:type="dxa"/>
            <w:vAlign w:val="bottom"/>
          </w:tcPr>
          <w:p>
            <w:pPr>
              <w:spacing w:after="0"/>
              <w:rPr>
                <w:sz w:val="1"/>
                <w:szCs w:val="1"/>
                <w:color w:val="auto"/>
              </w:rPr>
            </w:pPr>
          </w:p>
        </w:tc>
      </w:tr>
      <w:tr>
        <w:trPr>
          <w:trHeight w:val="170"/>
        </w:trPr>
        <w:tc>
          <w:tcPr>
            <w:tcW w:w="5300" w:type="dxa"/>
            <w:vAlign w:val="bottom"/>
            <w:shd w:val="clear" w:color="auto" w:fill="CCEEFF"/>
          </w:tcPr>
          <w:p>
            <w:pPr>
              <w:ind w:left="180"/>
              <w:spacing w:after="0"/>
              <w:rPr>
                <w:sz w:val="20"/>
                <w:szCs w:val="20"/>
                <w:color w:val="auto"/>
              </w:rPr>
            </w:pPr>
            <w:r>
              <w:rPr>
                <w:rFonts w:ascii="Times New Roman" w:cs="Times New Roman" w:eastAsia="Times New Roman" w:hAnsi="Times New Roman"/>
                <w:sz w:val="13"/>
                <w:szCs w:val="13"/>
                <w:color w:val="auto"/>
              </w:rPr>
              <w:t>Non-compete agreements</w:t>
            </w:r>
          </w:p>
        </w:tc>
        <w:tc>
          <w:tcPr>
            <w:tcW w:w="1500" w:type="dxa"/>
            <w:vAlign w:val="bottom"/>
            <w:shd w:val="clear" w:color="auto" w:fill="CCEEFF"/>
          </w:tcPr>
          <w:p>
            <w:pPr>
              <w:jc w:val="center"/>
              <w:spacing w:after="0"/>
              <w:rPr>
                <w:sz w:val="20"/>
                <w:szCs w:val="20"/>
                <w:color w:val="auto"/>
              </w:rPr>
            </w:pPr>
            <w:r>
              <w:rPr>
                <w:rFonts w:ascii="Times New Roman" w:cs="Times New Roman" w:eastAsia="Times New Roman" w:hAnsi="Times New Roman"/>
                <w:sz w:val="13"/>
                <w:szCs w:val="13"/>
                <w:color w:val="auto"/>
                <w:w w:val="98"/>
              </w:rPr>
              <w:t>3.0</w:t>
            </w:r>
          </w:p>
        </w:tc>
        <w:tc>
          <w:tcPr>
            <w:tcW w:w="100" w:type="dxa"/>
            <w:vAlign w:val="bottom"/>
            <w:shd w:val="clear" w:color="auto" w:fill="CCEEFF"/>
          </w:tcPr>
          <w:p>
            <w:pPr>
              <w:spacing w:after="0"/>
              <w:rPr>
                <w:sz w:val="14"/>
                <w:szCs w:val="14"/>
                <w:color w:val="auto"/>
              </w:rPr>
            </w:pPr>
          </w:p>
        </w:tc>
        <w:tc>
          <w:tcPr>
            <w:tcW w:w="960" w:type="dxa"/>
            <w:vAlign w:val="bottom"/>
            <w:tcBorders>
              <w:bottom w:val="single" w:sz="8" w:color="auto"/>
            </w:tcBorders>
            <w:shd w:val="clear" w:color="auto" w:fill="CCEEFF"/>
          </w:tcPr>
          <w:p>
            <w:pPr>
              <w:spacing w:after="0"/>
              <w:rPr>
                <w:sz w:val="14"/>
                <w:szCs w:val="14"/>
                <w:color w:val="auto"/>
              </w:rPr>
            </w:pPr>
          </w:p>
        </w:tc>
        <w:tc>
          <w:tcPr>
            <w:tcW w:w="4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1,100</w:t>
            </w:r>
          </w:p>
        </w:tc>
        <w:tc>
          <w:tcPr>
            <w:tcW w:w="80" w:type="dxa"/>
            <w:vAlign w:val="bottom"/>
            <w:shd w:val="clear" w:color="auto" w:fill="CCEEFF"/>
          </w:tcPr>
          <w:p>
            <w:pPr>
              <w:spacing w:after="0"/>
              <w:rPr>
                <w:sz w:val="14"/>
                <w:szCs w:val="14"/>
                <w:color w:val="auto"/>
              </w:rPr>
            </w:pPr>
          </w:p>
        </w:tc>
        <w:tc>
          <w:tcPr>
            <w:tcW w:w="220" w:type="dxa"/>
            <w:vAlign w:val="bottom"/>
            <w:tcBorders>
              <w:bottom w:val="single" w:sz="8" w:color="auto"/>
            </w:tcBorders>
            <w:shd w:val="clear" w:color="auto" w:fill="CCEEFF"/>
          </w:tcPr>
          <w:p>
            <w:pPr>
              <w:spacing w:after="0"/>
              <w:rPr>
                <w:sz w:val="14"/>
                <w:szCs w:val="14"/>
                <w:color w:val="auto"/>
              </w:rPr>
            </w:pPr>
          </w:p>
        </w:tc>
        <w:tc>
          <w:tcPr>
            <w:tcW w:w="11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(764)</w:t>
            </w:r>
          </w:p>
        </w:tc>
        <w:tc>
          <w:tcPr>
            <w:tcW w:w="100" w:type="dxa"/>
            <w:vAlign w:val="bottom"/>
            <w:shd w:val="clear" w:color="auto" w:fill="CCEEFF"/>
          </w:tcPr>
          <w:p>
            <w:pPr>
              <w:spacing w:after="0"/>
              <w:rPr>
                <w:sz w:val="14"/>
                <w:szCs w:val="14"/>
                <w:color w:val="auto"/>
              </w:rPr>
            </w:pPr>
          </w:p>
        </w:tc>
        <w:tc>
          <w:tcPr>
            <w:tcW w:w="260" w:type="dxa"/>
            <w:vAlign w:val="bottom"/>
            <w:tcBorders>
              <w:bottom w:val="single" w:sz="8" w:color="auto"/>
            </w:tcBorders>
            <w:shd w:val="clear" w:color="auto" w:fill="CCEEFF"/>
          </w:tcPr>
          <w:p>
            <w:pPr>
              <w:spacing w:after="0"/>
              <w:rPr>
                <w:sz w:val="14"/>
                <w:szCs w:val="14"/>
                <w:color w:val="auto"/>
              </w:rPr>
            </w:pPr>
          </w:p>
        </w:tc>
        <w:tc>
          <w:tcPr>
            <w:tcW w:w="11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336</w:t>
            </w:r>
          </w:p>
        </w:tc>
        <w:tc>
          <w:tcPr>
            <w:tcW w:w="0" w:type="dxa"/>
            <w:vAlign w:val="bottom"/>
          </w:tcPr>
          <w:p>
            <w:pPr>
              <w:spacing w:after="0"/>
              <w:rPr>
                <w:sz w:val="1"/>
                <w:szCs w:val="1"/>
                <w:color w:val="auto"/>
              </w:rPr>
            </w:pPr>
          </w:p>
        </w:tc>
      </w:tr>
      <w:tr>
        <w:trPr>
          <w:trHeight w:val="160"/>
        </w:trPr>
        <w:tc>
          <w:tcPr>
            <w:tcW w:w="5300" w:type="dxa"/>
            <w:vAlign w:val="bottom"/>
          </w:tcPr>
          <w:p>
            <w:pPr>
              <w:spacing w:after="0"/>
              <w:rPr>
                <w:sz w:val="13"/>
                <w:szCs w:val="13"/>
                <w:color w:val="auto"/>
              </w:rPr>
            </w:pPr>
          </w:p>
        </w:tc>
        <w:tc>
          <w:tcPr>
            <w:tcW w:w="150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960" w:type="dxa"/>
            <w:vAlign w:val="bottom"/>
            <w:tcBorders>
              <w:bottom w:val="single" w:sz="8" w:color="auto"/>
            </w:tcBorders>
          </w:tcPr>
          <w:p>
            <w:pPr>
              <w:jc w:val="right"/>
              <w:ind w:right="842"/>
              <w:spacing w:after="0"/>
              <w:rPr>
                <w:sz w:val="20"/>
                <w:szCs w:val="20"/>
                <w:color w:val="auto"/>
              </w:rPr>
            </w:pPr>
            <w:r>
              <w:rPr>
                <w:rFonts w:ascii="Times New Roman" w:cs="Times New Roman" w:eastAsia="Times New Roman" w:hAnsi="Times New Roman"/>
                <w:sz w:val="11"/>
                <w:szCs w:val="11"/>
                <w:color w:val="auto"/>
                <w:w w:val="71"/>
              </w:rPr>
              <w:t>$</w:t>
            </w:r>
          </w:p>
        </w:tc>
        <w:tc>
          <w:tcPr>
            <w:tcW w:w="4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3"/>
                <w:szCs w:val="13"/>
                <w:color w:val="auto"/>
              </w:rPr>
              <w:t>41,749</w:t>
            </w:r>
          </w:p>
        </w:tc>
        <w:tc>
          <w:tcPr>
            <w:tcW w:w="80" w:type="dxa"/>
            <w:vAlign w:val="bottom"/>
          </w:tcPr>
          <w:p>
            <w:pPr>
              <w:spacing w:after="0"/>
              <w:rPr>
                <w:sz w:val="13"/>
                <w:szCs w:val="13"/>
                <w:color w:val="auto"/>
              </w:rPr>
            </w:pPr>
          </w:p>
        </w:tc>
        <w:tc>
          <w:tcPr>
            <w:tcW w:w="220" w:type="dxa"/>
            <w:vAlign w:val="bottom"/>
            <w:tcBorders>
              <w:bottom w:val="single" w:sz="8" w:color="auto"/>
            </w:tcBorders>
          </w:tcPr>
          <w:p>
            <w:pPr>
              <w:jc w:val="right"/>
              <w:ind w:right="76"/>
              <w:spacing w:after="0"/>
              <w:rPr>
                <w:sz w:val="20"/>
                <w:szCs w:val="20"/>
                <w:color w:val="auto"/>
              </w:rPr>
            </w:pPr>
            <w:r>
              <w:rPr>
                <w:rFonts w:ascii="Times New Roman" w:cs="Times New Roman" w:eastAsia="Times New Roman" w:hAnsi="Times New Roman"/>
                <w:sz w:val="13"/>
                <w:szCs w:val="13"/>
                <w:color w:val="auto"/>
                <w:w w:val="91"/>
              </w:rPr>
              <w:t>$</w:t>
            </w:r>
          </w:p>
        </w:tc>
        <w:tc>
          <w:tcPr>
            <w:tcW w:w="11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3"/>
                <w:szCs w:val="13"/>
                <w:color w:val="auto"/>
              </w:rPr>
              <w:t>(20,081)</w:t>
            </w:r>
          </w:p>
        </w:tc>
        <w:tc>
          <w:tcPr>
            <w:tcW w:w="100" w:type="dxa"/>
            <w:vAlign w:val="bottom"/>
          </w:tcPr>
          <w:p>
            <w:pPr>
              <w:spacing w:after="0"/>
              <w:rPr>
                <w:sz w:val="13"/>
                <w:szCs w:val="13"/>
                <w:color w:val="auto"/>
              </w:rPr>
            </w:pPr>
          </w:p>
        </w:tc>
        <w:tc>
          <w:tcPr>
            <w:tcW w:w="260" w:type="dxa"/>
            <w:vAlign w:val="bottom"/>
            <w:tcBorders>
              <w:bottom w:val="single" w:sz="8" w:color="auto"/>
            </w:tcBorders>
          </w:tcPr>
          <w:p>
            <w:pPr>
              <w:jc w:val="right"/>
              <w:ind w:right="116"/>
              <w:spacing w:after="0"/>
              <w:rPr>
                <w:sz w:val="20"/>
                <w:szCs w:val="20"/>
                <w:color w:val="auto"/>
              </w:rPr>
            </w:pPr>
            <w:r>
              <w:rPr>
                <w:rFonts w:ascii="Times New Roman" w:cs="Times New Roman" w:eastAsia="Times New Roman" w:hAnsi="Times New Roman"/>
                <w:sz w:val="13"/>
                <w:szCs w:val="13"/>
                <w:color w:val="auto"/>
                <w:w w:val="91"/>
              </w:rPr>
              <w:t>$</w:t>
            </w:r>
          </w:p>
        </w:tc>
        <w:tc>
          <w:tcPr>
            <w:tcW w:w="11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3"/>
                <w:szCs w:val="13"/>
                <w:color w:val="auto"/>
              </w:rPr>
              <w:t>21,668</w:t>
            </w:r>
          </w:p>
        </w:tc>
        <w:tc>
          <w:tcPr>
            <w:tcW w:w="0" w:type="dxa"/>
            <w:vAlign w:val="bottom"/>
          </w:tcPr>
          <w:p>
            <w:pPr>
              <w:spacing w:after="0"/>
              <w:rPr>
                <w:sz w:val="1"/>
                <w:szCs w:val="1"/>
                <w:color w:val="auto"/>
              </w:rPr>
            </w:pPr>
          </w:p>
        </w:tc>
      </w:tr>
      <w:tr>
        <w:trPr>
          <w:trHeight w:val="20"/>
        </w:trPr>
        <w:tc>
          <w:tcPr>
            <w:tcW w:w="5300" w:type="dxa"/>
            <w:vAlign w:val="bottom"/>
          </w:tcPr>
          <w:p>
            <w:pPr>
              <w:spacing w:after="0" w:line="20" w:lineRule="exact"/>
              <w:rPr>
                <w:sz w:val="1"/>
                <w:szCs w:val="1"/>
                <w:color w:val="auto"/>
              </w:rPr>
            </w:pPr>
          </w:p>
        </w:tc>
        <w:tc>
          <w:tcPr>
            <w:tcW w:w="150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960" w:type="dxa"/>
            <w:vAlign w:val="bottom"/>
            <w:tcBorders>
              <w:bottom w:val="single" w:sz="8" w:color="auto"/>
            </w:tcBorders>
          </w:tcPr>
          <w:p>
            <w:pPr>
              <w:spacing w:after="0" w:line="20" w:lineRule="exact"/>
              <w:rPr>
                <w:sz w:val="1"/>
                <w:szCs w:val="1"/>
                <w:color w:val="auto"/>
              </w:rPr>
            </w:pPr>
          </w:p>
        </w:tc>
        <w:tc>
          <w:tcPr>
            <w:tcW w:w="44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118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c>
          <w:tcPr>
            <w:tcW w:w="114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0" w:lineRule="exact"/>
        <w:rPr>
          <w:sz w:val="20"/>
          <w:szCs w:val="20"/>
          <w:color w:val="auto"/>
        </w:rPr>
      </w:pPr>
    </w:p>
    <w:p>
      <w:pPr>
        <w:spacing w:after="0" w:line="200" w:lineRule="exact"/>
        <w:rPr>
          <w:sz w:val="20"/>
          <w:szCs w:val="20"/>
          <w:color w:val="auto"/>
        </w:rPr>
      </w:pPr>
    </w:p>
    <w:p>
      <w:pPr>
        <w:spacing w:after="0" w:line="370"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4"/>
          <w:szCs w:val="14"/>
          <w:color w:val="auto"/>
        </w:rPr>
        <w:t>25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-8890</wp:posOffset>
            </wp:positionH>
            <wp:positionV relativeFrom="paragraph">
              <wp:posOffset>55880</wp:posOffset>
            </wp:positionV>
            <wp:extent cx="7186930" cy="38735"/>
            <wp:wrapNone/>
            <wp:docPr id="130" name="Picture 1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0"/>
                    <pic:cNvPicPr>
                      <a:picLocks noChangeAspect="1" noChangeArrowheads="1"/>
                    </pic:cNvPicPr>
                  </pic:nvPicPr>
                  <pic:blipFill>
                    <a:blip r:embed="rId137">
                      <a:extLst>
                        <a:ext uri="{28A0092B-C50C-407E-A947-70E740481C1C}"/>
                      </a:extLst>
                    </a:blip>
                    <a:srcRect/>
                    <a:stretch>
                      <a:fillRect/>
                    </a:stretch>
                  </pic:blipFill>
                  <pic:spPr bwMode="auto">
                    <a:xfrm>
                      <a:off x="0" y="0"/>
                      <a:ext cx="7186930" cy="38735"/>
                    </a:xfrm>
                    <a:prstGeom prst="rect">
                      <a:avLst/>
                    </a:prstGeom>
                    <a:noFill/>
                  </pic:spPr>
                </pic:pic>
              </a:graphicData>
            </a:graphic>
          </wp:anchor>
        </w:drawing>
      </w:r>
    </w:p>
    <w:p>
      <w:pPr>
        <w:sectPr>
          <w:pgSz w:w="11900" w:h="16838" w:orient="portrait"/>
          <w:cols w:equalWidth="0" w:num="1">
            <w:col w:w="11280"/>
          </w:cols>
          <w:pgMar w:left="300" w:top="123" w:right="319" w:bottom="1440" w:gutter="0" w:footer="0" w:header="0"/>
        </w:sectPr>
      </w:pPr>
    </w:p>
    <w:bookmarkStart w:id="67" w:name="page68"/>
    <w:bookmarkEnd w:id="67"/>
    <w:p>
      <w:pPr>
        <w:jc w:val="center"/>
        <w:spacing w:after="0"/>
        <w:rPr>
          <w:sz w:val="20"/>
          <w:szCs w:val="20"/>
          <w:color w:val="auto"/>
        </w:rPr>
      </w:pPr>
      <w:r>
        <w:rPr>
          <w:rFonts w:ascii="Times New Roman" w:cs="Times New Roman" w:eastAsia="Times New Roman" w:hAnsi="Times New Roman"/>
          <w:sz w:val="14"/>
          <w:szCs w:val="14"/>
          <w:b w:val="1"/>
          <w:bCs w:val="1"/>
          <w:color w:val="auto"/>
        </w:rPr>
        <w:t>WESTWOOD HOLDINGS GROUP, INC.</w:t>
      </w:r>
    </w:p>
    <w:p>
      <w:pPr>
        <w:spacing w:after="0" w:line="5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4"/>
          <w:szCs w:val="14"/>
          <w:b w:val="1"/>
          <w:bCs w:val="1"/>
          <w:color w:val="auto"/>
        </w:rPr>
        <w:t>NOTES TO CONSOLIDATED FINANCIAL STATEMENTS — (Continued)</w:t>
      </w:r>
    </w:p>
    <w:p>
      <w:pPr>
        <w:spacing w:after="0" w:line="318" w:lineRule="exact"/>
        <w:rPr>
          <w:sz w:val="20"/>
          <w:szCs w:val="20"/>
          <w:color w:val="auto"/>
        </w:rPr>
      </w:pPr>
    </w:p>
    <w:p>
      <w:pPr>
        <w:ind w:right="120" w:firstLine="382"/>
        <w:spacing w:after="0" w:line="287" w:lineRule="auto"/>
        <w:rPr>
          <w:sz w:val="20"/>
          <w:szCs w:val="20"/>
          <w:color w:val="auto"/>
        </w:rPr>
      </w:pPr>
      <w:r>
        <w:rPr>
          <w:rFonts w:ascii="Times New Roman" w:cs="Times New Roman" w:eastAsia="Times New Roman" w:hAnsi="Times New Roman"/>
          <w:sz w:val="14"/>
          <w:szCs w:val="14"/>
          <w:color w:val="auto"/>
        </w:rPr>
        <w:t>Amortization expense, which is included in “General and administrative” expense on our Consolidated Statements of Operations, was $3.9 million, $4.1 million and $4.1 million for the years ended December 31, 2025, 2024 and 2023, respectively.</w:t>
      </w:r>
    </w:p>
    <w:p>
      <w:pPr>
        <w:spacing w:after="0" w:line="39" w:lineRule="exact"/>
        <w:rPr>
          <w:sz w:val="20"/>
          <w:szCs w:val="20"/>
          <w:color w:val="auto"/>
        </w:rPr>
      </w:pPr>
    </w:p>
    <w:p>
      <w:pPr>
        <w:ind w:left="380"/>
        <w:spacing w:after="0"/>
        <w:rPr>
          <w:sz w:val="20"/>
          <w:szCs w:val="20"/>
          <w:color w:val="auto"/>
        </w:rPr>
      </w:pPr>
      <w:r>
        <w:rPr>
          <w:rFonts w:ascii="Times New Roman" w:cs="Times New Roman" w:eastAsia="Times New Roman" w:hAnsi="Times New Roman"/>
          <w:sz w:val="14"/>
          <w:szCs w:val="14"/>
          <w:color w:val="auto"/>
        </w:rPr>
        <w:t>Estimated amortization expense for intangible assets over the next five years, and thereafter, is as follows (in thousands):</w:t>
      </w:r>
    </w:p>
    <w:p>
      <w:pPr>
        <w:spacing w:after="0" w:line="23" w:lineRule="exact"/>
        <w:rPr>
          <w:sz w:val="20"/>
          <w:szCs w:val="20"/>
          <w:color w:val="auto"/>
        </w:rPr>
      </w:pPr>
    </w:p>
    <w:tbl>
      <w:tblPr>
        <w:tblLayout w:type="fixed"/>
        <w:tblInd w:w="0" w:type="dxa"/>
        <w:tblCellMar>
          <w:top w:w="0" w:type="dxa"/>
          <w:left w:w="0" w:type="dxa"/>
          <w:bottom w:w="0" w:type="dxa"/>
          <w:right w:w="0" w:type="dxa"/>
        </w:tblCellMar>
      </w:tblPr>
      <w:tr>
        <w:trPr>
          <w:trHeight w:val="149"/>
        </w:trPr>
        <w:tc>
          <w:tcPr>
            <w:tcW w:w="9820" w:type="dxa"/>
            <w:vAlign w:val="bottom"/>
            <w:vMerge w:val="restart"/>
          </w:tcPr>
          <w:p>
            <w:pPr>
              <w:ind w:left="20"/>
              <w:spacing w:after="0"/>
              <w:rPr>
                <w:sz w:val="20"/>
                <w:szCs w:val="20"/>
                <w:color w:val="auto"/>
              </w:rPr>
            </w:pPr>
            <w:r>
              <w:rPr>
                <w:rFonts w:ascii="Times New Roman" w:cs="Times New Roman" w:eastAsia="Times New Roman" w:hAnsi="Times New Roman"/>
                <w:sz w:val="13"/>
                <w:szCs w:val="13"/>
                <w:color w:val="auto"/>
              </w:rPr>
              <w:t>For the year ending December 31,</w:t>
            </w:r>
          </w:p>
        </w:tc>
        <w:tc>
          <w:tcPr>
            <w:tcW w:w="100" w:type="dxa"/>
            <w:vAlign w:val="bottom"/>
          </w:tcPr>
          <w:p>
            <w:pPr>
              <w:spacing w:after="0"/>
              <w:rPr>
                <w:sz w:val="12"/>
                <w:szCs w:val="12"/>
                <w:color w:val="auto"/>
              </w:rPr>
            </w:pPr>
          </w:p>
        </w:tc>
        <w:tc>
          <w:tcPr>
            <w:tcW w:w="1360" w:type="dxa"/>
            <w:vAlign w:val="bottom"/>
          </w:tcPr>
          <w:p>
            <w:pPr>
              <w:jc w:val="right"/>
              <w:ind w:right="376"/>
              <w:spacing w:after="0"/>
              <w:rPr>
                <w:sz w:val="20"/>
                <w:szCs w:val="20"/>
                <w:color w:val="auto"/>
              </w:rPr>
            </w:pPr>
            <w:r>
              <w:rPr>
                <w:rFonts w:ascii="Times New Roman" w:cs="Times New Roman" w:eastAsia="Times New Roman" w:hAnsi="Times New Roman"/>
                <w:sz w:val="13"/>
                <w:szCs w:val="13"/>
                <w:b w:val="1"/>
                <w:bCs w:val="1"/>
                <w:color w:val="auto"/>
              </w:rPr>
              <w:t>Estimated</w:t>
            </w:r>
          </w:p>
        </w:tc>
        <w:tc>
          <w:tcPr>
            <w:tcW w:w="0" w:type="dxa"/>
            <w:vAlign w:val="bottom"/>
          </w:tcPr>
          <w:p>
            <w:pPr>
              <w:spacing w:after="0"/>
              <w:rPr>
                <w:sz w:val="1"/>
                <w:szCs w:val="1"/>
                <w:color w:val="auto"/>
              </w:rPr>
            </w:pPr>
          </w:p>
        </w:tc>
      </w:tr>
      <w:tr>
        <w:trPr>
          <w:trHeight w:val="169"/>
        </w:trPr>
        <w:tc>
          <w:tcPr>
            <w:tcW w:w="9820" w:type="dxa"/>
            <w:vAlign w:val="bottom"/>
            <w:tcBorders>
              <w:bottom w:val="single" w:sz="8" w:color="CCEEFF"/>
            </w:tcBorders>
            <w:vMerge w:val="continue"/>
          </w:tcPr>
          <w:p>
            <w:pPr>
              <w:spacing w:after="0"/>
              <w:rPr>
                <w:sz w:val="14"/>
                <w:szCs w:val="14"/>
                <w:color w:val="auto"/>
              </w:rPr>
            </w:pPr>
          </w:p>
        </w:tc>
        <w:tc>
          <w:tcPr>
            <w:tcW w:w="100" w:type="dxa"/>
            <w:vAlign w:val="bottom"/>
            <w:tcBorders>
              <w:bottom w:val="single" w:sz="8" w:color="auto"/>
            </w:tcBorders>
          </w:tcPr>
          <w:p>
            <w:pPr>
              <w:spacing w:after="0"/>
              <w:rPr>
                <w:sz w:val="14"/>
                <w:szCs w:val="14"/>
                <w:color w:val="auto"/>
              </w:rPr>
            </w:pPr>
          </w:p>
        </w:tc>
        <w:tc>
          <w:tcPr>
            <w:tcW w:w="1360" w:type="dxa"/>
            <w:vAlign w:val="bottom"/>
            <w:tcBorders>
              <w:bottom w:val="single" w:sz="8" w:color="auto"/>
            </w:tcBorders>
          </w:tcPr>
          <w:p>
            <w:pPr>
              <w:jc w:val="right"/>
              <w:ind w:right="56"/>
              <w:spacing w:after="0"/>
              <w:rPr>
                <w:sz w:val="20"/>
                <w:szCs w:val="20"/>
                <w:color w:val="auto"/>
              </w:rPr>
            </w:pPr>
            <w:r>
              <w:rPr>
                <w:rFonts w:ascii="Times New Roman" w:cs="Times New Roman" w:eastAsia="Times New Roman" w:hAnsi="Times New Roman"/>
                <w:sz w:val="13"/>
                <w:szCs w:val="13"/>
                <w:b w:val="1"/>
                <w:bCs w:val="1"/>
                <w:color w:val="auto"/>
                <w:w w:val="98"/>
              </w:rPr>
              <w:t>Amortization Expense</w:t>
            </w:r>
          </w:p>
        </w:tc>
        <w:tc>
          <w:tcPr>
            <w:tcW w:w="0" w:type="dxa"/>
            <w:vAlign w:val="bottom"/>
          </w:tcPr>
          <w:p>
            <w:pPr>
              <w:spacing w:after="0"/>
              <w:rPr>
                <w:sz w:val="1"/>
                <w:szCs w:val="1"/>
                <w:color w:val="auto"/>
              </w:rPr>
            </w:pPr>
          </w:p>
        </w:tc>
      </w:tr>
      <w:tr>
        <w:trPr>
          <w:trHeight w:val="162"/>
        </w:trPr>
        <w:tc>
          <w:tcPr>
            <w:tcW w:w="9820" w:type="dxa"/>
            <w:vAlign w:val="bottom"/>
            <w:shd w:val="clear" w:color="auto" w:fill="CCEEFF"/>
          </w:tcPr>
          <w:p>
            <w:pPr>
              <w:ind w:left="20"/>
              <w:spacing w:after="0" w:line="147" w:lineRule="exact"/>
              <w:rPr>
                <w:sz w:val="20"/>
                <w:szCs w:val="20"/>
                <w:color w:val="auto"/>
              </w:rPr>
            </w:pPr>
            <w:r>
              <w:rPr>
                <w:rFonts w:ascii="Times New Roman" w:cs="Times New Roman" w:eastAsia="Times New Roman" w:hAnsi="Times New Roman"/>
                <w:sz w:val="13"/>
                <w:szCs w:val="13"/>
                <w:color w:val="auto"/>
              </w:rPr>
              <w:t>2026</w:t>
            </w:r>
          </w:p>
        </w:tc>
        <w:tc>
          <w:tcPr>
            <w:tcW w:w="1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w w:val="91"/>
              </w:rPr>
              <w:t>$</w:t>
            </w:r>
          </w:p>
        </w:tc>
        <w:tc>
          <w:tcPr>
            <w:tcW w:w="13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2,583</w:t>
            </w:r>
          </w:p>
        </w:tc>
        <w:tc>
          <w:tcPr>
            <w:tcW w:w="0" w:type="dxa"/>
            <w:vAlign w:val="bottom"/>
          </w:tcPr>
          <w:p>
            <w:pPr>
              <w:spacing w:after="0"/>
              <w:rPr>
                <w:sz w:val="1"/>
                <w:szCs w:val="1"/>
                <w:color w:val="auto"/>
              </w:rPr>
            </w:pPr>
          </w:p>
        </w:tc>
      </w:tr>
      <w:tr>
        <w:trPr>
          <w:trHeight w:val="168"/>
        </w:trPr>
        <w:tc>
          <w:tcPr>
            <w:tcW w:w="9820" w:type="dxa"/>
            <w:vAlign w:val="bottom"/>
          </w:tcPr>
          <w:p>
            <w:pPr>
              <w:ind w:left="20"/>
              <w:spacing w:after="0"/>
              <w:rPr>
                <w:sz w:val="20"/>
                <w:szCs w:val="20"/>
                <w:color w:val="auto"/>
              </w:rPr>
            </w:pPr>
            <w:r>
              <w:rPr>
                <w:rFonts w:ascii="Times New Roman" w:cs="Times New Roman" w:eastAsia="Times New Roman" w:hAnsi="Times New Roman"/>
                <w:sz w:val="13"/>
                <w:szCs w:val="13"/>
                <w:color w:val="auto"/>
              </w:rPr>
              <w:t>2027</w:t>
            </w:r>
          </w:p>
        </w:tc>
        <w:tc>
          <w:tcPr>
            <w:tcW w:w="100" w:type="dxa"/>
            <w:vAlign w:val="bottom"/>
          </w:tcPr>
          <w:p>
            <w:pPr>
              <w:spacing w:after="0"/>
              <w:rPr>
                <w:sz w:val="14"/>
                <w:szCs w:val="14"/>
                <w:color w:val="auto"/>
              </w:rPr>
            </w:pPr>
          </w:p>
        </w:tc>
        <w:tc>
          <w:tcPr>
            <w:tcW w:w="136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2,583</w:t>
            </w:r>
          </w:p>
        </w:tc>
        <w:tc>
          <w:tcPr>
            <w:tcW w:w="0" w:type="dxa"/>
            <w:vAlign w:val="bottom"/>
          </w:tcPr>
          <w:p>
            <w:pPr>
              <w:spacing w:after="0"/>
              <w:rPr>
                <w:sz w:val="1"/>
                <w:szCs w:val="1"/>
                <w:color w:val="auto"/>
              </w:rPr>
            </w:pPr>
          </w:p>
        </w:tc>
      </w:tr>
      <w:tr>
        <w:trPr>
          <w:trHeight w:val="172"/>
        </w:trPr>
        <w:tc>
          <w:tcPr>
            <w:tcW w:w="982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3"/>
                <w:szCs w:val="13"/>
                <w:color w:val="auto"/>
              </w:rPr>
              <w:t>2028</w:t>
            </w:r>
          </w:p>
        </w:tc>
        <w:tc>
          <w:tcPr>
            <w:tcW w:w="100" w:type="dxa"/>
            <w:vAlign w:val="bottom"/>
            <w:shd w:val="clear" w:color="auto" w:fill="CCEEFF"/>
          </w:tcPr>
          <w:p>
            <w:pPr>
              <w:spacing w:after="0"/>
              <w:rPr>
                <w:sz w:val="14"/>
                <w:szCs w:val="14"/>
                <w:color w:val="auto"/>
              </w:rPr>
            </w:pPr>
          </w:p>
        </w:tc>
        <w:tc>
          <w:tcPr>
            <w:tcW w:w="13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2,583</w:t>
            </w:r>
          </w:p>
        </w:tc>
        <w:tc>
          <w:tcPr>
            <w:tcW w:w="0" w:type="dxa"/>
            <w:vAlign w:val="bottom"/>
          </w:tcPr>
          <w:p>
            <w:pPr>
              <w:spacing w:after="0"/>
              <w:rPr>
                <w:sz w:val="1"/>
                <w:szCs w:val="1"/>
                <w:color w:val="auto"/>
              </w:rPr>
            </w:pPr>
          </w:p>
        </w:tc>
      </w:tr>
      <w:tr>
        <w:trPr>
          <w:trHeight w:val="168"/>
        </w:trPr>
        <w:tc>
          <w:tcPr>
            <w:tcW w:w="9820" w:type="dxa"/>
            <w:vAlign w:val="bottom"/>
          </w:tcPr>
          <w:p>
            <w:pPr>
              <w:ind w:left="20"/>
              <w:spacing w:after="0"/>
              <w:rPr>
                <w:sz w:val="20"/>
                <w:szCs w:val="20"/>
                <w:color w:val="auto"/>
              </w:rPr>
            </w:pPr>
            <w:r>
              <w:rPr>
                <w:rFonts w:ascii="Times New Roman" w:cs="Times New Roman" w:eastAsia="Times New Roman" w:hAnsi="Times New Roman"/>
                <w:sz w:val="13"/>
                <w:szCs w:val="13"/>
                <w:color w:val="auto"/>
              </w:rPr>
              <w:t>2029</w:t>
            </w:r>
          </w:p>
        </w:tc>
        <w:tc>
          <w:tcPr>
            <w:tcW w:w="100" w:type="dxa"/>
            <w:vAlign w:val="bottom"/>
          </w:tcPr>
          <w:p>
            <w:pPr>
              <w:spacing w:after="0"/>
              <w:rPr>
                <w:sz w:val="14"/>
                <w:szCs w:val="14"/>
                <w:color w:val="auto"/>
              </w:rPr>
            </w:pPr>
          </w:p>
        </w:tc>
        <w:tc>
          <w:tcPr>
            <w:tcW w:w="136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2,533</w:t>
            </w:r>
          </w:p>
        </w:tc>
        <w:tc>
          <w:tcPr>
            <w:tcW w:w="0" w:type="dxa"/>
            <w:vAlign w:val="bottom"/>
          </w:tcPr>
          <w:p>
            <w:pPr>
              <w:spacing w:after="0"/>
              <w:rPr>
                <w:sz w:val="1"/>
                <w:szCs w:val="1"/>
                <w:color w:val="auto"/>
              </w:rPr>
            </w:pPr>
          </w:p>
        </w:tc>
      </w:tr>
      <w:tr>
        <w:trPr>
          <w:trHeight w:val="172"/>
        </w:trPr>
        <w:tc>
          <w:tcPr>
            <w:tcW w:w="982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3"/>
                <w:szCs w:val="13"/>
                <w:color w:val="auto"/>
              </w:rPr>
              <w:t>2030</w:t>
            </w:r>
          </w:p>
        </w:tc>
        <w:tc>
          <w:tcPr>
            <w:tcW w:w="100" w:type="dxa"/>
            <w:vAlign w:val="bottom"/>
            <w:shd w:val="clear" w:color="auto" w:fill="CCEEFF"/>
          </w:tcPr>
          <w:p>
            <w:pPr>
              <w:spacing w:after="0"/>
              <w:rPr>
                <w:sz w:val="14"/>
                <w:szCs w:val="14"/>
                <w:color w:val="auto"/>
              </w:rPr>
            </w:pPr>
          </w:p>
        </w:tc>
        <w:tc>
          <w:tcPr>
            <w:tcW w:w="13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1,320</w:t>
            </w:r>
          </w:p>
        </w:tc>
        <w:tc>
          <w:tcPr>
            <w:tcW w:w="0" w:type="dxa"/>
            <w:vAlign w:val="bottom"/>
          </w:tcPr>
          <w:p>
            <w:pPr>
              <w:spacing w:after="0"/>
              <w:rPr>
                <w:sz w:val="1"/>
                <w:szCs w:val="1"/>
                <w:color w:val="auto"/>
              </w:rPr>
            </w:pPr>
          </w:p>
        </w:tc>
      </w:tr>
      <w:tr>
        <w:trPr>
          <w:trHeight w:val="168"/>
        </w:trPr>
        <w:tc>
          <w:tcPr>
            <w:tcW w:w="9820" w:type="dxa"/>
            <w:vAlign w:val="bottom"/>
            <w:tcBorders>
              <w:bottom w:val="single" w:sz="8" w:color="CCEEFF"/>
            </w:tcBorders>
          </w:tcPr>
          <w:p>
            <w:pPr>
              <w:ind w:left="20"/>
              <w:spacing w:after="0"/>
              <w:rPr>
                <w:sz w:val="20"/>
                <w:szCs w:val="20"/>
                <w:color w:val="auto"/>
              </w:rPr>
            </w:pPr>
            <w:r>
              <w:rPr>
                <w:rFonts w:ascii="Times New Roman" w:cs="Times New Roman" w:eastAsia="Times New Roman" w:hAnsi="Times New Roman"/>
                <w:sz w:val="13"/>
                <w:szCs w:val="13"/>
                <w:color w:val="auto"/>
              </w:rPr>
              <w:t>Thereafter</w:t>
            </w:r>
          </w:p>
        </w:tc>
        <w:tc>
          <w:tcPr>
            <w:tcW w:w="100" w:type="dxa"/>
            <w:vAlign w:val="bottom"/>
            <w:tcBorders>
              <w:bottom w:val="single" w:sz="8" w:color="auto"/>
            </w:tcBorders>
          </w:tcPr>
          <w:p>
            <w:pPr>
              <w:spacing w:after="0"/>
              <w:rPr>
                <w:sz w:val="14"/>
                <w:szCs w:val="14"/>
                <w:color w:val="auto"/>
              </w:rPr>
            </w:pPr>
          </w:p>
        </w:tc>
        <w:tc>
          <w:tcPr>
            <w:tcW w:w="13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3"/>
                <w:szCs w:val="13"/>
                <w:color w:val="auto"/>
              </w:rPr>
              <w:t>6,597</w:t>
            </w:r>
          </w:p>
        </w:tc>
        <w:tc>
          <w:tcPr>
            <w:tcW w:w="0" w:type="dxa"/>
            <w:vAlign w:val="bottom"/>
          </w:tcPr>
          <w:p>
            <w:pPr>
              <w:spacing w:after="0"/>
              <w:rPr>
                <w:sz w:val="1"/>
                <w:szCs w:val="1"/>
                <w:color w:val="auto"/>
              </w:rPr>
            </w:pPr>
          </w:p>
        </w:tc>
      </w:tr>
      <w:tr>
        <w:trPr>
          <w:trHeight w:val="185"/>
        </w:trPr>
        <w:tc>
          <w:tcPr>
            <w:tcW w:w="9820" w:type="dxa"/>
            <w:vAlign w:val="bottom"/>
            <w:tcBorders>
              <w:bottom w:val="single" w:sz="8" w:color="CCEEFF"/>
            </w:tcBorders>
            <w:shd w:val="clear" w:color="auto" w:fill="CCEEFF"/>
          </w:tcPr>
          <w:p>
            <w:pPr>
              <w:ind w:left="20"/>
              <w:spacing w:after="0" w:line="147" w:lineRule="exact"/>
              <w:rPr>
                <w:sz w:val="20"/>
                <w:szCs w:val="20"/>
                <w:color w:val="auto"/>
              </w:rPr>
            </w:pPr>
            <w:r>
              <w:rPr>
                <w:rFonts w:ascii="Times New Roman" w:cs="Times New Roman" w:eastAsia="Times New Roman" w:hAnsi="Times New Roman"/>
                <w:sz w:val="13"/>
                <w:szCs w:val="13"/>
                <w:color w:val="auto"/>
              </w:rPr>
              <w:t>Total</w:t>
            </w:r>
          </w:p>
        </w:tc>
        <w:tc>
          <w:tcPr>
            <w:tcW w:w="1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w w:val="91"/>
              </w:rPr>
              <w:t>$</w:t>
            </w:r>
          </w:p>
        </w:tc>
        <w:tc>
          <w:tcPr>
            <w:tcW w:w="13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18,199</w:t>
            </w:r>
          </w:p>
        </w:tc>
        <w:tc>
          <w:tcPr>
            <w:tcW w:w="0" w:type="dxa"/>
            <w:vAlign w:val="bottom"/>
          </w:tcPr>
          <w:p>
            <w:pPr>
              <w:spacing w:after="0"/>
              <w:rPr>
                <w:sz w:val="1"/>
                <w:szCs w:val="1"/>
                <w:color w:val="auto"/>
              </w:rPr>
            </w:pPr>
          </w:p>
        </w:tc>
      </w:tr>
      <w:tr>
        <w:trPr>
          <w:trHeight w:val="20"/>
        </w:trPr>
        <w:tc>
          <w:tcPr>
            <w:tcW w:w="9820" w:type="dxa"/>
            <w:vAlign w:val="bottom"/>
            <w:tcBorders>
              <w:top w:val="single" w:sz="8" w:color="CCEEFF"/>
            </w:tcBorders>
          </w:tcPr>
          <w:p>
            <w:pPr>
              <w:spacing w:after="0" w:line="20" w:lineRule="exact"/>
              <w:rPr>
                <w:sz w:val="1"/>
                <w:szCs w:val="1"/>
                <w:color w:val="auto"/>
              </w:rPr>
            </w:pPr>
          </w:p>
        </w:tc>
        <w:tc>
          <w:tcPr>
            <w:tcW w:w="100" w:type="dxa"/>
            <w:vAlign w:val="bottom"/>
            <w:tcBorders>
              <w:top w:val="single" w:sz="8" w:color="CCEEFF"/>
              <w:bottom w:val="single" w:sz="8" w:color="auto"/>
            </w:tcBorders>
          </w:tcPr>
          <w:p>
            <w:pPr>
              <w:spacing w:after="0" w:line="20" w:lineRule="exact"/>
              <w:rPr>
                <w:sz w:val="1"/>
                <w:szCs w:val="1"/>
                <w:color w:val="auto"/>
              </w:rPr>
            </w:pPr>
          </w:p>
        </w:tc>
        <w:tc>
          <w:tcPr>
            <w:tcW w:w="1360" w:type="dxa"/>
            <w:vAlign w:val="bottom"/>
            <w:tcBorders>
              <w:top w:val="single" w:sz="8" w:color="CCEEFF"/>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376"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b w:val="1"/>
          <w:bCs w:val="1"/>
          <w:color w:val="auto"/>
        </w:rPr>
        <w:t>12. LEASES:</w:t>
      </w:r>
    </w:p>
    <w:p>
      <w:pPr>
        <w:spacing w:after="0" w:line="96" w:lineRule="exact"/>
        <w:rPr>
          <w:sz w:val="20"/>
          <w:szCs w:val="20"/>
          <w:color w:val="auto"/>
        </w:rPr>
      </w:pPr>
    </w:p>
    <w:p>
      <w:pPr>
        <w:ind w:firstLine="382"/>
        <w:spacing w:after="0" w:line="270" w:lineRule="auto"/>
        <w:rPr>
          <w:sz w:val="20"/>
          <w:szCs w:val="20"/>
          <w:color w:val="auto"/>
        </w:rPr>
      </w:pPr>
      <w:r>
        <w:rPr>
          <w:rFonts w:ascii="Times New Roman" w:cs="Times New Roman" w:eastAsia="Times New Roman" w:hAnsi="Times New Roman"/>
          <w:sz w:val="14"/>
          <w:szCs w:val="14"/>
          <w:color w:val="auto"/>
        </w:rPr>
        <w:t>We have operating leases for corporate offices and certain office equipment. The lease terms of our corporate offices vary and have remaining lease terms ranging from one to eleven years. The corporate office lease payments are fixed and are based upon contractual monthly rates. The majority of our corporate office leases do not include options to extend or terminate the leases. We generally lease office equipment for a period of two years.</w:t>
      </w:r>
    </w:p>
    <w:p>
      <w:pPr>
        <w:spacing w:after="0" w:line="51" w:lineRule="exact"/>
        <w:rPr>
          <w:sz w:val="20"/>
          <w:szCs w:val="20"/>
          <w:color w:val="auto"/>
        </w:rPr>
      </w:pPr>
    </w:p>
    <w:p>
      <w:pPr>
        <w:ind w:left="380"/>
        <w:spacing w:after="0"/>
        <w:rPr>
          <w:sz w:val="20"/>
          <w:szCs w:val="20"/>
          <w:color w:val="auto"/>
        </w:rPr>
      </w:pPr>
      <w:r>
        <w:rPr>
          <w:rFonts w:ascii="Times New Roman" w:cs="Times New Roman" w:eastAsia="Times New Roman" w:hAnsi="Times New Roman"/>
          <w:sz w:val="14"/>
          <w:szCs w:val="14"/>
          <w:color w:val="auto"/>
        </w:rPr>
        <w:t>The following table presents the components of lease costs related to our leases (amounts in thousands):</w:t>
      </w:r>
    </w:p>
    <w:p>
      <w:pPr>
        <w:spacing w:after="0" w:line="43" w:lineRule="exact"/>
        <w:rPr>
          <w:sz w:val="20"/>
          <w:szCs w:val="20"/>
          <w:color w:val="auto"/>
        </w:rPr>
      </w:pPr>
    </w:p>
    <w:tbl>
      <w:tblPr>
        <w:tblLayout w:type="fixed"/>
        <w:tblInd w:w="0" w:type="dxa"/>
        <w:tblCellMar>
          <w:top w:w="0" w:type="dxa"/>
          <w:left w:w="0" w:type="dxa"/>
          <w:bottom w:w="0" w:type="dxa"/>
          <w:right w:w="0" w:type="dxa"/>
        </w:tblCellMar>
      </w:tblPr>
      <w:tr>
        <w:trPr>
          <w:trHeight w:val="170"/>
        </w:trPr>
        <w:tc>
          <w:tcPr>
            <w:tcW w:w="7600" w:type="dxa"/>
            <w:vAlign w:val="bottom"/>
          </w:tcPr>
          <w:p>
            <w:pPr>
              <w:spacing w:after="0"/>
              <w:rPr>
                <w:sz w:val="14"/>
                <w:szCs w:val="14"/>
                <w:color w:val="auto"/>
              </w:rPr>
            </w:pPr>
          </w:p>
        </w:tc>
        <w:tc>
          <w:tcPr>
            <w:tcW w:w="760" w:type="dxa"/>
            <w:vAlign w:val="bottom"/>
            <w:tcBorders>
              <w:bottom w:val="single" w:sz="8" w:color="auto"/>
            </w:tcBorders>
          </w:tcPr>
          <w:p>
            <w:pPr>
              <w:spacing w:after="0"/>
              <w:rPr>
                <w:sz w:val="14"/>
                <w:szCs w:val="14"/>
                <w:color w:val="auto"/>
              </w:rPr>
            </w:pPr>
          </w:p>
        </w:tc>
        <w:tc>
          <w:tcPr>
            <w:tcW w:w="340" w:type="dxa"/>
            <w:vAlign w:val="bottom"/>
            <w:tcBorders>
              <w:bottom w:val="single" w:sz="8" w:color="auto"/>
            </w:tcBorders>
          </w:tcPr>
          <w:p>
            <w:pPr>
              <w:spacing w:after="0"/>
              <w:rPr>
                <w:sz w:val="14"/>
                <w:szCs w:val="14"/>
                <w:color w:val="auto"/>
              </w:rPr>
            </w:pPr>
          </w:p>
        </w:tc>
        <w:tc>
          <w:tcPr>
            <w:tcW w:w="1680" w:type="dxa"/>
            <w:vAlign w:val="bottom"/>
            <w:tcBorders>
              <w:bottom w:val="single" w:sz="8" w:color="auto"/>
            </w:tcBorders>
            <w:gridSpan w:val="6"/>
          </w:tcPr>
          <w:p>
            <w:pPr>
              <w:jc w:val="right"/>
              <w:ind w:right="156"/>
              <w:spacing w:after="0"/>
              <w:rPr>
                <w:sz w:val="20"/>
                <w:szCs w:val="20"/>
                <w:color w:val="auto"/>
              </w:rPr>
            </w:pPr>
            <w:r>
              <w:rPr>
                <w:rFonts w:ascii="Times New Roman" w:cs="Times New Roman" w:eastAsia="Times New Roman" w:hAnsi="Times New Roman"/>
                <w:sz w:val="13"/>
                <w:szCs w:val="13"/>
                <w:b w:val="1"/>
                <w:bCs w:val="1"/>
                <w:color w:val="auto"/>
                <w:w w:val="95"/>
              </w:rPr>
              <w:t>Years Ended December 31,</w:t>
            </w:r>
          </w:p>
        </w:tc>
        <w:tc>
          <w:tcPr>
            <w:tcW w:w="900" w:type="dxa"/>
            <w:vAlign w:val="bottom"/>
            <w:tcBorders>
              <w:bottom w:val="single" w:sz="8" w:color="auto"/>
            </w:tcBorders>
          </w:tcPr>
          <w:p>
            <w:pPr>
              <w:spacing w:after="0"/>
              <w:rPr>
                <w:sz w:val="14"/>
                <w:szCs w:val="14"/>
                <w:color w:val="auto"/>
              </w:rPr>
            </w:pPr>
          </w:p>
        </w:tc>
      </w:tr>
      <w:tr>
        <w:trPr>
          <w:trHeight w:val="161"/>
        </w:trPr>
        <w:tc>
          <w:tcPr>
            <w:tcW w:w="7600" w:type="dxa"/>
            <w:vAlign w:val="bottom"/>
            <w:tcBorders>
              <w:bottom w:val="single" w:sz="8" w:color="CCEEFF"/>
            </w:tcBorders>
          </w:tcPr>
          <w:p>
            <w:pPr>
              <w:spacing w:after="0"/>
              <w:rPr>
                <w:sz w:val="14"/>
                <w:szCs w:val="14"/>
                <w:color w:val="auto"/>
              </w:rPr>
            </w:pPr>
          </w:p>
        </w:tc>
        <w:tc>
          <w:tcPr>
            <w:tcW w:w="760" w:type="dxa"/>
            <w:vAlign w:val="bottom"/>
            <w:tcBorders>
              <w:bottom w:val="single" w:sz="8" w:color="auto"/>
            </w:tcBorders>
          </w:tcPr>
          <w:p>
            <w:pPr>
              <w:jc w:val="right"/>
              <w:ind w:right="3"/>
              <w:spacing w:after="0"/>
              <w:rPr>
                <w:sz w:val="20"/>
                <w:szCs w:val="20"/>
                <w:color w:val="auto"/>
              </w:rPr>
            </w:pPr>
            <w:r>
              <w:rPr>
                <w:rFonts w:ascii="Times New Roman" w:cs="Times New Roman" w:eastAsia="Times New Roman" w:hAnsi="Times New Roman"/>
                <w:sz w:val="13"/>
                <w:szCs w:val="13"/>
                <w:b w:val="1"/>
                <w:bCs w:val="1"/>
                <w:color w:val="auto"/>
              </w:rPr>
              <w:t>2025</w:t>
            </w:r>
          </w:p>
        </w:tc>
        <w:tc>
          <w:tcPr>
            <w:tcW w:w="340" w:type="dxa"/>
            <w:vAlign w:val="bottom"/>
            <w:tcBorders>
              <w:bottom w:val="single" w:sz="8" w:color="auto"/>
            </w:tcBorders>
          </w:tcPr>
          <w:p>
            <w:pPr>
              <w:spacing w:after="0"/>
              <w:rPr>
                <w:sz w:val="14"/>
                <w:szCs w:val="14"/>
                <w:color w:val="auto"/>
              </w:rPr>
            </w:pPr>
          </w:p>
        </w:tc>
        <w:tc>
          <w:tcPr>
            <w:tcW w:w="60" w:type="dxa"/>
            <w:vAlign w:val="bottom"/>
            <w:tcBorders>
              <w:bottom w:val="single" w:sz="8" w:color="auto"/>
            </w:tcBorders>
          </w:tcPr>
          <w:p>
            <w:pPr>
              <w:spacing w:after="0"/>
              <w:rPr>
                <w:sz w:val="14"/>
                <w:szCs w:val="14"/>
                <w:color w:val="auto"/>
              </w:rPr>
            </w:pPr>
          </w:p>
        </w:tc>
        <w:tc>
          <w:tcPr>
            <w:tcW w:w="100" w:type="dxa"/>
            <w:vAlign w:val="bottom"/>
            <w:tcBorders>
              <w:bottom w:val="single" w:sz="8" w:color="CCEEFF"/>
            </w:tcBorders>
          </w:tcPr>
          <w:p>
            <w:pPr>
              <w:spacing w:after="0"/>
              <w:rPr>
                <w:sz w:val="14"/>
                <w:szCs w:val="14"/>
                <w:color w:val="auto"/>
              </w:rPr>
            </w:pPr>
          </w:p>
        </w:tc>
        <w:tc>
          <w:tcPr>
            <w:tcW w:w="260" w:type="dxa"/>
            <w:vAlign w:val="bottom"/>
            <w:tcBorders>
              <w:bottom w:val="single" w:sz="8" w:color="auto"/>
            </w:tcBorders>
          </w:tcPr>
          <w:p>
            <w:pPr>
              <w:spacing w:after="0"/>
              <w:rPr>
                <w:sz w:val="14"/>
                <w:szCs w:val="14"/>
                <w:color w:val="auto"/>
              </w:rPr>
            </w:pPr>
          </w:p>
        </w:tc>
        <w:tc>
          <w:tcPr>
            <w:tcW w:w="900" w:type="dxa"/>
            <w:vAlign w:val="bottom"/>
            <w:tcBorders>
              <w:bottom w:val="single" w:sz="8" w:color="auto"/>
            </w:tcBorders>
          </w:tcPr>
          <w:p>
            <w:pPr>
              <w:jc w:val="right"/>
              <w:ind w:right="396"/>
              <w:spacing w:after="0"/>
              <w:rPr>
                <w:sz w:val="20"/>
                <w:szCs w:val="20"/>
                <w:color w:val="auto"/>
              </w:rPr>
            </w:pPr>
            <w:r>
              <w:rPr>
                <w:rFonts w:ascii="Times New Roman" w:cs="Times New Roman" w:eastAsia="Times New Roman" w:hAnsi="Times New Roman"/>
                <w:sz w:val="13"/>
                <w:szCs w:val="13"/>
                <w:b w:val="1"/>
                <w:bCs w:val="1"/>
                <w:color w:val="auto"/>
              </w:rPr>
              <w:t>2024</w:t>
            </w:r>
          </w:p>
        </w:tc>
        <w:tc>
          <w:tcPr>
            <w:tcW w:w="100" w:type="dxa"/>
            <w:vAlign w:val="bottom"/>
            <w:tcBorders>
              <w:bottom w:val="single" w:sz="8" w:color="CCEEFF"/>
            </w:tcBorders>
          </w:tcPr>
          <w:p>
            <w:pPr>
              <w:spacing w:after="0"/>
              <w:rPr>
                <w:sz w:val="14"/>
                <w:szCs w:val="14"/>
                <w:color w:val="auto"/>
              </w:rPr>
            </w:pPr>
          </w:p>
        </w:tc>
        <w:tc>
          <w:tcPr>
            <w:tcW w:w="260" w:type="dxa"/>
            <w:vAlign w:val="bottom"/>
            <w:tcBorders>
              <w:bottom w:val="single" w:sz="8" w:color="auto"/>
            </w:tcBorders>
          </w:tcPr>
          <w:p>
            <w:pPr>
              <w:spacing w:after="0"/>
              <w:rPr>
                <w:sz w:val="14"/>
                <w:szCs w:val="14"/>
                <w:color w:val="auto"/>
              </w:rPr>
            </w:pPr>
          </w:p>
        </w:tc>
        <w:tc>
          <w:tcPr>
            <w:tcW w:w="900" w:type="dxa"/>
            <w:vAlign w:val="bottom"/>
            <w:tcBorders>
              <w:bottom w:val="single" w:sz="8" w:color="auto"/>
            </w:tcBorders>
          </w:tcPr>
          <w:p>
            <w:pPr>
              <w:jc w:val="right"/>
              <w:ind w:right="396"/>
              <w:spacing w:after="0"/>
              <w:rPr>
                <w:sz w:val="20"/>
                <w:szCs w:val="20"/>
                <w:color w:val="auto"/>
              </w:rPr>
            </w:pPr>
            <w:r>
              <w:rPr>
                <w:rFonts w:ascii="Times New Roman" w:cs="Times New Roman" w:eastAsia="Times New Roman" w:hAnsi="Times New Roman"/>
                <w:sz w:val="13"/>
                <w:szCs w:val="13"/>
                <w:b w:val="1"/>
                <w:bCs w:val="1"/>
                <w:color w:val="auto"/>
              </w:rPr>
              <w:t>2023</w:t>
            </w:r>
          </w:p>
        </w:tc>
      </w:tr>
      <w:tr>
        <w:trPr>
          <w:trHeight w:val="162"/>
        </w:trPr>
        <w:tc>
          <w:tcPr>
            <w:tcW w:w="760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3"/>
                <w:szCs w:val="13"/>
                <w:color w:val="auto"/>
              </w:rPr>
              <w:t>Operating lease costs</w:t>
            </w:r>
          </w:p>
        </w:tc>
        <w:tc>
          <w:tcPr>
            <w:tcW w:w="760" w:type="dxa"/>
            <w:vAlign w:val="bottom"/>
            <w:shd w:val="clear" w:color="auto" w:fill="CCEEFF"/>
          </w:tcPr>
          <w:p>
            <w:pPr>
              <w:jc w:val="right"/>
              <w:ind w:right="643"/>
              <w:spacing w:after="0"/>
              <w:rPr>
                <w:sz w:val="20"/>
                <w:szCs w:val="20"/>
                <w:color w:val="auto"/>
              </w:rPr>
            </w:pPr>
            <w:r>
              <w:rPr>
                <w:rFonts w:ascii="Times New Roman" w:cs="Times New Roman" w:eastAsia="Times New Roman" w:hAnsi="Times New Roman"/>
                <w:sz w:val="11"/>
                <w:szCs w:val="11"/>
                <w:color w:val="auto"/>
                <w:w w:val="71"/>
              </w:rPr>
              <w:t>$</w:t>
            </w:r>
          </w:p>
        </w:tc>
        <w:tc>
          <w:tcPr>
            <w:tcW w:w="3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1,651</w:t>
            </w:r>
          </w:p>
        </w:tc>
        <w:tc>
          <w:tcPr>
            <w:tcW w:w="6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260" w:type="dxa"/>
            <w:vAlign w:val="bottom"/>
            <w:shd w:val="clear" w:color="auto" w:fill="CCEEFF"/>
          </w:tcPr>
          <w:p>
            <w:pPr>
              <w:jc w:val="right"/>
              <w:ind w:right="116"/>
              <w:spacing w:after="0"/>
              <w:rPr>
                <w:sz w:val="20"/>
                <w:szCs w:val="20"/>
                <w:color w:val="auto"/>
              </w:rPr>
            </w:pPr>
            <w:r>
              <w:rPr>
                <w:rFonts w:ascii="Times New Roman" w:cs="Times New Roman" w:eastAsia="Times New Roman" w:hAnsi="Times New Roman"/>
                <w:sz w:val="13"/>
                <w:szCs w:val="13"/>
                <w:color w:val="auto"/>
                <w:w w:val="91"/>
              </w:rPr>
              <w:t>$</w:t>
            </w:r>
          </w:p>
        </w:tc>
        <w:tc>
          <w:tcPr>
            <w:tcW w:w="9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1,441</w:t>
            </w:r>
          </w:p>
        </w:tc>
        <w:tc>
          <w:tcPr>
            <w:tcW w:w="100" w:type="dxa"/>
            <w:vAlign w:val="bottom"/>
            <w:shd w:val="clear" w:color="auto" w:fill="CCEEFF"/>
          </w:tcPr>
          <w:p>
            <w:pPr>
              <w:spacing w:after="0"/>
              <w:rPr>
                <w:sz w:val="14"/>
                <w:szCs w:val="14"/>
                <w:color w:val="auto"/>
              </w:rPr>
            </w:pPr>
          </w:p>
        </w:tc>
        <w:tc>
          <w:tcPr>
            <w:tcW w:w="260" w:type="dxa"/>
            <w:vAlign w:val="bottom"/>
            <w:shd w:val="clear" w:color="auto" w:fill="CCEEFF"/>
          </w:tcPr>
          <w:p>
            <w:pPr>
              <w:jc w:val="right"/>
              <w:ind w:right="116"/>
              <w:spacing w:after="0"/>
              <w:rPr>
                <w:sz w:val="20"/>
                <w:szCs w:val="20"/>
                <w:color w:val="auto"/>
              </w:rPr>
            </w:pPr>
            <w:r>
              <w:rPr>
                <w:rFonts w:ascii="Times New Roman" w:cs="Times New Roman" w:eastAsia="Times New Roman" w:hAnsi="Times New Roman"/>
                <w:sz w:val="13"/>
                <w:szCs w:val="13"/>
                <w:color w:val="auto"/>
                <w:w w:val="91"/>
              </w:rPr>
              <w:t>$</w:t>
            </w:r>
          </w:p>
        </w:tc>
        <w:tc>
          <w:tcPr>
            <w:tcW w:w="9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1,512</w:t>
            </w:r>
          </w:p>
        </w:tc>
      </w:tr>
      <w:tr>
        <w:trPr>
          <w:trHeight w:val="165"/>
        </w:trPr>
        <w:tc>
          <w:tcPr>
            <w:tcW w:w="7600" w:type="dxa"/>
            <w:vAlign w:val="bottom"/>
          </w:tcPr>
          <w:p>
            <w:pPr>
              <w:ind w:left="20"/>
              <w:spacing w:after="0"/>
              <w:rPr>
                <w:sz w:val="20"/>
                <w:szCs w:val="20"/>
                <w:color w:val="auto"/>
              </w:rPr>
            </w:pPr>
            <w:r>
              <w:rPr>
                <w:rFonts w:ascii="Times New Roman" w:cs="Times New Roman" w:eastAsia="Times New Roman" w:hAnsi="Times New Roman"/>
                <w:sz w:val="13"/>
                <w:szCs w:val="13"/>
                <w:color w:val="auto"/>
              </w:rPr>
              <w:t>Sublease income</w:t>
            </w:r>
          </w:p>
        </w:tc>
        <w:tc>
          <w:tcPr>
            <w:tcW w:w="760" w:type="dxa"/>
            <w:vAlign w:val="bottom"/>
          </w:tcPr>
          <w:p>
            <w:pPr>
              <w:jc w:val="right"/>
              <w:ind w:right="643"/>
              <w:spacing w:after="0"/>
              <w:rPr>
                <w:sz w:val="20"/>
                <w:szCs w:val="20"/>
                <w:color w:val="auto"/>
              </w:rPr>
            </w:pPr>
            <w:r>
              <w:rPr>
                <w:rFonts w:ascii="Times New Roman" w:cs="Times New Roman" w:eastAsia="Times New Roman" w:hAnsi="Times New Roman"/>
                <w:sz w:val="11"/>
                <w:szCs w:val="11"/>
                <w:color w:val="auto"/>
                <w:w w:val="71"/>
              </w:rPr>
              <w:t>$</w:t>
            </w:r>
          </w:p>
        </w:tc>
        <w:tc>
          <w:tcPr>
            <w:tcW w:w="34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850</w:t>
            </w:r>
          </w:p>
        </w:tc>
        <w:tc>
          <w:tcPr>
            <w:tcW w:w="420" w:type="dxa"/>
            <w:vAlign w:val="bottom"/>
            <w:gridSpan w:val="3"/>
          </w:tcPr>
          <w:p>
            <w:pPr>
              <w:jc w:val="right"/>
              <w:ind w:right="116"/>
              <w:spacing w:after="0"/>
              <w:rPr>
                <w:sz w:val="20"/>
                <w:szCs w:val="20"/>
                <w:color w:val="auto"/>
              </w:rPr>
            </w:pPr>
            <w:r>
              <w:rPr>
                <w:rFonts w:ascii="Times New Roman" w:cs="Times New Roman" w:eastAsia="Times New Roman" w:hAnsi="Times New Roman"/>
                <w:sz w:val="13"/>
                <w:szCs w:val="13"/>
                <w:color w:val="auto"/>
              </w:rPr>
              <w:t>$</w:t>
            </w:r>
          </w:p>
        </w:tc>
        <w:tc>
          <w:tcPr>
            <w:tcW w:w="90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845</w:t>
            </w:r>
          </w:p>
        </w:tc>
        <w:tc>
          <w:tcPr>
            <w:tcW w:w="100" w:type="dxa"/>
            <w:vAlign w:val="bottom"/>
          </w:tcPr>
          <w:p>
            <w:pPr>
              <w:spacing w:after="0"/>
              <w:rPr>
                <w:sz w:val="14"/>
                <w:szCs w:val="14"/>
                <w:color w:val="auto"/>
              </w:rPr>
            </w:pPr>
          </w:p>
        </w:tc>
        <w:tc>
          <w:tcPr>
            <w:tcW w:w="260" w:type="dxa"/>
            <w:vAlign w:val="bottom"/>
          </w:tcPr>
          <w:p>
            <w:pPr>
              <w:jc w:val="right"/>
              <w:ind w:right="116"/>
              <w:spacing w:after="0"/>
              <w:rPr>
                <w:sz w:val="20"/>
                <w:szCs w:val="20"/>
                <w:color w:val="auto"/>
              </w:rPr>
            </w:pPr>
            <w:r>
              <w:rPr>
                <w:rFonts w:ascii="Times New Roman" w:cs="Times New Roman" w:eastAsia="Times New Roman" w:hAnsi="Times New Roman"/>
                <w:sz w:val="13"/>
                <w:szCs w:val="13"/>
                <w:color w:val="auto"/>
                <w:w w:val="91"/>
              </w:rPr>
              <w:t>$</w:t>
            </w:r>
          </w:p>
        </w:tc>
        <w:tc>
          <w:tcPr>
            <w:tcW w:w="90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862</w:t>
            </w:r>
          </w:p>
        </w:tc>
      </w:tr>
    </w:tbl>
    <w:p>
      <w:pPr>
        <w:spacing w:after="0" w:line="138" w:lineRule="exact"/>
        <w:rPr>
          <w:sz w:val="20"/>
          <w:szCs w:val="20"/>
          <w:color w:val="auto"/>
        </w:rPr>
      </w:pPr>
    </w:p>
    <w:p>
      <w:pPr>
        <w:ind w:left="380"/>
        <w:spacing w:after="0"/>
        <w:rPr>
          <w:sz w:val="20"/>
          <w:szCs w:val="20"/>
          <w:color w:val="auto"/>
        </w:rPr>
      </w:pPr>
      <w:r>
        <w:rPr>
          <w:rFonts w:ascii="Times New Roman" w:cs="Times New Roman" w:eastAsia="Times New Roman" w:hAnsi="Times New Roman"/>
          <w:sz w:val="14"/>
          <w:szCs w:val="14"/>
          <w:color w:val="auto"/>
        </w:rPr>
        <w:t>Sublease income relates to subleasing a portion of our corporate offices.</w:t>
      </w:r>
    </w:p>
    <w:p>
      <w:pPr>
        <w:spacing w:after="0" w:line="94" w:lineRule="exact"/>
        <w:rPr>
          <w:sz w:val="20"/>
          <w:szCs w:val="20"/>
          <w:color w:val="auto"/>
        </w:rPr>
      </w:pPr>
    </w:p>
    <w:p>
      <w:pPr>
        <w:ind w:left="380"/>
        <w:spacing w:after="0"/>
        <w:rPr>
          <w:sz w:val="20"/>
          <w:szCs w:val="20"/>
          <w:color w:val="auto"/>
        </w:rPr>
      </w:pPr>
      <w:r>
        <w:rPr>
          <w:rFonts w:ascii="Times New Roman" w:cs="Times New Roman" w:eastAsia="Times New Roman" w:hAnsi="Times New Roman"/>
          <w:sz w:val="14"/>
          <w:szCs w:val="14"/>
          <w:color w:val="auto"/>
        </w:rPr>
        <w:t>The following table presents supplemental cash flow information related to our leases (amounts in thousands):</w:t>
      </w:r>
    </w:p>
    <w:p>
      <w:pPr>
        <w:spacing w:after="0" w:line="43" w:lineRule="exact"/>
        <w:rPr>
          <w:sz w:val="20"/>
          <w:szCs w:val="20"/>
          <w:color w:val="auto"/>
        </w:rPr>
      </w:pPr>
    </w:p>
    <w:tbl>
      <w:tblPr>
        <w:tblLayout w:type="fixed"/>
        <w:tblInd w:w="0" w:type="dxa"/>
        <w:tblCellMar>
          <w:top w:w="0" w:type="dxa"/>
          <w:left w:w="0" w:type="dxa"/>
          <w:bottom w:w="0" w:type="dxa"/>
          <w:right w:w="0" w:type="dxa"/>
        </w:tblCellMar>
      </w:tblPr>
      <w:tr>
        <w:trPr>
          <w:trHeight w:val="170"/>
        </w:trPr>
        <w:tc>
          <w:tcPr>
            <w:tcW w:w="7600" w:type="dxa"/>
            <w:vAlign w:val="bottom"/>
          </w:tcPr>
          <w:p>
            <w:pPr>
              <w:spacing w:after="0"/>
              <w:rPr>
                <w:sz w:val="14"/>
                <w:szCs w:val="14"/>
                <w:color w:val="auto"/>
              </w:rPr>
            </w:pPr>
          </w:p>
        </w:tc>
        <w:tc>
          <w:tcPr>
            <w:tcW w:w="760" w:type="dxa"/>
            <w:vAlign w:val="bottom"/>
            <w:tcBorders>
              <w:bottom w:val="single" w:sz="8" w:color="auto"/>
            </w:tcBorders>
          </w:tcPr>
          <w:p>
            <w:pPr>
              <w:spacing w:after="0"/>
              <w:rPr>
                <w:sz w:val="14"/>
                <w:szCs w:val="14"/>
                <w:color w:val="auto"/>
              </w:rPr>
            </w:pPr>
          </w:p>
        </w:tc>
        <w:tc>
          <w:tcPr>
            <w:tcW w:w="340" w:type="dxa"/>
            <w:vAlign w:val="bottom"/>
            <w:tcBorders>
              <w:bottom w:val="single" w:sz="8" w:color="auto"/>
            </w:tcBorders>
          </w:tcPr>
          <w:p>
            <w:pPr>
              <w:spacing w:after="0"/>
              <w:rPr>
                <w:sz w:val="14"/>
                <w:szCs w:val="14"/>
                <w:color w:val="auto"/>
              </w:rPr>
            </w:pPr>
          </w:p>
        </w:tc>
        <w:tc>
          <w:tcPr>
            <w:tcW w:w="1680" w:type="dxa"/>
            <w:vAlign w:val="bottom"/>
            <w:tcBorders>
              <w:bottom w:val="single" w:sz="8" w:color="auto"/>
            </w:tcBorders>
            <w:gridSpan w:val="6"/>
          </w:tcPr>
          <w:p>
            <w:pPr>
              <w:jc w:val="right"/>
              <w:ind w:right="156"/>
              <w:spacing w:after="0"/>
              <w:rPr>
                <w:sz w:val="20"/>
                <w:szCs w:val="20"/>
                <w:color w:val="auto"/>
              </w:rPr>
            </w:pPr>
            <w:r>
              <w:rPr>
                <w:rFonts w:ascii="Times New Roman" w:cs="Times New Roman" w:eastAsia="Times New Roman" w:hAnsi="Times New Roman"/>
                <w:sz w:val="13"/>
                <w:szCs w:val="13"/>
                <w:b w:val="1"/>
                <w:bCs w:val="1"/>
                <w:color w:val="auto"/>
                <w:w w:val="95"/>
              </w:rPr>
              <w:t>Years Ended December 31,</w:t>
            </w:r>
          </w:p>
        </w:tc>
        <w:tc>
          <w:tcPr>
            <w:tcW w:w="900" w:type="dxa"/>
            <w:vAlign w:val="bottom"/>
            <w:tcBorders>
              <w:bottom w:val="single" w:sz="8" w:color="auto"/>
            </w:tcBorders>
          </w:tcPr>
          <w:p>
            <w:pPr>
              <w:spacing w:after="0"/>
              <w:rPr>
                <w:sz w:val="14"/>
                <w:szCs w:val="14"/>
                <w:color w:val="auto"/>
              </w:rPr>
            </w:pPr>
          </w:p>
        </w:tc>
      </w:tr>
      <w:tr>
        <w:trPr>
          <w:trHeight w:val="161"/>
        </w:trPr>
        <w:tc>
          <w:tcPr>
            <w:tcW w:w="7600" w:type="dxa"/>
            <w:vAlign w:val="bottom"/>
            <w:tcBorders>
              <w:bottom w:val="single" w:sz="8" w:color="CCEEFF"/>
            </w:tcBorders>
          </w:tcPr>
          <w:p>
            <w:pPr>
              <w:spacing w:after="0"/>
              <w:rPr>
                <w:sz w:val="14"/>
                <w:szCs w:val="14"/>
                <w:color w:val="auto"/>
              </w:rPr>
            </w:pPr>
          </w:p>
        </w:tc>
        <w:tc>
          <w:tcPr>
            <w:tcW w:w="760" w:type="dxa"/>
            <w:vAlign w:val="bottom"/>
            <w:tcBorders>
              <w:bottom w:val="single" w:sz="8" w:color="auto"/>
            </w:tcBorders>
          </w:tcPr>
          <w:p>
            <w:pPr>
              <w:jc w:val="right"/>
              <w:ind w:right="3"/>
              <w:spacing w:after="0"/>
              <w:rPr>
                <w:sz w:val="20"/>
                <w:szCs w:val="20"/>
                <w:color w:val="auto"/>
              </w:rPr>
            </w:pPr>
            <w:r>
              <w:rPr>
                <w:rFonts w:ascii="Times New Roman" w:cs="Times New Roman" w:eastAsia="Times New Roman" w:hAnsi="Times New Roman"/>
                <w:sz w:val="13"/>
                <w:szCs w:val="13"/>
                <w:b w:val="1"/>
                <w:bCs w:val="1"/>
                <w:color w:val="auto"/>
              </w:rPr>
              <w:t>2025</w:t>
            </w:r>
          </w:p>
        </w:tc>
        <w:tc>
          <w:tcPr>
            <w:tcW w:w="340" w:type="dxa"/>
            <w:vAlign w:val="bottom"/>
            <w:tcBorders>
              <w:bottom w:val="single" w:sz="8" w:color="auto"/>
            </w:tcBorders>
          </w:tcPr>
          <w:p>
            <w:pPr>
              <w:spacing w:after="0"/>
              <w:rPr>
                <w:sz w:val="14"/>
                <w:szCs w:val="14"/>
                <w:color w:val="auto"/>
              </w:rPr>
            </w:pPr>
          </w:p>
        </w:tc>
        <w:tc>
          <w:tcPr>
            <w:tcW w:w="60" w:type="dxa"/>
            <w:vAlign w:val="bottom"/>
            <w:tcBorders>
              <w:bottom w:val="single" w:sz="8" w:color="auto"/>
            </w:tcBorders>
          </w:tcPr>
          <w:p>
            <w:pPr>
              <w:spacing w:after="0"/>
              <w:rPr>
                <w:sz w:val="14"/>
                <w:szCs w:val="14"/>
                <w:color w:val="auto"/>
              </w:rPr>
            </w:pPr>
          </w:p>
        </w:tc>
        <w:tc>
          <w:tcPr>
            <w:tcW w:w="100" w:type="dxa"/>
            <w:vAlign w:val="bottom"/>
            <w:tcBorders>
              <w:bottom w:val="single" w:sz="8" w:color="CCEEFF"/>
            </w:tcBorders>
          </w:tcPr>
          <w:p>
            <w:pPr>
              <w:spacing w:after="0"/>
              <w:rPr>
                <w:sz w:val="14"/>
                <w:szCs w:val="14"/>
                <w:color w:val="auto"/>
              </w:rPr>
            </w:pPr>
          </w:p>
        </w:tc>
        <w:tc>
          <w:tcPr>
            <w:tcW w:w="260" w:type="dxa"/>
            <w:vAlign w:val="bottom"/>
            <w:tcBorders>
              <w:bottom w:val="single" w:sz="8" w:color="auto"/>
            </w:tcBorders>
          </w:tcPr>
          <w:p>
            <w:pPr>
              <w:spacing w:after="0"/>
              <w:rPr>
                <w:sz w:val="14"/>
                <w:szCs w:val="14"/>
                <w:color w:val="auto"/>
              </w:rPr>
            </w:pPr>
          </w:p>
        </w:tc>
        <w:tc>
          <w:tcPr>
            <w:tcW w:w="900" w:type="dxa"/>
            <w:vAlign w:val="bottom"/>
            <w:tcBorders>
              <w:bottom w:val="single" w:sz="8" w:color="auto"/>
            </w:tcBorders>
          </w:tcPr>
          <w:p>
            <w:pPr>
              <w:jc w:val="right"/>
              <w:ind w:right="396"/>
              <w:spacing w:after="0"/>
              <w:rPr>
                <w:sz w:val="20"/>
                <w:szCs w:val="20"/>
                <w:color w:val="auto"/>
              </w:rPr>
            </w:pPr>
            <w:r>
              <w:rPr>
                <w:rFonts w:ascii="Times New Roman" w:cs="Times New Roman" w:eastAsia="Times New Roman" w:hAnsi="Times New Roman"/>
                <w:sz w:val="13"/>
                <w:szCs w:val="13"/>
                <w:b w:val="1"/>
                <w:bCs w:val="1"/>
                <w:color w:val="auto"/>
              </w:rPr>
              <w:t>2024</w:t>
            </w:r>
          </w:p>
        </w:tc>
        <w:tc>
          <w:tcPr>
            <w:tcW w:w="100" w:type="dxa"/>
            <w:vAlign w:val="bottom"/>
            <w:tcBorders>
              <w:bottom w:val="single" w:sz="8" w:color="CCEEFF"/>
            </w:tcBorders>
          </w:tcPr>
          <w:p>
            <w:pPr>
              <w:spacing w:after="0"/>
              <w:rPr>
                <w:sz w:val="14"/>
                <w:szCs w:val="14"/>
                <w:color w:val="auto"/>
              </w:rPr>
            </w:pPr>
          </w:p>
        </w:tc>
        <w:tc>
          <w:tcPr>
            <w:tcW w:w="260" w:type="dxa"/>
            <w:vAlign w:val="bottom"/>
            <w:tcBorders>
              <w:bottom w:val="single" w:sz="8" w:color="auto"/>
            </w:tcBorders>
          </w:tcPr>
          <w:p>
            <w:pPr>
              <w:spacing w:after="0"/>
              <w:rPr>
                <w:sz w:val="14"/>
                <w:szCs w:val="14"/>
                <w:color w:val="auto"/>
              </w:rPr>
            </w:pPr>
          </w:p>
        </w:tc>
        <w:tc>
          <w:tcPr>
            <w:tcW w:w="900" w:type="dxa"/>
            <w:vAlign w:val="bottom"/>
            <w:tcBorders>
              <w:bottom w:val="single" w:sz="8" w:color="auto"/>
            </w:tcBorders>
          </w:tcPr>
          <w:p>
            <w:pPr>
              <w:jc w:val="right"/>
              <w:ind w:right="396"/>
              <w:spacing w:after="0"/>
              <w:rPr>
                <w:sz w:val="20"/>
                <w:szCs w:val="20"/>
                <w:color w:val="auto"/>
              </w:rPr>
            </w:pPr>
            <w:r>
              <w:rPr>
                <w:rFonts w:ascii="Times New Roman" w:cs="Times New Roman" w:eastAsia="Times New Roman" w:hAnsi="Times New Roman"/>
                <w:sz w:val="13"/>
                <w:szCs w:val="13"/>
                <w:b w:val="1"/>
                <w:bCs w:val="1"/>
                <w:color w:val="auto"/>
              </w:rPr>
              <w:t>2023</w:t>
            </w:r>
          </w:p>
        </w:tc>
      </w:tr>
      <w:tr>
        <w:trPr>
          <w:trHeight w:val="162"/>
        </w:trPr>
        <w:tc>
          <w:tcPr>
            <w:tcW w:w="760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3"/>
                <w:szCs w:val="13"/>
                <w:color w:val="auto"/>
              </w:rPr>
              <w:t>Operating cash flows from operating leases</w:t>
            </w:r>
          </w:p>
        </w:tc>
        <w:tc>
          <w:tcPr>
            <w:tcW w:w="760" w:type="dxa"/>
            <w:vAlign w:val="bottom"/>
            <w:shd w:val="clear" w:color="auto" w:fill="CCEEFF"/>
          </w:tcPr>
          <w:p>
            <w:pPr>
              <w:jc w:val="right"/>
              <w:ind w:right="643"/>
              <w:spacing w:after="0"/>
              <w:rPr>
                <w:sz w:val="20"/>
                <w:szCs w:val="20"/>
                <w:color w:val="auto"/>
              </w:rPr>
            </w:pPr>
            <w:r>
              <w:rPr>
                <w:rFonts w:ascii="Times New Roman" w:cs="Times New Roman" w:eastAsia="Times New Roman" w:hAnsi="Times New Roman"/>
                <w:sz w:val="11"/>
                <w:szCs w:val="11"/>
                <w:color w:val="auto"/>
                <w:w w:val="71"/>
              </w:rPr>
              <w:t>$</w:t>
            </w:r>
          </w:p>
        </w:tc>
        <w:tc>
          <w:tcPr>
            <w:tcW w:w="3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1,751</w:t>
            </w:r>
          </w:p>
        </w:tc>
        <w:tc>
          <w:tcPr>
            <w:tcW w:w="6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260" w:type="dxa"/>
            <w:vAlign w:val="bottom"/>
            <w:shd w:val="clear" w:color="auto" w:fill="CCEEFF"/>
          </w:tcPr>
          <w:p>
            <w:pPr>
              <w:jc w:val="right"/>
              <w:ind w:right="116"/>
              <w:spacing w:after="0"/>
              <w:rPr>
                <w:sz w:val="20"/>
                <w:szCs w:val="20"/>
                <w:color w:val="auto"/>
              </w:rPr>
            </w:pPr>
            <w:r>
              <w:rPr>
                <w:rFonts w:ascii="Times New Roman" w:cs="Times New Roman" w:eastAsia="Times New Roman" w:hAnsi="Times New Roman"/>
                <w:sz w:val="13"/>
                <w:szCs w:val="13"/>
                <w:color w:val="auto"/>
                <w:w w:val="91"/>
              </w:rPr>
              <w:t>$</w:t>
            </w:r>
          </w:p>
        </w:tc>
        <w:tc>
          <w:tcPr>
            <w:tcW w:w="9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1,780</w:t>
            </w:r>
          </w:p>
        </w:tc>
        <w:tc>
          <w:tcPr>
            <w:tcW w:w="100" w:type="dxa"/>
            <w:vAlign w:val="bottom"/>
            <w:shd w:val="clear" w:color="auto" w:fill="CCEEFF"/>
          </w:tcPr>
          <w:p>
            <w:pPr>
              <w:spacing w:after="0"/>
              <w:rPr>
                <w:sz w:val="14"/>
                <w:szCs w:val="14"/>
                <w:color w:val="auto"/>
              </w:rPr>
            </w:pPr>
          </w:p>
        </w:tc>
        <w:tc>
          <w:tcPr>
            <w:tcW w:w="260" w:type="dxa"/>
            <w:vAlign w:val="bottom"/>
            <w:shd w:val="clear" w:color="auto" w:fill="CCEEFF"/>
          </w:tcPr>
          <w:p>
            <w:pPr>
              <w:jc w:val="right"/>
              <w:ind w:right="116"/>
              <w:spacing w:after="0"/>
              <w:rPr>
                <w:sz w:val="20"/>
                <w:szCs w:val="20"/>
                <w:color w:val="auto"/>
              </w:rPr>
            </w:pPr>
            <w:r>
              <w:rPr>
                <w:rFonts w:ascii="Times New Roman" w:cs="Times New Roman" w:eastAsia="Times New Roman" w:hAnsi="Times New Roman"/>
                <w:sz w:val="13"/>
                <w:szCs w:val="13"/>
                <w:color w:val="auto"/>
                <w:w w:val="91"/>
              </w:rPr>
              <w:t>$</w:t>
            </w:r>
          </w:p>
        </w:tc>
        <w:tc>
          <w:tcPr>
            <w:tcW w:w="9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1,774</w:t>
            </w:r>
          </w:p>
        </w:tc>
      </w:tr>
      <w:tr>
        <w:trPr>
          <w:trHeight w:val="165"/>
        </w:trPr>
        <w:tc>
          <w:tcPr>
            <w:tcW w:w="7600" w:type="dxa"/>
            <w:vAlign w:val="bottom"/>
          </w:tcPr>
          <w:p>
            <w:pPr>
              <w:ind w:left="20"/>
              <w:spacing w:after="0"/>
              <w:rPr>
                <w:sz w:val="20"/>
                <w:szCs w:val="20"/>
                <w:color w:val="auto"/>
              </w:rPr>
            </w:pPr>
            <w:r>
              <w:rPr>
                <w:rFonts w:ascii="Times New Roman" w:cs="Times New Roman" w:eastAsia="Times New Roman" w:hAnsi="Times New Roman"/>
                <w:sz w:val="13"/>
                <w:szCs w:val="13"/>
                <w:color w:val="auto"/>
              </w:rPr>
              <w:t>Right-of-use assets obtained in exchange for lease obligations</w:t>
            </w:r>
          </w:p>
        </w:tc>
        <w:tc>
          <w:tcPr>
            <w:tcW w:w="760" w:type="dxa"/>
            <w:vAlign w:val="bottom"/>
          </w:tcPr>
          <w:p>
            <w:pPr>
              <w:jc w:val="right"/>
              <w:ind w:right="643"/>
              <w:spacing w:after="0"/>
              <w:rPr>
                <w:sz w:val="20"/>
                <w:szCs w:val="20"/>
                <w:color w:val="auto"/>
              </w:rPr>
            </w:pPr>
            <w:r>
              <w:rPr>
                <w:rFonts w:ascii="Times New Roman" w:cs="Times New Roman" w:eastAsia="Times New Roman" w:hAnsi="Times New Roman"/>
                <w:sz w:val="11"/>
                <w:szCs w:val="11"/>
                <w:color w:val="auto"/>
                <w:w w:val="71"/>
              </w:rPr>
              <w:t>$</w:t>
            </w:r>
          </w:p>
        </w:tc>
        <w:tc>
          <w:tcPr>
            <w:tcW w:w="34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8,133</w:t>
            </w:r>
          </w:p>
        </w:tc>
        <w:tc>
          <w:tcPr>
            <w:tcW w:w="420" w:type="dxa"/>
            <w:vAlign w:val="bottom"/>
            <w:gridSpan w:val="3"/>
          </w:tcPr>
          <w:p>
            <w:pPr>
              <w:jc w:val="right"/>
              <w:ind w:right="116"/>
              <w:spacing w:after="0"/>
              <w:rPr>
                <w:sz w:val="20"/>
                <w:szCs w:val="20"/>
                <w:color w:val="auto"/>
              </w:rPr>
            </w:pPr>
            <w:r>
              <w:rPr>
                <w:rFonts w:ascii="Times New Roman" w:cs="Times New Roman" w:eastAsia="Times New Roman" w:hAnsi="Times New Roman"/>
                <w:sz w:val="13"/>
                <w:szCs w:val="13"/>
                <w:color w:val="auto"/>
              </w:rPr>
              <w:t>$</w:t>
            </w:r>
          </w:p>
        </w:tc>
        <w:tc>
          <w:tcPr>
            <w:tcW w:w="1000" w:type="dxa"/>
            <w:vAlign w:val="bottom"/>
            <w:gridSpan w:val="2"/>
          </w:tcPr>
          <w:p>
            <w:pPr>
              <w:jc w:val="right"/>
              <w:ind w:right="160"/>
              <w:spacing w:after="0"/>
              <w:rPr>
                <w:sz w:val="20"/>
                <w:szCs w:val="20"/>
                <w:color w:val="auto"/>
              </w:rPr>
            </w:pPr>
            <w:r>
              <w:rPr>
                <w:rFonts w:ascii="Times New Roman" w:cs="Times New Roman" w:eastAsia="Times New Roman" w:hAnsi="Times New Roman"/>
                <w:sz w:val="13"/>
                <w:szCs w:val="13"/>
                <w:color w:val="auto"/>
              </w:rPr>
              <w:t>—</w:t>
            </w:r>
          </w:p>
        </w:tc>
        <w:tc>
          <w:tcPr>
            <w:tcW w:w="260" w:type="dxa"/>
            <w:vAlign w:val="bottom"/>
          </w:tcPr>
          <w:p>
            <w:pPr>
              <w:jc w:val="right"/>
              <w:ind w:right="116"/>
              <w:spacing w:after="0"/>
              <w:rPr>
                <w:sz w:val="20"/>
                <w:szCs w:val="20"/>
                <w:color w:val="auto"/>
              </w:rPr>
            </w:pPr>
            <w:r>
              <w:rPr>
                <w:rFonts w:ascii="Times New Roman" w:cs="Times New Roman" w:eastAsia="Times New Roman" w:hAnsi="Times New Roman"/>
                <w:sz w:val="13"/>
                <w:szCs w:val="13"/>
                <w:color w:val="auto"/>
                <w:w w:val="91"/>
              </w:rPr>
              <w:t>$</w:t>
            </w:r>
          </w:p>
        </w:tc>
        <w:tc>
          <w:tcPr>
            <w:tcW w:w="90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173</w:t>
            </w:r>
          </w:p>
        </w:tc>
      </w:tr>
    </w:tbl>
    <w:p>
      <w:pPr>
        <w:spacing w:after="0" w:line="149" w:lineRule="exact"/>
        <w:rPr>
          <w:sz w:val="20"/>
          <w:szCs w:val="20"/>
          <w:color w:val="auto"/>
        </w:rPr>
      </w:pPr>
    </w:p>
    <w:p>
      <w:pPr>
        <w:ind w:right="640" w:firstLine="382"/>
        <w:spacing w:after="0" w:line="287" w:lineRule="auto"/>
        <w:rPr>
          <w:sz w:val="20"/>
          <w:szCs w:val="20"/>
          <w:color w:val="auto"/>
        </w:rPr>
      </w:pPr>
      <w:r>
        <w:rPr>
          <w:rFonts w:ascii="Times New Roman" w:cs="Times New Roman" w:eastAsia="Times New Roman" w:hAnsi="Times New Roman"/>
          <w:sz w:val="14"/>
          <w:szCs w:val="14"/>
          <w:color w:val="auto"/>
        </w:rPr>
        <w:t>Operating lease costs are included in "General and administrative" expense on our Consolidated Statements of Operations. We lease our offices under non-cancelable operating lease agreements with expiration dates that run through 2036.</w:t>
      </w:r>
    </w:p>
    <w:p>
      <w:pPr>
        <w:spacing w:after="0" w:line="39" w:lineRule="exact"/>
        <w:rPr>
          <w:sz w:val="20"/>
          <w:szCs w:val="20"/>
          <w:color w:val="auto"/>
        </w:rPr>
      </w:pPr>
    </w:p>
    <w:p>
      <w:pPr>
        <w:ind w:left="380"/>
        <w:spacing w:after="0"/>
        <w:rPr>
          <w:sz w:val="20"/>
          <w:szCs w:val="20"/>
          <w:color w:val="auto"/>
        </w:rPr>
      </w:pPr>
      <w:r>
        <w:rPr>
          <w:rFonts w:ascii="Times New Roman" w:cs="Times New Roman" w:eastAsia="Times New Roman" w:hAnsi="Times New Roman"/>
          <w:sz w:val="14"/>
          <w:szCs w:val="14"/>
          <w:color w:val="auto"/>
        </w:rPr>
        <w:t>The following table presents information regarding our operating leases (in thousands, except years and rates):</w:t>
      </w:r>
    </w:p>
    <w:p>
      <w:pPr>
        <w:spacing w:after="0" w:line="43" w:lineRule="exact"/>
        <w:rPr>
          <w:sz w:val="20"/>
          <w:szCs w:val="20"/>
          <w:color w:val="auto"/>
        </w:rPr>
      </w:pPr>
    </w:p>
    <w:tbl>
      <w:tblPr>
        <w:tblLayout w:type="fixed"/>
        <w:tblInd w:w="0" w:type="dxa"/>
        <w:tblCellMar>
          <w:top w:w="0" w:type="dxa"/>
          <w:left w:w="0" w:type="dxa"/>
          <w:bottom w:w="0" w:type="dxa"/>
          <w:right w:w="0" w:type="dxa"/>
        </w:tblCellMar>
      </w:tblPr>
      <w:tr>
        <w:trPr>
          <w:trHeight w:val="170"/>
        </w:trPr>
        <w:tc>
          <w:tcPr>
            <w:tcW w:w="8660" w:type="dxa"/>
            <w:vAlign w:val="bottom"/>
          </w:tcPr>
          <w:p>
            <w:pPr>
              <w:spacing w:after="0"/>
              <w:rPr>
                <w:sz w:val="14"/>
                <w:szCs w:val="14"/>
                <w:color w:val="auto"/>
              </w:rPr>
            </w:pPr>
          </w:p>
        </w:tc>
        <w:tc>
          <w:tcPr>
            <w:tcW w:w="300" w:type="dxa"/>
            <w:vAlign w:val="bottom"/>
            <w:tcBorders>
              <w:bottom w:val="single" w:sz="8" w:color="auto"/>
            </w:tcBorders>
          </w:tcPr>
          <w:p>
            <w:pPr>
              <w:spacing w:after="0"/>
              <w:rPr>
                <w:sz w:val="14"/>
                <w:szCs w:val="14"/>
                <w:color w:val="auto"/>
              </w:rPr>
            </w:pPr>
          </w:p>
        </w:tc>
        <w:tc>
          <w:tcPr>
            <w:tcW w:w="1480" w:type="dxa"/>
            <w:vAlign w:val="bottom"/>
            <w:tcBorders>
              <w:bottom w:val="single" w:sz="8" w:color="auto"/>
            </w:tcBorders>
            <w:gridSpan w:val="3"/>
          </w:tcPr>
          <w:p>
            <w:pPr>
              <w:jc w:val="right"/>
              <w:ind w:right="36"/>
              <w:spacing w:after="0"/>
              <w:rPr>
                <w:sz w:val="20"/>
                <w:szCs w:val="20"/>
                <w:color w:val="auto"/>
              </w:rPr>
            </w:pPr>
            <w:r>
              <w:rPr>
                <w:rFonts w:ascii="Times New Roman" w:cs="Times New Roman" w:eastAsia="Times New Roman" w:hAnsi="Times New Roman"/>
                <w:sz w:val="13"/>
                <w:szCs w:val="13"/>
                <w:b w:val="1"/>
                <w:bCs w:val="1"/>
                <w:color w:val="auto"/>
              </w:rPr>
              <w:t>December 31,</w:t>
            </w:r>
          </w:p>
        </w:tc>
        <w:tc>
          <w:tcPr>
            <w:tcW w:w="840" w:type="dxa"/>
            <w:vAlign w:val="bottom"/>
            <w:tcBorders>
              <w:bottom w:val="single" w:sz="8" w:color="auto"/>
            </w:tcBorders>
          </w:tcPr>
          <w:p>
            <w:pPr>
              <w:spacing w:after="0"/>
              <w:rPr>
                <w:sz w:val="14"/>
                <w:szCs w:val="14"/>
                <w:color w:val="auto"/>
              </w:rPr>
            </w:pPr>
          </w:p>
        </w:tc>
      </w:tr>
      <w:tr>
        <w:trPr>
          <w:trHeight w:val="161"/>
        </w:trPr>
        <w:tc>
          <w:tcPr>
            <w:tcW w:w="8660" w:type="dxa"/>
            <w:vAlign w:val="bottom"/>
            <w:tcBorders>
              <w:bottom w:val="single" w:sz="8" w:color="CCEEFF"/>
            </w:tcBorders>
          </w:tcPr>
          <w:p>
            <w:pPr>
              <w:spacing w:after="0"/>
              <w:rPr>
                <w:sz w:val="14"/>
                <w:szCs w:val="14"/>
                <w:color w:val="auto"/>
              </w:rPr>
            </w:pPr>
          </w:p>
        </w:tc>
        <w:tc>
          <w:tcPr>
            <w:tcW w:w="300" w:type="dxa"/>
            <w:vAlign w:val="bottom"/>
            <w:tcBorders>
              <w:bottom w:val="single" w:sz="8" w:color="auto"/>
            </w:tcBorders>
          </w:tcPr>
          <w:p>
            <w:pPr>
              <w:spacing w:after="0"/>
              <w:rPr>
                <w:sz w:val="14"/>
                <w:szCs w:val="14"/>
                <w:color w:val="auto"/>
              </w:rPr>
            </w:pPr>
          </w:p>
        </w:tc>
        <w:tc>
          <w:tcPr>
            <w:tcW w:w="960" w:type="dxa"/>
            <w:vAlign w:val="bottom"/>
            <w:tcBorders>
              <w:bottom w:val="single" w:sz="8" w:color="auto"/>
            </w:tcBorders>
          </w:tcPr>
          <w:p>
            <w:pPr>
              <w:jc w:val="right"/>
              <w:ind w:right="436"/>
              <w:spacing w:after="0"/>
              <w:rPr>
                <w:sz w:val="20"/>
                <w:szCs w:val="20"/>
                <w:color w:val="auto"/>
              </w:rPr>
            </w:pPr>
            <w:r>
              <w:rPr>
                <w:rFonts w:ascii="Times New Roman" w:cs="Times New Roman" w:eastAsia="Times New Roman" w:hAnsi="Times New Roman"/>
                <w:sz w:val="13"/>
                <w:szCs w:val="13"/>
                <w:b w:val="1"/>
                <w:bCs w:val="1"/>
                <w:color w:val="auto"/>
              </w:rPr>
              <w:t>2025</w:t>
            </w:r>
          </w:p>
        </w:tc>
        <w:tc>
          <w:tcPr>
            <w:tcW w:w="100" w:type="dxa"/>
            <w:vAlign w:val="bottom"/>
            <w:tcBorders>
              <w:bottom w:val="single" w:sz="8" w:color="CCEEFF"/>
            </w:tcBorders>
          </w:tcPr>
          <w:p>
            <w:pPr>
              <w:spacing w:after="0"/>
              <w:rPr>
                <w:sz w:val="14"/>
                <w:szCs w:val="14"/>
                <w:color w:val="auto"/>
              </w:rPr>
            </w:pPr>
          </w:p>
        </w:tc>
        <w:tc>
          <w:tcPr>
            <w:tcW w:w="420" w:type="dxa"/>
            <w:vAlign w:val="bottom"/>
            <w:tcBorders>
              <w:bottom w:val="single" w:sz="8" w:color="auto"/>
            </w:tcBorders>
          </w:tcPr>
          <w:p>
            <w:pPr>
              <w:spacing w:after="0"/>
              <w:rPr>
                <w:sz w:val="14"/>
                <w:szCs w:val="14"/>
                <w:color w:val="auto"/>
              </w:rPr>
            </w:pPr>
          </w:p>
        </w:tc>
        <w:tc>
          <w:tcPr>
            <w:tcW w:w="840" w:type="dxa"/>
            <w:vAlign w:val="bottom"/>
            <w:tcBorders>
              <w:bottom w:val="single" w:sz="8" w:color="auto"/>
            </w:tcBorders>
          </w:tcPr>
          <w:p>
            <w:pPr>
              <w:jc w:val="right"/>
              <w:ind w:right="436"/>
              <w:spacing w:after="0"/>
              <w:rPr>
                <w:sz w:val="20"/>
                <w:szCs w:val="20"/>
                <w:color w:val="auto"/>
              </w:rPr>
            </w:pPr>
            <w:r>
              <w:rPr>
                <w:rFonts w:ascii="Times New Roman" w:cs="Times New Roman" w:eastAsia="Times New Roman" w:hAnsi="Times New Roman"/>
                <w:sz w:val="13"/>
                <w:szCs w:val="13"/>
                <w:b w:val="1"/>
                <w:bCs w:val="1"/>
                <w:color w:val="auto"/>
              </w:rPr>
              <w:t>2024</w:t>
            </w:r>
          </w:p>
        </w:tc>
      </w:tr>
      <w:tr>
        <w:trPr>
          <w:trHeight w:val="162"/>
        </w:trPr>
        <w:tc>
          <w:tcPr>
            <w:tcW w:w="866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3"/>
                <w:szCs w:val="13"/>
                <w:color w:val="auto"/>
              </w:rPr>
              <w:t>Operating lease right-of-use assets</w:t>
            </w:r>
          </w:p>
        </w:tc>
        <w:tc>
          <w:tcPr>
            <w:tcW w:w="300" w:type="dxa"/>
            <w:vAlign w:val="bottom"/>
            <w:shd w:val="clear" w:color="auto" w:fill="CCEEFF"/>
          </w:tcPr>
          <w:p>
            <w:pPr>
              <w:jc w:val="right"/>
              <w:ind w:right="156"/>
              <w:spacing w:after="0"/>
              <w:rPr>
                <w:sz w:val="20"/>
                <w:szCs w:val="20"/>
                <w:color w:val="auto"/>
              </w:rPr>
            </w:pPr>
            <w:r>
              <w:rPr>
                <w:rFonts w:ascii="Times New Roman" w:cs="Times New Roman" w:eastAsia="Times New Roman" w:hAnsi="Times New Roman"/>
                <w:sz w:val="13"/>
                <w:szCs w:val="13"/>
                <w:color w:val="auto"/>
                <w:w w:val="91"/>
              </w:rPr>
              <w:t>$</w:t>
            </w:r>
          </w:p>
        </w:tc>
        <w:tc>
          <w:tcPr>
            <w:tcW w:w="960" w:type="dxa"/>
            <w:vAlign w:val="bottom"/>
            <w:shd w:val="clear" w:color="auto" w:fill="CCEEFF"/>
          </w:tcPr>
          <w:p>
            <w:pPr>
              <w:jc w:val="right"/>
              <w:ind w:right="96"/>
              <w:spacing w:after="0"/>
              <w:rPr>
                <w:sz w:val="20"/>
                <w:szCs w:val="20"/>
                <w:color w:val="auto"/>
              </w:rPr>
            </w:pPr>
            <w:r>
              <w:rPr>
                <w:rFonts w:ascii="Times New Roman" w:cs="Times New Roman" w:eastAsia="Times New Roman" w:hAnsi="Times New Roman"/>
                <w:sz w:val="13"/>
                <w:szCs w:val="13"/>
                <w:color w:val="auto"/>
              </w:rPr>
              <w:t>9,676</w:t>
            </w:r>
          </w:p>
        </w:tc>
        <w:tc>
          <w:tcPr>
            <w:tcW w:w="100" w:type="dxa"/>
            <w:vAlign w:val="bottom"/>
            <w:shd w:val="clear" w:color="auto" w:fill="CCEEFF"/>
          </w:tcPr>
          <w:p>
            <w:pPr>
              <w:spacing w:after="0"/>
              <w:rPr>
                <w:sz w:val="14"/>
                <w:szCs w:val="14"/>
                <w:color w:val="auto"/>
              </w:rPr>
            </w:pPr>
          </w:p>
        </w:tc>
        <w:tc>
          <w:tcPr>
            <w:tcW w:w="420" w:type="dxa"/>
            <w:vAlign w:val="bottom"/>
            <w:shd w:val="clear" w:color="auto" w:fill="CCEEFF"/>
          </w:tcPr>
          <w:p>
            <w:pPr>
              <w:jc w:val="right"/>
              <w:ind w:right="276"/>
              <w:spacing w:after="0"/>
              <w:rPr>
                <w:sz w:val="20"/>
                <w:szCs w:val="20"/>
                <w:color w:val="auto"/>
              </w:rPr>
            </w:pPr>
            <w:r>
              <w:rPr>
                <w:rFonts w:ascii="Times New Roman" w:cs="Times New Roman" w:eastAsia="Times New Roman" w:hAnsi="Times New Roman"/>
                <w:sz w:val="13"/>
                <w:szCs w:val="13"/>
                <w:color w:val="auto"/>
                <w:w w:val="91"/>
              </w:rPr>
              <w:t>$</w:t>
            </w:r>
          </w:p>
        </w:tc>
        <w:tc>
          <w:tcPr>
            <w:tcW w:w="840" w:type="dxa"/>
            <w:vAlign w:val="bottom"/>
            <w:shd w:val="clear" w:color="auto" w:fill="CCEEFF"/>
          </w:tcPr>
          <w:p>
            <w:pPr>
              <w:jc w:val="right"/>
              <w:ind w:right="96"/>
              <w:spacing w:after="0"/>
              <w:rPr>
                <w:sz w:val="20"/>
                <w:szCs w:val="20"/>
                <w:color w:val="auto"/>
              </w:rPr>
            </w:pPr>
            <w:r>
              <w:rPr>
                <w:rFonts w:ascii="Times New Roman" w:cs="Times New Roman" w:eastAsia="Times New Roman" w:hAnsi="Times New Roman"/>
                <w:sz w:val="13"/>
                <w:szCs w:val="13"/>
                <w:color w:val="auto"/>
              </w:rPr>
              <w:t>2,559</w:t>
            </w:r>
          </w:p>
        </w:tc>
      </w:tr>
      <w:tr>
        <w:trPr>
          <w:trHeight w:val="168"/>
        </w:trPr>
        <w:tc>
          <w:tcPr>
            <w:tcW w:w="8660" w:type="dxa"/>
            <w:vAlign w:val="bottom"/>
          </w:tcPr>
          <w:p>
            <w:pPr>
              <w:ind w:left="20"/>
              <w:spacing w:after="0"/>
              <w:rPr>
                <w:sz w:val="20"/>
                <w:szCs w:val="20"/>
                <w:color w:val="auto"/>
              </w:rPr>
            </w:pPr>
            <w:r>
              <w:rPr>
                <w:rFonts w:ascii="Times New Roman" w:cs="Times New Roman" w:eastAsia="Times New Roman" w:hAnsi="Times New Roman"/>
                <w:sz w:val="13"/>
                <w:szCs w:val="13"/>
                <w:color w:val="auto"/>
              </w:rPr>
              <w:t>Operating lease liabilities</w:t>
            </w:r>
          </w:p>
        </w:tc>
        <w:tc>
          <w:tcPr>
            <w:tcW w:w="300" w:type="dxa"/>
            <w:vAlign w:val="bottom"/>
          </w:tcPr>
          <w:p>
            <w:pPr>
              <w:jc w:val="right"/>
              <w:ind w:right="156"/>
              <w:spacing w:after="0"/>
              <w:rPr>
                <w:sz w:val="20"/>
                <w:szCs w:val="20"/>
                <w:color w:val="auto"/>
              </w:rPr>
            </w:pPr>
            <w:r>
              <w:rPr>
                <w:rFonts w:ascii="Times New Roman" w:cs="Times New Roman" w:eastAsia="Times New Roman" w:hAnsi="Times New Roman"/>
                <w:sz w:val="13"/>
                <w:szCs w:val="13"/>
                <w:color w:val="auto"/>
                <w:w w:val="91"/>
              </w:rPr>
              <w:t>$</w:t>
            </w:r>
          </w:p>
        </w:tc>
        <w:tc>
          <w:tcPr>
            <w:tcW w:w="960" w:type="dxa"/>
            <w:vAlign w:val="bottom"/>
          </w:tcPr>
          <w:p>
            <w:pPr>
              <w:jc w:val="right"/>
              <w:ind w:right="96"/>
              <w:spacing w:after="0"/>
              <w:rPr>
                <w:sz w:val="20"/>
                <w:szCs w:val="20"/>
                <w:color w:val="auto"/>
              </w:rPr>
            </w:pPr>
            <w:r>
              <w:rPr>
                <w:rFonts w:ascii="Times New Roman" w:cs="Times New Roman" w:eastAsia="Times New Roman" w:hAnsi="Times New Roman"/>
                <w:sz w:val="13"/>
                <w:szCs w:val="13"/>
                <w:color w:val="auto"/>
              </w:rPr>
              <w:t>10,171</w:t>
            </w:r>
          </w:p>
        </w:tc>
        <w:tc>
          <w:tcPr>
            <w:tcW w:w="100" w:type="dxa"/>
            <w:vAlign w:val="bottom"/>
          </w:tcPr>
          <w:p>
            <w:pPr>
              <w:spacing w:after="0"/>
              <w:rPr>
                <w:sz w:val="14"/>
                <w:szCs w:val="14"/>
                <w:color w:val="auto"/>
              </w:rPr>
            </w:pPr>
          </w:p>
        </w:tc>
        <w:tc>
          <w:tcPr>
            <w:tcW w:w="420" w:type="dxa"/>
            <w:vAlign w:val="bottom"/>
          </w:tcPr>
          <w:p>
            <w:pPr>
              <w:jc w:val="right"/>
              <w:ind w:right="276"/>
              <w:spacing w:after="0"/>
              <w:rPr>
                <w:sz w:val="20"/>
                <w:szCs w:val="20"/>
                <w:color w:val="auto"/>
              </w:rPr>
            </w:pPr>
            <w:r>
              <w:rPr>
                <w:rFonts w:ascii="Times New Roman" w:cs="Times New Roman" w:eastAsia="Times New Roman" w:hAnsi="Times New Roman"/>
                <w:sz w:val="13"/>
                <w:szCs w:val="13"/>
                <w:color w:val="auto"/>
                <w:w w:val="91"/>
              </w:rPr>
              <w:t>$</w:t>
            </w:r>
          </w:p>
        </w:tc>
        <w:tc>
          <w:tcPr>
            <w:tcW w:w="840" w:type="dxa"/>
            <w:vAlign w:val="bottom"/>
          </w:tcPr>
          <w:p>
            <w:pPr>
              <w:jc w:val="right"/>
              <w:ind w:right="96"/>
              <w:spacing w:after="0"/>
              <w:rPr>
                <w:sz w:val="20"/>
                <w:szCs w:val="20"/>
                <w:color w:val="auto"/>
              </w:rPr>
            </w:pPr>
            <w:r>
              <w:rPr>
                <w:rFonts w:ascii="Times New Roman" w:cs="Times New Roman" w:eastAsia="Times New Roman" w:hAnsi="Times New Roman"/>
                <w:sz w:val="13"/>
                <w:szCs w:val="13"/>
                <w:color w:val="auto"/>
              </w:rPr>
              <w:t>3,197</w:t>
            </w:r>
          </w:p>
        </w:tc>
      </w:tr>
      <w:tr>
        <w:trPr>
          <w:trHeight w:val="172"/>
        </w:trPr>
        <w:tc>
          <w:tcPr>
            <w:tcW w:w="866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3"/>
                <w:szCs w:val="13"/>
                <w:color w:val="auto"/>
              </w:rPr>
              <w:t>Weighted-average remaining lease term (in years)</w:t>
            </w:r>
          </w:p>
        </w:tc>
        <w:tc>
          <w:tcPr>
            <w:tcW w:w="300" w:type="dxa"/>
            <w:vAlign w:val="bottom"/>
            <w:shd w:val="clear" w:color="auto" w:fill="CCEEFF"/>
          </w:tcPr>
          <w:p>
            <w:pPr>
              <w:spacing w:after="0"/>
              <w:rPr>
                <w:sz w:val="14"/>
                <w:szCs w:val="14"/>
                <w:color w:val="auto"/>
              </w:rPr>
            </w:pPr>
          </w:p>
        </w:tc>
        <w:tc>
          <w:tcPr>
            <w:tcW w:w="9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9.9</w:t>
            </w:r>
          </w:p>
        </w:tc>
        <w:tc>
          <w:tcPr>
            <w:tcW w:w="100" w:type="dxa"/>
            <w:vAlign w:val="bottom"/>
            <w:shd w:val="clear" w:color="auto" w:fill="CCEEFF"/>
          </w:tcPr>
          <w:p>
            <w:pPr>
              <w:spacing w:after="0"/>
              <w:rPr>
                <w:sz w:val="14"/>
                <w:szCs w:val="14"/>
                <w:color w:val="auto"/>
              </w:rPr>
            </w:pPr>
          </w:p>
        </w:tc>
        <w:tc>
          <w:tcPr>
            <w:tcW w:w="420" w:type="dxa"/>
            <w:vAlign w:val="bottom"/>
            <w:shd w:val="clear" w:color="auto" w:fill="CCEEFF"/>
          </w:tcPr>
          <w:p>
            <w:pPr>
              <w:spacing w:after="0"/>
              <w:rPr>
                <w:sz w:val="14"/>
                <w:szCs w:val="14"/>
                <w:color w:val="auto"/>
              </w:rPr>
            </w:pPr>
          </w:p>
        </w:tc>
        <w:tc>
          <w:tcPr>
            <w:tcW w:w="8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2.9</w:t>
            </w:r>
          </w:p>
        </w:tc>
      </w:tr>
      <w:tr>
        <w:trPr>
          <w:trHeight w:val="165"/>
        </w:trPr>
        <w:tc>
          <w:tcPr>
            <w:tcW w:w="8660" w:type="dxa"/>
            <w:vAlign w:val="bottom"/>
          </w:tcPr>
          <w:p>
            <w:pPr>
              <w:ind w:left="20"/>
              <w:spacing w:after="0"/>
              <w:rPr>
                <w:sz w:val="20"/>
                <w:szCs w:val="20"/>
                <w:color w:val="auto"/>
              </w:rPr>
            </w:pPr>
            <w:r>
              <w:rPr>
                <w:rFonts w:ascii="Times New Roman" w:cs="Times New Roman" w:eastAsia="Times New Roman" w:hAnsi="Times New Roman"/>
                <w:sz w:val="13"/>
                <w:szCs w:val="13"/>
                <w:color w:val="auto"/>
              </w:rPr>
              <w:t>Weighted-average discount rate</w:t>
            </w:r>
          </w:p>
        </w:tc>
        <w:tc>
          <w:tcPr>
            <w:tcW w:w="300" w:type="dxa"/>
            <w:vAlign w:val="bottom"/>
          </w:tcPr>
          <w:p>
            <w:pPr>
              <w:spacing w:after="0"/>
              <w:rPr>
                <w:sz w:val="14"/>
                <w:szCs w:val="14"/>
                <w:color w:val="auto"/>
              </w:rPr>
            </w:pPr>
          </w:p>
        </w:tc>
        <w:tc>
          <w:tcPr>
            <w:tcW w:w="96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6.8 %</w:t>
            </w:r>
          </w:p>
        </w:tc>
        <w:tc>
          <w:tcPr>
            <w:tcW w:w="100" w:type="dxa"/>
            <w:vAlign w:val="bottom"/>
          </w:tcPr>
          <w:p>
            <w:pPr>
              <w:spacing w:after="0"/>
              <w:rPr>
                <w:sz w:val="14"/>
                <w:szCs w:val="14"/>
                <w:color w:val="auto"/>
              </w:rPr>
            </w:pPr>
          </w:p>
        </w:tc>
        <w:tc>
          <w:tcPr>
            <w:tcW w:w="420" w:type="dxa"/>
            <w:vAlign w:val="bottom"/>
          </w:tcPr>
          <w:p>
            <w:pPr>
              <w:spacing w:after="0"/>
              <w:rPr>
                <w:sz w:val="14"/>
                <w:szCs w:val="14"/>
                <w:color w:val="auto"/>
              </w:rPr>
            </w:pPr>
          </w:p>
        </w:tc>
        <w:tc>
          <w:tcPr>
            <w:tcW w:w="84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6.1 %</w:t>
            </w:r>
          </w:p>
        </w:tc>
      </w:tr>
    </w:tbl>
    <w:p>
      <w:pPr>
        <w:spacing w:after="0" w:line="149" w:lineRule="exact"/>
        <w:rPr>
          <w:sz w:val="20"/>
          <w:szCs w:val="20"/>
          <w:color w:val="auto"/>
        </w:rPr>
      </w:pPr>
    </w:p>
    <w:p>
      <w:pPr>
        <w:ind w:left="380"/>
        <w:spacing w:after="0"/>
        <w:rPr>
          <w:sz w:val="20"/>
          <w:szCs w:val="20"/>
          <w:color w:val="auto"/>
        </w:rPr>
      </w:pPr>
      <w:r>
        <w:rPr>
          <w:rFonts w:ascii="Times New Roman" w:cs="Times New Roman" w:eastAsia="Times New Roman" w:hAnsi="Times New Roman"/>
          <w:sz w:val="14"/>
          <w:szCs w:val="14"/>
          <w:color w:val="auto"/>
        </w:rPr>
        <w:t>The maturities of lease liabilities are as follows (in thousands):</w:t>
      </w:r>
    </w:p>
    <w:p>
      <w:pPr>
        <w:spacing w:after="0" w:line="200" w:lineRule="exact"/>
        <w:rPr>
          <w:sz w:val="20"/>
          <w:szCs w:val="20"/>
          <w:color w:val="auto"/>
        </w:rPr>
      </w:pPr>
    </w:p>
    <w:p>
      <w:pPr>
        <w:spacing w:after="0" w:line="244"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4"/>
          <w:szCs w:val="14"/>
          <w:color w:val="auto"/>
        </w:rPr>
        <w:t>26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-8890</wp:posOffset>
            </wp:positionH>
            <wp:positionV relativeFrom="paragraph">
              <wp:posOffset>55880</wp:posOffset>
            </wp:positionV>
            <wp:extent cx="7186930" cy="38735"/>
            <wp:wrapNone/>
            <wp:docPr id="131" name="Picture 1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1"/>
                    <pic:cNvPicPr>
                      <a:picLocks noChangeAspect="1" noChangeArrowheads="1"/>
                    </pic:cNvPicPr>
                  </pic:nvPicPr>
                  <pic:blipFill>
                    <a:blip r:embed="rId138">
                      <a:extLst>
                        <a:ext uri="{28A0092B-C50C-407E-A947-70E740481C1C}"/>
                      </a:extLst>
                    </a:blip>
                    <a:srcRect/>
                    <a:stretch>
                      <a:fillRect/>
                    </a:stretch>
                  </pic:blipFill>
                  <pic:spPr bwMode="auto">
                    <a:xfrm>
                      <a:off x="0" y="0"/>
                      <a:ext cx="7186930" cy="38735"/>
                    </a:xfrm>
                    <a:prstGeom prst="rect">
                      <a:avLst/>
                    </a:prstGeom>
                    <a:noFill/>
                  </pic:spPr>
                </pic:pic>
              </a:graphicData>
            </a:graphic>
          </wp:anchor>
        </w:drawing>
      </w:r>
    </w:p>
    <w:p>
      <w:pPr>
        <w:sectPr>
          <w:pgSz w:w="11900" w:h="16838" w:orient="portrait"/>
          <w:cols w:equalWidth="0" w:num="1">
            <w:col w:w="11280"/>
          </w:cols>
          <w:pgMar w:left="300" w:top="123" w:right="319" w:bottom="1440" w:gutter="0" w:footer="0" w:header="0"/>
        </w:sectPr>
      </w:pPr>
    </w:p>
    <w:bookmarkStart w:id="68" w:name="page69"/>
    <w:bookmarkEnd w:id="68"/>
    <w:tbl>
      <w:tblPr>
        <w:tblLayout w:type="fixed"/>
        <w:tblInd w:w="0" w:type="dxa"/>
        <w:tblCellMar>
          <w:top w:w="0" w:type="dxa"/>
          <w:left w:w="0" w:type="dxa"/>
          <w:bottom w:w="0" w:type="dxa"/>
          <w:right w:w="0" w:type="dxa"/>
        </w:tblCellMar>
      </w:tblPr>
      <w:tr>
        <w:trPr>
          <w:trHeight w:val="186"/>
        </w:trPr>
        <w:tc>
          <w:tcPr>
            <w:tcW w:w="2600" w:type="dxa"/>
            <w:vAlign w:val="bottom"/>
          </w:tcPr>
          <w:p>
            <w:pPr>
              <w:spacing w:after="0"/>
              <w:rPr>
                <w:sz w:val="16"/>
                <w:szCs w:val="16"/>
                <w:color w:val="auto"/>
              </w:rPr>
            </w:pPr>
          </w:p>
        </w:tc>
        <w:tc>
          <w:tcPr>
            <w:tcW w:w="7160" w:type="dxa"/>
            <w:vAlign w:val="bottom"/>
            <w:gridSpan w:val="2"/>
          </w:tcPr>
          <w:p>
            <w:pPr>
              <w:jc w:val="right"/>
              <w:ind w:right="2776"/>
              <w:spacing w:after="0"/>
              <w:rPr>
                <w:sz w:val="20"/>
                <w:szCs w:val="20"/>
                <w:color w:val="auto"/>
              </w:rPr>
            </w:pPr>
            <w:r>
              <w:rPr>
                <w:rFonts w:ascii="Times New Roman" w:cs="Times New Roman" w:eastAsia="Times New Roman" w:hAnsi="Times New Roman"/>
                <w:sz w:val="14"/>
                <w:szCs w:val="14"/>
                <w:b w:val="1"/>
                <w:bCs w:val="1"/>
                <w:color w:val="auto"/>
              </w:rPr>
              <w:t>WESTWOOD HOLDINGS GROUP, INC.</w:t>
            </w:r>
          </w:p>
        </w:tc>
        <w:tc>
          <w:tcPr>
            <w:tcW w:w="1520" w:type="dxa"/>
            <w:vAlign w:val="bottom"/>
          </w:tcPr>
          <w:p>
            <w:pPr>
              <w:spacing w:after="0"/>
              <w:rPr>
                <w:sz w:val="16"/>
                <w:szCs w:val="16"/>
                <w:color w:val="auto"/>
              </w:rPr>
            </w:pPr>
          </w:p>
        </w:tc>
      </w:tr>
      <w:tr>
        <w:trPr>
          <w:trHeight w:val="212"/>
        </w:trPr>
        <w:tc>
          <w:tcPr>
            <w:tcW w:w="2600" w:type="dxa"/>
            <w:vAlign w:val="bottom"/>
          </w:tcPr>
          <w:p>
            <w:pPr>
              <w:spacing w:after="0"/>
              <w:rPr>
                <w:sz w:val="18"/>
                <w:szCs w:val="18"/>
                <w:color w:val="auto"/>
              </w:rPr>
            </w:pPr>
          </w:p>
        </w:tc>
        <w:tc>
          <w:tcPr>
            <w:tcW w:w="7160" w:type="dxa"/>
            <w:vAlign w:val="bottom"/>
            <w:gridSpan w:val="2"/>
          </w:tcPr>
          <w:p>
            <w:pPr>
              <w:jc w:val="right"/>
              <w:ind w:right="1736"/>
              <w:spacing w:after="0"/>
              <w:rPr>
                <w:sz w:val="20"/>
                <w:szCs w:val="20"/>
                <w:color w:val="auto"/>
              </w:rPr>
            </w:pPr>
            <w:r>
              <w:rPr>
                <w:rFonts w:ascii="Times New Roman" w:cs="Times New Roman" w:eastAsia="Times New Roman" w:hAnsi="Times New Roman"/>
                <w:sz w:val="14"/>
                <w:szCs w:val="14"/>
                <w:b w:val="1"/>
                <w:bCs w:val="1"/>
                <w:color w:val="auto"/>
              </w:rPr>
              <w:t>NOTES TO CONSOLIDATED FINANCIAL STATEMENTS — (Continued)</w:t>
            </w:r>
          </w:p>
        </w:tc>
        <w:tc>
          <w:tcPr>
            <w:tcW w:w="1520" w:type="dxa"/>
            <w:vAlign w:val="bottom"/>
          </w:tcPr>
          <w:p>
            <w:pPr>
              <w:spacing w:after="0"/>
              <w:rPr>
                <w:sz w:val="18"/>
                <w:szCs w:val="18"/>
                <w:color w:val="auto"/>
              </w:rPr>
            </w:pPr>
          </w:p>
        </w:tc>
      </w:tr>
      <w:tr>
        <w:trPr>
          <w:trHeight w:val="497"/>
        </w:trPr>
        <w:tc>
          <w:tcPr>
            <w:tcW w:w="2600" w:type="dxa"/>
            <w:vAlign w:val="bottom"/>
            <w:tcBorders>
              <w:bottom w:val="single" w:sz="8" w:color="CCEEFF"/>
            </w:tcBorders>
          </w:tcPr>
          <w:p>
            <w:pPr>
              <w:ind w:left="20"/>
              <w:spacing w:after="0"/>
              <w:rPr>
                <w:sz w:val="20"/>
                <w:szCs w:val="20"/>
                <w:color w:val="auto"/>
              </w:rPr>
            </w:pPr>
            <w:r>
              <w:rPr>
                <w:rFonts w:ascii="Times New Roman" w:cs="Times New Roman" w:eastAsia="Times New Roman" w:hAnsi="Times New Roman"/>
                <w:sz w:val="13"/>
                <w:szCs w:val="13"/>
                <w:b w:val="1"/>
                <w:bCs w:val="1"/>
                <w:color w:val="auto"/>
              </w:rPr>
              <w:t>Year ending December 31,</w:t>
            </w:r>
          </w:p>
        </w:tc>
        <w:tc>
          <w:tcPr>
            <w:tcW w:w="6920" w:type="dxa"/>
            <w:vAlign w:val="bottom"/>
            <w:tcBorders>
              <w:bottom w:val="single" w:sz="8" w:color="CCEEFF"/>
            </w:tcBorders>
          </w:tcPr>
          <w:p>
            <w:pPr>
              <w:spacing w:after="0"/>
              <w:rPr>
                <w:sz w:val="24"/>
                <w:szCs w:val="24"/>
                <w:color w:val="auto"/>
              </w:rPr>
            </w:pPr>
          </w:p>
        </w:tc>
        <w:tc>
          <w:tcPr>
            <w:tcW w:w="240" w:type="dxa"/>
            <w:vAlign w:val="bottom"/>
            <w:tcBorders>
              <w:bottom w:val="single" w:sz="8" w:color="auto"/>
            </w:tcBorders>
          </w:tcPr>
          <w:p>
            <w:pPr>
              <w:spacing w:after="0"/>
              <w:rPr>
                <w:sz w:val="24"/>
                <w:szCs w:val="24"/>
                <w:color w:val="auto"/>
              </w:rPr>
            </w:pPr>
          </w:p>
        </w:tc>
        <w:tc>
          <w:tcPr>
            <w:tcW w:w="1520" w:type="dxa"/>
            <w:vAlign w:val="bottom"/>
            <w:tcBorders>
              <w:bottom w:val="single" w:sz="8" w:color="auto"/>
            </w:tcBorders>
          </w:tcPr>
          <w:p>
            <w:pPr>
              <w:jc w:val="right"/>
              <w:ind w:right="336"/>
              <w:spacing w:after="0"/>
              <w:rPr>
                <w:sz w:val="20"/>
                <w:szCs w:val="20"/>
                <w:color w:val="auto"/>
              </w:rPr>
            </w:pPr>
            <w:r>
              <w:rPr>
                <w:rFonts w:ascii="Times New Roman" w:cs="Times New Roman" w:eastAsia="Times New Roman" w:hAnsi="Times New Roman"/>
                <w:sz w:val="13"/>
                <w:szCs w:val="13"/>
                <w:b w:val="1"/>
                <w:bCs w:val="1"/>
                <w:color w:val="auto"/>
              </w:rPr>
              <w:t>Operating Leases</w:t>
            </w:r>
          </w:p>
        </w:tc>
      </w:tr>
      <w:tr>
        <w:trPr>
          <w:trHeight w:val="163"/>
        </w:trPr>
        <w:tc>
          <w:tcPr>
            <w:tcW w:w="260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3"/>
                <w:szCs w:val="13"/>
                <w:color w:val="auto"/>
              </w:rPr>
              <w:t>2026*</w:t>
            </w:r>
          </w:p>
        </w:tc>
        <w:tc>
          <w:tcPr>
            <w:tcW w:w="6920" w:type="dxa"/>
            <w:vAlign w:val="bottom"/>
            <w:shd w:val="clear" w:color="auto" w:fill="CCEEFF"/>
          </w:tcPr>
          <w:p>
            <w:pPr>
              <w:spacing w:after="0"/>
              <w:rPr>
                <w:sz w:val="14"/>
                <w:szCs w:val="14"/>
                <w:color w:val="auto"/>
              </w:rPr>
            </w:pPr>
          </w:p>
        </w:tc>
        <w:tc>
          <w:tcPr>
            <w:tcW w:w="240" w:type="dxa"/>
            <w:vAlign w:val="bottom"/>
            <w:shd w:val="clear" w:color="auto" w:fill="CCEEFF"/>
          </w:tcPr>
          <w:p>
            <w:pPr>
              <w:jc w:val="right"/>
              <w:ind w:right="96"/>
              <w:spacing w:after="0"/>
              <w:rPr>
                <w:sz w:val="20"/>
                <w:szCs w:val="20"/>
                <w:color w:val="auto"/>
              </w:rPr>
            </w:pPr>
            <w:r>
              <w:rPr>
                <w:rFonts w:ascii="Times New Roman" w:cs="Times New Roman" w:eastAsia="Times New Roman" w:hAnsi="Times New Roman"/>
                <w:sz w:val="13"/>
                <w:szCs w:val="13"/>
                <w:color w:val="auto"/>
                <w:w w:val="91"/>
              </w:rPr>
              <w:t>$</w:t>
            </w:r>
          </w:p>
        </w:tc>
        <w:tc>
          <w:tcPr>
            <w:tcW w:w="15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(1,889)</w:t>
            </w:r>
          </w:p>
        </w:tc>
      </w:tr>
      <w:tr>
        <w:trPr>
          <w:trHeight w:val="168"/>
        </w:trPr>
        <w:tc>
          <w:tcPr>
            <w:tcW w:w="2600" w:type="dxa"/>
            <w:vAlign w:val="bottom"/>
          </w:tcPr>
          <w:p>
            <w:pPr>
              <w:ind w:left="20"/>
              <w:spacing w:after="0"/>
              <w:rPr>
                <w:sz w:val="20"/>
                <w:szCs w:val="20"/>
                <w:color w:val="auto"/>
              </w:rPr>
            </w:pPr>
            <w:r>
              <w:rPr>
                <w:rFonts w:ascii="Times New Roman" w:cs="Times New Roman" w:eastAsia="Times New Roman" w:hAnsi="Times New Roman"/>
                <w:sz w:val="13"/>
                <w:szCs w:val="13"/>
                <w:color w:val="auto"/>
              </w:rPr>
              <w:t>2027</w:t>
            </w:r>
          </w:p>
        </w:tc>
        <w:tc>
          <w:tcPr>
            <w:tcW w:w="692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152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1,730</w:t>
            </w:r>
          </w:p>
        </w:tc>
      </w:tr>
      <w:tr>
        <w:trPr>
          <w:trHeight w:val="172"/>
        </w:trPr>
        <w:tc>
          <w:tcPr>
            <w:tcW w:w="260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3"/>
                <w:szCs w:val="13"/>
                <w:color w:val="auto"/>
              </w:rPr>
              <w:t>2028</w:t>
            </w:r>
          </w:p>
        </w:tc>
        <w:tc>
          <w:tcPr>
            <w:tcW w:w="6920" w:type="dxa"/>
            <w:vAlign w:val="bottom"/>
            <w:shd w:val="clear" w:color="auto" w:fill="CCEEFF"/>
          </w:tcPr>
          <w:p>
            <w:pPr>
              <w:spacing w:after="0"/>
              <w:rPr>
                <w:sz w:val="14"/>
                <w:szCs w:val="14"/>
                <w:color w:val="auto"/>
              </w:rPr>
            </w:pPr>
          </w:p>
        </w:tc>
        <w:tc>
          <w:tcPr>
            <w:tcW w:w="240" w:type="dxa"/>
            <w:vAlign w:val="bottom"/>
            <w:shd w:val="clear" w:color="auto" w:fill="CCEEFF"/>
          </w:tcPr>
          <w:p>
            <w:pPr>
              <w:spacing w:after="0"/>
              <w:rPr>
                <w:sz w:val="14"/>
                <w:szCs w:val="14"/>
                <w:color w:val="auto"/>
              </w:rPr>
            </w:pPr>
          </w:p>
        </w:tc>
        <w:tc>
          <w:tcPr>
            <w:tcW w:w="15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1,774</w:t>
            </w:r>
          </w:p>
        </w:tc>
      </w:tr>
      <w:tr>
        <w:trPr>
          <w:trHeight w:val="168"/>
        </w:trPr>
        <w:tc>
          <w:tcPr>
            <w:tcW w:w="2600" w:type="dxa"/>
            <w:vAlign w:val="bottom"/>
          </w:tcPr>
          <w:p>
            <w:pPr>
              <w:ind w:left="20"/>
              <w:spacing w:after="0"/>
              <w:rPr>
                <w:sz w:val="20"/>
                <w:szCs w:val="20"/>
                <w:color w:val="auto"/>
              </w:rPr>
            </w:pPr>
            <w:r>
              <w:rPr>
                <w:rFonts w:ascii="Times New Roman" w:cs="Times New Roman" w:eastAsia="Times New Roman" w:hAnsi="Times New Roman"/>
                <w:sz w:val="13"/>
                <w:szCs w:val="13"/>
                <w:color w:val="auto"/>
              </w:rPr>
              <w:t>2029</w:t>
            </w:r>
          </w:p>
        </w:tc>
        <w:tc>
          <w:tcPr>
            <w:tcW w:w="692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152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1,850</w:t>
            </w:r>
          </w:p>
        </w:tc>
      </w:tr>
      <w:tr>
        <w:trPr>
          <w:trHeight w:val="172"/>
        </w:trPr>
        <w:tc>
          <w:tcPr>
            <w:tcW w:w="260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3"/>
                <w:szCs w:val="13"/>
                <w:color w:val="auto"/>
              </w:rPr>
              <w:t>2030</w:t>
            </w:r>
          </w:p>
        </w:tc>
        <w:tc>
          <w:tcPr>
            <w:tcW w:w="6920" w:type="dxa"/>
            <w:vAlign w:val="bottom"/>
            <w:shd w:val="clear" w:color="auto" w:fill="CCEEFF"/>
          </w:tcPr>
          <w:p>
            <w:pPr>
              <w:spacing w:after="0"/>
              <w:rPr>
                <w:sz w:val="14"/>
                <w:szCs w:val="14"/>
                <w:color w:val="auto"/>
              </w:rPr>
            </w:pPr>
          </w:p>
        </w:tc>
        <w:tc>
          <w:tcPr>
            <w:tcW w:w="240" w:type="dxa"/>
            <w:vAlign w:val="bottom"/>
            <w:shd w:val="clear" w:color="auto" w:fill="CCEEFF"/>
          </w:tcPr>
          <w:p>
            <w:pPr>
              <w:spacing w:after="0"/>
              <w:rPr>
                <w:sz w:val="14"/>
                <w:szCs w:val="14"/>
                <w:color w:val="auto"/>
              </w:rPr>
            </w:pPr>
          </w:p>
        </w:tc>
        <w:tc>
          <w:tcPr>
            <w:tcW w:w="15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1,650</w:t>
            </w:r>
          </w:p>
        </w:tc>
      </w:tr>
      <w:tr>
        <w:trPr>
          <w:trHeight w:val="168"/>
        </w:trPr>
        <w:tc>
          <w:tcPr>
            <w:tcW w:w="2600" w:type="dxa"/>
            <w:vAlign w:val="bottom"/>
            <w:tcBorders>
              <w:bottom w:val="single" w:sz="8" w:color="CCEEFF"/>
            </w:tcBorders>
          </w:tcPr>
          <w:p>
            <w:pPr>
              <w:ind w:left="20"/>
              <w:spacing w:after="0"/>
              <w:rPr>
                <w:sz w:val="20"/>
                <w:szCs w:val="20"/>
                <w:color w:val="auto"/>
              </w:rPr>
            </w:pPr>
            <w:r>
              <w:rPr>
                <w:rFonts w:ascii="Times New Roman" w:cs="Times New Roman" w:eastAsia="Times New Roman" w:hAnsi="Times New Roman"/>
                <w:sz w:val="13"/>
                <w:szCs w:val="13"/>
                <w:color w:val="auto"/>
              </w:rPr>
              <w:t>Thereafter</w:t>
            </w:r>
          </w:p>
        </w:tc>
        <w:tc>
          <w:tcPr>
            <w:tcW w:w="6920" w:type="dxa"/>
            <w:vAlign w:val="bottom"/>
            <w:tcBorders>
              <w:bottom w:val="single" w:sz="8" w:color="CCEEFF"/>
            </w:tcBorders>
          </w:tcPr>
          <w:p>
            <w:pPr>
              <w:spacing w:after="0"/>
              <w:rPr>
                <w:sz w:val="14"/>
                <w:szCs w:val="14"/>
                <w:color w:val="auto"/>
              </w:rPr>
            </w:pPr>
          </w:p>
        </w:tc>
        <w:tc>
          <w:tcPr>
            <w:tcW w:w="240" w:type="dxa"/>
            <w:vAlign w:val="bottom"/>
            <w:tcBorders>
              <w:bottom w:val="single" w:sz="8" w:color="auto"/>
            </w:tcBorders>
          </w:tcPr>
          <w:p>
            <w:pPr>
              <w:spacing w:after="0"/>
              <w:rPr>
                <w:sz w:val="14"/>
                <w:szCs w:val="14"/>
                <w:color w:val="auto"/>
              </w:rPr>
            </w:pPr>
          </w:p>
        </w:tc>
        <w:tc>
          <w:tcPr>
            <w:tcW w:w="15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3"/>
                <w:szCs w:val="13"/>
                <w:color w:val="auto"/>
              </w:rPr>
              <w:t>10,728</w:t>
            </w:r>
          </w:p>
        </w:tc>
      </w:tr>
      <w:tr>
        <w:trPr>
          <w:trHeight w:val="163"/>
        </w:trPr>
        <w:tc>
          <w:tcPr>
            <w:tcW w:w="2600" w:type="dxa"/>
            <w:vAlign w:val="bottom"/>
            <w:shd w:val="clear" w:color="auto" w:fill="CCEEFF"/>
          </w:tcPr>
          <w:p>
            <w:pPr>
              <w:ind w:left="100"/>
              <w:spacing w:after="0"/>
              <w:rPr>
                <w:sz w:val="20"/>
                <w:szCs w:val="20"/>
                <w:color w:val="auto"/>
              </w:rPr>
            </w:pPr>
            <w:r>
              <w:rPr>
                <w:rFonts w:ascii="Times New Roman" w:cs="Times New Roman" w:eastAsia="Times New Roman" w:hAnsi="Times New Roman"/>
                <w:sz w:val="13"/>
                <w:szCs w:val="13"/>
                <w:color w:val="auto"/>
              </w:rPr>
              <w:t>Total undiscounted lease payments</w:t>
            </w:r>
          </w:p>
        </w:tc>
        <w:tc>
          <w:tcPr>
            <w:tcW w:w="6920" w:type="dxa"/>
            <w:vAlign w:val="bottom"/>
            <w:shd w:val="clear" w:color="auto" w:fill="CCEEFF"/>
          </w:tcPr>
          <w:p>
            <w:pPr>
              <w:spacing w:after="0"/>
              <w:rPr>
                <w:sz w:val="14"/>
                <w:szCs w:val="14"/>
                <w:color w:val="auto"/>
              </w:rPr>
            </w:pPr>
          </w:p>
        </w:tc>
        <w:tc>
          <w:tcPr>
            <w:tcW w:w="240" w:type="dxa"/>
            <w:vAlign w:val="bottom"/>
            <w:shd w:val="clear" w:color="auto" w:fill="CCEEFF"/>
          </w:tcPr>
          <w:p>
            <w:pPr>
              <w:jc w:val="right"/>
              <w:ind w:right="96"/>
              <w:spacing w:after="0"/>
              <w:rPr>
                <w:sz w:val="20"/>
                <w:szCs w:val="20"/>
                <w:color w:val="auto"/>
              </w:rPr>
            </w:pPr>
            <w:r>
              <w:rPr>
                <w:rFonts w:ascii="Times New Roman" w:cs="Times New Roman" w:eastAsia="Times New Roman" w:hAnsi="Times New Roman"/>
                <w:sz w:val="13"/>
                <w:szCs w:val="13"/>
                <w:color w:val="auto"/>
                <w:w w:val="91"/>
              </w:rPr>
              <w:t>$</w:t>
            </w:r>
          </w:p>
        </w:tc>
        <w:tc>
          <w:tcPr>
            <w:tcW w:w="15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15,843</w:t>
            </w:r>
          </w:p>
        </w:tc>
      </w:tr>
      <w:tr>
        <w:trPr>
          <w:trHeight w:val="168"/>
        </w:trPr>
        <w:tc>
          <w:tcPr>
            <w:tcW w:w="2600" w:type="dxa"/>
            <w:vAlign w:val="bottom"/>
            <w:tcBorders>
              <w:bottom w:val="single" w:sz="8" w:color="CCEEFF"/>
            </w:tcBorders>
          </w:tcPr>
          <w:p>
            <w:pPr>
              <w:ind w:left="20"/>
              <w:spacing w:after="0"/>
              <w:rPr>
                <w:sz w:val="20"/>
                <w:szCs w:val="20"/>
                <w:color w:val="auto"/>
              </w:rPr>
            </w:pPr>
            <w:r>
              <w:rPr>
                <w:rFonts w:ascii="Times New Roman" w:cs="Times New Roman" w:eastAsia="Times New Roman" w:hAnsi="Times New Roman"/>
                <w:sz w:val="13"/>
                <w:szCs w:val="13"/>
                <w:color w:val="auto"/>
              </w:rPr>
              <w:t>Less: imputed interest</w:t>
            </w:r>
          </w:p>
        </w:tc>
        <w:tc>
          <w:tcPr>
            <w:tcW w:w="6920" w:type="dxa"/>
            <w:vAlign w:val="bottom"/>
            <w:tcBorders>
              <w:bottom w:val="single" w:sz="8" w:color="CCEEFF"/>
            </w:tcBorders>
          </w:tcPr>
          <w:p>
            <w:pPr>
              <w:spacing w:after="0"/>
              <w:rPr>
                <w:sz w:val="14"/>
                <w:szCs w:val="14"/>
                <w:color w:val="auto"/>
              </w:rPr>
            </w:pPr>
          </w:p>
        </w:tc>
        <w:tc>
          <w:tcPr>
            <w:tcW w:w="240" w:type="dxa"/>
            <w:vAlign w:val="bottom"/>
            <w:tcBorders>
              <w:bottom w:val="single" w:sz="8" w:color="auto"/>
            </w:tcBorders>
          </w:tcPr>
          <w:p>
            <w:pPr>
              <w:spacing w:after="0"/>
              <w:rPr>
                <w:sz w:val="14"/>
                <w:szCs w:val="14"/>
                <w:color w:val="auto"/>
              </w:rPr>
            </w:pPr>
          </w:p>
        </w:tc>
        <w:tc>
          <w:tcPr>
            <w:tcW w:w="15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3"/>
                <w:szCs w:val="13"/>
                <w:color w:val="auto"/>
              </w:rPr>
              <w:t>(5,672)</w:t>
            </w:r>
          </w:p>
        </w:tc>
      </w:tr>
      <w:tr>
        <w:trPr>
          <w:trHeight w:val="188"/>
        </w:trPr>
        <w:tc>
          <w:tcPr>
            <w:tcW w:w="2600" w:type="dxa"/>
            <w:vAlign w:val="bottom"/>
            <w:tcBorders>
              <w:bottom w:val="single" w:sz="8" w:color="CCEEFF"/>
            </w:tcBorders>
            <w:shd w:val="clear" w:color="auto" w:fill="CCEEFF"/>
          </w:tcPr>
          <w:p>
            <w:pPr>
              <w:ind w:left="100"/>
              <w:spacing w:after="0"/>
              <w:rPr>
                <w:sz w:val="20"/>
                <w:szCs w:val="20"/>
                <w:color w:val="auto"/>
              </w:rPr>
            </w:pPr>
            <w:r>
              <w:rPr>
                <w:rFonts w:ascii="Times New Roman" w:cs="Times New Roman" w:eastAsia="Times New Roman" w:hAnsi="Times New Roman"/>
                <w:sz w:val="13"/>
                <w:szCs w:val="13"/>
                <w:color w:val="auto"/>
              </w:rPr>
              <w:t>Total lease liabilities</w:t>
            </w:r>
          </w:p>
        </w:tc>
        <w:tc>
          <w:tcPr>
            <w:tcW w:w="6920" w:type="dxa"/>
            <w:vAlign w:val="bottom"/>
            <w:tcBorders>
              <w:bottom w:val="single" w:sz="8" w:color="CCEEFF"/>
            </w:tcBorders>
            <w:shd w:val="clear" w:color="auto" w:fill="CCEEFF"/>
          </w:tcPr>
          <w:p>
            <w:pPr>
              <w:spacing w:after="0"/>
              <w:rPr>
                <w:sz w:val="15"/>
                <w:szCs w:val="15"/>
                <w:color w:val="auto"/>
              </w:rPr>
            </w:pPr>
          </w:p>
        </w:tc>
        <w:tc>
          <w:tcPr>
            <w:tcW w:w="240" w:type="dxa"/>
            <w:vAlign w:val="bottom"/>
            <w:tcBorders>
              <w:bottom w:val="single" w:sz="8" w:color="auto"/>
            </w:tcBorders>
            <w:shd w:val="clear" w:color="auto" w:fill="CCEEFF"/>
          </w:tcPr>
          <w:p>
            <w:pPr>
              <w:jc w:val="right"/>
              <w:ind w:right="96"/>
              <w:spacing w:after="0"/>
              <w:rPr>
                <w:sz w:val="20"/>
                <w:szCs w:val="20"/>
                <w:color w:val="auto"/>
              </w:rPr>
            </w:pPr>
            <w:r>
              <w:rPr>
                <w:rFonts w:ascii="Times New Roman" w:cs="Times New Roman" w:eastAsia="Times New Roman" w:hAnsi="Times New Roman"/>
                <w:sz w:val="13"/>
                <w:szCs w:val="13"/>
                <w:color w:val="auto"/>
                <w:w w:val="91"/>
              </w:rPr>
              <w:t>$</w:t>
            </w:r>
          </w:p>
        </w:tc>
        <w:tc>
          <w:tcPr>
            <w:tcW w:w="15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10,171</w:t>
            </w:r>
          </w:p>
        </w:tc>
      </w:tr>
      <w:tr>
        <w:trPr>
          <w:trHeight w:val="20"/>
        </w:trPr>
        <w:tc>
          <w:tcPr>
            <w:tcW w:w="2600" w:type="dxa"/>
            <w:vAlign w:val="bottom"/>
            <w:tcBorders>
              <w:top w:val="single" w:sz="8" w:color="CCEEFF"/>
            </w:tcBorders>
          </w:tcPr>
          <w:p>
            <w:pPr>
              <w:spacing w:after="0" w:line="20" w:lineRule="exact"/>
              <w:rPr>
                <w:sz w:val="1"/>
                <w:szCs w:val="1"/>
                <w:color w:val="auto"/>
              </w:rPr>
            </w:pPr>
          </w:p>
        </w:tc>
        <w:tc>
          <w:tcPr>
            <w:tcW w:w="6920" w:type="dxa"/>
            <w:vAlign w:val="bottom"/>
            <w:tcBorders>
              <w:top w:val="single" w:sz="8" w:color="CCEEFF"/>
            </w:tcBorders>
          </w:tcPr>
          <w:p>
            <w:pPr>
              <w:spacing w:after="0" w:line="20" w:lineRule="exact"/>
              <w:rPr>
                <w:sz w:val="1"/>
                <w:szCs w:val="1"/>
                <w:color w:val="auto"/>
              </w:rPr>
            </w:pPr>
          </w:p>
        </w:tc>
        <w:tc>
          <w:tcPr>
            <w:tcW w:w="240" w:type="dxa"/>
            <w:vAlign w:val="bottom"/>
            <w:tcBorders>
              <w:top w:val="single" w:sz="8" w:color="CCEEFF"/>
              <w:bottom w:val="single" w:sz="8" w:color="auto"/>
            </w:tcBorders>
          </w:tcPr>
          <w:p>
            <w:pPr>
              <w:spacing w:after="0" w:line="20" w:lineRule="exact"/>
              <w:rPr>
                <w:sz w:val="1"/>
                <w:szCs w:val="1"/>
                <w:color w:val="auto"/>
              </w:rPr>
            </w:pPr>
          </w:p>
        </w:tc>
        <w:tc>
          <w:tcPr>
            <w:tcW w:w="1520" w:type="dxa"/>
            <w:vAlign w:val="bottom"/>
            <w:tcBorders>
              <w:top w:val="single" w:sz="8" w:color="CCEEFF"/>
              <w:bottom w:val="single" w:sz="8" w:color="auto"/>
            </w:tcBorders>
          </w:tcPr>
          <w:p>
            <w:pPr>
              <w:spacing w:after="0" w:line="20" w:lineRule="exact"/>
              <w:rPr>
                <w:sz w:val="1"/>
                <w:szCs w:val="1"/>
                <w:color w:val="auto"/>
              </w:rPr>
            </w:pPr>
          </w:p>
        </w:tc>
      </w:tr>
    </w:tbl>
    <w:p>
      <w:pPr>
        <w:spacing w:after="0" w:line="117" w:lineRule="exact"/>
        <w:rPr>
          <w:sz w:val="20"/>
          <w:szCs w:val="20"/>
          <w:color w:val="auto"/>
        </w:rPr>
      </w:pPr>
    </w:p>
    <w:p>
      <w:pPr>
        <w:ind w:left="80" w:hanging="75"/>
        <w:spacing w:after="0"/>
        <w:tabs>
          <w:tab w:leader="none" w:pos="80" w:val="left"/>
        </w:tabs>
        <w:numPr>
          <w:ilvl w:val="0"/>
          <w:numId w:val="27"/>
        </w:numPr>
        <w:rPr>
          <w:rFonts w:ascii="Times New Roman" w:cs="Times New Roman" w:eastAsia="Times New Roman" w:hAnsi="Times New Roman"/>
          <w:sz w:val="18"/>
          <w:szCs w:val="18"/>
          <w:color w:val="auto"/>
          <w:vertAlign w:val="superscript"/>
        </w:rPr>
      </w:pPr>
      <w:r>
        <w:rPr>
          <w:rFonts w:ascii="Times New Roman" w:cs="Times New Roman" w:eastAsia="Times New Roman" w:hAnsi="Times New Roman"/>
          <w:sz w:val="13"/>
          <w:szCs w:val="13"/>
          <w:color w:val="auto"/>
        </w:rPr>
        <w:t>Includes the expected reimbursement of leasehold improvements.</w:t>
      </w:r>
    </w:p>
    <w:p>
      <w:pPr>
        <w:spacing w:after="0" w:line="200"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b w:val="1"/>
          <w:bCs w:val="1"/>
          <w:color w:val="auto"/>
        </w:rPr>
        <w:t>13. PROPERTY AND EQUIPMENT:</w:t>
      </w:r>
    </w:p>
    <w:p>
      <w:pPr>
        <w:spacing w:after="0" w:line="96" w:lineRule="exact"/>
        <w:rPr>
          <w:sz w:val="20"/>
          <w:szCs w:val="20"/>
          <w:color w:val="auto"/>
        </w:rPr>
      </w:pPr>
    </w:p>
    <w:p>
      <w:pPr>
        <w:ind w:left="380"/>
        <w:spacing w:after="0"/>
        <w:rPr>
          <w:sz w:val="20"/>
          <w:szCs w:val="20"/>
          <w:color w:val="auto"/>
        </w:rPr>
      </w:pPr>
      <w:r>
        <w:rPr>
          <w:rFonts w:ascii="Times New Roman" w:cs="Times New Roman" w:eastAsia="Times New Roman" w:hAnsi="Times New Roman"/>
          <w:sz w:val="14"/>
          <w:szCs w:val="14"/>
          <w:color w:val="auto"/>
        </w:rPr>
        <w:t>The following table reflects information about our property and equipment as of December 31, 2025 and 2024 (in thousands):</w:t>
      </w:r>
    </w:p>
    <w:p>
      <w:pPr>
        <w:spacing w:after="0" w:line="43" w:lineRule="exact"/>
        <w:rPr>
          <w:sz w:val="20"/>
          <w:szCs w:val="20"/>
          <w:color w:val="auto"/>
        </w:rPr>
      </w:pPr>
    </w:p>
    <w:tbl>
      <w:tblPr>
        <w:tblLayout w:type="fixed"/>
        <w:tblInd w:w="0" w:type="dxa"/>
        <w:tblCellMar>
          <w:top w:w="0" w:type="dxa"/>
          <w:left w:w="0" w:type="dxa"/>
          <w:bottom w:w="0" w:type="dxa"/>
          <w:right w:w="0" w:type="dxa"/>
        </w:tblCellMar>
      </w:tblPr>
      <w:tr>
        <w:trPr>
          <w:trHeight w:val="170"/>
        </w:trPr>
        <w:tc>
          <w:tcPr>
            <w:tcW w:w="8560" w:type="dxa"/>
            <w:vAlign w:val="bottom"/>
          </w:tcPr>
          <w:p>
            <w:pPr>
              <w:spacing w:after="0"/>
              <w:rPr>
                <w:sz w:val="14"/>
                <w:szCs w:val="14"/>
                <w:color w:val="auto"/>
              </w:rPr>
            </w:pPr>
          </w:p>
        </w:tc>
        <w:tc>
          <w:tcPr>
            <w:tcW w:w="800" w:type="dxa"/>
            <w:vAlign w:val="bottom"/>
            <w:tcBorders>
              <w:bottom w:val="single" w:sz="8" w:color="auto"/>
            </w:tcBorders>
          </w:tcPr>
          <w:p>
            <w:pPr>
              <w:spacing w:after="0"/>
              <w:rPr>
                <w:sz w:val="14"/>
                <w:szCs w:val="14"/>
                <w:color w:val="auto"/>
              </w:rPr>
            </w:pPr>
          </w:p>
        </w:tc>
        <w:tc>
          <w:tcPr>
            <w:tcW w:w="1120" w:type="dxa"/>
            <w:vAlign w:val="bottom"/>
            <w:tcBorders>
              <w:bottom w:val="single" w:sz="8" w:color="auto"/>
            </w:tcBorders>
            <w:gridSpan w:val="3"/>
          </w:tcPr>
          <w:p>
            <w:pPr>
              <w:jc w:val="right"/>
              <w:spacing w:after="0"/>
              <w:rPr>
                <w:sz w:val="20"/>
                <w:szCs w:val="20"/>
                <w:color w:val="auto"/>
              </w:rPr>
            </w:pPr>
            <w:r>
              <w:rPr>
                <w:rFonts w:ascii="Times New Roman" w:cs="Times New Roman" w:eastAsia="Times New Roman" w:hAnsi="Times New Roman"/>
                <w:sz w:val="13"/>
                <w:szCs w:val="13"/>
                <w:b w:val="1"/>
                <w:bCs w:val="1"/>
                <w:color w:val="auto"/>
                <w:w w:val="98"/>
              </w:rPr>
              <w:t>As of December 31,</w:t>
            </w:r>
          </w:p>
        </w:tc>
        <w:tc>
          <w:tcPr>
            <w:tcW w:w="800" w:type="dxa"/>
            <w:vAlign w:val="bottom"/>
            <w:tcBorders>
              <w:bottom w:val="single" w:sz="8" w:color="auto"/>
            </w:tcBorders>
          </w:tcPr>
          <w:p>
            <w:pPr>
              <w:spacing w:after="0"/>
              <w:rPr>
                <w:sz w:val="14"/>
                <w:szCs w:val="14"/>
                <w:color w:val="auto"/>
              </w:rPr>
            </w:pPr>
          </w:p>
        </w:tc>
      </w:tr>
      <w:tr>
        <w:trPr>
          <w:trHeight w:val="161"/>
        </w:trPr>
        <w:tc>
          <w:tcPr>
            <w:tcW w:w="8560" w:type="dxa"/>
            <w:vAlign w:val="bottom"/>
            <w:tcBorders>
              <w:bottom w:val="single" w:sz="8" w:color="CCEEFF"/>
            </w:tcBorders>
          </w:tcPr>
          <w:p>
            <w:pPr>
              <w:spacing w:after="0"/>
              <w:rPr>
                <w:sz w:val="14"/>
                <w:szCs w:val="14"/>
                <w:color w:val="auto"/>
              </w:rPr>
            </w:pPr>
          </w:p>
        </w:tc>
        <w:tc>
          <w:tcPr>
            <w:tcW w:w="8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3"/>
                <w:szCs w:val="13"/>
                <w:b w:val="1"/>
                <w:bCs w:val="1"/>
                <w:color w:val="auto"/>
              </w:rPr>
              <w:t>2025</w:t>
            </w:r>
          </w:p>
        </w:tc>
        <w:tc>
          <w:tcPr>
            <w:tcW w:w="520" w:type="dxa"/>
            <w:vAlign w:val="bottom"/>
            <w:tcBorders>
              <w:bottom w:val="single" w:sz="8" w:color="auto"/>
            </w:tcBorders>
          </w:tcPr>
          <w:p>
            <w:pPr>
              <w:spacing w:after="0"/>
              <w:rPr>
                <w:sz w:val="14"/>
                <w:szCs w:val="14"/>
                <w:color w:val="auto"/>
              </w:rPr>
            </w:pPr>
          </w:p>
        </w:tc>
        <w:tc>
          <w:tcPr>
            <w:tcW w:w="80" w:type="dxa"/>
            <w:vAlign w:val="bottom"/>
            <w:tcBorders>
              <w:bottom w:val="single" w:sz="8" w:color="CCEEFF"/>
            </w:tcBorders>
          </w:tcPr>
          <w:p>
            <w:pPr>
              <w:spacing w:after="0"/>
              <w:rPr>
                <w:sz w:val="14"/>
                <w:szCs w:val="14"/>
                <w:color w:val="auto"/>
              </w:rPr>
            </w:pPr>
          </w:p>
        </w:tc>
        <w:tc>
          <w:tcPr>
            <w:tcW w:w="520" w:type="dxa"/>
            <w:vAlign w:val="bottom"/>
            <w:tcBorders>
              <w:bottom w:val="single" w:sz="8" w:color="auto"/>
            </w:tcBorders>
          </w:tcPr>
          <w:p>
            <w:pPr>
              <w:spacing w:after="0"/>
              <w:rPr>
                <w:sz w:val="14"/>
                <w:szCs w:val="14"/>
                <w:color w:val="auto"/>
              </w:rPr>
            </w:pPr>
          </w:p>
        </w:tc>
        <w:tc>
          <w:tcPr>
            <w:tcW w:w="800" w:type="dxa"/>
            <w:vAlign w:val="bottom"/>
            <w:tcBorders>
              <w:bottom w:val="single" w:sz="8" w:color="auto"/>
            </w:tcBorders>
          </w:tcPr>
          <w:p>
            <w:pPr>
              <w:jc w:val="right"/>
              <w:ind w:right="456"/>
              <w:spacing w:after="0"/>
              <w:rPr>
                <w:sz w:val="20"/>
                <w:szCs w:val="20"/>
                <w:color w:val="auto"/>
              </w:rPr>
            </w:pPr>
            <w:r>
              <w:rPr>
                <w:rFonts w:ascii="Times New Roman" w:cs="Times New Roman" w:eastAsia="Times New Roman" w:hAnsi="Times New Roman"/>
                <w:sz w:val="13"/>
                <w:szCs w:val="13"/>
                <w:b w:val="1"/>
                <w:bCs w:val="1"/>
                <w:color w:val="auto"/>
                <w:w w:val="99"/>
              </w:rPr>
              <w:t>2024</w:t>
            </w:r>
          </w:p>
        </w:tc>
      </w:tr>
      <w:tr>
        <w:trPr>
          <w:trHeight w:val="162"/>
        </w:trPr>
        <w:tc>
          <w:tcPr>
            <w:tcW w:w="8560" w:type="dxa"/>
            <w:vAlign w:val="bottom"/>
            <w:shd w:val="clear" w:color="auto" w:fill="CCEEFF"/>
          </w:tcPr>
          <w:p>
            <w:pPr>
              <w:ind w:left="20"/>
              <w:spacing w:after="0" w:line="147" w:lineRule="exact"/>
              <w:rPr>
                <w:sz w:val="20"/>
                <w:szCs w:val="20"/>
                <w:color w:val="auto"/>
              </w:rPr>
            </w:pPr>
            <w:r>
              <w:rPr>
                <w:rFonts w:ascii="Times New Roman" w:cs="Times New Roman" w:eastAsia="Times New Roman" w:hAnsi="Times New Roman"/>
                <w:sz w:val="13"/>
                <w:szCs w:val="13"/>
                <w:color w:val="auto"/>
              </w:rPr>
              <w:t>Leasehold improvements</w:t>
            </w:r>
          </w:p>
        </w:tc>
        <w:tc>
          <w:tcPr>
            <w:tcW w:w="800" w:type="dxa"/>
            <w:vAlign w:val="bottom"/>
            <w:shd w:val="clear" w:color="auto" w:fill="CCEEFF"/>
          </w:tcPr>
          <w:p>
            <w:pPr>
              <w:jc w:val="right"/>
              <w:ind w:right="656"/>
              <w:spacing w:after="0"/>
              <w:rPr>
                <w:sz w:val="20"/>
                <w:szCs w:val="20"/>
                <w:color w:val="auto"/>
              </w:rPr>
            </w:pPr>
            <w:r>
              <w:rPr>
                <w:rFonts w:ascii="Times New Roman" w:cs="Times New Roman" w:eastAsia="Times New Roman" w:hAnsi="Times New Roman"/>
                <w:sz w:val="13"/>
                <w:szCs w:val="13"/>
                <w:color w:val="auto"/>
                <w:w w:val="91"/>
              </w:rPr>
              <w:t>$</w:t>
            </w:r>
          </w:p>
        </w:tc>
        <w:tc>
          <w:tcPr>
            <w:tcW w:w="5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5,166</w:t>
            </w:r>
          </w:p>
        </w:tc>
        <w:tc>
          <w:tcPr>
            <w:tcW w:w="80" w:type="dxa"/>
            <w:vAlign w:val="bottom"/>
            <w:shd w:val="clear" w:color="auto" w:fill="CCEEFF"/>
          </w:tcPr>
          <w:p>
            <w:pPr>
              <w:spacing w:after="0"/>
              <w:rPr>
                <w:sz w:val="14"/>
                <w:szCs w:val="14"/>
                <w:color w:val="auto"/>
              </w:rPr>
            </w:pPr>
          </w:p>
        </w:tc>
        <w:tc>
          <w:tcPr>
            <w:tcW w:w="520" w:type="dxa"/>
            <w:vAlign w:val="bottom"/>
            <w:shd w:val="clear" w:color="auto" w:fill="CCEEFF"/>
          </w:tcPr>
          <w:p>
            <w:pPr>
              <w:jc w:val="right"/>
              <w:ind w:right="376"/>
              <w:spacing w:after="0"/>
              <w:rPr>
                <w:sz w:val="20"/>
                <w:szCs w:val="20"/>
                <w:color w:val="auto"/>
              </w:rPr>
            </w:pPr>
            <w:r>
              <w:rPr>
                <w:rFonts w:ascii="Times New Roman" w:cs="Times New Roman" w:eastAsia="Times New Roman" w:hAnsi="Times New Roman"/>
                <w:sz w:val="13"/>
                <w:szCs w:val="13"/>
                <w:color w:val="auto"/>
                <w:w w:val="91"/>
              </w:rPr>
              <w:t>$</w:t>
            </w:r>
          </w:p>
        </w:tc>
        <w:tc>
          <w:tcPr>
            <w:tcW w:w="8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5,136</w:t>
            </w:r>
          </w:p>
        </w:tc>
      </w:tr>
      <w:tr>
        <w:trPr>
          <w:trHeight w:val="168"/>
        </w:trPr>
        <w:tc>
          <w:tcPr>
            <w:tcW w:w="8560" w:type="dxa"/>
            <w:vAlign w:val="bottom"/>
          </w:tcPr>
          <w:p>
            <w:pPr>
              <w:ind w:left="20"/>
              <w:spacing w:after="0"/>
              <w:rPr>
                <w:sz w:val="20"/>
                <w:szCs w:val="20"/>
                <w:color w:val="auto"/>
              </w:rPr>
            </w:pPr>
            <w:r>
              <w:rPr>
                <w:rFonts w:ascii="Times New Roman" w:cs="Times New Roman" w:eastAsia="Times New Roman" w:hAnsi="Times New Roman"/>
                <w:sz w:val="13"/>
                <w:szCs w:val="13"/>
                <w:color w:val="auto"/>
              </w:rPr>
              <w:t>Furniture and fixtures</w:t>
            </w:r>
          </w:p>
        </w:tc>
        <w:tc>
          <w:tcPr>
            <w:tcW w:w="800" w:type="dxa"/>
            <w:vAlign w:val="bottom"/>
          </w:tcPr>
          <w:p>
            <w:pPr>
              <w:spacing w:after="0"/>
              <w:rPr>
                <w:sz w:val="14"/>
                <w:szCs w:val="14"/>
                <w:color w:val="auto"/>
              </w:rPr>
            </w:pPr>
          </w:p>
        </w:tc>
        <w:tc>
          <w:tcPr>
            <w:tcW w:w="52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2,996</w:t>
            </w:r>
          </w:p>
        </w:tc>
        <w:tc>
          <w:tcPr>
            <w:tcW w:w="80" w:type="dxa"/>
            <w:vAlign w:val="bottom"/>
          </w:tcPr>
          <w:p>
            <w:pPr>
              <w:spacing w:after="0"/>
              <w:rPr>
                <w:sz w:val="14"/>
                <w:szCs w:val="14"/>
                <w:color w:val="auto"/>
              </w:rPr>
            </w:pPr>
          </w:p>
        </w:tc>
        <w:tc>
          <w:tcPr>
            <w:tcW w:w="520" w:type="dxa"/>
            <w:vAlign w:val="bottom"/>
          </w:tcPr>
          <w:p>
            <w:pPr>
              <w:spacing w:after="0"/>
              <w:rPr>
                <w:sz w:val="14"/>
                <w:szCs w:val="14"/>
                <w:color w:val="auto"/>
              </w:rPr>
            </w:pPr>
          </w:p>
        </w:tc>
        <w:tc>
          <w:tcPr>
            <w:tcW w:w="80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2,844</w:t>
            </w:r>
          </w:p>
        </w:tc>
      </w:tr>
      <w:tr>
        <w:trPr>
          <w:trHeight w:val="172"/>
        </w:trPr>
        <w:tc>
          <w:tcPr>
            <w:tcW w:w="856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3"/>
                <w:szCs w:val="13"/>
                <w:color w:val="auto"/>
              </w:rPr>
              <w:t>Computer hardware and office equipment</w:t>
            </w:r>
          </w:p>
        </w:tc>
        <w:tc>
          <w:tcPr>
            <w:tcW w:w="800" w:type="dxa"/>
            <w:vAlign w:val="bottom"/>
            <w:shd w:val="clear" w:color="auto" w:fill="CCEEFF"/>
          </w:tcPr>
          <w:p>
            <w:pPr>
              <w:spacing w:after="0"/>
              <w:rPr>
                <w:sz w:val="14"/>
                <w:szCs w:val="14"/>
                <w:color w:val="auto"/>
              </w:rPr>
            </w:pPr>
          </w:p>
        </w:tc>
        <w:tc>
          <w:tcPr>
            <w:tcW w:w="5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1,326</w:t>
            </w:r>
          </w:p>
        </w:tc>
        <w:tc>
          <w:tcPr>
            <w:tcW w:w="80" w:type="dxa"/>
            <w:vAlign w:val="bottom"/>
            <w:shd w:val="clear" w:color="auto" w:fill="CCEEFF"/>
          </w:tcPr>
          <w:p>
            <w:pPr>
              <w:spacing w:after="0"/>
              <w:rPr>
                <w:sz w:val="14"/>
                <w:szCs w:val="14"/>
                <w:color w:val="auto"/>
              </w:rPr>
            </w:pPr>
          </w:p>
        </w:tc>
        <w:tc>
          <w:tcPr>
            <w:tcW w:w="520" w:type="dxa"/>
            <w:vAlign w:val="bottom"/>
            <w:shd w:val="clear" w:color="auto" w:fill="CCEEFF"/>
          </w:tcPr>
          <w:p>
            <w:pPr>
              <w:spacing w:after="0"/>
              <w:rPr>
                <w:sz w:val="14"/>
                <w:szCs w:val="14"/>
                <w:color w:val="auto"/>
              </w:rPr>
            </w:pPr>
          </w:p>
        </w:tc>
        <w:tc>
          <w:tcPr>
            <w:tcW w:w="8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1,395</w:t>
            </w:r>
          </w:p>
        </w:tc>
      </w:tr>
      <w:tr>
        <w:trPr>
          <w:trHeight w:val="168"/>
        </w:trPr>
        <w:tc>
          <w:tcPr>
            <w:tcW w:w="8560" w:type="dxa"/>
            <w:vAlign w:val="bottom"/>
            <w:tcBorders>
              <w:bottom w:val="single" w:sz="8" w:color="CCEEFF"/>
            </w:tcBorders>
          </w:tcPr>
          <w:p>
            <w:pPr>
              <w:ind w:left="20"/>
              <w:spacing w:after="0"/>
              <w:rPr>
                <w:sz w:val="20"/>
                <w:szCs w:val="20"/>
                <w:color w:val="auto"/>
              </w:rPr>
            </w:pPr>
            <w:r>
              <w:rPr>
                <w:rFonts w:ascii="Times New Roman" w:cs="Times New Roman" w:eastAsia="Times New Roman" w:hAnsi="Times New Roman"/>
                <w:sz w:val="13"/>
                <w:szCs w:val="13"/>
                <w:color w:val="auto"/>
              </w:rPr>
              <w:t>Accumulated depreciation</w:t>
            </w:r>
          </w:p>
        </w:tc>
        <w:tc>
          <w:tcPr>
            <w:tcW w:w="800" w:type="dxa"/>
            <w:vAlign w:val="bottom"/>
            <w:tcBorders>
              <w:bottom w:val="single" w:sz="8" w:color="auto"/>
            </w:tcBorders>
          </w:tcPr>
          <w:p>
            <w:pPr>
              <w:spacing w:after="0"/>
              <w:rPr>
                <w:sz w:val="14"/>
                <w:szCs w:val="14"/>
                <w:color w:val="auto"/>
              </w:rPr>
            </w:pPr>
          </w:p>
        </w:tc>
        <w:tc>
          <w:tcPr>
            <w:tcW w:w="5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3"/>
                <w:szCs w:val="13"/>
                <w:color w:val="auto"/>
              </w:rPr>
              <w:t>(8,952)</w:t>
            </w:r>
          </w:p>
        </w:tc>
        <w:tc>
          <w:tcPr>
            <w:tcW w:w="80" w:type="dxa"/>
            <w:vAlign w:val="bottom"/>
            <w:tcBorders>
              <w:bottom w:val="single" w:sz="8" w:color="CCEEFF"/>
            </w:tcBorders>
          </w:tcPr>
          <w:p>
            <w:pPr>
              <w:spacing w:after="0"/>
              <w:rPr>
                <w:sz w:val="14"/>
                <w:szCs w:val="14"/>
                <w:color w:val="auto"/>
              </w:rPr>
            </w:pPr>
          </w:p>
        </w:tc>
        <w:tc>
          <w:tcPr>
            <w:tcW w:w="520" w:type="dxa"/>
            <w:vAlign w:val="bottom"/>
            <w:tcBorders>
              <w:bottom w:val="single" w:sz="8" w:color="auto"/>
            </w:tcBorders>
          </w:tcPr>
          <w:p>
            <w:pPr>
              <w:spacing w:after="0"/>
              <w:rPr>
                <w:sz w:val="14"/>
                <w:szCs w:val="14"/>
                <w:color w:val="auto"/>
              </w:rPr>
            </w:pPr>
          </w:p>
        </w:tc>
        <w:tc>
          <w:tcPr>
            <w:tcW w:w="8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3"/>
                <w:szCs w:val="13"/>
                <w:color w:val="auto"/>
              </w:rPr>
              <w:t>(8,424)</w:t>
            </w:r>
          </w:p>
        </w:tc>
      </w:tr>
      <w:tr>
        <w:trPr>
          <w:trHeight w:val="185"/>
        </w:trPr>
        <w:tc>
          <w:tcPr>
            <w:tcW w:w="8560" w:type="dxa"/>
            <w:vAlign w:val="bottom"/>
            <w:tcBorders>
              <w:bottom w:val="single" w:sz="8" w:color="CCEEFF"/>
            </w:tcBorders>
            <w:shd w:val="clear" w:color="auto" w:fill="CCEEFF"/>
          </w:tcPr>
          <w:p>
            <w:pPr>
              <w:ind w:left="280"/>
              <w:spacing w:after="0" w:line="147" w:lineRule="exact"/>
              <w:rPr>
                <w:sz w:val="20"/>
                <w:szCs w:val="20"/>
                <w:color w:val="auto"/>
              </w:rPr>
            </w:pPr>
            <w:r>
              <w:rPr>
                <w:rFonts w:ascii="Times New Roman" w:cs="Times New Roman" w:eastAsia="Times New Roman" w:hAnsi="Times New Roman"/>
                <w:sz w:val="13"/>
                <w:szCs w:val="13"/>
                <w:color w:val="auto"/>
              </w:rPr>
              <w:t>Property and equipment, net</w:t>
            </w:r>
          </w:p>
        </w:tc>
        <w:tc>
          <w:tcPr>
            <w:tcW w:w="800" w:type="dxa"/>
            <w:vAlign w:val="bottom"/>
            <w:tcBorders>
              <w:bottom w:val="single" w:sz="8" w:color="auto"/>
            </w:tcBorders>
            <w:shd w:val="clear" w:color="auto" w:fill="CCEEFF"/>
          </w:tcPr>
          <w:p>
            <w:pPr>
              <w:jc w:val="right"/>
              <w:ind w:right="656"/>
              <w:spacing w:after="0"/>
              <w:rPr>
                <w:sz w:val="20"/>
                <w:szCs w:val="20"/>
                <w:color w:val="auto"/>
              </w:rPr>
            </w:pPr>
            <w:r>
              <w:rPr>
                <w:rFonts w:ascii="Times New Roman" w:cs="Times New Roman" w:eastAsia="Times New Roman" w:hAnsi="Times New Roman"/>
                <w:sz w:val="13"/>
                <w:szCs w:val="13"/>
                <w:color w:val="auto"/>
                <w:w w:val="91"/>
              </w:rPr>
              <w:t>$</w:t>
            </w:r>
          </w:p>
        </w:tc>
        <w:tc>
          <w:tcPr>
            <w:tcW w:w="5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536</w:t>
            </w:r>
          </w:p>
        </w:tc>
        <w:tc>
          <w:tcPr>
            <w:tcW w:w="80" w:type="dxa"/>
            <w:vAlign w:val="bottom"/>
            <w:tcBorders>
              <w:bottom w:val="single" w:sz="8" w:color="CCEEFF"/>
            </w:tcBorders>
            <w:shd w:val="clear" w:color="auto" w:fill="CCEEFF"/>
          </w:tcPr>
          <w:p>
            <w:pPr>
              <w:spacing w:after="0"/>
              <w:rPr>
                <w:sz w:val="15"/>
                <w:szCs w:val="15"/>
                <w:color w:val="auto"/>
              </w:rPr>
            </w:pPr>
          </w:p>
        </w:tc>
        <w:tc>
          <w:tcPr>
            <w:tcW w:w="520" w:type="dxa"/>
            <w:vAlign w:val="bottom"/>
            <w:tcBorders>
              <w:bottom w:val="single" w:sz="8" w:color="auto"/>
            </w:tcBorders>
            <w:shd w:val="clear" w:color="auto" w:fill="CCEEFF"/>
          </w:tcPr>
          <w:p>
            <w:pPr>
              <w:jc w:val="right"/>
              <w:ind w:right="376"/>
              <w:spacing w:after="0"/>
              <w:rPr>
                <w:sz w:val="20"/>
                <w:szCs w:val="20"/>
                <w:color w:val="auto"/>
              </w:rPr>
            </w:pPr>
            <w:r>
              <w:rPr>
                <w:rFonts w:ascii="Times New Roman" w:cs="Times New Roman" w:eastAsia="Times New Roman" w:hAnsi="Times New Roman"/>
                <w:sz w:val="13"/>
                <w:szCs w:val="13"/>
                <w:color w:val="auto"/>
                <w:w w:val="91"/>
              </w:rPr>
              <w:t>$</w:t>
            </w:r>
          </w:p>
        </w:tc>
        <w:tc>
          <w:tcPr>
            <w:tcW w:w="8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951</w:t>
            </w:r>
          </w:p>
        </w:tc>
      </w:tr>
      <w:tr>
        <w:trPr>
          <w:trHeight w:val="20"/>
        </w:trPr>
        <w:tc>
          <w:tcPr>
            <w:tcW w:w="8560" w:type="dxa"/>
            <w:vAlign w:val="bottom"/>
            <w:tcBorders>
              <w:top w:val="single" w:sz="8" w:color="CCEEFF"/>
            </w:tcBorders>
          </w:tcPr>
          <w:p>
            <w:pPr>
              <w:spacing w:after="0" w:line="20" w:lineRule="exact"/>
              <w:rPr>
                <w:sz w:val="1"/>
                <w:szCs w:val="1"/>
                <w:color w:val="auto"/>
              </w:rPr>
            </w:pPr>
          </w:p>
        </w:tc>
        <w:tc>
          <w:tcPr>
            <w:tcW w:w="800" w:type="dxa"/>
            <w:vAlign w:val="bottom"/>
            <w:tcBorders>
              <w:top w:val="single" w:sz="8" w:color="CCEEFF"/>
              <w:bottom w:val="single" w:sz="8" w:color="auto"/>
            </w:tcBorders>
          </w:tcPr>
          <w:p>
            <w:pPr>
              <w:spacing w:after="0" w:line="20" w:lineRule="exact"/>
              <w:rPr>
                <w:sz w:val="1"/>
                <w:szCs w:val="1"/>
                <w:color w:val="auto"/>
              </w:rPr>
            </w:pPr>
          </w:p>
        </w:tc>
        <w:tc>
          <w:tcPr>
            <w:tcW w:w="520" w:type="dxa"/>
            <w:vAlign w:val="bottom"/>
            <w:tcBorders>
              <w:top w:val="single" w:sz="8" w:color="CCEEFF"/>
              <w:bottom w:val="single" w:sz="8" w:color="auto"/>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520" w:type="dxa"/>
            <w:vAlign w:val="bottom"/>
            <w:tcBorders>
              <w:top w:val="single" w:sz="8" w:color="CCEEFF"/>
              <w:bottom w:val="single" w:sz="8" w:color="auto"/>
            </w:tcBorders>
          </w:tcPr>
          <w:p>
            <w:pPr>
              <w:spacing w:after="0" w:line="20" w:lineRule="exact"/>
              <w:rPr>
                <w:sz w:val="1"/>
                <w:szCs w:val="1"/>
                <w:color w:val="auto"/>
              </w:rPr>
            </w:pPr>
          </w:p>
        </w:tc>
        <w:tc>
          <w:tcPr>
            <w:tcW w:w="800" w:type="dxa"/>
            <w:vAlign w:val="bottom"/>
            <w:tcBorders>
              <w:top w:val="single" w:sz="8" w:color="CCEEFF"/>
              <w:bottom w:val="single" w:sz="8" w:color="auto"/>
            </w:tcBorders>
          </w:tcPr>
          <w:p>
            <w:pPr>
              <w:spacing w:after="0" w:line="20" w:lineRule="exact"/>
              <w:rPr>
                <w:sz w:val="1"/>
                <w:szCs w:val="1"/>
                <w:color w:val="auto"/>
              </w:rPr>
            </w:pPr>
          </w:p>
        </w:tc>
      </w:tr>
    </w:tbl>
    <w:p>
      <w:pPr>
        <w:spacing w:after="0" w:line="134" w:lineRule="exact"/>
        <w:rPr>
          <w:sz w:val="20"/>
          <w:szCs w:val="20"/>
          <w:color w:val="auto"/>
        </w:rPr>
      </w:pPr>
    </w:p>
    <w:p>
      <w:pPr>
        <w:ind w:right="140" w:firstLine="382"/>
        <w:spacing w:after="0" w:line="287" w:lineRule="auto"/>
        <w:rPr>
          <w:sz w:val="20"/>
          <w:szCs w:val="20"/>
          <w:color w:val="auto"/>
        </w:rPr>
      </w:pPr>
      <w:r>
        <w:rPr>
          <w:rFonts w:ascii="Times New Roman" w:cs="Times New Roman" w:eastAsia="Times New Roman" w:hAnsi="Times New Roman"/>
          <w:sz w:val="14"/>
          <w:szCs w:val="14"/>
          <w:color w:val="auto"/>
        </w:rPr>
        <w:t>Depreciation expense, which is included in “General and administrative” expense on our Consolidated Statements of Operations, was $0.5 million, $0.6 million and $0.7 million for the years ended December 31, 2025, 2024 and 2023, respectively.</w:t>
      </w:r>
    </w:p>
    <w:p>
      <w:pPr>
        <w:spacing w:after="0" w:line="37" w:lineRule="exact"/>
        <w:rPr>
          <w:sz w:val="20"/>
          <w:szCs w:val="20"/>
          <w:color w:val="auto"/>
        </w:rPr>
      </w:pPr>
    </w:p>
    <w:p>
      <w:pPr>
        <w:ind w:right="8360" w:firstLine="5"/>
        <w:spacing w:after="0" w:line="381" w:lineRule="auto"/>
        <w:tabs>
          <w:tab w:leader="none" w:pos="212" w:val="left"/>
        </w:tabs>
        <w:numPr>
          <w:ilvl w:val="0"/>
          <w:numId w:val="28"/>
        </w:numPr>
        <w:rPr>
          <w:rFonts w:ascii="Times New Roman" w:cs="Times New Roman" w:eastAsia="Times New Roman" w:hAnsi="Times New Roman"/>
          <w:sz w:val="14"/>
          <w:szCs w:val="14"/>
          <w:b w:val="1"/>
          <w:bCs w:val="1"/>
          <w:color w:val="auto"/>
        </w:rPr>
      </w:pPr>
      <w:r>
        <w:rPr>
          <w:rFonts w:ascii="Times New Roman" w:cs="Times New Roman" w:eastAsia="Times New Roman" w:hAnsi="Times New Roman"/>
          <w:sz w:val="14"/>
          <w:szCs w:val="14"/>
          <w:b w:val="1"/>
          <w:bCs w:val="1"/>
          <w:color w:val="auto"/>
        </w:rPr>
        <w:t>COMMITMENTS AND CONTINGENCIES Purchase commitments</w:t>
      </w:r>
    </w:p>
    <w:p>
      <w:pPr>
        <w:jc w:val="both"/>
        <w:ind w:right="400" w:firstLine="382"/>
        <w:spacing w:after="0" w:line="270" w:lineRule="auto"/>
        <w:rPr>
          <w:sz w:val="20"/>
          <w:szCs w:val="20"/>
          <w:color w:val="auto"/>
        </w:rPr>
      </w:pPr>
      <w:r>
        <w:rPr>
          <w:rFonts w:ascii="Times New Roman" w:cs="Times New Roman" w:eastAsia="Times New Roman" w:hAnsi="Times New Roman"/>
          <w:sz w:val="14"/>
          <w:szCs w:val="14"/>
          <w:color w:val="auto"/>
        </w:rPr>
        <w:t>Our purchase commitments primarily consist of outsourced information technology services, software licenses and commitments for financial research tools. These commitments are not associated with suppliers’ financing arrangements, nor are these purchase obligations reflected as liabilities on our Consolidated Balance Sheets. As of December 31, 2025, we did not have any material off-balance sheet arrangements.</w:t>
      </w:r>
    </w:p>
    <w:p>
      <w:pPr>
        <w:spacing w:after="0" w:line="49"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b w:val="1"/>
          <w:bCs w:val="1"/>
          <w:color w:val="auto"/>
        </w:rPr>
        <w:t>Legal matter</w:t>
      </w:r>
    </w:p>
    <w:p>
      <w:pPr>
        <w:spacing w:after="0" w:line="96" w:lineRule="exact"/>
        <w:rPr>
          <w:sz w:val="20"/>
          <w:szCs w:val="20"/>
          <w:color w:val="auto"/>
        </w:rPr>
      </w:pPr>
    </w:p>
    <w:p>
      <w:pPr>
        <w:ind w:right="20" w:firstLine="382"/>
        <w:spacing w:after="0" w:line="270" w:lineRule="auto"/>
        <w:rPr>
          <w:sz w:val="20"/>
          <w:szCs w:val="20"/>
          <w:color w:val="auto"/>
        </w:rPr>
      </w:pPr>
      <w:r>
        <w:rPr>
          <w:rFonts w:ascii="Times New Roman" w:cs="Times New Roman" w:eastAsia="Times New Roman" w:hAnsi="Times New Roman"/>
          <w:sz w:val="14"/>
          <w:szCs w:val="14"/>
          <w:color w:val="auto"/>
        </w:rPr>
        <w:t>In February 2025, Westwood Trust, a subsidiary of the Company, was named as a defendant in a lawsuit filed in Dallas County Court relating to a life insurance policy held by a trust for which Westwood Trust serves as trustee. While the Company believes the claims asserted in the lawsuit are without merit and is vigorously defending its position, it is reasonably possible we may incur a loss as a result of this legal matter. The Company believes it is unable to estimate a range of possible loss at this time.</w:t>
      </w:r>
    </w:p>
    <w:p>
      <w:pPr>
        <w:spacing w:after="0" w:line="49"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b w:val="1"/>
          <w:bCs w:val="1"/>
          <w:color w:val="auto"/>
        </w:rPr>
        <w:t>15. REGULATORY CAPITAL REQUIREMENTS:</w:t>
      </w:r>
    </w:p>
    <w:p>
      <w:pPr>
        <w:spacing w:after="0" w:line="96" w:lineRule="exact"/>
        <w:rPr>
          <w:sz w:val="20"/>
          <w:szCs w:val="20"/>
          <w:color w:val="auto"/>
        </w:rPr>
      </w:pPr>
    </w:p>
    <w:p>
      <w:pPr>
        <w:jc w:val="both"/>
        <w:ind w:right="60" w:firstLine="382"/>
        <w:spacing w:after="0" w:line="270" w:lineRule="auto"/>
        <w:rPr>
          <w:sz w:val="20"/>
          <w:szCs w:val="20"/>
          <w:color w:val="auto"/>
        </w:rPr>
      </w:pPr>
      <w:r>
        <w:rPr>
          <w:rFonts w:ascii="Times New Roman" w:cs="Times New Roman" w:eastAsia="Times New Roman" w:hAnsi="Times New Roman"/>
          <w:sz w:val="14"/>
          <w:szCs w:val="14"/>
          <w:color w:val="auto"/>
        </w:rPr>
        <w:t>Westwood Trust must maintain cash and investments in an amount equal to the required minimum restricted capital of $4.0 million as required by the Texas Finance Code. Restricted capital is included in "Investments at fair value" in the accompanying Consolidated Balance Sheets. At December 31, 2025, Westwood Trust had approximately $13.2 million in excess of its minimum capital requirement.</w:t>
      </w:r>
    </w:p>
    <w:p>
      <w:pPr>
        <w:spacing w:after="0" w:line="51" w:lineRule="exact"/>
        <w:rPr>
          <w:sz w:val="20"/>
          <w:szCs w:val="20"/>
          <w:color w:val="auto"/>
        </w:rPr>
      </w:pPr>
    </w:p>
    <w:p>
      <w:pPr>
        <w:ind w:right="20" w:firstLine="382"/>
        <w:spacing w:after="0" w:line="270" w:lineRule="auto"/>
        <w:rPr>
          <w:sz w:val="20"/>
          <w:szCs w:val="20"/>
          <w:color w:val="auto"/>
        </w:rPr>
      </w:pPr>
      <w:r>
        <w:rPr>
          <w:rFonts w:ascii="Times New Roman" w:cs="Times New Roman" w:eastAsia="Times New Roman" w:hAnsi="Times New Roman"/>
          <w:sz w:val="14"/>
          <w:szCs w:val="14"/>
          <w:color w:val="auto"/>
        </w:rPr>
        <w:t>Westwood Trust is limited under applicable Texas law in the payment of dividends of undivided profits, which is that part of equity capital equal to the balance of net profits, income, gains and losses since formation minus subsequent distributions to stockholders and transfers to surplus or capital under share dividends or appropriate Board resolutions. At the discretion of its Board, Westwood Trust may make quarterly and special dividend payments, or other distributions, to Westwood out of its undivided profits. No dividend payments were made in 2025, 2024 or 2023.</w:t>
      </w:r>
    </w:p>
    <w:p>
      <w:pPr>
        <w:spacing w:after="0" w:line="200" w:lineRule="exact"/>
        <w:rPr>
          <w:sz w:val="20"/>
          <w:szCs w:val="20"/>
          <w:color w:val="auto"/>
        </w:rPr>
      </w:pPr>
    </w:p>
    <w:p>
      <w:pPr>
        <w:spacing w:after="0" w:line="20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4"/>
          <w:szCs w:val="14"/>
          <w:color w:val="auto"/>
        </w:rPr>
        <w:t>27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-8890</wp:posOffset>
            </wp:positionH>
            <wp:positionV relativeFrom="paragraph">
              <wp:posOffset>55880</wp:posOffset>
            </wp:positionV>
            <wp:extent cx="7186930" cy="38735"/>
            <wp:wrapNone/>
            <wp:docPr id="132" name="Picture 13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2"/>
                    <pic:cNvPicPr>
                      <a:picLocks noChangeAspect="1" noChangeArrowheads="1"/>
                    </pic:cNvPicPr>
                  </pic:nvPicPr>
                  <pic:blipFill>
                    <a:blip r:embed="rId139">
                      <a:extLst>
                        <a:ext uri="{28A0092B-C50C-407E-A947-70E740481C1C}"/>
                      </a:extLst>
                    </a:blip>
                    <a:srcRect/>
                    <a:stretch>
                      <a:fillRect/>
                    </a:stretch>
                  </pic:blipFill>
                  <pic:spPr bwMode="auto">
                    <a:xfrm>
                      <a:off x="0" y="0"/>
                      <a:ext cx="7186930" cy="38735"/>
                    </a:xfrm>
                    <a:prstGeom prst="rect">
                      <a:avLst/>
                    </a:prstGeom>
                    <a:noFill/>
                  </pic:spPr>
                </pic:pic>
              </a:graphicData>
            </a:graphic>
          </wp:anchor>
        </w:drawing>
      </w:r>
    </w:p>
    <w:p>
      <w:pPr>
        <w:sectPr>
          <w:pgSz w:w="11900" w:h="16838" w:orient="portrait"/>
          <w:cols w:equalWidth="0" w:num="1">
            <w:col w:w="11280"/>
          </w:cols>
          <w:pgMar w:left="300" w:top="123" w:right="319" w:bottom="1440" w:gutter="0" w:footer="0" w:header="0"/>
        </w:sectPr>
      </w:pPr>
    </w:p>
    <w:bookmarkStart w:id="69" w:name="page70"/>
    <w:bookmarkEnd w:id="69"/>
    <w:p>
      <w:pPr>
        <w:jc w:val="center"/>
        <w:spacing w:after="0"/>
        <w:rPr>
          <w:sz w:val="20"/>
          <w:szCs w:val="20"/>
          <w:color w:val="auto"/>
        </w:rPr>
      </w:pPr>
      <w:r>
        <w:rPr>
          <w:rFonts w:ascii="Times New Roman" w:cs="Times New Roman" w:eastAsia="Times New Roman" w:hAnsi="Times New Roman"/>
          <w:sz w:val="14"/>
          <w:szCs w:val="14"/>
          <w:b w:val="1"/>
          <w:bCs w:val="1"/>
          <w:color w:val="auto"/>
        </w:rPr>
        <w:t>WESTWOOD HOLDINGS GROUP, INC.</w:t>
      </w:r>
    </w:p>
    <w:p>
      <w:pPr>
        <w:spacing w:after="0" w:line="5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4"/>
          <w:szCs w:val="14"/>
          <w:b w:val="1"/>
          <w:bCs w:val="1"/>
          <w:color w:val="auto"/>
        </w:rPr>
        <w:t>NOTES TO CONSOLIDATED FINANCIAL STATEMENTS — (Continued)</w:t>
      </w:r>
    </w:p>
    <w:p>
      <w:pPr>
        <w:spacing w:after="0" w:line="318" w:lineRule="exact"/>
        <w:rPr>
          <w:sz w:val="20"/>
          <w:szCs w:val="20"/>
          <w:color w:val="auto"/>
        </w:rPr>
      </w:pPr>
    </w:p>
    <w:p>
      <w:pPr>
        <w:ind w:right="60" w:firstLine="382"/>
        <w:spacing w:after="0" w:line="261" w:lineRule="auto"/>
        <w:rPr>
          <w:sz w:val="20"/>
          <w:szCs w:val="20"/>
          <w:color w:val="auto"/>
        </w:rPr>
      </w:pPr>
      <w:r>
        <w:rPr>
          <w:rFonts w:ascii="Times New Roman" w:cs="Times New Roman" w:eastAsia="Times New Roman" w:hAnsi="Times New Roman"/>
          <w:sz w:val="14"/>
          <w:szCs w:val="14"/>
          <w:color w:val="auto"/>
        </w:rPr>
        <w:t>SCLP, a broker-dealer of the Company, is registered with the SEC as broker-dealers and members of FINRA. The Company’s broker-dealer subsidiaries are subject to SEC Uniform Net Capital Rule (Rule 15c3-1) which requires the maintenance of minimum net capital and requires that the ratio of aggregate indebtedness to net capital, both as defined, to not exceed 15 to 1. As such, they are subject to the minimum net capital requirements promulgated by the SEC. As of December 31, 2025, SCLP had net capital of $393.6 thousand which was $378.2 thousand in excess of its required minimum net capital of $15.4 thousand. As of December 31, 2024, SCLP had net capital of $282.2 thousand, which was $276.8 thousand in excess of its required minimum net capital of $5.4 thousand.</w:t>
      </w:r>
    </w:p>
    <w:p>
      <w:pPr>
        <w:spacing w:after="0" w:line="56"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b w:val="1"/>
          <w:bCs w:val="1"/>
          <w:color w:val="auto"/>
        </w:rPr>
        <w:t>16. VARIABLE INTEREST ENTITIES:</w:t>
      </w:r>
    </w:p>
    <w:p>
      <w:pPr>
        <w:spacing w:after="0" w:line="96" w:lineRule="exact"/>
        <w:rPr>
          <w:sz w:val="20"/>
          <w:szCs w:val="20"/>
          <w:color w:val="auto"/>
        </w:rPr>
      </w:pPr>
    </w:p>
    <w:p>
      <w:pPr>
        <w:ind w:right="40" w:firstLine="382"/>
        <w:spacing w:after="0" w:line="258" w:lineRule="auto"/>
        <w:rPr>
          <w:sz w:val="20"/>
          <w:szCs w:val="20"/>
          <w:color w:val="auto"/>
        </w:rPr>
      </w:pPr>
      <w:r>
        <w:rPr>
          <w:rFonts w:ascii="Times New Roman" w:cs="Times New Roman" w:eastAsia="Times New Roman" w:hAnsi="Times New Roman"/>
          <w:sz w:val="14"/>
          <w:szCs w:val="14"/>
          <w:color w:val="auto"/>
        </w:rPr>
        <w:t>As discussed in Note 2 “Summary of Significant Accounting Policies,” the CTFs, Private Funds, Zarvona Energy Fund II-A and WEBs (together the “Westwood VIEs”) are considered VIEs, and the Westwood Funds®, InvestCloud, Vista, Zarvona Energy Fund GP and TXSE are considered VOEs (together the “Westwood VOEs”). We receive fees for managing assets in these entities commensurate with market rates. As of December 31, 2025 and 2024, we evaluated all of the Westwood VIEs and Westwood VOEs to determine whether or not we should consolidate the entities into our Consolidated Financial Statements. For the Westwood VIEs, we evaluated whether or not we qualify as the primary beneficiary based on whether we have the obligation to absorb significant losses, the right to receive residual returns and the right to direct the activities of the entity that most significantly impact the entity’s economic performance, and concluded that we do not qualify as a primary beneficiary for those entities. For the Westwood VOEs, we evaluated whether or not we own a controlling financial interest in the entities, and we concluded that we do not. Based on our analyses, we have not consolidated the Westwood VIEs or Westwood VOEs into our Consolidated Financial Statements for the years ended December 31, 2025 or 2024.</w:t>
      </w:r>
    </w:p>
    <w:p>
      <w:pPr>
        <w:spacing w:after="0" w:line="62" w:lineRule="exact"/>
        <w:rPr>
          <w:sz w:val="20"/>
          <w:szCs w:val="20"/>
          <w:color w:val="auto"/>
        </w:rPr>
      </w:pPr>
    </w:p>
    <w:p>
      <w:pPr>
        <w:ind w:right="100" w:firstLine="382"/>
        <w:spacing w:after="0" w:line="270" w:lineRule="auto"/>
        <w:rPr>
          <w:sz w:val="20"/>
          <w:szCs w:val="20"/>
          <w:color w:val="auto"/>
        </w:rPr>
      </w:pPr>
      <w:r>
        <w:rPr>
          <w:rFonts w:ascii="Times New Roman" w:cs="Times New Roman" w:eastAsia="Times New Roman" w:hAnsi="Times New Roman"/>
          <w:sz w:val="14"/>
          <w:szCs w:val="14"/>
          <w:color w:val="auto"/>
        </w:rPr>
        <w:t>We have not otherwise provided any financial support that we were not previously contractually obligated to provide and there are no arrangements that would require us to provide additional financial support to any of these entities. Our seed investments in the Westwood Funds® are accounted for as investments in accordance with our other investments described in Note 6 “Investments.”</w:t>
      </w:r>
    </w:p>
    <w:p>
      <w:pPr>
        <w:spacing w:after="0" w:line="51" w:lineRule="exact"/>
        <w:rPr>
          <w:sz w:val="20"/>
          <w:szCs w:val="20"/>
          <w:color w:val="auto"/>
        </w:rPr>
      </w:pPr>
    </w:p>
    <w:p>
      <w:pPr>
        <w:ind w:right="120" w:firstLine="382"/>
        <w:spacing w:after="0" w:line="287" w:lineRule="auto"/>
        <w:rPr>
          <w:sz w:val="20"/>
          <w:szCs w:val="20"/>
          <w:color w:val="auto"/>
        </w:rPr>
      </w:pPr>
      <w:r>
        <w:rPr>
          <w:rFonts w:ascii="Times New Roman" w:cs="Times New Roman" w:eastAsia="Times New Roman" w:hAnsi="Times New Roman"/>
          <w:sz w:val="14"/>
          <w:szCs w:val="14"/>
          <w:color w:val="auto"/>
        </w:rPr>
        <w:t>We recognized fee revenue from the Westwood VIEs and Westwood VOEs of approximately $34.9 million, $33.0 million and $32.4 million for the years ended December 31, 2025, 2024 and 2023, respectively.</w:t>
      </w:r>
    </w:p>
    <w:p>
      <w:pPr>
        <w:spacing w:after="0" w:line="39" w:lineRule="exact"/>
        <w:rPr>
          <w:sz w:val="20"/>
          <w:szCs w:val="20"/>
          <w:color w:val="auto"/>
        </w:rPr>
      </w:pPr>
    </w:p>
    <w:p>
      <w:pPr>
        <w:ind w:right="280" w:firstLine="382"/>
        <w:spacing w:after="0" w:line="278" w:lineRule="auto"/>
        <w:rPr>
          <w:sz w:val="20"/>
          <w:szCs w:val="20"/>
          <w:color w:val="auto"/>
        </w:rPr>
      </w:pPr>
      <w:r>
        <w:rPr>
          <w:rFonts w:ascii="Times New Roman" w:cs="Times New Roman" w:eastAsia="Times New Roman" w:hAnsi="Times New Roman"/>
          <w:sz w:val="14"/>
          <w:szCs w:val="14"/>
          <w:color w:val="auto"/>
        </w:rPr>
        <w:t>The following table displays the AUM, the amount of our seed investments that are included in “Investments” and “Investments, at fair value” on the Consolidated Balance Sheets, and the financial risk of loss in each vehicle (in millions):</w:t>
      </w:r>
    </w:p>
    <w:tbl>
      <w:tblPr>
        <w:tblLayout w:type="fixed"/>
        <w:tblInd w:w="0" w:type="dxa"/>
        <w:tblCellMar>
          <w:top w:w="0" w:type="dxa"/>
          <w:left w:w="0" w:type="dxa"/>
          <w:bottom w:w="0" w:type="dxa"/>
          <w:right w:w="0" w:type="dxa"/>
        </w:tblCellMar>
      </w:tblPr>
      <w:tr>
        <w:trPr>
          <w:trHeight w:val="170"/>
        </w:trPr>
        <w:tc>
          <w:tcPr>
            <w:tcW w:w="7080" w:type="dxa"/>
            <w:vAlign w:val="bottom"/>
          </w:tcPr>
          <w:p>
            <w:pPr>
              <w:spacing w:after="0"/>
              <w:rPr>
                <w:sz w:val="14"/>
                <w:szCs w:val="14"/>
                <w:color w:val="auto"/>
              </w:rPr>
            </w:pPr>
          </w:p>
        </w:tc>
        <w:tc>
          <w:tcPr>
            <w:tcW w:w="880" w:type="dxa"/>
            <w:vAlign w:val="bottom"/>
            <w:tcBorders>
              <w:bottom w:val="single" w:sz="8" w:color="auto"/>
            </w:tcBorders>
          </w:tcPr>
          <w:p>
            <w:pPr>
              <w:spacing w:after="0"/>
              <w:rPr>
                <w:sz w:val="14"/>
                <w:szCs w:val="14"/>
                <w:color w:val="auto"/>
              </w:rPr>
            </w:pPr>
          </w:p>
        </w:tc>
        <w:tc>
          <w:tcPr>
            <w:tcW w:w="460" w:type="dxa"/>
            <w:vAlign w:val="bottom"/>
            <w:tcBorders>
              <w:bottom w:val="single" w:sz="8" w:color="auto"/>
            </w:tcBorders>
          </w:tcPr>
          <w:p>
            <w:pPr>
              <w:spacing w:after="0"/>
              <w:rPr>
                <w:sz w:val="14"/>
                <w:szCs w:val="14"/>
                <w:color w:val="auto"/>
              </w:rPr>
            </w:pPr>
          </w:p>
        </w:tc>
        <w:tc>
          <w:tcPr>
            <w:tcW w:w="1680" w:type="dxa"/>
            <w:vAlign w:val="bottom"/>
            <w:tcBorders>
              <w:bottom w:val="single" w:sz="8" w:color="auto"/>
            </w:tcBorders>
            <w:gridSpan w:val="5"/>
          </w:tcPr>
          <w:p>
            <w:pPr>
              <w:jc w:val="center"/>
              <w:ind w:right="140"/>
              <w:spacing w:after="0"/>
              <w:rPr>
                <w:sz w:val="20"/>
                <w:szCs w:val="20"/>
                <w:color w:val="auto"/>
              </w:rPr>
            </w:pPr>
            <w:r>
              <w:rPr>
                <w:rFonts w:ascii="Times New Roman" w:cs="Times New Roman" w:eastAsia="Times New Roman" w:hAnsi="Times New Roman"/>
                <w:sz w:val="13"/>
                <w:szCs w:val="13"/>
                <w:b w:val="1"/>
                <w:bCs w:val="1"/>
                <w:color w:val="auto"/>
                <w:w w:val="97"/>
              </w:rPr>
              <w:t>As of December 31, 2025</w:t>
            </w:r>
          </w:p>
        </w:tc>
        <w:tc>
          <w:tcPr>
            <w:tcW w:w="1180" w:type="dxa"/>
            <w:vAlign w:val="bottom"/>
            <w:tcBorders>
              <w:bottom w:val="single" w:sz="8" w:color="auto"/>
            </w:tcBorders>
          </w:tcPr>
          <w:p>
            <w:pPr>
              <w:spacing w:after="0"/>
              <w:rPr>
                <w:sz w:val="14"/>
                <w:szCs w:val="14"/>
                <w:color w:val="auto"/>
              </w:rPr>
            </w:pPr>
          </w:p>
        </w:tc>
        <w:tc>
          <w:tcPr>
            <w:tcW w:w="0" w:type="dxa"/>
            <w:vAlign w:val="bottom"/>
          </w:tcPr>
          <w:p>
            <w:pPr>
              <w:spacing w:after="0"/>
              <w:rPr>
                <w:sz w:val="1"/>
                <w:szCs w:val="1"/>
                <w:color w:val="auto"/>
              </w:rPr>
            </w:pPr>
          </w:p>
        </w:tc>
      </w:tr>
      <w:tr>
        <w:trPr>
          <w:trHeight w:val="120"/>
        </w:trPr>
        <w:tc>
          <w:tcPr>
            <w:tcW w:w="7080" w:type="dxa"/>
            <w:vAlign w:val="bottom"/>
          </w:tcPr>
          <w:p>
            <w:pPr>
              <w:spacing w:after="0"/>
              <w:rPr>
                <w:sz w:val="10"/>
                <w:szCs w:val="10"/>
                <w:color w:val="auto"/>
              </w:rPr>
            </w:pPr>
          </w:p>
        </w:tc>
        <w:tc>
          <w:tcPr>
            <w:tcW w:w="880" w:type="dxa"/>
            <w:vAlign w:val="bottom"/>
          </w:tcPr>
          <w:p>
            <w:pPr>
              <w:jc w:val="center"/>
              <w:ind w:left="396"/>
              <w:spacing w:after="0" w:line="120" w:lineRule="exact"/>
              <w:rPr>
                <w:sz w:val="20"/>
                <w:szCs w:val="20"/>
                <w:color w:val="auto"/>
              </w:rPr>
            </w:pPr>
            <w:r>
              <w:rPr>
                <w:rFonts w:ascii="Times New Roman" w:cs="Times New Roman" w:eastAsia="Times New Roman" w:hAnsi="Times New Roman"/>
                <w:sz w:val="13"/>
                <w:szCs w:val="13"/>
                <w:b w:val="1"/>
                <w:bCs w:val="1"/>
                <w:color w:val="auto"/>
                <w:w w:val="97"/>
              </w:rPr>
              <w:t>Assets</w:t>
            </w:r>
          </w:p>
        </w:tc>
        <w:tc>
          <w:tcPr>
            <w:tcW w:w="46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220" w:type="dxa"/>
            <w:vAlign w:val="bottom"/>
          </w:tcPr>
          <w:p>
            <w:pPr>
              <w:spacing w:after="0"/>
              <w:rPr>
                <w:sz w:val="10"/>
                <w:szCs w:val="10"/>
                <w:color w:val="auto"/>
              </w:rPr>
            </w:pPr>
          </w:p>
        </w:tc>
        <w:tc>
          <w:tcPr>
            <w:tcW w:w="1360" w:type="dxa"/>
            <w:vAlign w:val="bottom"/>
            <w:gridSpan w:val="3"/>
            <w:vMerge w:val="restart"/>
          </w:tcPr>
          <w:p>
            <w:pPr>
              <w:jc w:val="center"/>
              <w:ind w:right="480"/>
              <w:spacing w:after="0"/>
              <w:rPr>
                <w:sz w:val="20"/>
                <w:szCs w:val="20"/>
                <w:color w:val="auto"/>
              </w:rPr>
            </w:pPr>
            <w:r>
              <w:rPr>
                <w:rFonts w:ascii="Times New Roman" w:cs="Times New Roman" w:eastAsia="Times New Roman" w:hAnsi="Times New Roman"/>
                <w:sz w:val="13"/>
                <w:szCs w:val="13"/>
                <w:b w:val="1"/>
                <w:bCs w:val="1"/>
                <w:color w:val="auto"/>
                <w:w w:val="96"/>
              </w:rPr>
              <w:t>Corporate</w:t>
            </w:r>
          </w:p>
        </w:tc>
        <w:tc>
          <w:tcPr>
            <w:tcW w:w="118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127"/>
        </w:trPr>
        <w:tc>
          <w:tcPr>
            <w:tcW w:w="7080" w:type="dxa"/>
            <w:vAlign w:val="bottom"/>
          </w:tcPr>
          <w:p>
            <w:pPr>
              <w:spacing w:after="0"/>
              <w:rPr>
                <w:sz w:val="11"/>
                <w:szCs w:val="11"/>
                <w:color w:val="auto"/>
              </w:rPr>
            </w:pPr>
          </w:p>
        </w:tc>
        <w:tc>
          <w:tcPr>
            <w:tcW w:w="880" w:type="dxa"/>
            <w:vAlign w:val="bottom"/>
          </w:tcPr>
          <w:p>
            <w:pPr>
              <w:jc w:val="center"/>
              <w:ind w:left="396"/>
              <w:spacing w:after="0" w:line="128" w:lineRule="exact"/>
              <w:rPr>
                <w:sz w:val="20"/>
                <w:szCs w:val="20"/>
                <w:color w:val="auto"/>
              </w:rPr>
            </w:pPr>
            <w:r>
              <w:rPr>
                <w:rFonts w:ascii="Times New Roman" w:cs="Times New Roman" w:eastAsia="Times New Roman" w:hAnsi="Times New Roman"/>
                <w:sz w:val="13"/>
                <w:szCs w:val="13"/>
                <w:b w:val="1"/>
                <w:bCs w:val="1"/>
                <w:color w:val="auto"/>
                <w:w w:val="95"/>
              </w:rPr>
              <w:t>Under</w:t>
            </w:r>
          </w:p>
        </w:tc>
        <w:tc>
          <w:tcPr>
            <w:tcW w:w="46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1360" w:type="dxa"/>
            <w:vAlign w:val="bottom"/>
            <w:gridSpan w:val="3"/>
            <w:vMerge w:val="continue"/>
          </w:tcPr>
          <w:p>
            <w:pPr>
              <w:spacing w:after="0"/>
              <w:rPr>
                <w:sz w:val="11"/>
                <w:szCs w:val="11"/>
                <w:color w:val="auto"/>
              </w:rPr>
            </w:pPr>
          </w:p>
        </w:tc>
        <w:tc>
          <w:tcPr>
            <w:tcW w:w="1180" w:type="dxa"/>
            <w:vAlign w:val="bottom"/>
            <w:vMerge w:val="restart"/>
          </w:tcPr>
          <w:p>
            <w:pPr>
              <w:jc w:val="right"/>
              <w:ind w:right="176"/>
              <w:spacing w:after="0"/>
              <w:rPr>
                <w:sz w:val="20"/>
                <w:szCs w:val="20"/>
                <w:color w:val="auto"/>
              </w:rPr>
            </w:pPr>
            <w:r>
              <w:rPr>
                <w:rFonts w:ascii="Times New Roman" w:cs="Times New Roman" w:eastAsia="Times New Roman" w:hAnsi="Times New Roman"/>
                <w:sz w:val="13"/>
                <w:szCs w:val="13"/>
                <w:b w:val="1"/>
                <w:bCs w:val="1"/>
                <w:color w:val="auto"/>
              </w:rPr>
              <w:t>Amount at Risk</w:t>
            </w:r>
          </w:p>
        </w:tc>
        <w:tc>
          <w:tcPr>
            <w:tcW w:w="0" w:type="dxa"/>
            <w:vAlign w:val="bottom"/>
          </w:tcPr>
          <w:p>
            <w:pPr>
              <w:spacing w:after="0"/>
              <w:rPr>
                <w:sz w:val="1"/>
                <w:szCs w:val="1"/>
                <w:color w:val="auto"/>
              </w:rPr>
            </w:pPr>
          </w:p>
        </w:tc>
      </w:tr>
      <w:tr>
        <w:trPr>
          <w:trHeight w:val="169"/>
        </w:trPr>
        <w:tc>
          <w:tcPr>
            <w:tcW w:w="7080" w:type="dxa"/>
            <w:vAlign w:val="bottom"/>
          </w:tcPr>
          <w:p>
            <w:pPr>
              <w:spacing w:after="0"/>
              <w:rPr>
                <w:sz w:val="14"/>
                <w:szCs w:val="14"/>
                <w:color w:val="auto"/>
              </w:rPr>
            </w:pPr>
          </w:p>
        </w:tc>
        <w:tc>
          <w:tcPr>
            <w:tcW w:w="1340" w:type="dxa"/>
            <w:vAlign w:val="bottom"/>
            <w:gridSpan w:val="2"/>
          </w:tcPr>
          <w:p>
            <w:pPr>
              <w:jc w:val="center"/>
              <w:spacing w:after="0"/>
              <w:rPr>
                <w:sz w:val="20"/>
                <w:szCs w:val="20"/>
                <w:color w:val="auto"/>
              </w:rPr>
            </w:pPr>
            <w:r>
              <w:rPr>
                <w:rFonts w:ascii="Times New Roman" w:cs="Times New Roman" w:eastAsia="Times New Roman" w:hAnsi="Times New Roman"/>
                <w:sz w:val="13"/>
                <w:szCs w:val="13"/>
                <w:b w:val="1"/>
                <w:bCs w:val="1"/>
                <w:color w:val="auto"/>
                <w:w w:val="95"/>
              </w:rPr>
              <w:t>Management</w:t>
            </w:r>
          </w:p>
        </w:tc>
        <w:tc>
          <w:tcPr>
            <w:tcW w:w="10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1360" w:type="dxa"/>
            <w:vAlign w:val="bottom"/>
            <w:gridSpan w:val="3"/>
          </w:tcPr>
          <w:p>
            <w:pPr>
              <w:jc w:val="center"/>
              <w:ind w:right="480"/>
              <w:spacing w:after="0"/>
              <w:rPr>
                <w:sz w:val="20"/>
                <w:szCs w:val="20"/>
                <w:color w:val="auto"/>
              </w:rPr>
            </w:pPr>
            <w:r>
              <w:rPr>
                <w:rFonts w:ascii="Times New Roman" w:cs="Times New Roman" w:eastAsia="Times New Roman" w:hAnsi="Times New Roman"/>
                <w:sz w:val="13"/>
                <w:szCs w:val="13"/>
                <w:b w:val="1"/>
                <w:bCs w:val="1"/>
                <w:color w:val="auto"/>
                <w:w w:val="96"/>
              </w:rPr>
              <w:t>Investment</w:t>
            </w:r>
          </w:p>
        </w:tc>
        <w:tc>
          <w:tcPr>
            <w:tcW w:w="1180" w:type="dxa"/>
            <w:vAlign w:val="bottom"/>
            <w:vMerge w:val="continue"/>
          </w:tcPr>
          <w:p>
            <w:pPr>
              <w:spacing w:after="0"/>
              <w:rPr>
                <w:sz w:val="14"/>
                <w:szCs w:val="14"/>
                <w:color w:val="auto"/>
              </w:rPr>
            </w:pPr>
          </w:p>
        </w:tc>
        <w:tc>
          <w:tcPr>
            <w:tcW w:w="0" w:type="dxa"/>
            <w:vAlign w:val="bottom"/>
          </w:tcPr>
          <w:p>
            <w:pPr>
              <w:spacing w:after="0"/>
              <w:rPr>
                <w:sz w:val="1"/>
                <w:szCs w:val="1"/>
                <w:color w:val="auto"/>
              </w:rPr>
            </w:pPr>
          </w:p>
        </w:tc>
      </w:tr>
      <w:tr>
        <w:trPr>
          <w:trHeight w:val="151"/>
        </w:trPr>
        <w:tc>
          <w:tcPr>
            <w:tcW w:w="7080" w:type="dxa"/>
            <w:vAlign w:val="bottom"/>
            <w:tcBorders>
              <w:top w:val="single" w:sz="8" w:color="CCEEFF"/>
            </w:tcBorders>
            <w:shd w:val="clear" w:color="auto" w:fill="CCEEFF"/>
          </w:tcPr>
          <w:p>
            <w:pPr>
              <w:ind w:left="20"/>
              <w:spacing w:after="0" w:line="147" w:lineRule="exact"/>
              <w:rPr>
                <w:sz w:val="20"/>
                <w:szCs w:val="20"/>
                <w:color w:val="auto"/>
              </w:rPr>
            </w:pPr>
            <w:r>
              <w:rPr>
                <w:rFonts w:ascii="Times New Roman" w:cs="Times New Roman" w:eastAsia="Times New Roman" w:hAnsi="Times New Roman"/>
                <w:sz w:val="13"/>
                <w:szCs w:val="13"/>
                <w:color w:val="auto"/>
              </w:rPr>
              <w:t>VIEs/VOEs:</w:t>
            </w:r>
          </w:p>
        </w:tc>
        <w:tc>
          <w:tcPr>
            <w:tcW w:w="880" w:type="dxa"/>
            <w:vAlign w:val="bottom"/>
            <w:tcBorders>
              <w:top w:val="single" w:sz="8" w:color="auto"/>
            </w:tcBorders>
            <w:shd w:val="clear" w:color="auto" w:fill="CCEEFF"/>
          </w:tcPr>
          <w:p>
            <w:pPr>
              <w:spacing w:after="0"/>
              <w:rPr>
                <w:sz w:val="13"/>
                <w:szCs w:val="13"/>
                <w:color w:val="auto"/>
              </w:rPr>
            </w:pPr>
          </w:p>
        </w:tc>
        <w:tc>
          <w:tcPr>
            <w:tcW w:w="460" w:type="dxa"/>
            <w:vAlign w:val="bottom"/>
            <w:tcBorders>
              <w:top w:val="single" w:sz="8" w:color="auto"/>
            </w:tcBorders>
            <w:shd w:val="clear" w:color="auto" w:fill="CCEEFF"/>
          </w:tcPr>
          <w:p>
            <w:pPr>
              <w:spacing w:after="0"/>
              <w:rPr>
                <w:sz w:val="13"/>
                <w:szCs w:val="13"/>
                <w:color w:val="auto"/>
              </w:rPr>
            </w:pPr>
          </w:p>
        </w:tc>
        <w:tc>
          <w:tcPr>
            <w:tcW w:w="100" w:type="dxa"/>
            <w:vAlign w:val="bottom"/>
            <w:tcBorders>
              <w:top w:val="single" w:sz="8" w:color="CCEEFF"/>
            </w:tcBorders>
            <w:shd w:val="clear" w:color="auto" w:fill="CCEEFF"/>
          </w:tcPr>
          <w:p>
            <w:pPr>
              <w:spacing w:after="0"/>
              <w:rPr>
                <w:sz w:val="13"/>
                <w:szCs w:val="13"/>
                <w:color w:val="auto"/>
              </w:rPr>
            </w:pPr>
          </w:p>
        </w:tc>
        <w:tc>
          <w:tcPr>
            <w:tcW w:w="220" w:type="dxa"/>
            <w:vAlign w:val="bottom"/>
            <w:tcBorders>
              <w:top w:val="single" w:sz="8" w:color="auto"/>
            </w:tcBorders>
            <w:shd w:val="clear" w:color="auto" w:fill="CCEEFF"/>
          </w:tcPr>
          <w:p>
            <w:pPr>
              <w:spacing w:after="0"/>
              <w:rPr>
                <w:sz w:val="13"/>
                <w:szCs w:val="13"/>
                <w:color w:val="auto"/>
              </w:rPr>
            </w:pPr>
          </w:p>
        </w:tc>
        <w:tc>
          <w:tcPr>
            <w:tcW w:w="1120" w:type="dxa"/>
            <w:vAlign w:val="bottom"/>
            <w:tcBorders>
              <w:top w:val="single" w:sz="8" w:color="auto"/>
            </w:tcBorders>
            <w:shd w:val="clear" w:color="auto" w:fill="CCEEFF"/>
          </w:tcPr>
          <w:p>
            <w:pPr>
              <w:spacing w:after="0"/>
              <w:rPr>
                <w:sz w:val="13"/>
                <w:szCs w:val="13"/>
                <w:color w:val="auto"/>
              </w:rPr>
            </w:pPr>
          </w:p>
        </w:tc>
        <w:tc>
          <w:tcPr>
            <w:tcW w:w="80" w:type="dxa"/>
            <w:vAlign w:val="bottom"/>
            <w:tcBorders>
              <w:top w:val="single" w:sz="8" w:color="CCEEFF"/>
            </w:tcBorders>
            <w:shd w:val="clear" w:color="auto" w:fill="CCEEFF"/>
          </w:tcPr>
          <w:p>
            <w:pPr>
              <w:spacing w:after="0"/>
              <w:rPr>
                <w:sz w:val="13"/>
                <w:szCs w:val="13"/>
                <w:color w:val="auto"/>
              </w:rPr>
            </w:pPr>
          </w:p>
        </w:tc>
        <w:tc>
          <w:tcPr>
            <w:tcW w:w="160" w:type="dxa"/>
            <w:vAlign w:val="bottom"/>
            <w:tcBorders>
              <w:top w:val="single" w:sz="8" w:color="auto"/>
            </w:tcBorders>
            <w:shd w:val="clear" w:color="auto" w:fill="CCEEFF"/>
          </w:tcPr>
          <w:p>
            <w:pPr>
              <w:spacing w:after="0"/>
              <w:rPr>
                <w:sz w:val="13"/>
                <w:szCs w:val="13"/>
                <w:color w:val="auto"/>
              </w:rPr>
            </w:pPr>
          </w:p>
        </w:tc>
        <w:tc>
          <w:tcPr>
            <w:tcW w:w="1180" w:type="dxa"/>
            <w:vAlign w:val="bottom"/>
            <w:tcBorders>
              <w:top w:val="single" w:sz="8" w:color="auto"/>
            </w:tcBorders>
            <w:shd w:val="clear" w:color="auto" w:fill="CCEEFF"/>
          </w:tcPr>
          <w:p>
            <w:pPr>
              <w:spacing w:after="0"/>
              <w:rPr>
                <w:sz w:val="13"/>
                <w:szCs w:val="13"/>
                <w:color w:val="auto"/>
              </w:rPr>
            </w:pPr>
          </w:p>
        </w:tc>
        <w:tc>
          <w:tcPr>
            <w:tcW w:w="0" w:type="dxa"/>
            <w:vAlign w:val="bottom"/>
          </w:tcPr>
          <w:p>
            <w:pPr>
              <w:spacing w:after="0"/>
              <w:rPr>
                <w:sz w:val="1"/>
                <w:szCs w:val="1"/>
                <w:color w:val="auto"/>
              </w:rPr>
            </w:pPr>
          </w:p>
        </w:tc>
      </w:tr>
      <w:tr>
        <w:trPr>
          <w:trHeight w:val="168"/>
        </w:trPr>
        <w:tc>
          <w:tcPr>
            <w:tcW w:w="7080" w:type="dxa"/>
            <w:vAlign w:val="bottom"/>
          </w:tcPr>
          <w:p>
            <w:pPr>
              <w:ind w:left="280"/>
              <w:spacing w:after="0"/>
              <w:rPr>
                <w:sz w:val="20"/>
                <w:szCs w:val="20"/>
                <w:color w:val="auto"/>
              </w:rPr>
            </w:pPr>
            <w:r>
              <w:rPr>
                <w:rFonts w:ascii="Times New Roman" w:cs="Times New Roman" w:eastAsia="Times New Roman" w:hAnsi="Times New Roman"/>
                <w:sz w:val="13"/>
                <w:szCs w:val="13"/>
                <w:color w:val="auto"/>
              </w:rPr>
              <w:t>Westwood Funds®</w:t>
            </w:r>
          </w:p>
        </w:tc>
        <w:tc>
          <w:tcPr>
            <w:tcW w:w="880" w:type="dxa"/>
            <w:vAlign w:val="bottom"/>
          </w:tcPr>
          <w:p>
            <w:pPr>
              <w:jc w:val="right"/>
              <w:ind w:right="736"/>
              <w:spacing w:after="0"/>
              <w:rPr>
                <w:sz w:val="20"/>
                <w:szCs w:val="20"/>
                <w:color w:val="auto"/>
              </w:rPr>
            </w:pPr>
            <w:r>
              <w:rPr>
                <w:rFonts w:ascii="Times New Roman" w:cs="Times New Roman" w:eastAsia="Times New Roman" w:hAnsi="Times New Roman"/>
                <w:sz w:val="13"/>
                <w:szCs w:val="13"/>
                <w:color w:val="auto"/>
                <w:w w:val="91"/>
              </w:rPr>
              <w:t>$</w:t>
            </w:r>
          </w:p>
        </w:tc>
        <w:tc>
          <w:tcPr>
            <w:tcW w:w="46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3,890</w:t>
            </w:r>
          </w:p>
        </w:tc>
        <w:tc>
          <w:tcPr>
            <w:tcW w:w="320" w:type="dxa"/>
            <w:vAlign w:val="bottom"/>
            <w:gridSpan w:val="2"/>
          </w:tcPr>
          <w:p>
            <w:pPr>
              <w:jc w:val="right"/>
              <w:ind w:right="140"/>
              <w:spacing w:after="0"/>
              <w:rPr>
                <w:sz w:val="20"/>
                <w:szCs w:val="20"/>
                <w:color w:val="auto"/>
              </w:rPr>
            </w:pPr>
            <w:r>
              <w:rPr>
                <w:rFonts w:ascii="Times New Roman" w:cs="Times New Roman" w:eastAsia="Times New Roman" w:hAnsi="Times New Roman"/>
                <w:sz w:val="13"/>
                <w:szCs w:val="13"/>
                <w:color w:val="auto"/>
              </w:rPr>
              <w:t>$</w:t>
            </w:r>
          </w:p>
        </w:tc>
        <w:tc>
          <w:tcPr>
            <w:tcW w:w="1360" w:type="dxa"/>
            <w:vAlign w:val="bottom"/>
            <w:gridSpan w:val="3"/>
          </w:tcPr>
          <w:p>
            <w:pPr>
              <w:ind w:left="940"/>
              <w:spacing w:after="0"/>
              <w:rPr>
                <w:sz w:val="20"/>
                <w:szCs w:val="20"/>
                <w:color w:val="auto"/>
              </w:rPr>
            </w:pPr>
            <w:r>
              <w:rPr>
                <w:rFonts w:ascii="Times New Roman" w:cs="Times New Roman" w:eastAsia="Times New Roman" w:hAnsi="Times New Roman"/>
                <w:sz w:val="13"/>
                <w:szCs w:val="13"/>
                <w:color w:val="auto"/>
              </w:rPr>
              <w:t>—   $</w:t>
            </w:r>
          </w:p>
        </w:tc>
        <w:tc>
          <w:tcPr>
            <w:tcW w:w="118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w:t>
            </w:r>
          </w:p>
        </w:tc>
        <w:tc>
          <w:tcPr>
            <w:tcW w:w="0" w:type="dxa"/>
            <w:vAlign w:val="bottom"/>
          </w:tcPr>
          <w:p>
            <w:pPr>
              <w:spacing w:after="0"/>
              <w:rPr>
                <w:sz w:val="1"/>
                <w:szCs w:val="1"/>
                <w:color w:val="auto"/>
              </w:rPr>
            </w:pPr>
          </w:p>
        </w:tc>
      </w:tr>
      <w:tr>
        <w:trPr>
          <w:trHeight w:val="172"/>
        </w:trPr>
        <w:tc>
          <w:tcPr>
            <w:tcW w:w="7080" w:type="dxa"/>
            <w:vAlign w:val="bottom"/>
            <w:shd w:val="clear" w:color="auto" w:fill="CCEEFF"/>
          </w:tcPr>
          <w:p>
            <w:pPr>
              <w:ind w:left="280"/>
              <w:spacing w:after="0"/>
              <w:rPr>
                <w:sz w:val="20"/>
                <w:szCs w:val="20"/>
                <w:color w:val="auto"/>
              </w:rPr>
            </w:pPr>
            <w:r>
              <w:rPr>
                <w:rFonts w:ascii="Times New Roman" w:cs="Times New Roman" w:eastAsia="Times New Roman" w:hAnsi="Times New Roman"/>
                <w:sz w:val="13"/>
                <w:szCs w:val="13"/>
                <w:color w:val="auto"/>
              </w:rPr>
              <w:t>Common Trust Funds</w:t>
            </w:r>
          </w:p>
        </w:tc>
        <w:tc>
          <w:tcPr>
            <w:tcW w:w="880" w:type="dxa"/>
            <w:vAlign w:val="bottom"/>
            <w:shd w:val="clear" w:color="auto" w:fill="CCEEFF"/>
          </w:tcPr>
          <w:p>
            <w:pPr>
              <w:spacing w:after="0"/>
              <w:rPr>
                <w:sz w:val="14"/>
                <w:szCs w:val="14"/>
                <w:color w:val="auto"/>
              </w:rPr>
            </w:pPr>
          </w:p>
        </w:tc>
        <w:tc>
          <w:tcPr>
            <w:tcW w:w="4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600</w:t>
            </w:r>
          </w:p>
        </w:tc>
        <w:tc>
          <w:tcPr>
            <w:tcW w:w="100" w:type="dxa"/>
            <w:vAlign w:val="bottom"/>
            <w:shd w:val="clear" w:color="auto" w:fill="CCEEFF"/>
          </w:tcPr>
          <w:p>
            <w:pPr>
              <w:spacing w:after="0"/>
              <w:rPr>
                <w:sz w:val="14"/>
                <w:szCs w:val="14"/>
                <w:color w:val="auto"/>
              </w:rPr>
            </w:pPr>
          </w:p>
        </w:tc>
        <w:tc>
          <w:tcPr>
            <w:tcW w:w="220" w:type="dxa"/>
            <w:vAlign w:val="bottom"/>
            <w:shd w:val="clear" w:color="auto" w:fill="CCEEFF"/>
          </w:tcPr>
          <w:p>
            <w:pPr>
              <w:spacing w:after="0"/>
              <w:rPr>
                <w:sz w:val="14"/>
                <w:szCs w:val="14"/>
                <w:color w:val="auto"/>
              </w:rPr>
            </w:pPr>
          </w:p>
        </w:tc>
        <w:tc>
          <w:tcPr>
            <w:tcW w:w="1360" w:type="dxa"/>
            <w:vAlign w:val="bottom"/>
            <w:gridSpan w:val="3"/>
            <w:shd w:val="clear" w:color="auto" w:fill="CCEEFF"/>
          </w:tcPr>
          <w:p>
            <w:pPr>
              <w:jc w:val="right"/>
              <w:ind w:right="300"/>
              <w:spacing w:after="0"/>
              <w:rPr>
                <w:sz w:val="20"/>
                <w:szCs w:val="20"/>
                <w:color w:val="auto"/>
              </w:rPr>
            </w:pPr>
            <w:r>
              <w:rPr>
                <w:rFonts w:ascii="Times New Roman" w:cs="Times New Roman" w:eastAsia="Times New Roman" w:hAnsi="Times New Roman"/>
                <w:sz w:val="13"/>
                <w:szCs w:val="13"/>
                <w:color w:val="auto"/>
              </w:rPr>
              <w:t>—</w:t>
            </w:r>
          </w:p>
        </w:tc>
        <w:tc>
          <w:tcPr>
            <w:tcW w:w="11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w:t>
            </w:r>
          </w:p>
        </w:tc>
        <w:tc>
          <w:tcPr>
            <w:tcW w:w="0" w:type="dxa"/>
            <w:vAlign w:val="bottom"/>
          </w:tcPr>
          <w:p>
            <w:pPr>
              <w:spacing w:after="0"/>
              <w:rPr>
                <w:sz w:val="1"/>
                <w:szCs w:val="1"/>
                <w:color w:val="auto"/>
              </w:rPr>
            </w:pPr>
          </w:p>
        </w:tc>
      </w:tr>
      <w:tr>
        <w:trPr>
          <w:trHeight w:val="168"/>
        </w:trPr>
        <w:tc>
          <w:tcPr>
            <w:tcW w:w="7080" w:type="dxa"/>
            <w:vAlign w:val="bottom"/>
          </w:tcPr>
          <w:p>
            <w:pPr>
              <w:ind w:left="280"/>
              <w:spacing w:after="0"/>
              <w:rPr>
                <w:sz w:val="20"/>
                <w:szCs w:val="20"/>
                <w:color w:val="auto"/>
              </w:rPr>
            </w:pPr>
            <w:r>
              <w:rPr>
                <w:rFonts w:ascii="Times New Roman" w:cs="Times New Roman" w:eastAsia="Times New Roman" w:hAnsi="Times New Roman"/>
                <w:sz w:val="13"/>
                <w:szCs w:val="13"/>
                <w:color w:val="auto"/>
              </w:rPr>
              <w:t>Private Funds</w:t>
            </w:r>
          </w:p>
        </w:tc>
        <w:tc>
          <w:tcPr>
            <w:tcW w:w="880" w:type="dxa"/>
            <w:vAlign w:val="bottom"/>
          </w:tcPr>
          <w:p>
            <w:pPr>
              <w:spacing w:after="0"/>
              <w:rPr>
                <w:sz w:val="14"/>
                <w:szCs w:val="14"/>
                <w:color w:val="auto"/>
              </w:rPr>
            </w:pPr>
          </w:p>
        </w:tc>
        <w:tc>
          <w:tcPr>
            <w:tcW w:w="46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315</w:t>
            </w:r>
          </w:p>
        </w:tc>
        <w:tc>
          <w:tcPr>
            <w:tcW w:w="10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112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0.2</w:t>
            </w:r>
          </w:p>
        </w:tc>
        <w:tc>
          <w:tcPr>
            <w:tcW w:w="8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118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0.2</w:t>
            </w:r>
          </w:p>
        </w:tc>
        <w:tc>
          <w:tcPr>
            <w:tcW w:w="0" w:type="dxa"/>
            <w:vAlign w:val="bottom"/>
          </w:tcPr>
          <w:p>
            <w:pPr>
              <w:spacing w:after="0"/>
              <w:rPr>
                <w:sz w:val="1"/>
                <w:szCs w:val="1"/>
                <w:color w:val="auto"/>
              </w:rPr>
            </w:pPr>
          </w:p>
        </w:tc>
      </w:tr>
      <w:tr>
        <w:trPr>
          <w:trHeight w:val="172"/>
        </w:trPr>
        <w:tc>
          <w:tcPr>
            <w:tcW w:w="7080" w:type="dxa"/>
            <w:vAlign w:val="bottom"/>
            <w:shd w:val="clear" w:color="auto" w:fill="CCEEFF"/>
          </w:tcPr>
          <w:p>
            <w:pPr>
              <w:ind w:left="280"/>
              <w:spacing w:after="0"/>
              <w:rPr>
                <w:sz w:val="20"/>
                <w:szCs w:val="20"/>
                <w:color w:val="auto"/>
              </w:rPr>
            </w:pPr>
            <w:r>
              <w:rPr>
                <w:rFonts w:ascii="Times New Roman" w:cs="Times New Roman" w:eastAsia="Times New Roman" w:hAnsi="Times New Roman"/>
                <w:sz w:val="13"/>
                <w:szCs w:val="13"/>
                <w:color w:val="auto"/>
              </w:rPr>
              <w:t>Private Equity</w:t>
            </w:r>
          </w:p>
        </w:tc>
        <w:tc>
          <w:tcPr>
            <w:tcW w:w="880" w:type="dxa"/>
            <w:vAlign w:val="bottom"/>
            <w:shd w:val="clear" w:color="auto" w:fill="CCEEFF"/>
          </w:tcPr>
          <w:p>
            <w:pPr>
              <w:spacing w:after="0"/>
              <w:rPr>
                <w:sz w:val="14"/>
                <w:szCs w:val="14"/>
                <w:color w:val="auto"/>
              </w:rPr>
            </w:pPr>
          </w:p>
        </w:tc>
        <w:tc>
          <w:tcPr>
            <w:tcW w:w="4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w:t>
            </w:r>
          </w:p>
        </w:tc>
        <w:tc>
          <w:tcPr>
            <w:tcW w:w="100" w:type="dxa"/>
            <w:vAlign w:val="bottom"/>
            <w:shd w:val="clear" w:color="auto" w:fill="CCEEFF"/>
          </w:tcPr>
          <w:p>
            <w:pPr>
              <w:spacing w:after="0"/>
              <w:rPr>
                <w:sz w:val="14"/>
                <w:szCs w:val="14"/>
                <w:color w:val="auto"/>
              </w:rPr>
            </w:pPr>
          </w:p>
        </w:tc>
        <w:tc>
          <w:tcPr>
            <w:tcW w:w="220" w:type="dxa"/>
            <w:vAlign w:val="bottom"/>
            <w:shd w:val="clear" w:color="auto" w:fill="CCEEFF"/>
          </w:tcPr>
          <w:p>
            <w:pPr>
              <w:spacing w:after="0"/>
              <w:rPr>
                <w:sz w:val="14"/>
                <w:szCs w:val="14"/>
                <w:color w:val="auto"/>
              </w:rPr>
            </w:pPr>
          </w:p>
        </w:tc>
        <w:tc>
          <w:tcPr>
            <w:tcW w:w="11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9.3</w:t>
            </w:r>
          </w:p>
        </w:tc>
        <w:tc>
          <w:tcPr>
            <w:tcW w:w="80" w:type="dxa"/>
            <w:vAlign w:val="bottom"/>
            <w:shd w:val="clear" w:color="auto" w:fill="CCEEFF"/>
          </w:tcPr>
          <w:p>
            <w:pPr>
              <w:spacing w:after="0"/>
              <w:rPr>
                <w:sz w:val="14"/>
                <w:szCs w:val="14"/>
                <w:color w:val="auto"/>
              </w:rPr>
            </w:pPr>
          </w:p>
        </w:tc>
        <w:tc>
          <w:tcPr>
            <w:tcW w:w="160" w:type="dxa"/>
            <w:vAlign w:val="bottom"/>
            <w:shd w:val="clear" w:color="auto" w:fill="CCEEFF"/>
          </w:tcPr>
          <w:p>
            <w:pPr>
              <w:spacing w:after="0"/>
              <w:rPr>
                <w:sz w:val="14"/>
                <w:szCs w:val="14"/>
                <w:color w:val="auto"/>
              </w:rPr>
            </w:pPr>
          </w:p>
        </w:tc>
        <w:tc>
          <w:tcPr>
            <w:tcW w:w="11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9.3</w:t>
            </w:r>
          </w:p>
        </w:tc>
        <w:tc>
          <w:tcPr>
            <w:tcW w:w="0" w:type="dxa"/>
            <w:vAlign w:val="bottom"/>
          </w:tcPr>
          <w:p>
            <w:pPr>
              <w:spacing w:after="0"/>
              <w:rPr>
                <w:sz w:val="1"/>
                <w:szCs w:val="1"/>
                <w:color w:val="auto"/>
              </w:rPr>
            </w:pPr>
          </w:p>
        </w:tc>
      </w:tr>
      <w:tr>
        <w:trPr>
          <w:trHeight w:val="42"/>
        </w:trPr>
        <w:tc>
          <w:tcPr>
            <w:tcW w:w="7080" w:type="dxa"/>
            <w:vAlign w:val="bottom"/>
          </w:tcPr>
          <w:p>
            <w:pPr>
              <w:spacing w:after="0"/>
              <w:rPr>
                <w:sz w:val="3"/>
                <w:szCs w:val="3"/>
                <w:color w:val="auto"/>
              </w:rPr>
            </w:pPr>
          </w:p>
        </w:tc>
        <w:tc>
          <w:tcPr>
            <w:tcW w:w="880" w:type="dxa"/>
            <w:vAlign w:val="bottom"/>
          </w:tcPr>
          <w:p>
            <w:pPr>
              <w:spacing w:after="0"/>
              <w:rPr>
                <w:sz w:val="3"/>
                <w:szCs w:val="3"/>
                <w:color w:val="auto"/>
              </w:rPr>
            </w:pPr>
          </w:p>
        </w:tc>
        <w:tc>
          <w:tcPr>
            <w:tcW w:w="460" w:type="dxa"/>
            <w:vAlign w:val="bottom"/>
          </w:tcPr>
          <w:p>
            <w:pPr>
              <w:spacing w:after="0"/>
              <w:rPr>
                <w:sz w:val="3"/>
                <w:szCs w:val="3"/>
                <w:color w:val="auto"/>
              </w:rPr>
            </w:pPr>
          </w:p>
        </w:tc>
        <w:tc>
          <w:tcPr>
            <w:tcW w:w="100" w:type="dxa"/>
            <w:vAlign w:val="bottom"/>
          </w:tcPr>
          <w:p>
            <w:pPr>
              <w:spacing w:after="0"/>
              <w:rPr>
                <w:sz w:val="3"/>
                <w:szCs w:val="3"/>
                <w:color w:val="auto"/>
              </w:rPr>
            </w:pPr>
          </w:p>
        </w:tc>
        <w:tc>
          <w:tcPr>
            <w:tcW w:w="220" w:type="dxa"/>
            <w:vAlign w:val="bottom"/>
          </w:tcPr>
          <w:p>
            <w:pPr>
              <w:spacing w:after="0"/>
              <w:rPr>
                <w:sz w:val="3"/>
                <w:szCs w:val="3"/>
                <w:color w:val="auto"/>
              </w:rPr>
            </w:pPr>
          </w:p>
        </w:tc>
        <w:tc>
          <w:tcPr>
            <w:tcW w:w="1120" w:type="dxa"/>
            <w:vAlign w:val="bottom"/>
          </w:tcPr>
          <w:p>
            <w:pPr>
              <w:spacing w:after="0"/>
              <w:rPr>
                <w:sz w:val="3"/>
                <w:szCs w:val="3"/>
                <w:color w:val="auto"/>
              </w:rPr>
            </w:pPr>
          </w:p>
        </w:tc>
        <w:tc>
          <w:tcPr>
            <w:tcW w:w="80" w:type="dxa"/>
            <w:vAlign w:val="bottom"/>
          </w:tcPr>
          <w:p>
            <w:pPr>
              <w:spacing w:after="0"/>
              <w:rPr>
                <w:sz w:val="3"/>
                <w:szCs w:val="3"/>
                <w:color w:val="auto"/>
              </w:rPr>
            </w:pPr>
          </w:p>
        </w:tc>
        <w:tc>
          <w:tcPr>
            <w:tcW w:w="160" w:type="dxa"/>
            <w:vAlign w:val="bottom"/>
          </w:tcPr>
          <w:p>
            <w:pPr>
              <w:spacing w:after="0"/>
              <w:rPr>
                <w:sz w:val="3"/>
                <w:szCs w:val="3"/>
                <w:color w:val="auto"/>
              </w:rPr>
            </w:pPr>
          </w:p>
        </w:tc>
        <w:tc>
          <w:tcPr>
            <w:tcW w:w="1180" w:type="dxa"/>
            <w:vAlign w:val="bottom"/>
          </w:tcPr>
          <w:p>
            <w:pPr>
              <w:spacing w:after="0"/>
              <w:rPr>
                <w:sz w:val="3"/>
                <w:szCs w:val="3"/>
                <w:color w:val="auto"/>
              </w:rPr>
            </w:pPr>
          </w:p>
        </w:tc>
        <w:tc>
          <w:tcPr>
            <w:tcW w:w="0" w:type="dxa"/>
            <w:vAlign w:val="bottom"/>
          </w:tcPr>
          <w:p>
            <w:pPr>
              <w:spacing w:after="0"/>
              <w:rPr>
                <w:sz w:val="1"/>
                <w:szCs w:val="1"/>
                <w:color w:val="auto"/>
              </w:rPr>
            </w:pPr>
          </w:p>
        </w:tc>
      </w:tr>
      <w:tr>
        <w:trPr>
          <w:trHeight w:val="170"/>
        </w:trPr>
        <w:tc>
          <w:tcPr>
            <w:tcW w:w="708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3"/>
                <w:szCs w:val="13"/>
                <w:color w:val="auto"/>
              </w:rPr>
              <w:t>All other assets:</w:t>
            </w:r>
          </w:p>
        </w:tc>
        <w:tc>
          <w:tcPr>
            <w:tcW w:w="880" w:type="dxa"/>
            <w:vAlign w:val="bottom"/>
            <w:shd w:val="clear" w:color="auto" w:fill="CCEEFF"/>
          </w:tcPr>
          <w:p>
            <w:pPr>
              <w:spacing w:after="0"/>
              <w:rPr>
                <w:sz w:val="14"/>
                <w:szCs w:val="14"/>
                <w:color w:val="auto"/>
              </w:rPr>
            </w:pPr>
          </w:p>
        </w:tc>
        <w:tc>
          <w:tcPr>
            <w:tcW w:w="46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220" w:type="dxa"/>
            <w:vAlign w:val="bottom"/>
            <w:shd w:val="clear" w:color="auto" w:fill="CCEEFF"/>
          </w:tcPr>
          <w:p>
            <w:pPr>
              <w:spacing w:after="0"/>
              <w:rPr>
                <w:sz w:val="14"/>
                <w:szCs w:val="14"/>
                <w:color w:val="auto"/>
              </w:rPr>
            </w:pPr>
          </w:p>
        </w:tc>
        <w:tc>
          <w:tcPr>
            <w:tcW w:w="1120" w:type="dxa"/>
            <w:vAlign w:val="bottom"/>
            <w:shd w:val="clear" w:color="auto" w:fill="CCEEFF"/>
          </w:tcPr>
          <w:p>
            <w:pPr>
              <w:spacing w:after="0"/>
              <w:rPr>
                <w:sz w:val="14"/>
                <w:szCs w:val="14"/>
                <w:color w:val="auto"/>
              </w:rPr>
            </w:pPr>
          </w:p>
        </w:tc>
        <w:tc>
          <w:tcPr>
            <w:tcW w:w="80" w:type="dxa"/>
            <w:vAlign w:val="bottom"/>
            <w:shd w:val="clear" w:color="auto" w:fill="CCEEFF"/>
          </w:tcPr>
          <w:p>
            <w:pPr>
              <w:spacing w:after="0"/>
              <w:rPr>
                <w:sz w:val="14"/>
                <w:szCs w:val="14"/>
                <w:color w:val="auto"/>
              </w:rPr>
            </w:pPr>
          </w:p>
        </w:tc>
        <w:tc>
          <w:tcPr>
            <w:tcW w:w="160" w:type="dxa"/>
            <w:vAlign w:val="bottom"/>
            <w:shd w:val="clear" w:color="auto" w:fill="CCEEFF"/>
          </w:tcPr>
          <w:p>
            <w:pPr>
              <w:spacing w:after="0"/>
              <w:rPr>
                <w:sz w:val="14"/>
                <w:szCs w:val="14"/>
                <w:color w:val="auto"/>
              </w:rPr>
            </w:pPr>
          </w:p>
        </w:tc>
        <w:tc>
          <w:tcPr>
            <w:tcW w:w="1180" w:type="dxa"/>
            <w:vAlign w:val="bottom"/>
            <w:shd w:val="clear" w:color="auto" w:fill="CCEEFF"/>
          </w:tcPr>
          <w:p>
            <w:pPr>
              <w:spacing w:after="0"/>
              <w:rPr>
                <w:sz w:val="14"/>
                <w:szCs w:val="14"/>
                <w:color w:val="auto"/>
              </w:rPr>
            </w:pPr>
          </w:p>
        </w:tc>
        <w:tc>
          <w:tcPr>
            <w:tcW w:w="0" w:type="dxa"/>
            <w:vAlign w:val="bottom"/>
          </w:tcPr>
          <w:p>
            <w:pPr>
              <w:spacing w:after="0"/>
              <w:rPr>
                <w:sz w:val="1"/>
                <w:szCs w:val="1"/>
                <w:color w:val="auto"/>
              </w:rPr>
            </w:pPr>
          </w:p>
        </w:tc>
      </w:tr>
      <w:tr>
        <w:trPr>
          <w:trHeight w:val="168"/>
        </w:trPr>
        <w:tc>
          <w:tcPr>
            <w:tcW w:w="7080" w:type="dxa"/>
            <w:vAlign w:val="bottom"/>
          </w:tcPr>
          <w:p>
            <w:pPr>
              <w:ind w:left="280"/>
              <w:spacing w:after="0"/>
              <w:rPr>
                <w:sz w:val="20"/>
                <w:szCs w:val="20"/>
                <w:color w:val="auto"/>
              </w:rPr>
            </w:pPr>
            <w:r>
              <w:rPr>
                <w:rFonts w:ascii="Times New Roman" w:cs="Times New Roman" w:eastAsia="Times New Roman" w:hAnsi="Times New Roman"/>
                <w:sz w:val="13"/>
                <w:szCs w:val="13"/>
                <w:color w:val="auto"/>
              </w:rPr>
              <w:t>Wealth Management</w:t>
            </w:r>
          </w:p>
        </w:tc>
        <w:tc>
          <w:tcPr>
            <w:tcW w:w="880" w:type="dxa"/>
            <w:vAlign w:val="bottom"/>
          </w:tcPr>
          <w:p>
            <w:pPr>
              <w:spacing w:after="0"/>
              <w:rPr>
                <w:sz w:val="14"/>
                <w:szCs w:val="14"/>
                <w:color w:val="auto"/>
              </w:rPr>
            </w:pPr>
          </w:p>
        </w:tc>
        <w:tc>
          <w:tcPr>
            <w:tcW w:w="46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3,705</w:t>
            </w:r>
          </w:p>
        </w:tc>
        <w:tc>
          <w:tcPr>
            <w:tcW w:w="10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112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118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70"/>
        </w:trPr>
        <w:tc>
          <w:tcPr>
            <w:tcW w:w="7080" w:type="dxa"/>
            <w:vAlign w:val="bottom"/>
            <w:shd w:val="clear" w:color="auto" w:fill="CCEEFF"/>
          </w:tcPr>
          <w:p>
            <w:pPr>
              <w:ind w:left="280"/>
              <w:spacing w:after="0"/>
              <w:rPr>
                <w:sz w:val="20"/>
                <w:szCs w:val="20"/>
                <w:color w:val="auto"/>
              </w:rPr>
            </w:pPr>
            <w:r>
              <w:rPr>
                <w:rFonts w:ascii="Times New Roman" w:cs="Times New Roman" w:eastAsia="Times New Roman" w:hAnsi="Times New Roman"/>
                <w:sz w:val="13"/>
                <w:szCs w:val="13"/>
                <w:color w:val="auto"/>
              </w:rPr>
              <w:t>Institutional</w:t>
            </w:r>
          </w:p>
        </w:tc>
        <w:tc>
          <w:tcPr>
            <w:tcW w:w="880" w:type="dxa"/>
            <w:vAlign w:val="bottom"/>
            <w:tcBorders>
              <w:bottom w:val="single" w:sz="8" w:color="auto"/>
            </w:tcBorders>
            <w:shd w:val="clear" w:color="auto" w:fill="CCEEFF"/>
          </w:tcPr>
          <w:p>
            <w:pPr>
              <w:spacing w:after="0"/>
              <w:rPr>
                <w:sz w:val="14"/>
                <w:szCs w:val="14"/>
                <w:color w:val="auto"/>
              </w:rPr>
            </w:pPr>
          </w:p>
        </w:tc>
        <w:tc>
          <w:tcPr>
            <w:tcW w:w="4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8,029</w:t>
            </w:r>
          </w:p>
        </w:tc>
        <w:tc>
          <w:tcPr>
            <w:tcW w:w="100" w:type="dxa"/>
            <w:vAlign w:val="bottom"/>
            <w:shd w:val="clear" w:color="auto" w:fill="CCEEFF"/>
          </w:tcPr>
          <w:p>
            <w:pPr>
              <w:spacing w:after="0"/>
              <w:rPr>
                <w:sz w:val="14"/>
                <w:szCs w:val="14"/>
                <w:color w:val="auto"/>
              </w:rPr>
            </w:pPr>
          </w:p>
        </w:tc>
        <w:tc>
          <w:tcPr>
            <w:tcW w:w="220" w:type="dxa"/>
            <w:vAlign w:val="bottom"/>
            <w:shd w:val="clear" w:color="auto" w:fill="CCEEFF"/>
          </w:tcPr>
          <w:p>
            <w:pPr>
              <w:spacing w:after="0"/>
              <w:rPr>
                <w:sz w:val="14"/>
                <w:szCs w:val="14"/>
                <w:color w:val="auto"/>
              </w:rPr>
            </w:pPr>
          </w:p>
        </w:tc>
        <w:tc>
          <w:tcPr>
            <w:tcW w:w="1120" w:type="dxa"/>
            <w:vAlign w:val="bottom"/>
            <w:shd w:val="clear" w:color="auto" w:fill="CCEEFF"/>
          </w:tcPr>
          <w:p>
            <w:pPr>
              <w:spacing w:after="0"/>
              <w:rPr>
                <w:sz w:val="14"/>
                <w:szCs w:val="14"/>
                <w:color w:val="auto"/>
              </w:rPr>
            </w:pPr>
          </w:p>
        </w:tc>
        <w:tc>
          <w:tcPr>
            <w:tcW w:w="80" w:type="dxa"/>
            <w:vAlign w:val="bottom"/>
            <w:shd w:val="clear" w:color="auto" w:fill="CCEEFF"/>
          </w:tcPr>
          <w:p>
            <w:pPr>
              <w:spacing w:after="0"/>
              <w:rPr>
                <w:sz w:val="14"/>
                <w:szCs w:val="14"/>
                <w:color w:val="auto"/>
              </w:rPr>
            </w:pPr>
          </w:p>
        </w:tc>
        <w:tc>
          <w:tcPr>
            <w:tcW w:w="160" w:type="dxa"/>
            <w:vAlign w:val="bottom"/>
            <w:shd w:val="clear" w:color="auto" w:fill="CCEEFF"/>
          </w:tcPr>
          <w:p>
            <w:pPr>
              <w:spacing w:after="0"/>
              <w:rPr>
                <w:sz w:val="14"/>
                <w:szCs w:val="14"/>
                <w:color w:val="auto"/>
              </w:rPr>
            </w:pPr>
          </w:p>
        </w:tc>
        <w:tc>
          <w:tcPr>
            <w:tcW w:w="1180" w:type="dxa"/>
            <w:vAlign w:val="bottom"/>
            <w:shd w:val="clear" w:color="auto" w:fill="CCEEFF"/>
          </w:tcPr>
          <w:p>
            <w:pPr>
              <w:spacing w:after="0"/>
              <w:rPr>
                <w:sz w:val="14"/>
                <w:szCs w:val="14"/>
                <w:color w:val="auto"/>
              </w:rPr>
            </w:pPr>
          </w:p>
        </w:tc>
        <w:tc>
          <w:tcPr>
            <w:tcW w:w="0" w:type="dxa"/>
            <w:vAlign w:val="bottom"/>
          </w:tcPr>
          <w:p>
            <w:pPr>
              <w:spacing w:after="0"/>
              <w:rPr>
                <w:sz w:val="1"/>
                <w:szCs w:val="1"/>
                <w:color w:val="auto"/>
              </w:rPr>
            </w:pPr>
          </w:p>
        </w:tc>
      </w:tr>
      <w:tr>
        <w:trPr>
          <w:trHeight w:val="163"/>
        </w:trPr>
        <w:tc>
          <w:tcPr>
            <w:tcW w:w="7080" w:type="dxa"/>
            <w:vAlign w:val="bottom"/>
          </w:tcPr>
          <w:p>
            <w:pPr>
              <w:ind w:left="520"/>
              <w:spacing w:after="0"/>
              <w:rPr>
                <w:sz w:val="20"/>
                <w:szCs w:val="20"/>
                <w:color w:val="auto"/>
              </w:rPr>
            </w:pPr>
            <w:r>
              <w:rPr>
                <w:rFonts w:ascii="Times New Roman" w:cs="Times New Roman" w:eastAsia="Times New Roman" w:hAnsi="Times New Roman"/>
                <w:sz w:val="13"/>
                <w:szCs w:val="13"/>
                <w:color w:val="auto"/>
              </w:rPr>
              <w:t>Total AUM</w:t>
            </w:r>
          </w:p>
        </w:tc>
        <w:tc>
          <w:tcPr>
            <w:tcW w:w="880" w:type="dxa"/>
            <w:vAlign w:val="bottom"/>
            <w:tcBorders>
              <w:bottom w:val="single" w:sz="8" w:color="auto"/>
            </w:tcBorders>
          </w:tcPr>
          <w:p>
            <w:pPr>
              <w:jc w:val="right"/>
              <w:ind w:right="736"/>
              <w:spacing w:after="0"/>
              <w:rPr>
                <w:sz w:val="20"/>
                <w:szCs w:val="20"/>
                <w:color w:val="auto"/>
              </w:rPr>
            </w:pPr>
            <w:r>
              <w:rPr>
                <w:rFonts w:ascii="Times New Roman" w:cs="Times New Roman" w:eastAsia="Times New Roman" w:hAnsi="Times New Roman"/>
                <w:sz w:val="13"/>
                <w:szCs w:val="13"/>
                <w:color w:val="auto"/>
                <w:w w:val="91"/>
              </w:rPr>
              <w:t>$</w:t>
            </w:r>
          </w:p>
        </w:tc>
        <w:tc>
          <w:tcPr>
            <w:tcW w:w="4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3"/>
                <w:szCs w:val="13"/>
                <w:color w:val="auto"/>
              </w:rPr>
              <w:t>16,539</w:t>
            </w:r>
          </w:p>
        </w:tc>
        <w:tc>
          <w:tcPr>
            <w:tcW w:w="10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112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118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20"/>
        </w:trPr>
        <w:tc>
          <w:tcPr>
            <w:tcW w:w="7080" w:type="dxa"/>
            <w:vAlign w:val="bottom"/>
          </w:tcPr>
          <w:p>
            <w:pPr>
              <w:spacing w:after="0" w:line="20" w:lineRule="exact"/>
              <w:rPr>
                <w:sz w:val="1"/>
                <w:szCs w:val="1"/>
                <w:color w:val="auto"/>
              </w:rPr>
            </w:pPr>
          </w:p>
        </w:tc>
        <w:tc>
          <w:tcPr>
            <w:tcW w:w="880" w:type="dxa"/>
            <w:vAlign w:val="bottom"/>
            <w:tcBorders>
              <w:bottom w:val="single" w:sz="8" w:color="auto"/>
            </w:tcBorders>
          </w:tcPr>
          <w:p>
            <w:pPr>
              <w:spacing w:after="0" w:line="20" w:lineRule="exact"/>
              <w:rPr>
                <w:sz w:val="1"/>
                <w:szCs w:val="1"/>
                <w:color w:val="auto"/>
              </w:rPr>
            </w:pPr>
          </w:p>
        </w:tc>
        <w:tc>
          <w:tcPr>
            <w:tcW w:w="46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1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18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0" w:lineRule="exact"/>
        <w:rPr>
          <w:sz w:val="20"/>
          <w:szCs w:val="20"/>
          <w:color w:val="auto"/>
        </w:rPr>
      </w:pPr>
    </w:p>
    <w:p>
      <w:pPr>
        <w:spacing w:after="0" w:line="29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4"/>
          <w:szCs w:val="14"/>
          <w:color w:val="auto"/>
        </w:rPr>
        <w:t>28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-8890</wp:posOffset>
            </wp:positionH>
            <wp:positionV relativeFrom="paragraph">
              <wp:posOffset>55880</wp:posOffset>
            </wp:positionV>
            <wp:extent cx="7186930" cy="38735"/>
            <wp:wrapNone/>
            <wp:docPr id="133" name="Picture 13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3"/>
                    <pic:cNvPicPr>
                      <a:picLocks noChangeAspect="1" noChangeArrowheads="1"/>
                    </pic:cNvPicPr>
                  </pic:nvPicPr>
                  <pic:blipFill>
                    <a:blip r:embed="rId140">
                      <a:extLst>
                        <a:ext uri="{28A0092B-C50C-407E-A947-70E740481C1C}"/>
                      </a:extLst>
                    </a:blip>
                    <a:srcRect/>
                    <a:stretch>
                      <a:fillRect/>
                    </a:stretch>
                  </pic:blipFill>
                  <pic:spPr bwMode="auto">
                    <a:xfrm>
                      <a:off x="0" y="0"/>
                      <a:ext cx="7186930" cy="38735"/>
                    </a:xfrm>
                    <a:prstGeom prst="rect">
                      <a:avLst/>
                    </a:prstGeom>
                    <a:noFill/>
                  </pic:spPr>
                </pic:pic>
              </a:graphicData>
            </a:graphic>
          </wp:anchor>
        </w:drawing>
      </w:r>
    </w:p>
    <w:p>
      <w:pPr>
        <w:sectPr>
          <w:pgSz w:w="11900" w:h="16838" w:orient="portrait"/>
          <w:cols w:equalWidth="0" w:num="1">
            <w:col w:w="11280"/>
          </w:cols>
          <w:pgMar w:left="300" w:top="123" w:right="319" w:bottom="1440" w:gutter="0" w:footer="0" w:header="0"/>
        </w:sectPr>
      </w:pPr>
    </w:p>
    <w:bookmarkStart w:id="70" w:name="page71"/>
    <w:bookmarkEnd w:id="70"/>
    <w:p>
      <w:pPr>
        <w:jc w:val="center"/>
        <w:spacing w:after="0"/>
        <w:rPr>
          <w:sz w:val="20"/>
          <w:szCs w:val="20"/>
          <w:color w:val="auto"/>
        </w:rPr>
      </w:pPr>
      <w:r>
        <w:rPr>
          <w:rFonts w:ascii="Times New Roman" w:cs="Times New Roman" w:eastAsia="Times New Roman" w:hAnsi="Times New Roman"/>
          <w:sz w:val="14"/>
          <w:szCs w:val="14"/>
          <w:b w:val="1"/>
          <w:bCs w:val="1"/>
          <w:color w:val="auto"/>
        </w:rPr>
        <w:t>WESTWOOD HOLDINGS GROUP, INC.</w:t>
      </w:r>
    </w:p>
    <w:p>
      <w:pPr>
        <w:spacing w:after="0" w:line="5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4"/>
          <w:szCs w:val="14"/>
          <w:b w:val="1"/>
          <w:bCs w:val="1"/>
          <w:color w:val="auto"/>
        </w:rPr>
        <w:t>NOTES TO CONSOLIDATED FINANCIAL STATEMENTS — (Continued)</w:t>
      </w:r>
    </w:p>
    <w:p>
      <w:pPr>
        <w:spacing w:after="0" w:line="352" w:lineRule="exact"/>
        <w:rPr>
          <w:sz w:val="20"/>
          <w:szCs w:val="20"/>
          <w:color w:val="auto"/>
        </w:rPr>
      </w:pPr>
    </w:p>
    <w:tbl>
      <w:tblPr>
        <w:tblLayout w:type="fixed"/>
        <w:tblInd w:w="0" w:type="dxa"/>
        <w:tblCellMar>
          <w:top w:w="0" w:type="dxa"/>
          <w:left w:w="0" w:type="dxa"/>
          <w:bottom w:w="0" w:type="dxa"/>
          <w:right w:w="0" w:type="dxa"/>
        </w:tblCellMar>
      </w:tblPr>
      <w:tr>
        <w:trPr>
          <w:trHeight w:val="170"/>
        </w:trPr>
        <w:tc>
          <w:tcPr>
            <w:tcW w:w="7080" w:type="dxa"/>
            <w:vAlign w:val="bottom"/>
          </w:tcPr>
          <w:p>
            <w:pPr>
              <w:spacing w:after="0"/>
              <w:rPr>
                <w:sz w:val="14"/>
                <w:szCs w:val="14"/>
                <w:color w:val="auto"/>
              </w:rPr>
            </w:pPr>
          </w:p>
        </w:tc>
        <w:tc>
          <w:tcPr>
            <w:tcW w:w="880" w:type="dxa"/>
            <w:vAlign w:val="bottom"/>
            <w:tcBorders>
              <w:bottom w:val="single" w:sz="8" w:color="auto"/>
            </w:tcBorders>
          </w:tcPr>
          <w:p>
            <w:pPr>
              <w:spacing w:after="0"/>
              <w:rPr>
                <w:sz w:val="14"/>
                <w:szCs w:val="14"/>
                <w:color w:val="auto"/>
              </w:rPr>
            </w:pPr>
          </w:p>
        </w:tc>
        <w:tc>
          <w:tcPr>
            <w:tcW w:w="460" w:type="dxa"/>
            <w:vAlign w:val="bottom"/>
            <w:tcBorders>
              <w:bottom w:val="single" w:sz="8" w:color="auto"/>
            </w:tcBorders>
          </w:tcPr>
          <w:p>
            <w:pPr>
              <w:spacing w:after="0"/>
              <w:rPr>
                <w:sz w:val="14"/>
                <w:szCs w:val="14"/>
                <w:color w:val="auto"/>
              </w:rPr>
            </w:pPr>
          </w:p>
        </w:tc>
        <w:tc>
          <w:tcPr>
            <w:tcW w:w="1680" w:type="dxa"/>
            <w:vAlign w:val="bottom"/>
            <w:tcBorders>
              <w:bottom w:val="single" w:sz="8" w:color="auto"/>
            </w:tcBorders>
            <w:gridSpan w:val="5"/>
          </w:tcPr>
          <w:p>
            <w:pPr>
              <w:jc w:val="center"/>
              <w:ind w:right="140"/>
              <w:spacing w:after="0"/>
              <w:rPr>
                <w:sz w:val="20"/>
                <w:szCs w:val="20"/>
                <w:color w:val="auto"/>
              </w:rPr>
            </w:pPr>
            <w:r>
              <w:rPr>
                <w:rFonts w:ascii="Times New Roman" w:cs="Times New Roman" w:eastAsia="Times New Roman" w:hAnsi="Times New Roman"/>
                <w:sz w:val="13"/>
                <w:szCs w:val="13"/>
                <w:b w:val="1"/>
                <w:bCs w:val="1"/>
                <w:color w:val="auto"/>
                <w:w w:val="97"/>
              </w:rPr>
              <w:t>As of December 31, 2024</w:t>
            </w:r>
          </w:p>
        </w:tc>
        <w:tc>
          <w:tcPr>
            <w:tcW w:w="1180" w:type="dxa"/>
            <w:vAlign w:val="bottom"/>
            <w:tcBorders>
              <w:bottom w:val="single" w:sz="8" w:color="auto"/>
            </w:tcBorders>
          </w:tcPr>
          <w:p>
            <w:pPr>
              <w:spacing w:after="0"/>
              <w:rPr>
                <w:sz w:val="14"/>
                <w:szCs w:val="14"/>
                <w:color w:val="auto"/>
              </w:rPr>
            </w:pPr>
          </w:p>
        </w:tc>
        <w:tc>
          <w:tcPr>
            <w:tcW w:w="0" w:type="dxa"/>
            <w:vAlign w:val="bottom"/>
          </w:tcPr>
          <w:p>
            <w:pPr>
              <w:spacing w:after="0"/>
              <w:rPr>
                <w:sz w:val="1"/>
                <w:szCs w:val="1"/>
                <w:color w:val="auto"/>
              </w:rPr>
            </w:pPr>
          </w:p>
        </w:tc>
      </w:tr>
      <w:tr>
        <w:trPr>
          <w:trHeight w:val="120"/>
        </w:trPr>
        <w:tc>
          <w:tcPr>
            <w:tcW w:w="7080" w:type="dxa"/>
            <w:vAlign w:val="bottom"/>
          </w:tcPr>
          <w:p>
            <w:pPr>
              <w:spacing w:after="0"/>
              <w:rPr>
                <w:sz w:val="10"/>
                <w:szCs w:val="10"/>
                <w:color w:val="auto"/>
              </w:rPr>
            </w:pPr>
          </w:p>
        </w:tc>
        <w:tc>
          <w:tcPr>
            <w:tcW w:w="880" w:type="dxa"/>
            <w:vAlign w:val="bottom"/>
          </w:tcPr>
          <w:p>
            <w:pPr>
              <w:jc w:val="center"/>
              <w:ind w:left="396"/>
              <w:spacing w:after="0" w:line="120" w:lineRule="exact"/>
              <w:rPr>
                <w:sz w:val="20"/>
                <w:szCs w:val="20"/>
                <w:color w:val="auto"/>
              </w:rPr>
            </w:pPr>
            <w:r>
              <w:rPr>
                <w:rFonts w:ascii="Times New Roman" w:cs="Times New Roman" w:eastAsia="Times New Roman" w:hAnsi="Times New Roman"/>
                <w:sz w:val="13"/>
                <w:szCs w:val="13"/>
                <w:b w:val="1"/>
                <w:bCs w:val="1"/>
                <w:color w:val="auto"/>
                <w:w w:val="97"/>
              </w:rPr>
              <w:t>Assets</w:t>
            </w:r>
          </w:p>
        </w:tc>
        <w:tc>
          <w:tcPr>
            <w:tcW w:w="46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220" w:type="dxa"/>
            <w:vAlign w:val="bottom"/>
          </w:tcPr>
          <w:p>
            <w:pPr>
              <w:spacing w:after="0"/>
              <w:rPr>
                <w:sz w:val="10"/>
                <w:szCs w:val="10"/>
                <w:color w:val="auto"/>
              </w:rPr>
            </w:pPr>
          </w:p>
        </w:tc>
        <w:tc>
          <w:tcPr>
            <w:tcW w:w="1360" w:type="dxa"/>
            <w:vAlign w:val="bottom"/>
            <w:gridSpan w:val="3"/>
            <w:vMerge w:val="restart"/>
          </w:tcPr>
          <w:p>
            <w:pPr>
              <w:jc w:val="center"/>
              <w:ind w:right="480"/>
              <w:spacing w:after="0"/>
              <w:rPr>
                <w:sz w:val="20"/>
                <w:szCs w:val="20"/>
                <w:color w:val="auto"/>
              </w:rPr>
            </w:pPr>
            <w:r>
              <w:rPr>
                <w:rFonts w:ascii="Times New Roman" w:cs="Times New Roman" w:eastAsia="Times New Roman" w:hAnsi="Times New Roman"/>
                <w:sz w:val="13"/>
                <w:szCs w:val="13"/>
                <w:b w:val="1"/>
                <w:bCs w:val="1"/>
                <w:color w:val="auto"/>
                <w:w w:val="96"/>
              </w:rPr>
              <w:t>Corporate</w:t>
            </w:r>
          </w:p>
        </w:tc>
        <w:tc>
          <w:tcPr>
            <w:tcW w:w="118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127"/>
        </w:trPr>
        <w:tc>
          <w:tcPr>
            <w:tcW w:w="7080" w:type="dxa"/>
            <w:vAlign w:val="bottom"/>
          </w:tcPr>
          <w:p>
            <w:pPr>
              <w:spacing w:after="0"/>
              <w:rPr>
                <w:sz w:val="11"/>
                <w:szCs w:val="11"/>
                <w:color w:val="auto"/>
              </w:rPr>
            </w:pPr>
          </w:p>
        </w:tc>
        <w:tc>
          <w:tcPr>
            <w:tcW w:w="880" w:type="dxa"/>
            <w:vAlign w:val="bottom"/>
          </w:tcPr>
          <w:p>
            <w:pPr>
              <w:jc w:val="center"/>
              <w:ind w:left="396"/>
              <w:spacing w:after="0" w:line="128" w:lineRule="exact"/>
              <w:rPr>
                <w:sz w:val="20"/>
                <w:szCs w:val="20"/>
                <w:color w:val="auto"/>
              </w:rPr>
            </w:pPr>
            <w:r>
              <w:rPr>
                <w:rFonts w:ascii="Times New Roman" w:cs="Times New Roman" w:eastAsia="Times New Roman" w:hAnsi="Times New Roman"/>
                <w:sz w:val="13"/>
                <w:szCs w:val="13"/>
                <w:b w:val="1"/>
                <w:bCs w:val="1"/>
                <w:color w:val="auto"/>
                <w:w w:val="95"/>
              </w:rPr>
              <w:t>Under</w:t>
            </w:r>
          </w:p>
        </w:tc>
        <w:tc>
          <w:tcPr>
            <w:tcW w:w="46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1360" w:type="dxa"/>
            <w:vAlign w:val="bottom"/>
            <w:gridSpan w:val="3"/>
            <w:vMerge w:val="continue"/>
          </w:tcPr>
          <w:p>
            <w:pPr>
              <w:spacing w:after="0"/>
              <w:rPr>
                <w:sz w:val="11"/>
                <w:szCs w:val="11"/>
                <w:color w:val="auto"/>
              </w:rPr>
            </w:pPr>
          </w:p>
        </w:tc>
        <w:tc>
          <w:tcPr>
            <w:tcW w:w="1180" w:type="dxa"/>
            <w:vAlign w:val="bottom"/>
            <w:vMerge w:val="restart"/>
          </w:tcPr>
          <w:p>
            <w:pPr>
              <w:jc w:val="right"/>
              <w:ind w:right="176"/>
              <w:spacing w:after="0"/>
              <w:rPr>
                <w:sz w:val="20"/>
                <w:szCs w:val="20"/>
                <w:color w:val="auto"/>
              </w:rPr>
            </w:pPr>
            <w:r>
              <w:rPr>
                <w:rFonts w:ascii="Times New Roman" w:cs="Times New Roman" w:eastAsia="Times New Roman" w:hAnsi="Times New Roman"/>
                <w:sz w:val="13"/>
                <w:szCs w:val="13"/>
                <w:b w:val="1"/>
                <w:bCs w:val="1"/>
                <w:color w:val="auto"/>
              </w:rPr>
              <w:t>Amount at Risk</w:t>
            </w:r>
          </w:p>
        </w:tc>
        <w:tc>
          <w:tcPr>
            <w:tcW w:w="0" w:type="dxa"/>
            <w:vAlign w:val="bottom"/>
          </w:tcPr>
          <w:p>
            <w:pPr>
              <w:spacing w:after="0"/>
              <w:rPr>
                <w:sz w:val="1"/>
                <w:szCs w:val="1"/>
                <w:color w:val="auto"/>
              </w:rPr>
            </w:pPr>
          </w:p>
        </w:tc>
      </w:tr>
      <w:tr>
        <w:trPr>
          <w:trHeight w:val="169"/>
        </w:trPr>
        <w:tc>
          <w:tcPr>
            <w:tcW w:w="7080" w:type="dxa"/>
            <w:vAlign w:val="bottom"/>
          </w:tcPr>
          <w:p>
            <w:pPr>
              <w:spacing w:after="0"/>
              <w:rPr>
                <w:sz w:val="14"/>
                <w:szCs w:val="14"/>
                <w:color w:val="auto"/>
              </w:rPr>
            </w:pPr>
          </w:p>
        </w:tc>
        <w:tc>
          <w:tcPr>
            <w:tcW w:w="1340" w:type="dxa"/>
            <w:vAlign w:val="bottom"/>
            <w:gridSpan w:val="2"/>
          </w:tcPr>
          <w:p>
            <w:pPr>
              <w:jc w:val="center"/>
              <w:spacing w:after="0"/>
              <w:rPr>
                <w:sz w:val="20"/>
                <w:szCs w:val="20"/>
                <w:color w:val="auto"/>
              </w:rPr>
            </w:pPr>
            <w:r>
              <w:rPr>
                <w:rFonts w:ascii="Times New Roman" w:cs="Times New Roman" w:eastAsia="Times New Roman" w:hAnsi="Times New Roman"/>
                <w:sz w:val="13"/>
                <w:szCs w:val="13"/>
                <w:b w:val="1"/>
                <w:bCs w:val="1"/>
                <w:color w:val="auto"/>
                <w:w w:val="95"/>
              </w:rPr>
              <w:t>Management</w:t>
            </w:r>
          </w:p>
        </w:tc>
        <w:tc>
          <w:tcPr>
            <w:tcW w:w="10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1360" w:type="dxa"/>
            <w:vAlign w:val="bottom"/>
            <w:gridSpan w:val="3"/>
          </w:tcPr>
          <w:p>
            <w:pPr>
              <w:jc w:val="center"/>
              <w:ind w:right="480"/>
              <w:spacing w:after="0"/>
              <w:rPr>
                <w:sz w:val="20"/>
                <w:szCs w:val="20"/>
                <w:color w:val="auto"/>
              </w:rPr>
            </w:pPr>
            <w:r>
              <w:rPr>
                <w:rFonts w:ascii="Times New Roman" w:cs="Times New Roman" w:eastAsia="Times New Roman" w:hAnsi="Times New Roman"/>
                <w:sz w:val="13"/>
                <w:szCs w:val="13"/>
                <w:b w:val="1"/>
                <w:bCs w:val="1"/>
                <w:color w:val="auto"/>
                <w:w w:val="96"/>
              </w:rPr>
              <w:t>Investment</w:t>
            </w:r>
          </w:p>
        </w:tc>
        <w:tc>
          <w:tcPr>
            <w:tcW w:w="1180" w:type="dxa"/>
            <w:vAlign w:val="bottom"/>
            <w:vMerge w:val="continue"/>
          </w:tcPr>
          <w:p>
            <w:pPr>
              <w:spacing w:after="0"/>
              <w:rPr>
                <w:sz w:val="14"/>
                <w:szCs w:val="14"/>
                <w:color w:val="auto"/>
              </w:rPr>
            </w:pPr>
          </w:p>
        </w:tc>
        <w:tc>
          <w:tcPr>
            <w:tcW w:w="0" w:type="dxa"/>
            <w:vAlign w:val="bottom"/>
          </w:tcPr>
          <w:p>
            <w:pPr>
              <w:spacing w:after="0"/>
              <w:rPr>
                <w:sz w:val="1"/>
                <w:szCs w:val="1"/>
                <w:color w:val="auto"/>
              </w:rPr>
            </w:pPr>
          </w:p>
        </w:tc>
      </w:tr>
      <w:tr>
        <w:trPr>
          <w:trHeight w:val="151"/>
        </w:trPr>
        <w:tc>
          <w:tcPr>
            <w:tcW w:w="7080" w:type="dxa"/>
            <w:vAlign w:val="bottom"/>
            <w:tcBorders>
              <w:top w:val="single" w:sz="8" w:color="CCEEFF"/>
            </w:tcBorders>
            <w:shd w:val="clear" w:color="auto" w:fill="CCEEFF"/>
          </w:tcPr>
          <w:p>
            <w:pPr>
              <w:ind w:left="20"/>
              <w:spacing w:after="0" w:line="147" w:lineRule="exact"/>
              <w:rPr>
                <w:sz w:val="20"/>
                <w:szCs w:val="20"/>
                <w:color w:val="auto"/>
              </w:rPr>
            </w:pPr>
            <w:r>
              <w:rPr>
                <w:rFonts w:ascii="Times New Roman" w:cs="Times New Roman" w:eastAsia="Times New Roman" w:hAnsi="Times New Roman"/>
                <w:sz w:val="13"/>
                <w:szCs w:val="13"/>
                <w:color w:val="auto"/>
              </w:rPr>
              <w:t>VIEs/VOEs:</w:t>
            </w:r>
          </w:p>
        </w:tc>
        <w:tc>
          <w:tcPr>
            <w:tcW w:w="880" w:type="dxa"/>
            <w:vAlign w:val="bottom"/>
            <w:tcBorders>
              <w:top w:val="single" w:sz="8" w:color="auto"/>
            </w:tcBorders>
            <w:shd w:val="clear" w:color="auto" w:fill="CCEEFF"/>
          </w:tcPr>
          <w:p>
            <w:pPr>
              <w:spacing w:after="0"/>
              <w:rPr>
                <w:sz w:val="13"/>
                <w:szCs w:val="13"/>
                <w:color w:val="auto"/>
              </w:rPr>
            </w:pPr>
          </w:p>
        </w:tc>
        <w:tc>
          <w:tcPr>
            <w:tcW w:w="460" w:type="dxa"/>
            <w:vAlign w:val="bottom"/>
            <w:tcBorders>
              <w:top w:val="single" w:sz="8" w:color="auto"/>
            </w:tcBorders>
            <w:shd w:val="clear" w:color="auto" w:fill="CCEEFF"/>
          </w:tcPr>
          <w:p>
            <w:pPr>
              <w:spacing w:after="0"/>
              <w:rPr>
                <w:sz w:val="13"/>
                <w:szCs w:val="13"/>
                <w:color w:val="auto"/>
              </w:rPr>
            </w:pPr>
          </w:p>
        </w:tc>
        <w:tc>
          <w:tcPr>
            <w:tcW w:w="100" w:type="dxa"/>
            <w:vAlign w:val="bottom"/>
            <w:tcBorders>
              <w:top w:val="single" w:sz="8" w:color="CCEEFF"/>
            </w:tcBorders>
            <w:shd w:val="clear" w:color="auto" w:fill="CCEEFF"/>
          </w:tcPr>
          <w:p>
            <w:pPr>
              <w:spacing w:after="0"/>
              <w:rPr>
                <w:sz w:val="13"/>
                <w:szCs w:val="13"/>
                <w:color w:val="auto"/>
              </w:rPr>
            </w:pPr>
          </w:p>
        </w:tc>
        <w:tc>
          <w:tcPr>
            <w:tcW w:w="220" w:type="dxa"/>
            <w:vAlign w:val="bottom"/>
            <w:tcBorders>
              <w:top w:val="single" w:sz="8" w:color="auto"/>
            </w:tcBorders>
            <w:shd w:val="clear" w:color="auto" w:fill="CCEEFF"/>
          </w:tcPr>
          <w:p>
            <w:pPr>
              <w:spacing w:after="0"/>
              <w:rPr>
                <w:sz w:val="13"/>
                <w:szCs w:val="13"/>
                <w:color w:val="auto"/>
              </w:rPr>
            </w:pPr>
          </w:p>
        </w:tc>
        <w:tc>
          <w:tcPr>
            <w:tcW w:w="1120" w:type="dxa"/>
            <w:vAlign w:val="bottom"/>
            <w:tcBorders>
              <w:top w:val="single" w:sz="8" w:color="auto"/>
            </w:tcBorders>
            <w:shd w:val="clear" w:color="auto" w:fill="CCEEFF"/>
          </w:tcPr>
          <w:p>
            <w:pPr>
              <w:spacing w:after="0"/>
              <w:rPr>
                <w:sz w:val="13"/>
                <w:szCs w:val="13"/>
                <w:color w:val="auto"/>
              </w:rPr>
            </w:pPr>
          </w:p>
        </w:tc>
        <w:tc>
          <w:tcPr>
            <w:tcW w:w="80" w:type="dxa"/>
            <w:vAlign w:val="bottom"/>
            <w:tcBorders>
              <w:top w:val="single" w:sz="8" w:color="CCEEFF"/>
            </w:tcBorders>
            <w:shd w:val="clear" w:color="auto" w:fill="CCEEFF"/>
          </w:tcPr>
          <w:p>
            <w:pPr>
              <w:spacing w:after="0"/>
              <w:rPr>
                <w:sz w:val="13"/>
                <w:szCs w:val="13"/>
                <w:color w:val="auto"/>
              </w:rPr>
            </w:pPr>
          </w:p>
        </w:tc>
        <w:tc>
          <w:tcPr>
            <w:tcW w:w="160" w:type="dxa"/>
            <w:vAlign w:val="bottom"/>
            <w:tcBorders>
              <w:top w:val="single" w:sz="8" w:color="auto"/>
            </w:tcBorders>
            <w:shd w:val="clear" w:color="auto" w:fill="CCEEFF"/>
          </w:tcPr>
          <w:p>
            <w:pPr>
              <w:spacing w:after="0"/>
              <w:rPr>
                <w:sz w:val="13"/>
                <w:szCs w:val="13"/>
                <w:color w:val="auto"/>
              </w:rPr>
            </w:pPr>
          </w:p>
        </w:tc>
        <w:tc>
          <w:tcPr>
            <w:tcW w:w="1180" w:type="dxa"/>
            <w:vAlign w:val="bottom"/>
            <w:tcBorders>
              <w:top w:val="single" w:sz="8" w:color="auto"/>
            </w:tcBorders>
            <w:shd w:val="clear" w:color="auto" w:fill="CCEEFF"/>
          </w:tcPr>
          <w:p>
            <w:pPr>
              <w:spacing w:after="0"/>
              <w:rPr>
                <w:sz w:val="13"/>
                <w:szCs w:val="13"/>
                <w:color w:val="auto"/>
              </w:rPr>
            </w:pPr>
          </w:p>
        </w:tc>
        <w:tc>
          <w:tcPr>
            <w:tcW w:w="0" w:type="dxa"/>
            <w:vAlign w:val="bottom"/>
          </w:tcPr>
          <w:p>
            <w:pPr>
              <w:spacing w:after="0"/>
              <w:rPr>
                <w:sz w:val="1"/>
                <w:szCs w:val="1"/>
                <w:color w:val="auto"/>
              </w:rPr>
            </w:pPr>
          </w:p>
        </w:tc>
      </w:tr>
      <w:tr>
        <w:trPr>
          <w:trHeight w:val="168"/>
        </w:trPr>
        <w:tc>
          <w:tcPr>
            <w:tcW w:w="7080" w:type="dxa"/>
            <w:vAlign w:val="bottom"/>
          </w:tcPr>
          <w:p>
            <w:pPr>
              <w:ind w:left="280"/>
              <w:spacing w:after="0"/>
              <w:rPr>
                <w:sz w:val="20"/>
                <w:szCs w:val="20"/>
                <w:color w:val="auto"/>
              </w:rPr>
            </w:pPr>
            <w:r>
              <w:rPr>
                <w:rFonts w:ascii="Times New Roman" w:cs="Times New Roman" w:eastAsia="Times New Roman" w:hAnsi="Times New Roman"/>
                <w:sz w:val="13"/>
                <w:szCs w:val="13"/>
                <w:color w:val="auto"/>
              </w:rPr>
              <w:t>Westwood Funds®</w:t>
            </w:r>
          </w:p>
        </w:tc>
        <w:tc>
          <w:tcPr>
            <w:tcW w:w="880" w:type="dxa"/>
            <w:vAlign w:val="bottom"/>
          </w:tcPr>
          <w:p>
            <w:pPr>
              <w:jc w:val="right"/>
              <w:ind w:right="736"/>
              <w:spacing w:after="0"/>
              <w:rPr>
                <w:sz w:val="20"/>
                <w:szCs w:val="20"/>
                <w:color w:val="auto"/>
              </w:rPr>
            </w:pPr>
            <w:r>
              <w:rPr>
                <w:rFonts w:ascii="Times New Roman" w:cs="Times New Roman" w:eastAsia="Times New Roman" w:hAnsi="Times New Roman"/>
                <w:sz w:val="13"/>
                <w:szCs w:val="13"/>
                <w:color w:val="auto"/>
                <w:w w:val="91"/>
              </w:rPr>
              <w:t>$</w:t>
            </w:r>
          </w:p>
        </w:tc>
        <w:tc>
          <w:tcPr>
            <w:tcW w:w="46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3,915</w:t>
            </w:r>
          </w:p>
        </w:tc>
        <w:tc>
          <w:tcPr>
            <w:tcW w:w="320" w:type="dxa"/>
            <w:vAlign w:val="bottom"/>
            <w:gridSpan w:val="2"/>
          </w:tcPr>
          <w:p>
            <w:pPr>
              <w:jc w:val="right"/>
              <w:ind w:right="140"/>
              <w:spacing w:after="0"/>
              <w:rPr>
                <w:sz w:val="20"/>
                <w:szCs w:val="20"/>
                <w:color w:val="auto"/>
              </w:rPr>
            </w:pPr>
            <w:r>
              <w:rPr>
                <w:rFonts w:ascii="Times New Roman" w:cs="Times New Roman" w:eastAsia="Times New Roman" w:hAnsi="Times New Roman"/>
                <w:sz w:val="13"/>
                <w:szCs w:val="13"/>
                <w:color w:val="auto"/>
              </w:rPr>
              <w:t>$</w:t>
            </w:r>
          </w:p>
        </w:tc>
        <w:tc>
          <w:tcPr>
            <w:tcW w:w="1360" w:type="dxa"/>
            <w:vAlign w:val="bottom"/>
            <w:gridSpan w:val="3"/>
          </w:tcPr>
          <w:p>
            <w:pPr>
              <w:ind w:left="940"/>
              <w:spacing w:after="0"/>
              <w:rPr>
                <w:sz w:val="20"/>
                <w:szCs w:val="20"/>
                <w:color w:val="auto"/>
              </w:rPr>
            </w:pPr>
            <w:r>
              <w:rPr>
                <w:rFonts w:ascii="Times New Roman" w:cs="Times New Roman" w:eastAsia="Times New Roman" w:hAnsi="Times New Roman"/>
                <w:sz w:val="13"/>
                <w:szCs w:val="13"/>
                <w:color w:val="auto"/>
              </w:rPr>
              <w:t>—   $</w:t>
            </w:r>
          </w:p>
        </w:tc>
        <w:tc>
          <w:tcPr>
            <w:tcW w:w="118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w:t>
            </w:r>
          </w:p>
        </w:tc>
        <w:tc>
          <w:tcPr>
            <w:tcW w:w="0" w:type="dxa"/>
            <w:vAlign w:val="bottom"/>
          </w:tcPr>
          <w:p>
            <w:pPr>
              <w:spacing w:after="0"/>
              <w:rPr>
                <w:sz w:val="1"/>
                <w:szCs w:val="1"/>
                <w:color w:val="auto"/>
              </w:rPr>
            </w:pPr>
          </w:p>
        </w:tc>
      </w:tr>
      <w:tr>
        <w:trPr>
          <w:trHeight w:val="172"/>
        </w:trPr>
        <w:tc>
          <w:tcPr>
            <w:tcW w:w="7080" w:type="dxa"/>
            <w:vAlign w:val="bottom"/>
            <w:shd w:val="clear" w:color="auto" w:fill="CCEEFF"/>
          </w:tcPr>
          <w:p>
            <w:pPr>
              <w:ind w:left="280"/>
              <w:spacing w:after="0"/>
              <w:rPr>
                <w:sz w:val="20"/>
                <w:szCs w:val="20"/>
                <w:color w:val="auto"/>
              </w:rPr>
            </w:pPr>
            <w:r>
              <w:rPr>
                <w:rFonts w:ascii="Times New Roman" w:cs="Times New Roman" w:eastAsia="Times New Roman" w:hAnsi="Times New Roman"/>
                <w:sz w:val="13"/>
                <w:szCs w:val="13"/>
                <w:color w:val="auto"/>
              </w:rPr>
              <w:t>Common Trust Funds</w:t>
            </w:r>
          </w:p>
        </w:tc>
        <w:tc>
          <w:tcPr>
            <w:tcW w:w="880" w:type="dxa"/>
            <w:vAlign w:val="bottom"/>
            <w:shd w:val="clear" w:color="auto" w:fill="CCEEFF"/>
          </w:tcPr>
          <w:p>
            <w:pPr>
              <w:spacing w:after="0"/>
              <w:rPr>
                <w:sz w:val="14"/>
                <w:szCs w:val="14"/>
                <w:color w:val="auto"/>
              </w:rPr>
            </w:pPr>
          </w:p>
        </w:tc>
        <w:tc>
          <w:tcPr>
            <w:tcW w:w="4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739</w:t>
            </w:r>
          </w:p>
        </w:tc>
        <w:tc>
          <w:tcPr>
            <w:tcW w:w="100" w:type="dxa"/>
            <w:vAlign w:val="bottom"/>
            <w:shd w:val="clear" w:color="auto" w:fill="CCEEFF"/>
          </w:tcPr>
          <w:p>
            <w:pPr>
              <w:spacing w:after="0"/>
              <w:rPr>
                <w:sz w:val="14"/>
                <w:szCs w:val="14"/>
                <w:color w:val="auto"/>
              </w:rPr>
            </w:pPr>
          </w:p>
        </w:tc>
        <w:tc>
          <w:tcPr>
            <w:tcW w:w="220" w:type="dxa"/>
            <w:vAlign w:val="bottom"/>
            <w:shd w:val="clear" w:color="auto" w:fill="CCEEFF"/>
          </w:tcPr>
          <w:p>
            <w:pPr>
              <w:spacing w:after="0"/>
              <w:rPr>
                <w:sz w:val="14"/>
                <w:szCs w:val="14"/>
                <w:color w:val="auto"/>
              </w:rPr>
            </w:pPr>
          </w:p>
        </w:tc>
        <w:tc>
          <w:tcPr>
            <w:tcW w:w="1360" w:type="dxa"/>
            <w:vAlign w:val="bottom"/>
            <w:gridSpan w:val="3"/>
            <w:shd w:val="clear" w:color="auto" w:fill="CCEEFF"/>
          </w:tcPr>
          <w:p>
            <w:pPr>
              <w:jc w:val="right"/>
              <w:ind w:right="300"/>
              <w:spacing w:after="0"/>
              <w:rPr>
                <w:sz w:val="20"/>
                <w:szCs w:val="20"/>
                <w:color w:val="auto"/>
              </w:rPr>
            </w:pPr>
            <w:r>
              <w:rPr>
                <w:rFonts w:ascii="Times New Roman" w:cs="Times New Roman" w:eastAsia="Times New Roman" w:hAnsi="Times New Roman"/>
                <w:sz w:val="13"/>
                <w:szCs w:val="13"/>
                <w:color w:val="auto"/>
              </w:rPr>
              <w:t>—</w:t>
            </w:r>
          </w:p>
        </w:tc>
        <w:tc>
          <w:tcPr>
            <w:tcW w:w="11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w:t>
            </w:r>
          </w:p>
        </w:tc>
        <w:tc>
          <w:tcPr>
            <w:tcW w:w="0" w:type="dxa"/>
            <w:vAlign w:val="bottom"/>
          </w:tcPr>
          <w:p>
            <w:pPr>
              <w:spacing w:after="0"/>
              <w:rPr>
                <w:sz w:val="1"/>
                <w:szCs w:val="1"/>
                <w:color w:val="auto"/>
              </w:rPr>
            </w:pPr>
          </w:p>
        </w:tc>
      </w:tr>
      <w:tr>
        <w:trPr>
          <w:trHeight w:val="168"/>
        </w:trPr>
        <w:tc>
          <w:tcPr>
            <w:tcW w:w="7080" w:type="dxa"/>
            <w:vAlign w:val="bottom"/>
          </w:tcPr>
          <w:p>
            <w:pPr>
              <w:ind w:left="280"/>
              <w:spacing w:after="0"/>
              <w:rPr>
                <w:sz w:val="20"/>
                <w:szCs w:val="20"/>
                <w:color w:val="auto"/>
              </w:rPr>
            </w:pPr>
            <w:r>
              <w:rPr>
                <w:rFonts w:ascii="Times New Roman" w:cs="Times New Roman" w:eastAsia="Times New Roman" w:hAnsi="Times New Roman"/>
                <w:sz w:val="13"/>
                <w:szCs w:val="13"/>
                <w:color w:val="auto"/>
              </w:rPr>
              <w:t>Private Funds</w:t>
            </w:r>
          </w:p>
        </w:tc>
        <w:tc>
          <w:tcPr>
            <w:tcW w:w="880" w:type="dxa"/>
            <w:vAlign w:val="bottom"/>
          </w:tcPr>
          <w:p>
            <w:pPr>
              <w:spacing w:after="0"/>
              <w:rPr>
                <w:sz w:val="14"/>
                <w:szCs w:val="14"/>
                <w:color w:val="auto"/>
              </w:rPr>
            </w:pPr>
          </w:p>
        </w:tc>
        <w:tc>
          <w:tcPr>
            <w:tcW w:w="46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92</w:t>
            </w:r>
          </w:p>
        </w:tc>
        <w:tc>
          <w:tcPr>
            <w:tcW w:w="10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112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0.3</w:t>
            </w:r>
          </w:p>
        </w:tc>
        <w:tc>
          <w:tcPr>
            <w:tcW w:w="8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118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0.3</w:t>
            </w:r>
          </w:p>
        </w:tc>
        <w:tc>
          <w:tcPr>
            <w:tcW w:w="0" w:type="dxa"/>
            <w:vAlign w:val="bottom"/>
          </w:tcPr>
          <w:p>
            <w:pPr>
              <w:spacing w:after="0"/>
              <w:rPr>
                <w:sz w:val="1"/>
                <w:szCs w:val="1"/>
                <w:color w:val="auto"/>
              </w:rPr>
            </w:pPr>
          </w:p>
        </w:tc>
      </w:tr>
      <w:tr>
        <w:trPr>
          <w:trHeight w:val="172"/>
        </w:trPr>
        <w:tc>
          <w:tcPr>
            <w:tcW w:w="7080" w:type="dxa"/>
            <w:vAlign w:val="bottom"/>
            <w:shd w:val="clear" w:color="auto" w:fill="CCEEFF"/>
          </w:tcPr>
          <w:p>
            <w:pPr>
              <w:ind w:left="280"/>
              <w:spacing w:after="0"/>
              <w:rPr>
                <w:sz w:val="20"/>
                <w:szCs w:val="20"/>
                <w:color w:val="auto"/>
              </w:rPr>
            </w:pPr>
            <w:r>
              <w:rPr>
                <w:rFonts w:ascii="Times New Roman" w:cs="Times New Roman" w:eastAsia="Times New Roman" w:hAnsi="Times New Roman"/>
                <w:sz w:val="13"/>
                <w:szCs w:val="13"/>
                <w:color w:val="auto"/>
              </w:rPr>
              <w:t>Private Equity</w:t>
            </w:r>
          </w:p>
        </w:tc>
        <w:tc>
          <w:tcPr>
            <w:tcW w:w="880" w:type="dxa"/>
            <w:vAlign w:val="bottom"/>
            <w:shd w:val="clear" w:color="auto" w:fill="CCEEFF"/>
          </w:tcPr>
          <w:p>
            <w:pPr>
              <w:spacing w:after="0"/>
              <w:rPr>
                <w:sz w:val="14"/>
                <w:szCs w:val="14"/>
                <w:color w:val="auto"/>
              </w:rPr>
            </w:pPr>
          </w:p>
        </w:tc>
        <w:tc>
          <w:tcPr>
            <w:tcW w:w="4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w:t>
            </w:r>
          </w:p>
        </w:tc>
        <w:tc>
          <w:tcPr>
            <w:tcW w:w="100" w:type="dxa"/>
            <w:vAlign w:val="bottom"/>
            <w:shd w:val="clear" w:color="auto" w:fill="CCEEFF"/>
          </w:tcPr>
          <w:p>
            <w:pPr>
              <w:spacing w:after="0"/>
              <w:rPr>
                <w:sz w:val="14"/>
                <w:szCs w:val="14"/>
                <w:color w:val="auto"/>
              </w:rPr>
            </w:pPr>
          </w:p>
        </w:tc>
        <w:tc>
          <w:tcPr>
            <w:tcW w:w="220" w:type="dxa"/>
            <w:vAlign w:val="bottom"/>
            <w:shd w:val="clear" w:color="auto" w:fill="CCEEFF"/>
          </w:tcPr>
          <w:p>
            <w:pPr>
              <w:spacing w:after="0"/>
              <w:rPr>
                <w:sz w:val="14"/>
                <w:szCs w:val="14"/>
                <w:color w:val="auto"/>
              </w:rPr>
            </w:pPr>
          </w:p>
        </w:tc>
        <w:tc>
          <w:tcPr>
            <w:tcW w:w="11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7.3</w:t>
            </w:r>
          </w:p>
        </w:tc>
        <w:tc>
          <w:tcPr>
            <w:tcW w:w="80" w:type="dxa"/>
            <w:vAlign w:val="bottom"/>
            <w:shd w:val="clear" w:color="auto" w:fill="CCEEFF"/>
          </w:tcPr>
          <w:p>
            <w:pPr>
              <w:spacing w:after="0"/>
              <w:rPr>
                <w:sz w:val="14"/>
                <w:szCs w:val="14"/>
                <w:color w:val="auto"/>
              </w:rPr>
            </w:pPr>
          </w:p>
        </w:tc>
        <w:tc>
          <w:tcPr>
            <w:tcW w:w="160" w:type="dxa"/>
            <w:vAlign w:val="bottom"/>
            <w:shd w:val="clear" w:color="auto" w:fill="CCEEFF"/>
          </w:tcPr>
          <w:p>
            <w:pPr>
              <w:spacing w:after="0"/>
              <w:rPr>
                <w:sz w:val="14"/>
                <w:szCs w:val="14"/>
                <w:color w:val="auto"/>
              </w:rPr>
            </w:pPr>
          </w:p>
        </w:tc>
        <w:tc>
          <w:tcPr>
            <w:tcW w:w="11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7.3</w:t>
            </w:r>
          </w:p>
        </w:tc>
        <w:tc>
          <w:tcPr>
            <w:tcW w:w="0" w:type="dxa"/>
            <w:vAlign w:val="bottom"/>
          </w:tcPr>
          <w:p>
            <w:pPr>
              <w:spacing w:after="0"/>
              <w:rPr>
                <w:sz w:val="1"/>
                <w:szCs w:val="1"/>
                <w:color w:val="auto"/>
              </w:rPr>
            </w:pPr>
          </w:p>
        </w:tc>
      </w:tr>
      <w:tr>
        <w:trPr>
          <w:trHeight w:val="42"/>
        </w:trPr>
        <w:tc>
          <w:tcPr>
            <w:tcW w:w="7080" w:type="dxa"/>
            <w:vAlign w:val="bottom"/>
          </w:tcPr>
          <w:p>
            <w:pPr>
              <w:spacing w:after="0"/>
              <w:rPr>
                <w:sz w:val="3"/>
                <w:szCs w:val="3"/>
                <w:color w:val="auto"/>
              </w:rPr>
            </w:pPr>
          </w:p>
        </w:tc>
        <w:tc>
          <w:tcPr>
            <w:tcW w:w="880" w:type="dxa"/>
            <w:vAlign w:val="bottom"/>
          </w:tcPr>
          <w:p>
            <w:pPr>
              <w:spacing w:after="0"/>
              <w:rPr>
                <w:sz w:val="3"/>
                <w:szCs w:val="3"/>
                <w:color w:val="auto"/>
              </w:rPr>
            </w:pPr>
          </w:p>
        </w:tc>
        <w:tc>
          <w:tcPr>
            <w:tcW w:w="460" w:type="dxa"/>
            <w:vAlign w:val="bottom"/>
          </w:tcPr>
          <w:p>
            <w:pPr>
              <w:spacing w:after="0"/>
              <w:rPr>
                <w:sz w:val="3"/>
                <w:szCs w:val="3"/>
                <w:color w:val="auto"/>
              </w:rPr>
            </w:pPr>
          </w:p>
        </w:tc>
        <w:tc>
          <w:tcPr>
            <w:tcW w:w="100" w:type="dxa"/>
            <w:vAlign w:val="bottom"/>
          </w:tcPr>
          <w:p>
            <w:pPr>
              <w:spacing w:after="0"/>
              <w:rPr>
                <w:sz w:val="3"/>
                <w:szCs w:val="3"/>
                <w:color w:val="auto"/>
              </w:rPr>
            </w:pPr>
          </w:p>
        </w:tc>
        <w:tc>
          <w:tcPr>
            <w:tcW w:w="220" w:type="dxa"/>
            <w:vAlign w:val="bottom"/>
          </w:tcPr>
          <w:p>
            <w:pPr>
              <w:spacing w:after="0"/>
              <w:rPr>
                <w:sz w:val="3"/>
                <w:szCs w:val="3"/>
                <w:color w:val="auto"/>
              </w:rPr>
            </w:pPr>
          </w:p>
        </w:tc>
        <w:tc>
          <w:tcPr>
            <w:tcW w:w="1120" w:type="dxa"/>
            <w:vAlign w:val="bottom"/>
          </w:tcPr>
          <w:p>
            <w:pPr>
              <w:spacing w:after="0"/>
              <w:rPr>
                <w:sz w:val="3"/>
                <w:szCs w:val="3"/>
                <w:color w:val="auto"/>
              </w:rPr>
            </w:pPr>
          </w:p>
        </w:tc>
        <w:tc>
          <w:tcPr>
            <w:tcW w:w="80" w:type="dxa"/>
            <w:vAlign w:val="bottom"/>
          </w:tcPr>
          <w:p>
            <w:pPr>
              <w:spacing w:after="0"/>
              <w:rPr>
                <w:sz w:val="3"/>
                <w:szCs w:val="3"/>
                <w:color w:val="auto"/>
              </w:rPr>
            </w:pPr>
          </w:p>
        </w:tc>
        <w:tc>
          <w:tcPr>
            <w:tcW w:w="160" w:type="dxa"/>
            <w:vAlign w:val="bottom"/>
          </w:tcPr>
          <w:p>
            <w:pPr>
              <w:spacing w:after="0"/>
              <w:rPr>
                <w:sz w:val="3"/>
                <w:szCs w:val="3"/>
                <w:color w:val="auto"/>
              </w:rPr>
            </w:pPr>
          </w:p>
        </w:tc>
        <w:tc>
          <w:tcPr>
            <w:tcW w:w="1180" w:type="dxa"/>
            <w:vAlign w:val="bottom"/>
          </w:tcPr>
          <w:p>
            <w:pPr>
              <w:spacing w:after="0"/>
              <w:rPr>
                <w:sz w:val="3"/>
                <w:szCs w:val="3"/>
                <w:color w:val="auto"/>
              </w:rPr>
            </w:pPr>
          </w:p>
        </w:tc>
        <w:tc>
          <w:tcPr>
            <w:tcW w:w="0" w:type="dxa"/>
            <w:vAlign w:val="bottom"/>
          </w:tcPr>
          <w:p>
            <w:pPr>
              <w:spacing w:after="0"/>
              <w:rPr>
                <w:sz w:val="1"/>
                <w:szCs w:val="1"/>
                <w:color w:val="auto"/>
              </w:rPr>
            </w:pPr>
          </w:p>
        </w:tc>
      </w:tr>
      <w:tr>
        <w:trPr>
          <w:trHeight w:val="170"/>
        </w:trPr>
        <w:tc>
          <w:tcPr>
            <w:tcW w:w="708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3"/>
                <w:szCs w:val="13"/>
                <w:color w:val="auto"/>
              </w:rPr>
              <w:t>All other assets:</w:t>
            </w:r>
          </w:p>
        </w:tc>
        <w:tc>
          <w:tcPr>
            <w:tcW w:w="880" w:type="dxa"/>
            <w:vAlign w:val="bottom"/>
            <w:shd w:val="clear" w:color="auto" w:fill="CCEEFF"/>
          </w:tcPr>
          <w:p>
            <w:pPr>
              <w:spacing w:after="0"/>
              <w:rPr>
                <w:sz w:val="14"/>
                <w:szCs w:val="14"/>
                <w:color w:val="auto"/>
              </w:rPr>
            </w:pPr>
          </w:p>
        </w:tc>
        <w:tc>
          <w:tcPr>
            <w:tcW w:w="46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220" w:type="dxa"/>
            <w:vAlign w:val="bottom"/>
            <w:shd w:val="clear" w:color="auto" w:fill="CCEEFF"/>
          </w:tcPr>
          <w:p>
            <w:pPr>
              <w:spacing w:after="0"/>
              <w:rPr>
                <w:sz w:val="14"/>
                <w:szCs w:val="14"/>
                <w:color w:val="auto"/>
              </w:rPr>
            </w:pPr>
          </w:p>
        </w:tc>
        <w:tc>
          <w:tcPr>
            <w:tcW w:w="1120" w:type="dxa"/>
            <w:vAlign w:val="bottom"/>
            <w:shd w:val="clear" w:color="auto" w:fill="CCEEFF"/>
          </w:tcPr>
          <w:p>
            <w:pPr>
              <w:spacing w:after="0"/>
              <w:rPr>
                <w:sz w:val="14"/>
                <w:szCs w:val="14"/>
                <w:color w:val="auto"/>
              </w:rPr>
            </w:pPr>
          </w:p>
        </w:tc>
        <w:tc>
          <w:tcPr>
            <w:tcW w:w="80" w:type="dxa"/>
            <w:vAlign w:val="bottom"/>
            <w:shd w:val="clear" w:color="auto" w:fill="CCEEFF"/>
          </w:tcPr>
          <w:p>
            <w:pPr>
              <w:spacing w:after="0"/>
              <w:rPr>
                <w:sz w:val="14"/>
                <w:szCs w:val="14"/>
                <w:color w:val="auto"/>
              </w:rPr>
            </w:pPr>
          </w:p>
        </w:tc>
        <w:tc>
          <w:tcPr>
            <w:tcW w:w="160" w:type="dxa"/>
            <w:vAlign w:val="bottom"/>
            <w:shd w:val="clear" w:color="auto" w:fill="CCEEFF"/>
          </w:tcPr>
          <w:p>
            <w:pPr>
              <w:spacing w:after="0"/>
              <w:rPr>
                <w:sz w:val="14"/>
                <w:szCs w:val="14"/>
                <w:color w:val="auto"/>
              </w:rPr>
            </w:pPr>
          </w:p>
        </w:tc>
        <w:tc>
          <w:tcPr>
            <w:tcW w:w="1180" w:type="dxa"/>
            <w:vAlign w:val="bottom"/>
            <w:shd w:val="clear" w:color="auto" w:fill="CCEEFF"/>
          </w:tcPr>
          <w:p>
            <w:pPr>
              <w:spacing w:after="0"/>
              <w:rPr>
                <w:sz w:val="14"/>
                <w:szCs w:val="14"/>
                <w:color w:val="auto"/>
              </w:rPr>
            </w:pPr>
          </w:p>
        </w:tc>
        <w:tc>
          <w:tcPr>
            <w:tcW w:w="0" w:type="dxa"/>
            <w:vAlign w:val="bottom"/>
          </w:tcPr>
          <w:p>
            <w:pPr>
              <w:spacing w:after="0"/>
              <w:rPr>
                <w:sz w:val="1"/>
                <w:szCs w:val="1"/>
                <w:color w:val="auto"/>
              </w:rPr>
            </w:pPr>
          </w:p>
        </w:tc>
      </w:tr>
      <w:tr>
        <w:trPr>
          <w:trHeight w:val="168"/>
        </w:trPr>
        <w:tc>
          <w:tcPr>
            <w:tcW w:w="7080" w:type="dxa"/>
            <w:vAlign w:val="bottom"/>
          </w:tcPr>
          <w:p>
            <w:pPr>
              <w:ind w:left="280"/>
              <w:spacing w:after="0"/>
              <w:rPr>
                <w:sz w:val="20"/>
                <w:szCs w:val="20"/>
                <w:color w:val="auto"/>
              </w:rPr>
            </w:pPr>
            <w:r>
              <w:rPr>
                <w:rFonts w:ascii="Times New Roman" w:cs="Times New Roman" w:eastAsia="Times New Roman" w:hAnsi="Times New Roman"/>
                <w:sz w:val="13"/>
                <w:szCs w:val="13"/>
                <w:color w:val="auto"/>
              </w:rPr>
              <w:t>Wealth Management</w:t>
            </w:r>
          </w:p>
        </w:tc>
        <w:tc>
          <w:tcPr>
            <w:tcW w:w="880" w:type="dxa"/>
            <w:vAlign w:val="bottom"/>
          </w:tcPr>
          <w:p>
            <w:pPr>
              <w:spacing w:after="0"/>
              <w:rPr>
                <w:sz w:val="14"/>
                <w:szCs w:val="14"/>
                <w:color w:val="auto"/>
              </w:rPr>
            </w:pPr>
          </w:p>
        </w:tc>
        <w:tc>
          <w:tcPr>
            <w:tcW w:w="46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3,327</w:t>
            </w:r>
          </w:p>
        </w:tc>
        <w:tc>
          <w:tcPr>
            <w:tcW w:w="10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112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118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70"/>
        </w:trPr>
        <w:tc>
          <w:tcPr>
            <w:tcW w:w="7080" w:type="dxa"/>
            <w:vAlign w:val="bottom"/>
            <w:shd w:val="clear" w:color="auto" w:fill="CCEEFF"/>
          </w:tcPr>
          <w:p>
            <w:pPr>
              <w:ind w:left="280"/>
              <w:spacing w:after="0"/>
              <w:rPr>
                <w:sz w:val="20"/>
                <w:szCs w:val="20"/>
                <w:color w:val="auto"/>
              </w:rPr>
            </w:pPr>
            <w:r>
              <w:rPr>
                <w:rFonts w:ascii="Times New Roman" w:cs="Times New Roman" w:eastAsia="Times New Roman" w:hAnsi="Times New Roman"/>
                <w:sz w:val="13"/>
                <w:szCs w:val="13"/>
                <w:color w:val="auto"/>
              </w:rPr>
              <w:t>Institutional</w:t>
            </w:r>
          </w:p>
        </w:tc>
        <w:tc>
          <w:tcPr>
            <w:tcW w:w="880" w:type="dxa"/>
            <w:vAlign w:val="bottom"/>
            <w:tcBorders>
              <w:bottom w:val="single" w:sz="8" w:color="auto"/>
            </w:tcBorders>
            <w:shd w:val="clear" w:color="auto" w:fill="CCEEFF"/>
          </w:tcPr>
          <w:p>
            <w:pPr>
              <w:spacing w:after="0"/>
              <w:rPr>
                <w:sz w:val="14"/>
                <w:szCs w:val="14"/>
                <w:color w:val="auto"/>
              </w:rPr>
            </w:pPr>
          </w:p>
        </w:tc>
        <w:tc>
          <w:tcPr>
            <w:tcW w:w="4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8,534</w:t>
            </w:r>
          </w:p>
        </w:tc>
        <w:tc>
          <w:tcPr>
            <w:tcW w:w="100" w:type="dxa"/>
            <w:vAlign w:val="bottom"/>
            <w:shd w:val="clear" w:color="auto" w:fill="CCEEFF"/>
          </w:tcPr>
          <w:p>
            <w:pPr>
              <w:spacing w:after="0"/>
              <w:rPr>
                <w:sz w:val="14"/>
                <w:szCs w:val="14"/>
                <w:color w:val="auto"/>
              </w:rPr>
            </w:pPr>
          </w:p>
        </w:tc>
        <w:tc>
          <w:tcPr>
            <w:tcW w:w="220" w:type="dxa"/>
            <w:vAlign w:val="bottom"/>
            <w:shd w:val="clear" w:color="auto" w:fill="CCEEFF"/>
          </w:tcPr>
          <w:p>
            <w:pPr>
              <w:spacing w:after="0"/>
              <w:rPr>
                <w:sz w:val="14"/>
                <w:szCs w:val="14"/>
                <w:color w:val="auto"/>
              </w:rPr>
            </w:pPr>
          </w:p>
        </w:tc>
        <w:tc>
          <w:tcPr>
            <w:tcW w:w="1120" w:type="dxa"/>
            <w:vAlign w:val="bottom"/>
            <w:shd w:val="clear" w:color="auto" w:fill="CCEEFF"/>
          </w:tcPr>
          <w:p>
            <w:pPr>
              <w:spacing w:after="0"/>
              <w:rPr>
                <w:sz w:val="14"/>
                <w:szCs w:val="14"/>
                <w:color w:val="auto"/>
              </w:rPr>
            </w:pPr>
          </w:p>
        </w:tc>
        <w:tc>
          <w:tcPr>
            <w:tcW w:w="80" w:type="dxa"/>
            <w:vAlign w:val="bottom"/>
            <w:shd w:val="clear" w:color="auto" w:fill="CCEEFF"/>
          </w:tcPr>
          <w:p>
            <w:pPr>
              <w:spacing w:after="0"/>
              <w:rPr>
                <w:sz w:val="14"/>
                <w:szCs w:val="14"/>
                <w:color w:val="auto"/>
              </w:rPr>
            </w:pPr>
          </w:p>
        </w:tc>
        <w:tc>
          <w:tcPr>
            <w:tcW w:w="160" w:type="dxa"/>
            <w:vAlign w:val="bottom"/>
            <w:shd w:val="clear" w:color="auto" w:fill="CCEEFF"/>
          </w:tcPr>
          <w:p>
            <w:pPr>
              <w:spacing w:after="0"/>
              <w:rPr>
                <w:sz w:val="14"/>
                <w:szCs w:val="14"/>
                <w:color w:val="auto"/>
              </w:rPr>
            </w:pPr>
          </w:p>
        </w:tc>
        <w:tc>
          <w:tcPr>
            <w:tcW w:w="1180" w:type="dxa"/>
            <w:vAlign w:val="bottom"/>
            <w:shd w:val="clear" w:color="auto" w:fill="CCEEFF"/>
          </w:tcPr>
          <w:p>
            <w:pPr>
              <w:spacing w:after="0"/>
              <w:rPr>
                <w:sz w:val="14"/>
                <w:szCs w:val="14"/>
                <w:color w:val="auto"/>
              </w:rPr>
            </w:pPr>
          </w:p>
        </w:tc>
        <w:tc>
          <w:tcPr>
            <w:tcW w:w="0" w:type="dxa"/>
            <w:vAlign w:val="bottom"/>
          </w:tcPr>
          <w:p>
            <w:pPr>
              <w:spacing w:after="0"/>
              <w:rPr>
                <w:sz w:val="1"/>
                <w:szCs w:val="1"/>
                <w:color w:val="auto"/>
              </w:rPr>
            </w:pPr>
          </w:p>
        </w:tc>
      </w:tr>
      <w:tr>
        <w:trPr>
          <w:trHeight w:val="163"/>
        </w:trPr>
        <w:tc>
          <w:tcPr>
            <w:tcW w:w="7080" w:type="dxa"/>
            <w:vAlign w:val="bottom"/>
          </w:tcPr>
          <w:p>
            <w:pPr>
              <w:ind w:left="520"/>
              <w:spacing w:after="0"/>
              <w:rPr>
                <w:sz w:val="20"/>
                <w:szCs w:val="20"/>
                <w:color w:val="auto"/>
              </w:rPr>
            </w:pPr>
            <w:r>
              <w:rPr>
                <w:rFonts w:ascii="Times New Roman" w:cs="Times New Roman" w:eastAsia="Times New Roman" w:hAnsi="Times New Roman"/>
                <w:sz w:val="13"/>
                <w:szCs w:val="13"/>
                <w:color w:val="auto"/>
              </w:rPr>
              <w:t>Total AUM</w:t>
            </w:r>
          </w:p>
        </w:tc>
        <w:tc>
          <w:tcPr>
            <w:tcW w:w="880" w:type="dxa"/>
            <w:vAlign w:val="bottom"/>
            <w:tcBorders>
              <w:bottom w:val="single" w:sz="8" w:color="auto"/>
            </w:tcBorders>
          </w:tcPr>
          <w:p>
            <w:pPr>
              <w:jc w:val="right"/>
              <w:ind w:right="736"/>
              <w:spacing w:after="0"/>
              <w:rPr>
                <w:sz w:val="20"/>
                <w:szCs w:val="20"/>
                <w:color w:val="auto"/>
              </w:rPr>
            </w:pPr>
            <w:r>
              <w:rPr>
                <w:rFonts w:ascii="Times New Roman" w:cs="Times New Roman" w:eastAsia="Times New Roman" w:hAnsi="Times New Roman"/>
                <w:sz w:val="13"/>
                <w:szCs w:val="13"/>
                <w:color w:val="auto"/>
                <w:w w:val="91"/>
              </w:rPr>
              <w:t>$</w:t>
            </w:r>
          </w:p>
        </w:tc>
        <w:tc>
          <w:tcPr>
            <w:tcW w:w="4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3"/>
                <w:szCs w:val="13"/>
                <w:color w:val="auto"/>
              </w:rPr>
              <w:t>16,607</w:t>
            </w:r>
          </w:p>
        </w:tc>
        <w:tc>
          <w:tcPr>
            <w:tcW w:w="10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112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118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20"/>
        </w:trPr>
        <w:tc>
          <w:tcPr>
            <w:tcW w:w="7080" w:type="dxa"/>
            <w:vAlign w:val="bottom"/>
          </w:tcPr>
          <w:p>
            <w:pPr>
              <w:spacing w:after="0" w:line="20" w:lineRule="exact"/>
              <w:rPr>
                <w:sz w:val="1"/>
                <w:szCs w:val="1"/>
                <w:color w:val="auto"/>
              </w:rPr>
            </w:pPr>
          </w:p>
        </w:tc>
        <w:tc>
          <w:tcPr>
            <w:tcW w:w="880" w:type="dxa"/>
            <w:vAlign w:val="bottom"/>
            <w:tcBorders>
              <w:bottom w:val="single" w:sz="8" w:color="auto"/>
            </w:tcBorders>
          </w:tcPr>
          <w:p>
            <w:pPr>
              <w:spacing w:after="0" w:line="20" w:lineRule="exact"/>
              <w:rPr>
                <w:sz w:val="1"/>
                <w:szCs w:val="1"/>
                <w:color w:val="auto"/>
              </w:rPr>
            </w:pPr>
          </w:p>
        </w:tc>
        <w:tc>
          <w:tcPr>
            <w:tcW w:w="46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1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18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333"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b w:val="1"/>
          <w:bCs w:val="1"/>
          <w:color w:val="auto"/>
        </w:rPr>
        <w:t>17. RELATED PARTY TRANSACTIONS:</w:t>
      </w:r>
    </w:p>
    <w:p>
      <w:pPr>
        <w:spacing w:after="0" w:line="96" w:lineRule="exact"/>
        <w:rPr>
          <w:sz w:val="20"/>
          <w:szCs w:val="20"/>
          <w:color w:val="auto"/>
        </w:rPr>
      </w:pPr>
    </w:p>
    <w:p>
      <w:pPr>
        <w:ind w:right="160" w:firstLine="382"/>
        <w:spacing w:after="0" w:line="287" w:lineRule="auto"/>
        <w:rPr>
          <w:sz w:val="20"/>
          <w:szCs w:val="20"/>
          <w:color w:val="auto"/>
        </w:rPr>
      </w:pPr>
      <w:r>
        <w:rPr>
          <w:rFonts w:ascii="Times New Roman" w:cs="Times New Roman" w:eastAsia="Times New Roman" w:hAnsi="Times New Roman"/>
          <w:sz w:val="14"/>
          <w:szCs w:val="14"/>
          <w:color w:val="auto"/>
        </w:rPr>
        <w:t>Some of our directors, executive officers and their affiliates invest personal funds directly in trust accounts that we manage. At both December 31, 2025 and at December 31, 2024, there was approximately $0.1 million in fees due from these accounts. For the years ended December 31, 2025, 2024 and 2023 we recorded trust fees from these accounts of $0.3 million.</w:t>
      </w:r>
    </w:p>
    <w:p>
      <w:pPr>
        <w:spacing w:after="0" w:line="39" w:lineRule="exact"/>
        <w:rPr>
          <w:sz w:val="20"/>
          <w:szCs w:val="20"/>
          <w:color w:val="auto"/>
        </w:rPr>
      </w:pPr>
    </w:p>
    <w:p>
      <w:pPr>
        <w:ind w:right="80" w:firstLine="382"/>
        <w:spacing w:after="0" w:line="270" w:lineRule="auto"/>
        <w:rPr>
          <w:sz w:val="20"/>
          <w:szCs w:val="20"/>
          <w:color w:val="auto"/>
        </w:rPr>
      </w:pPr>
      <w:r>
        <w:rPr>
          <w:rFonts w:ascii="Times New Roman" w:cs="Times New Roman" w:eastAsia="Times New Roman" w:hAnsi="Times New Roman"/>
          <w:sz w:val="14"/>
          <w:szCs w:val="14"/>
          <w:color w:val="auto"/>
        </w:rPr>
        <w:t>The Company engages in transactions with its affiliates in the ordinary course of business. Westwood Management provides investment advisory services to the Westwood Funds®. Under the terms of the investment advisory agreements, the Company earns quarterly fees paid by clients of the fund or by the funds directly. The fees are based on negotiated fee schedules applied to AUM. For the years ended December 31, 2025, 2024 and 2023 the Company earned immaterial fees from the affiliated funds.</w:t>
      </w:r>
    </w:p>
    <w:p>
      <w:pPr>
        <w:spacing w:after="0" w:line="176"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b w:val="1"/>
          <w:bCs w:val="1"/>
          <w:color w:val="auto"/>
        </w:rPr>
        <w:t>18. CONCENTRATION:</w:t>
      </w:r>
    </w:p>
    <w:p>
      <w:pPr>
        <w:spacing w:after="0" w:line="96" w:lineRule="exact"/>
        <w:rPr>
          <w:sz w:val="20"/>
          <w:szCs w:val="20"/>
          <w:color w:val="auto"/>
        </w:rPr>
      </w:pPr>
    </w:p>
    <w:p>
      <w:pPr>
        <w:ind w:right="540" w:firstLine="382"/>
        <w:spacing w:after="0" w:line="278" w:lineRule="auto"/>
        <w:rPr>
          <w:sz w:val="20"/>
          <w:szCs w:val="20"/>
          <w:color w:val="auto"/>
        </w:rPr>
      </w:pPr>
      <w:r>
        <w:rPr>
          <w:rFonts w:ascii="Times New Roman" w:cs="Times New Roman" w:eastAsia="Times New Roman" w:hAnsi="Times New Roman"/>
          <w:sz w:val="14"/>
          <w:szCs w:val="14"/>
          <w:color w:val="auto"/>
        </w:rPr>
        <w:t>For the years ended December 31, 2025, 2024 and 2023, our ten largest clients accounted for approximately 20%, 20% and 21%, respectively, of our fee revenues. No single customer accounted for 10% or more of our fee revenues in any of these years. The following table presents advisory fee revenue received from our single largest client in each year (in thousands):</w:t>
      </w:r>
    </w:p>
    <w:p>
      <w:pPr>
        <w:ind w:left="8560"/>
        <w:spacing w:after="0"/>
        <w:rPr>
          <w:sz w:val="20"/>
          <w:szCs w:val="20"/>
          <w:color w:val="auto"/>
        </w:rPr>
      </w:pPr>
      <w:r>
        <w:rPr>
          <w:rFonts w:ascii="Times New Roman" w:cs="Times New Roman" w:eastAsia="Times New Roman" w:hAnsi="Times New Roman"/>
          <w:sz w:val="13"/>
          <w:szCs w:val="13"/>
          <w:b w:val="1"/>
          <w:bCs w:val="1"/>
          <w:color w:val="auto"/>
        </w:rPr>
        <w:t>Years ended December 31,</w:t>
      </w:r>
    </w:p>
    <w:p>
      <w:pPr>
        <w:spacing w:after="0" w:line="18" w:lineRule="exact"/>
        <w:rPr>
          <w:sz w:val="20"/>
          <w:szCs w:val="20"/>
          <w:color w:val="auto"/>
        </w:rPr>
      </w:pPr>
    </w:p>
    <w:tbl>
      <w:tblPr>
        <w:tblLayout w:type="fixed"/>
        <w:tblInd w:w="0" w:type="dxa"/>
        <w:tblCellMar>
          <w:top w:w="0" w:type="dxa"/>
          <w:left w:w="0" w:type="dxa"/>
          <w:bottom w:w="0" w:type="dxa"/>
          <w:right w:w="0" w:type="dxa"/>
        </w:tblCellMar>
      </w:tblPr>
      <w:tr>
        <w:trPr>
          <w:trHeight w:val="165"/>
        </w:trPr>
        <w:tc>
          <w:tcPr>
            <w:tcW w:w="7280" w:type="dxa"/>
            <w:vAlign w:val="bottom"/>
            <w:tcBorders>
              <w:bottom w:val="single" w:sz="8" w:color="CCEEFF"/>
            </w:tcBorders>
          </w:tcPr>
          <w:p>
            <w:pPr>
              <w:spacing w:after="0"/>
              <w:rPr>
                <w:sz w:val="14"/>
                <w:szCs w:val="14"/>
                <w:color w:val="auto"/>
              </w:rPr>
            </w:pPr>
          </w:p>
        </w:tc>
        <w:tc>
          <w:tcPr>
            <w:tcW w:w="78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3"/>
                <w:szCs w:val="13"/>
                <w:b w:val="1"/>
                <w:bCs w:val="1"/>
                <w:color w:val="auto"/>
              </w:rPr>
              <w:t>2025</w:t>
            </w:r>
          </w:p>
        </w:tc>
        <w:tc>
          <w:tcPr>
            <w:tcW w:w="480" w:type="dxa"/>
            <w:vAlign w:val="bottom"/>
            <w:tcBorders>
              <w:top w:val="single" w:sz="8" w:color="auto"/>
              <w:bottom w:val="single" w:sz="8" w:color="auto"/>
            </w:tcBorders>
          </w:tcPr>
          <w:p>
            <w:pPr>
              <w:spacing w:after="0"/>
              <w:rPr>
                <w:sz w:val="14"/>
                <w:szCs w:val="14"/>
                <w:color w:val="auto"/>
              </w:rPr>
            </w:pPr>
          </w:p>
        </w:tc>
        <w:tc>
          <w:tcPr>
            <w:tcW w:w="100" w:type="dxa"/>
            <w:vAlign w:val="bottom"/>
            <w:tcBorders>
              <w:top w:val="single" w:sz="8" w:color="auto"/>
              <w:bottom w:val="single" w:sz="8" w:color="CCEEFF"/>
            </w:tcBorders>
          </w:tcPr>
          <w:p>
            <w:pPr>
              <w:spacing w:after="0"/>
              <w:rPr>
                <w:sz w:val="14"/>
                <w:szCs w:val="14"/>
                <w:color w:val="auto"/>
              </w:rPr>
            </w:pPr>
          </w:p>
        </w:tc>
        <w:tc>
          <w:tcPr>
            <w:tcW w:w="300" w:type="dxa"/>
            <w:vAlign w:val="bottom"/>
            <w:tcBorders>
              <w:top w:val="single" w:sz="8" w:color="auto"/>
              <w:bottom w:val="single" w:sz="8" w:color="auto"/>
            </w:tcBorders>
          </w:tcPr>
          <w:p>
            <w:pPr>
              <w:spacing w:after="0"/>
              <w:rPr>
                <w:sz w:val="14"/>
                <w:szCs w:val="14"/>
                <w:color w:val="auto"/>
              </w:rPr>
            </w:pPr>
          </w:p>
        </w:tc>
        <w:tc>
          <w:tcPr>
            <w:tcW w:w="980" w:type="dxa"/>
            <w:vAlign w:val="bottom"/>
            <w:tcBorders>
              <w:top w:val="single" w:sz="8" w:color="auto"/>
              <w:bottom w:val="single" w:sz="8" w:color="auto"/>
            </w:tcBorders>
          </w:tcPr>
          <w:p>
            <w:pPr>
              <w:jc w:val="right"/>
              <w:ind w:right="456"/>
              <w:spacing w:after="0"/>
              <w:rPr>
                <w:sz w:val="20"/>
                <w:szCs w:val="20"/>
                <w:color w:val="auto"/>
              </w:rPr>
            </w:pPr>
            <w:r>
              <w:rPr>
                <w:rFonts w:ascii="Times New Roman" w:cs="Times New Roman" w:eastAsia="Times New Roman" w:hAnsi="Times New Roman"/>
                <w:sz w:val="13"/>
                <w:szCs w:val="13"/>
                <w:b w:val="1"/>
                <w:bCs w:val="1"/>
                <w:color w:val="auto"/>
              </w:rPr>
              <w:t>2024</w:t>
            </w:r>
          </w:p>
        </w:tc>
        <w:tc>
          <w:tcPr>
            <w:tcW w:w="80" w:type="dxa"/>
            <w:vAlign w:val="bottom"/>
            <w:tcBorders>
              <w:top w:val="single" w:sz="8" w:color="auto"/>
              <w:bottom w:val="single" w:sz="8" w:color="CCEEFF"/>
            </w:tcBorders>
          </w:tcPr>
          <w:p>
            <w:pPr>
              <w:spacing w:after="0"/>
              <w:rPr>
                <w:sz w:val="14"/>
                <w:szCs w:val="14"/>
                <w:color w:val="auto"/>
              </w:rPr>
            </w:pPr>
          </w:p>
        </w:tc>
        <w:tc>
          <w:tcPr>
            <w:tcW w:w="300" w:type="dxa"/>
            <w:vAlign w:val="bottom"/>
            <w:tcBorders>
              <w:top w:val="single" w:sz="8" w:color="auto"/>
              <w:bottom w:val="single" w:sz="8" w:color="auto"/>
            </w:tcBorders>
          </w:tcPr>
          <w:p>
            <w:pPr>
              <w:spacing w:after="0"/>
              <w:rPr>
                <w:sz w:val="14"/>
                <w:szCs w:val="14"/>
                <w:color w:val="auto"/>
              </w:rPr>
            </w:pPr>
          </w:p>
        </w:tc>
        <w:tc>
          <w:tcPr>
            <w:tcW w:w="980" w:type="dxa"/>
            <w:vAlign w:val="bottom"/>
            <w:tcBorders>
              <w:top w:val="single" w:sz="8" w:color="auto"/>
              <w:bottom w:val="single" w:sz="8" w:color="auto"/>
            </w:tcBorders>
          </w:tcPr>
          <w:p>
            <w:pPr>
              <w:jc w:val="right"/>
              <w:ind w:right="436"/>
              <w:spacing w:after="0"/>
              <w:rPr>
                <w:sz w:val="20"/>
                <w:szCs w:val="20"/>
                <w:color w:val="auto"/>
              </w:rPr>
            </w:pPr>
            <w:r>
              <w:rPr>
                <w:rFonts w:ascii="Times New Roman" w:cs="Times New Roman" w:eastAsia="Times New Roman" w:hAnsi="Times New Roman"/>
                <w:sz w:val="13"/>
                <w:szCs w:val="13"/>
                <w:b w:val="1"/>
                <w:bCs w:val="1"/>
                <w:color w:val="auto"/>
              </w:rPr>
              <w:t>2023</w:t>
            </w:r>
          </w:p>
        </w:tc>
      </w:tr>
      <w:tr>
        <w:trPr>
          <w:trHeight w:val="160"/>
        </w:trPr>
        <w:tc>
          <w:tcPr>
            <w:tcW w:w="7280" w:type="dxa"/>
            <w:vAlign w:val="bottom"/>
            <w:shd w:val="clear" w:color="auto" w:fill="CCEEFF"/>
          </w:tcPr>
          <w:p>
            <w:pPr>
              <w:ind w:left="20"/>
              <w:spacing w:after="0" w:line="147" w:lineRule="exact"/>
              <w:rPr>
                <w:sz w:val="20"/>
                <w:szCs w:val="20"/>
                <w:color w:val="auto"/>
              </w:rPr>
            </w:pPr>
            <w:r>
              <w:rPr>
                <w:rFonts w:ascii="Times New Roman" w:cs="Times New Roman" w:eastAsia="Times New Roman" w:hAnsi="Times New Roman"/>
                <w:sz w:val="13"/>
                <w:szCs w:val="13"/>
                <w:b w:val="1"/>
                <w:bCs w:val="1"/>
                <w:color w:val="auto"/>
              </w:rPr>
              <w:t>Advisory fees from our largest client:</w:t>
            </w:r>
          </w:p>
        </w:tc>
        <w:tc>
          <w:tcPr>
            <w:tcW w:w="780" w:type="dxa"/>
            <w:vAlign w:val="bottom"/>
            <w:shd w:val="clear" w:color="auto" w:fill="CCEEFF"/>
          </w:tcPr>
          <w:p>
            <w:pPr>
              <w:spacing w:after="0"/>
              <w:rPr>
                <w:sz w:val="13"/>
                <w:szCs w:val="13"/>
                <w:color w:val="auto"/>
              </w:rPr>
            </w:pPr>
          </w:p>
        </w:tc>
        <w:tc>
          <w:tcPr>
            <w:tcW w:w="480" w:type="dxa"/>
            <w:vAlign w:val="bottom"/>
            <w:shd w:val="clear" w:color="auto" w:fill="CCEEFF"/>
          </w:tcPr>
          <w:p>
            <w:pPr>
              <w:spacing w:after="0"/>
              <w:rPr>
                <w:sz w:val="13"/>
                <w:szCs w:val="13"/>
                <w:color w:val="auto"/>
              </w:rPr>
            </w:pPr>
          </w:p>
        </w:tc>
        <w:tc>
          <w:tcPr>
            <w:tcW w:w="100" w:type="dxa"/>
            <w:vAlign w:val="bottom"/>
            <w:shd w:val="clear" w:color="auto" w:fill="CCEEFF"/>
          </w:tcPr>
          <w:p>
            <w:pPr>
              <w:spacing w:after="0"/>
              <w:rPr>
                <w:sz w:val="13"/>
                <w:szCs w:val="13"/>
                <w:color w:val="auto"/>
              </w:rPr>
            </w:pPr>
          </w:p>
        </w:tc>
        <w:tc>
          <w:tcPr>
            <w:tcW w:w="300" w:type="dxa"/>
            <w:vAlign w:val="bottom"/>
            <w:shd w:val="clear" w:color="auto" w:fill="CCEEFF"/>
          </w:tcPr>
          <w:p>
            <w:pPr>
              <w:spacing w:after="0"/>
              <w:rPr>
                <w:sz w:val="13"/>
                <w:szCs w:val="13"/>
                <w:color w:val="auto"/>
              </w:rPr>
            </w:pPr>
          </w:p>
        </w:tc>
        <w:tc>
          <w:tcPr>
            <w:tcW w:w="980" w:type="dxa"/>
            <w:vAlign w:val="bottom"/>
            <w:shd w:val="clear" w:color="auto" w:fill="CCEEFF"/>
          </w:tcPr>
          <w:p>
            <w:pPr>
              <w:spacing w:after="0"/>
              <w:rPr>
                <w:sz w:val="13"/>
                <w:szCs w:val="13"/>
                <w:color w:val="auto"/>
              </w:rPr>
            </w:pPr>
          </w:p>
        </w:tc>
        <w:tc>
          <w:tcPr>
            <w:tcW w:w="80" w:type="dxa"/>
            <w:vAlign w:val="bottom"/>
            <w:shd w:val="clear" w:color="auto" w:fill="CCEEFF"/>
          </w:tcPr>
          <w:p>
            <w:pPr>
              <w:spacing w:after="0"/>
              <w:rPr>
                <w:sz w:val="13"/>
                <w:szCs w:val="13"/>
                <w:color w:val="auto"/>
              </w:rPr>
            </w:pPr>
          </w:p>
        </w:tc>
        <w:tc>
          <w:tcPr>
            <w:tcW w:w="300" w:type="dxa"/>
            <w:vAlign w:val="bottom"/>
            <w:shd w:val="clear" w:color="auto" w:fill="CCEEFF"/>
          </w:tcPr>
          <w:p>
            <w:pPr>
              <w:spacing w:after="0"/>
              <w:rPr>
                <w:sz w:val="13"/>
                <w:szCs w:val="13"/>
                <w:color w:val="auto"/>
              </w:rPr>
            </w:pPr>
          </w:p>
        </w:tc>
        <w:tc>
          <w:tcPr>
            <w:tcW w:w="980" w:type="dxa"/>
            <w:vAlign w:val="bottom"/>
            <w:shd w:val="clear" w:color="auto" w:fill="CCEEFF"/>
          </w:tcPr>
          <w:p>
            <w:pPr>
              <w:spacing w:after="0"/>
              <w:rPr>
                <w:sz w:val="13"/>
                <w:szCs w:val="13"/>
                <w:color w:val="auto"/>
              </w:rPr>
            </w:pPr>
          </w:p>
        </w:tc>
      </w:tr>
      <w:tr>
        <w:trPr>
          <w:trHeight w:val="168"/>
        </w:trPr>
        <w:tc>
          <w:tcPr>
            <w:tcW w:w="7280" w:type="dxa"/>
            <w:vAlign w:val="bottom"/>
          </w:tcPr>
          <w:p>
            <w:pPr>
              <w:ind w:left="280"/>
              <w:spacing w:after="0"/>
              <w:rPr>
                <w:sz w:val="20"/>
                <w:szCs w:val="20"/>
                <w:color w:val="auto"/>
              </w:rPr>
            </w:pPr>
            <w:r>
              <w:rPr>
                <w:rFonts w:ascii="Times New Roman" w:cs="Times New Roman" w:eastAsia="Times New Roman" w:hAnsi="Times New Roman"/>
                <w:sz w:val="13"/>
                <w:szCs w:val="13"/>
                <w:color w:val="auto"/>
              </w:rPr>
              <w:t>Asset-based fees</w:t>
            </w:r>
          </w:p>
        </w:tc>
        <w:tc>
          <w:tcPr>
            <w:tcW w:w="780" w:type="dxa"/>
            <w:vAlign w:val="bottom"/>
          </w:tcPr>
          <w:p>
            <w:pPr>
              <w:jc w:val="right"/>
              <w:ind w:right="636"/>
              <w:spacing w:after="0"/>
              <w:rPr>
                <w:sz w:val="20"/>
                <w:szCs w:val="20"/>
                <w:color w:val="auto"/>
              </w:rPr>
            </w:pPr>
            <w:r>
              <w:rPr>
                <w:rFonts w:ascii="Times New Roman" w:cs="Times New Roman" w:eastAsia="Times New Roman" w:hAnsi="Times New Roman"/>
                <w:sz w:val="13"/>
                <w:szCs w:val="13"/>
                <w:color w:val="auto"/>
                <w:w w:val="91"/>
              </w:rPr>
              <w:t>$</w:t>
            </w:r>
          </w:p>
        </w:tc>
        <w:tc>
          <w:tcPr>
            <w:tcW w:w="480" w:type="dxa"/>
            <w:vAlign w:val="bottom"/>
          </w:tcPr>
          <w:p>
            <w:pPr>
              <w:jc w:val="right"/>
              <w:ind w:right="96"/>
              <w:spacing w:after="0"/>
              <w:rPr>
                <w:sz w:val="20"/>
                <w:szCs w:val="20"/>
                <w:color w:val="auto"/>
              </w:rPr>
            </w:pPr>
            <w:r>
              <w:rPr>
                <w:rFonts w:ascii="Times New Roman" w:cs="Times New Roman" w:eastAsia="Times New Roman" w:hAnsi="Times New Roman"/>
                <w:sz w:val="13"/>
                <w:szCs w:val="13"/>
                <w:color w:val="auto"/>
              </w:rPr>
              <w:t>3,022</w:t>
            </w:r>
          </w:p>
        </w:tc>
        <w:tc>
          <w:tcPr>
            <w:tcW w:w="100" w:type="dxa"/>
            <w:vAlign w:val="bottom"/>
          </w:tcPr>
          <w:p>
            <w:pPr>
              <w:spacing w:after="0"/>
              <w:rPr>
                <w:sz w:val="14"/>
                <w:szCs w:val="14"/>
                <w:color w:val="auto"/>
              </w:rPr>
            </w:pPr>
          </w:p>
        </w:tc>
        <w:tc>
          <w:tcPr>
            <w:tcW w:w="300" w:type="dxa"/>
            <w:vAlign w:val="bottom"/>
          </w:tcPr>
          <w:p>
            <w:pPr>
              <w:jc w:val="right"/>
              <w:ind w:right="156"/>
              <w:spacing w:after="0"/>
              <w:rPr>
                <w:sz w:val="20"/>
                <w:szCs w:val="20"/>
                <w:color w:val="auto"/>
              </w:rPr>
            </w:pPr>
            <w:r>
              <w:rPr>
                <w:rFonts w:ascii="Times New Roman" w:cs="Times New Roman" w:eastAsia="Times New Roman" w:hAnsi="Times New Roman"/>
                <w:sz w:val="13"/>
                <w:szCs w:val="13"/>
                <w:color w:val="auto"/>
                <w:w w:val="91"/>
              </w:rPr>
              <w:t>$</w:t>
            </w:r>
          </w:p>
        </w:tc>
        <w:tc>
          <w:tcPr>
            <w:tcW w:w="980" w:type="dxa"/>
            <w:vAlign w:val="bottom"/>
          </w:tcPr>
          <w:p>
            <w:pPr>
              <w:jc w:val="right"/>
              <w:ind w:right="96"/>
              <w:spacing w:after="0"/>
              <w:rPr>
                <w:sz w:val="20"/>
                <w:szCs w:val="20"/>
                <w:color w:val="auto"/>
              </w:rPr>
            </w:pPr>
            <w:r>
              <w:rPr>
                <w:rFonts w:ascii="Times New Roman" w:cs="Times New Roman" w:eastAsia="Times New Roman" w:hAnsi="Times New Roman"/>
                <w:sz w:val="13"/>
                <w:szCs w:val="13"/>
                <w:color w:val="auto"/>
              </w:rPr>
              <w:t>2,854</w:t>
            </w:r>
          </w:p>
        </w:tc>
        <w:tc>
          <w:tcPr>
            <w:tcW w:w="80" w:type="dxa"/>
            <w:vAlign w:val="bottom"/>
          </w:tcPr>
          <w:p>
            <w:pPr>
              <w:spacing w:after="0"/>
              <w:rPr>
                <w:sz w:val="14"/>
                <w:szCs w:val="14"/>
                <w:color w:val="auto"/>
              </w:rPr>
            </w:pPr>
          </w:p>
        </w:tc>
        <w:tc>
          <w:tcPr>
            <w:tcW w:w="300" w:type="dxa"/>
            <w:vAlign w:val="bottom"/>
          </w:tcPr>
          <w:p>
            <w:pPr>
              <w:jc w:val="right"/>
              <w:ind w:right="156"/>
              <w:spacing w:after="0"/>
              <w:rPr>
                <w:sz w:val="20"/>
                <w:szCs w:val="20"/>
                <w:color w:val="auto"/>
              </w:rPr>
            </w:pPr>
            <w:r>
              <w:rPr>
                <w:rFonts w:ascii="Times New Roman" w:cs="Times New Roman" w:eastAsia="Times New Roman" w:hAnsi="Times New Roman"/>
                <w:sz w:val="13"/>
                <w:szCs w:val="13"/>
                <w:color w:val="auto"/>
                <w:w w:val="91"/>
              </w:rPr>
              <w:t>$</w:t>
            </w:r>
          </w:p>
        </w:tc>
        <w:tc>
          <w:tcPr>
            <w:tcW w:w="980" w:type="dxa"/>
            <w:vAlign w:val="bottom"/>
          </w:tcPr>
          <w:p>
            <w:pPr>
              <w:jc w:val="right"/>
              <w:ind w:right="96"/>
              <w:spacing w:after="0"/>
              <w:rPr>
                <w:sz w:val="20"/>
                <w:szCs w:val="20"/>
                <w:color w:val="auto"/>
              </w:rPr>
            </w:pPr>
            <w:r>
              <w:rPr>
                <w:rFonts w:ascii="Times New Roman" w:cs="Times New Roman" w:eastAsia="Times New Roman" w:hAnsi="Times New Roman"/>
                <w:sz w:val="13"/>
                <w:szCs w:val="13"/>
                <w:color w:val="auto"/>
              </w:rPr>
              <w:t>3,892</w:t>
            </w:r>
          </w:p>
        </w:tc>
      </w:tr>
      <w:tr>
        <w:trPr>
          <w:trHeight w:val="172"/>
        </w:trPr>
        <w:tc>
          <w:tcPr>
            <w:tcW w:w="7280" w:type="dxa"/>
            <w:vAlign w:val="bottom"/>
            <w:shd w:val="clear" w:color="auto" w:fill="CCEEFF"/>
          </w:tcPr>
          <w:p>
            <w:pPr>
              <w:ind w:left="280"/>
              <w:spacing w:after="0"/>
              <w:rPr>
                <w:sz w:val="20"/>
                <w:szCs w:val="20"/>
                <w:color w:val="auto"/>
              </w:rPr>
            </w:pPr>
            <w:r>
              <w:rPr>
                <w:rFonts w:ascii="Times New Roman" w:cs="Times New Roman" w:eastAsia="Times New Roman" w:hAnsi="Times New Roman"/>
                <w:sz w:val="13"/>
                <w:szCs w:val="13"/>
                <w:color w:val="auto"/>
              </w:rPr>
              <w:t>Percent of fee revenue</w:t>
            </w:r>
          </w:p>
        </w:tc>
        <w:tc>
          <w:tcPr>
            <w:tcW w:w="780" w:type="dxa"/>
            <w:vAlign w:val="bottom"/>
            <w:shd w:val="clear" w:color="auto" w:fill="CCEEFF"/>
          </w:tcPr>
          <w:p>
            <w:pPr>
              <w:spacing w:after="0"/>
              <w:rPr>
                <w:sz w:val="14"/>
                <w:szCs w:val="14"/>
                <w:color w:val="auto"/>
              </w:rPr>
            </w:pPr>
          </w:p>
        </w:tc>
        <w:tc>
          <w:tcPr>
            <w:tcW w:w="4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3.1 %</w:t>
            </w:r>
          </w:p>
        </w:tc>
        <w:tc>
          <w:tcPr>
            <w:tcW w:w="100" w:type="dxa"/>
            <w:vAlign w:val="bottom"/>
            <w:shd w:val="clear" w:color="auto" w:fill="CCEEFF"/>
          </w:tcPr>
          <w:p>
            <w:pPr>
              <w:spacing w:after="0"/>
              <w:rPr>
                <w:sz w:val="14"/>
                <w:szCs w:val="14"/>
                <w:color w:val="auto"/>
              </w:rPr>
            </w:pPr>
          </w:p>
        </w:tc>
        <w:tc>
          <w:tcPr>
            <w:tcW w:w="300" w:type="dxa"/>
            <w:vAlign w:val="bottom"/>
            <w:shd w:val="clear" w:color="auto" w:fill="CCEEFF"/>
          </w:tcPr>
          <w:p>
            <w:pPr>
              <w:spacing w:after="0"/>
              <w:rPr>
                <w:sz w:val="14"/>
                <w:szCs w:val="14"/>
                <w:color w:val="auto"/>
              </w:rPr>
            </w:pPr>
          </w:p>
        </w:tc>
        <w:tc>
          <w:tcPr>
            <w:tcW w:w="9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3.1 %</w:t>
            </w:r>
          </w:p>
        </w:tc>
        <w:tc>
          <w:tcPr>
            <w:tcW w:w="80" w:type="dxa"/>
            <w:vAlign w:val="bottom"/>
            <w:shd w:val="clear" w:color="auto" w:fill="CCEEFF"/>
          </w:tcPr>
          <w:p>
            <w:pPr>
              <w:spacing w:after="0"/>
              <w:rPr>
                <w:sz w:val="14"/>
                <w:szCs w:val="14"/>
                <w:color w:val="auto"/>
              </w:rPr>
            </w:pPr>
          </w:p>
        </w:tc>
        <w:tc>
          <w:tcPr>
            <w:tcW w:w="300" w:type="dxa"/>
            <w:vAlign w:val="bottom"/>
            <w:shd w:val="clear" w:color="auto" w:fill="CCEEFF"/>
          </w:tcPr>
          <w:p>
            <w:pPr>
              <w:spacing w:after="0"/>
              <w:rPr>
                <w:sz w:val="14"/>
                <w:szCs w:val="14"/>
                <w:color w:val="auto"/>
              </w:rPr>
            </w:pPr>
          </w:p>
        </w:tc>
        <w:tc>
          <w:tcPr>
            <w:tcW w:w="9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4.4 %</w:t>
            </w:r>
          </w:p>
        </w:tc>
      </w:tr>
    </w:tbl>
    <w:p>
      <w:pPr>
        <w:spacing w:after="0" w:line="200" w:lineRule="exact"/>
        <w:rPr>
          <w:sz w:val="20"/>
          <w:szCs w:val="20"/>
          <w:color w:val="auto"/>
        </w:rPr>
      </w:pPr>
    </w:p>
    <w:p>
      <w:pPr>
        <w:spacing w:after="0" w:line="250"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b w:val="1"/>
          <w:bCs w:val="1"/>
          <w:color w:val="auto"/>
        </w:rPr>
        <w:t>19. SUBSEQUENT EVENTS:</w:t>
      </w:r>
    </w:p>
    <w:p>
      <w:pPr>
        <w:spacing w:after="0" w:line="94"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i w:val="1"/>
          <w:iCs w:val="1"/>
          <w:color w:val="auto"/>
        </w:rPr>
        <w:t>Investment in Vista Bancshares, Inc.</w:t>
      </w:r>
    </w:p>
    <w:p>
      <w:pPr>
        <w:spacing w:after="0" w:line="96" w:lineRule="exact"/>
        <w:rPr>
          <w:sz w:val="20"/>
          <w:szCs w:val="20"/>
          <w:color w:val="auto"/>
        </w:rPr>
      </w:pPr>
    </w:p>
    <w:p>
      <w:pPr>
        <w:ind w:right="300" w:firstLine="382"/>
        <w:spacing w:after="0" w:line="287" w:lineRule="auto"/>
        <w:rPr>
          <w:sz w:val="20"/>
          <w:szCs w:val="20"/>
          <w:color w:val="auto"/>
        </w:rPr>
      </w:pPr>
      <w:r>
        <w:rPr>
          <w:rFonts w:ascii="Times New Roman" w:cs="Times New Roman" w:eastAsia="Times New Roman" w:hAnsi="Times New Roman"/>
          <w:sz w:val="14"/>
          <w:szCs w:val="14"/>
          <w:color w:val="auto"/>
        </w:rPr>
        <w:t>On January 7, 2026, Vista was acquired by a third party, National Bank Holdings Corporation ("NBHC"). Following this acquisition we recognized a gain of approximately $1.0 million in 2026 upon liquidation of our investment in NBHC stock.</w:t>
      </w:r>
    </w:p>
    <w:p>
      <w:pPr>
        <w:spacing w:after="0" w:line="37"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i w:val="1"/>
          <w:iCs w:val="1"/>
          <w:color w:val="auto"/>
        </w:rPr>
        <w:t>Dividends Declared</w:t>
      </w:r>
    </w:p>
    <w:p>
      <w:pPr>
        <w:spacing w:after="0" w:line="96" w:lineRule="exact"/>
        <w:rPr>
          <w:sz w:val="20"/>
          <w:szCs w:val="20"/>
          <w:color w:val="auto"/>
        </w:rPr>
      </w:pPr>
    </w:p>
    <w:p>
      <w:pPr>
        <w:ind w:left="380"/>
        <w:spacing w:after="0"/>
        <w:rPr>
          <w:sz w:val="20"/>
          <w:szCs w:val="20"/>
          <w:color w:val="auto"/>
        </w:rPr>
      </w:pPr>
      <w:r>
        <w:rPr>
          <w:rFonts w:ascii="Times New Roman" w:cs="Times New Roman" w:eastAsia="Times New Roman" w:hAnsi="Times New Roman"/>
          <w:sz w:val="14"/>
          <w:szCs w:val="14"/>
          <w:color w:val="auto"/>
        </w:rPr>
        <w:t>On February 13, 2026, the Board of Directors declared a quarterly cash dividend of $0.15 per share of common stock payable on April 1, 2026 to stockholders of record on March 3, 2026.</w:t>
      </w:r>
    </w:p>
    <w:p>
      <w:pPr>
        <w:spacing w:after="0" w:line="92"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i w:val="1"/>
          <w:iCs w:val="1"/>
          <w:color w:val="auto"/>
        </w:rPr>
        <w:t>Restricted Stock Grants</w:t>
      </w:r>
    </w:p>
    <w:p>
      <w:pPr>
        <w:spacing w:after="0" w:line="96" w:lineRule="exact"/>
        <w:rPr>
          <w:sz w:val="20"/>
          <w:szCs w:val="20"/>
          <w:color w:val="auto"/>
        </w:rPr>
      </w:pPr>
    </w:p>
    <w:p>
      <w:pPr>
        <w:ind w:left="380"/>
        <w:spacing w:after="0"/>
        <w:rPr>
          <w:sz w:val="20"/>
          <w:szCs w:val="20"/>
          <w:color w:val="auto"/>
        </w:rPr>
      </w:pPr>
      <w:r>
        <w:rPr>
          <w:rFonts w:ascii="Times New Roman" w:cs="Times New Roman" w:eastAsia="Times New Roman" w:hAnsi="Times New Roman"/>
          <w:sz w:val="14"/>
          <w:szCs w:val="14"/>
          <w:color w:val="auto"/>
        </w:rPr>
        <w:t>On February 23, 2026 we issued approximately $2.8 million of restricted stock to employees, or approximately 173,333 shares based on the closing price of our stock on February 23, 2026.</w:t>
      </w:r>
    </w:p>
    <w:p>
      <w:pPr>
        <w:spacing w:after="0" w:line="23"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color w:val="auto"/>
        </w:rPr>
        <w:t>The shares are subject to vesting conditions described in Note 8 “Employee Benefits” of our Consolidated Financial Statements in this Report.</w:t>
      </w:r>
    </w:p>
    <w:p>
      <w:pPr>
        <w:spacing w:after="0" w:line="200" w:lineRule="exact"/>
        <w:rPr>
          <w:sz w:val="20"/>
          <w:szCs w:val="20"/>
          <w:color w:val="auto"/>
        </w:rPr>
      </w:pPr>
    </w:p>
    <w:p>
      <w:pPr>
        <w:spacing w:after="0" w:line="230"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4"/>
          <w:szCs w:val="14"/>
          <w:color w:val="auto"/>
        </w:rPr>
        <w:t>29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-8890</wp:posOffset>
            </wp:positionH>
            <wp:positionV relativeFrom="paragraph">
              <wp:posOffset>55880</wp:posOffset>
            </wp:positionV>
            <wp:extent cx="7186930" cy="38735"/>
            <wp:wrapNone/>
            <wp:docPr id="134" name="Picture 13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4"/>
                    <pic:cNvPicPr>
                      <a:picLocks noChangeAspect="1" noChangeArrowheads="1"/>
                    </pic:cNvPicPr>
                  </pic:nvPicPr>
                  <pic:blipFill>
                    <a:blip r:embed="rId141">
                      <a:extLst>
                        <a:ext uri="{28A0092B-C50C-407E-A947-70E740481C1C}"/>
                      </a:extLst>
                    </a:blip>
                    <a:srcRect/>
                    <a:stretch>
                      <a:fillRect/>
                    </a:stretch>
                  </pic:blipFill>
                  <pic:spPr bwMode="auto">
                    <a:xfrm>
                      <a:off x="0" y="0"/>
                      <a:ext cx="7186930" cy="38735"/>
                    </a:xfrm>
                    <a:prstGeom prst="rect">
                      <a:avLst/>
                    </a:prstGeom>
                    <a:noFill/>
                  </pic:spPr>
                </pic:pic>
              </a:graphicData>
            </a:graphic>
          </wp:anchor>
        </w:drawing>
      </w:r>
    </w:p>
    <w:p>
      <w:pPr>
        <w:sectPr>
          <w:pgSz w:w="11900" w:h="16838" w:orient="portrait"/>
          <w:cols w:equalWidth="0" w:num="1">
            <w:col w:w="11280"/>
          </w:cols>
          <w:pgMar w:left="300" w:top="123" w:right="319" w:bottom="1440" w:gutter="0" w:footer="0" w:header="0"/>
        </w:sectPr>
      </w:pPr>
    </w:p>
    <w:bookmarkStart w:id="71" w:name="page72"/>
    <w:bookmarkEnd w:id="71"/>
    <w:p>
      <w:pPr>
        <w:spacing w:after="0" w:line="199" w:lineRule="exact"/>
        <w:rPr>
          <w:sz w:val="20"/>
          <w:szCs w:val="20"/>
          <w:color w:val="auto"/>
        </w:rPr>
      </w:pPr>
    </w:p>
    <w:p>
      <w:pPr>
        <w:ind w:left="300"/>
        <w:spacing w:after="0"/>
        <w:rPr>
          <w:sz w:val="20"/>
          <w:szCs w:val="20"/>
          <w:color w:val="auto"/>
        </w:rPr>
      </w:pPr>
      <w:r>
        <w:rPr>
          <w:rFonts w:ascii="Times New Roman" w:cs="Times New Roman" w:eastAsia="Times New Roman" w:hAnsi="Times New Roman"/>
          <w:sz w:val="11"/>
          <w:szCs w:val="11"/>
          <w:b w:val="1"/>
          <w:bCs w:val="1"/>
          <w:color w:val="auto"/>
        </w:rPr>
        <w:t>Exhibit</w:t>
      </w:r>
    </w:p>
    <w:p>
      <w:pPr>
        <w:spacing w:after="0" w:line="4" w:lineRule="exact"/>
        <w:rPr>
          <w:sz w:val="20"/>
          <w:szCs w:val="20"/>
          <w:color w:val="auto"/>
        </w:rPr>
      </w:pPr>
    </w:p>
    <w:p>
      <w:pPr>
        <w:jc w:val="right"/>
        <w:spacing w:after="0"/>
        <w:rPr>
          <w:sz w:val="20"/>
          <w:szCs w:val="20"/>
          <w:color w:val="auto"/>
        </w:rPr>
      </w:pPr>
      <w:r>
        <w:rPr>
          <w:rFonts w:ascii="Times New Roman" w:cs="Times New Roman" w:eastAsia="Times New Roman" w:hAnsi="Times New Roman"/>
          <w:sz w:val="11"/>
          <w:szCs w:val="11"/>
          <w:b w:val="1"/>
          <w:bCs w:val="1"/>
          <w:color w:val="auto"/>
        </w:rPr>
        <w:t>Number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-8890</wp:posOffset>
            </wp:positionH>
            <wp:positionV relativeFrom="paragraph">
              <wp:posOffset>10795</wp:posOffset>
            </wp:positionV>
            <wp:extent cx="640080" cy="6985"/>
            <wp:wrapNone/>
            <wp:docPr id="135" name="Picture 13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5"/>
                    <pic:cNvPicPr>
                      <a:picLocks noChangeAspect="1" noChangeArrowheads="1"/>
                    </pic:cNvPicPr>
                  </pic:nvPicPr>
                  <pic:blipFill>
                    <a:blip r:embed="rId142">
                      <a:extLst>
                        <a:ext uri="{28A0092B-C50C-407E-A947-70E740481C1C}"/>
                      </a:extLst>
                    </a:blip>
                    <a:srcRect/>
                    <a:stretch>
                      <a:fillRect/>
                    </a:stretch>
                  </pic:blipFill>
                  <pic:spPr bwMode="auto">
                    <a:xfrm>
                      <a:off x="0" y="0"/>
                      <a:ext cx="640080" cy="6985"/>
                    </a:xfrm>
                    <a:prstGeom prst="rect">
                      <a:avLst/>
                    </a:prstGeom>
                    <a:noFill/>
                  </pic:spPr>
                </pic:pic>
              </a:graphicData>
            </a:graphic>
          </wp:anchor>
        </w:drawing>
      </w:r>
    </w:p>
    <w:p>
      <w:pPr>
        <w:spacing w:after="0" w:line="120"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color w:val="auto"/>
        </w:rPr>
        <w:t>2.1</w:t>
      </w:r>
    </w:p>
    <w:p>
      <w:pPr>
        <w:spacing w:after="0" w:line="189"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color w:val="auto"/>
        </w:rPr>
        <w:t>2.2</w:t>
      </w:r>
    </w:p>
    <w:p>
      <w:pPr>
        <w:spacing w:after="0" w:line="242"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color w:val="auto"/>
        </w:rPr>
        <w:t>2.3</w:t>
      </w:r>
    </w:p>
    <w:p>
      <w:pPr>
        <w:spacing w:after="0" w:line="210"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color w:val="auto"/>
        </w:rPr>
        <w:t>3.1</w:t>
      </w:r>
    </w:p>
    <w:p>
      <w:pPr>
        <w:spacing w:after="0" w:line="168"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color w:val="auto"/>
        </w:rPr>
        <w:t>3.2</w:t>
      </w:r>
    </w:p>
    <w:p>
      <w:pPr>
        <w:spacing w:after="0" w:line="125"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color w:val="auto"/>
        </w:rPr>
        <w:t>3.3</w:t>
      </w:r>
    </w:p>
    <w:p>
      <w:pPr>
        <w:spacing w:after="0" w:line="210"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color w:val="auto"/>
        </w:rPr>
        <w:t>4.1</w:t>
      </w:r>
    </w:p>
    <w:p>
      <w:pPr>
        <w:spacing w:after="0" w:line="168"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color w:val="auto"/>
        </w:rPr>
        <w:t>10.1</w:t>
      </w:r>
    </w:p>
    <w:p>
      <w:pPr>
        <w:spacing w:after="0" w:line="125"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color w:val="auto"/>
        </w:rPr>
        <w:t>10.2</w:t>
      </w:r>
    </w:p>
    <w:p>
      <w:pPr>
        <w:spacing w:after="0" w:line="168"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color w:val="auto"/>
        </w:rPr>
        <w:t>10.3</w:t>
      </w:r>
    </w:p>
    <w:p>
      <w:pPr>
        <w:spacing w:after="0" w:line="168"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color w:val="auto"/>
        </w:rPr>
        <w:t>10.3.1</w:t>
      </w:r>
    </w:p>
    <w:p>
      <w:pPr>
        <w:spacing w:after="0" w:line="168"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color w:val="auto"/>
        </w:rPr>
        <w:t>10.3.2</w:t>
      </w:r>
    </w:p>
    <w:p>
      <w:pPr>
        <w:spacing w:after="0" w:line="168"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color w:val="auto"/>
        </w:rPr>
        <w:t>10.3.3</w:t>
      </w:r>
    </w:p>
    <w:p>
      <w:pPr>
        <w:spacing w:after="0" w:line="168"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color w:val="auto"/>
        </w:rPr>
        <w:t>10.3.4</w:t>
      </w:r>
    </w:p>
    <w:p>
      <w:pPr>
        <w:spacing w:after="0" w:line="168"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color w:val="auto"/>
        </w:rPr>
        <w:t>10.3.5</w:t>
      </w:r>
    </w:p>
    <w:p>
      <w:pPr>
        <w:spacing w:after="0" w:line="168"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color w:val="auto"/>
        </w:rPr>
        <w:t>10.3.6</w:t>
      </w:r>
    </w:p>
    <w:p>
      <w:pPr>
        <w:spacing w:after="0" w:line="168"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color w:val="auto"/>
        </w:rPr>
        <w:t>10.3.7</w:t>
      </w:r>
    </w:p>
    <w:p>
      <w:pPr>
        <w:spacing w:after="0" w:line="168"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color w:val="auto"/>
        </w:rPr>
        <w:t>10.3.8</w:t>
      </w:r>
    </w:p>
    <w:p>
      <w:pPr>
        <w:spacing w:after="0" w:line="20" w:lineRule="exact"/>
        <w:rPr>
          <w:sz w:val="20"/>
          <w:szCs w:val="20"/>
          <w:color w:val="auto"/>
        </w:rPr>
      </w:pPr>
      <w:r>
        <w:rPr>
          <w:sz w:val="20"/>
          <w:szCs w:val="20"/>
          <w:color w:val="auto"/>
        </w:rPr>
        <w:br w:type="column"/>
      </w:r>
    </w:p>
    <w:p>
      <w:pPr>
        <w:jc w:val="center"/>
        <w:ind w:right="199"/>
        <w:spacing w:after="0"/>
        <w:rPr>
          <w:sz w:val="20"/>
          <w:szCs w:val="20"/>
          <w:color w:val="auto"/>
        </w:rPr>
      </w:pPr>
      <w:r>
        <w:rPr>
          <w:rFonts w:ascii="Times New Roman" w:cs="Times New Roman" w:eastAsia="Times New Roman" w:hAnsi="Times New Roman"/>
          <w:sz w:val="14"/>
          <w:szCs w:val="14"/>
          <w:b w:val="1"/>
          <w:bCs w:val="1"/>
          <w:color w:val="auto"/>
        </w:rPr>
        <w:t>INDEX TO EXHIBITS</w:t>
      </w:r>
    </w:p>
    <w:p>
      <w:pPr>
        <w:spacing w:after="0" w:line="144" w:lineRule="exact"/>
        <w:rPr>
          <w:sz w:val="20"/>
          <w:szCs w:val="20"/>
          <w:color w:val="auto"/>
        </w:rPr>
      </w:pPr>
    </w:p>
    <w:p>
      <w:pPr>
        <w:jc w:val="center"/>
        <w:ind w:right="339"/>
        <w:spacing w:after="0"/>
        <w:rPr>
          <w:sz w:val="20"/>
          <w:szCs w:val="20"/>
          <w:color w:val="auto"/>
        </w:rPr>
      </w:pPr>
      <w:r>
        <w:rPr>
          <w:rFonts w:ascii="Times New Roman" w:cs="Times New Roman" w:eastAsia="Times New Roman" w:hAnsi="Times New Roman"/>
          <w:sz w:val="11"/>
          <w:szCs w:val="11"/>
          <w:b w:val="1"/>
          <w:bCs w:val="1"/>
          <w:color w:val="auto"/>
        </w:rPr>
        <w:t>Description of Exhibits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-12700</wp:posOffset>
            </wp:positionH>
            <wp:positionV relativeFrom="paragraph">
              <wp:posOffset>26035</wp:posOffset>
            </wp:positionV>
            <wp:extent cx="5423535" cy="6985"/>
            <wp:wrapNone/>
            <wp:docPr id="136" name="Picture 13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6"/>
                    <pic:cNvPicPr>
                      <a:picLocks noChangeAspect="1" noChangeArrowheads="1"/>
                    </pic:cNvPicPr>
                  </pic:nvPicPr>
                  <pic:blipFill>
                    <a:blip r:embed="rId143">
                      <a:extLst>
                        <a:ext uri="{28A0092B-C50C-407E-A947-70E740481C1C}"/>
                      </a:extLst>
                    </a:blip>
                    <a:srcRect/>
                    <a:stretch>
                      <a:fillRect/>
                    </a:stretch>
                  </pic:blipFill>
                  <pic:spPr bwMode="auto">
                    <a:xfrm>
                      <a:off x="0" y="0"/>
                      <a:ext cx="5423535" cy="6985"/>
                    </a:xfrm>
                    <a:prstGeom prst="rect">
                      <a:avLst/>
                    </a:prstGeom>
                    <a:noFill/>
                  </pic:spPr>
                </pic:pic>
              </a:graphicData>
            </a:graphic>
          </wp:anchor>
        </w:drawing>
      </w:r>
    </w:p>
    <w:p>
      <w:pPr>
        <w:spacing w:after="0" w:line="28" w:lineRule="exact"/>
        <w:rPr>
          <w:sz w:val="20"/>
          <w:szCs w:val="20"/>
          <w:color w:val="auto"/>
        </w:rPr>
      </w:pPr>
    </w:p>
    <w:p>
      <w:pPr>
        <w:ind w:right="619"/>
        <w:spacing w:after="0" w:line="239" w:lineRule="auto"/>
        <w:rPr>
          <w:rFonts w:ascii="Times New Roman" w:cs="Times New Roman" w:eastAsia="Times New Roman" w:hAnsi="Times New Roman"/>
          <w:sz w:val="14"/>
          <w:szCs w:val="14"/>
          <w:u w:val="single" w:color="auto"/>
          <w:color w:val="0000FF"/>
        </w:rPr>
      </w:pPr>
      <w:hyperlink r:id="rId144">
        <w:r>
          <w:rPr>
            <w:rFonts w:ascii="Times New Roman" w:cs="Times New Roman" w:eastAsia="Times New Roman" w:hAnsi="Times New Roman"/>
            <w:sz w:val="14"/>
            <w:szCs w:val="14"/>
            <w:u w:val="single" w:color="auto"/>
            <w:color w:val="0000FF"/>
          </w:rPr>
          <w:t>Securities Purchase Agreement by and among Westwood Holdings Group, Inc., McCarthy Group Advisors, LLC, MGA Holdings, LLC, and The</w:t>
        </w:r>
      </w:hyperlink>
      <w:r>
        <w:rPr>
          <w:rFonts w:ascii="Times New Roman" w:cs="Times New Roman" w:eastAsia="Times New Roman" w:hAnsi="Times New Roman"/>
          <w:sz w:val="14"/>
          <w:szCs w:val="14"/>
          <w:u w:val="single" w:color="auto"/>
          <w:color w:val="0000FF"/>
        </w:rPr>
        <w:t xml:space="preserve"> </w:t>
      </w:r>
      <w:hyperlink r:id="rId144">
        <w:r>
          <w:rPr>
            <w:rFonts w:ascii="Times New Roman" w:cs="Times New Roman" w:eastAsia="Times New Roman" w:hAnsi="Times New Roman"/>
            <w:sz w:val="14"/>
            <w:szCs w:val="14"/>
            <w:u w:val="single" w:color="auto"/>
            <w:color w:val="0000FF"/>
          </w:rPr>
          <w:t>Members of MGA Holdings, LLC (incorporated by reference from the Form 10-K filed with the SEC on February 28, 2013)</w:t>
        </w:r>
      </w:hyperlink>
    </w:p>
    <w:p>
      <w:pPr>
        <w:spacing w:after="0" w:line="8" w:lineRule="exact"/>
        <w:rPr>
          <w:sz w:val="20"/>
          <w:szCs w:val="20"/>
          <w:color w:val="auto"/>
        </w:rPr>
      </w:pPr>
    </w:p>
    <w:p>
      <w:pPr>
        <w:ind w:right="899"/>
        <w:spacing w:after="0" w:line="225" w:lineRule="auto"/>
        <w:rPr>
          <w:rFonts w:ascii="Times New Roman" w:cs="Times New Roman" w:eastAsia="Times New Roman" w:hAnsi="Times New Roman"/>
          <w:sz w:val="14"/>
          <w:szCs w:val="14"/>
          <w:u w:val="single" w:color="auto"/>
          <w:color w:val="0000FF"/>
        </w:rPr>
      </w:pPr>
      <w:hyperlink r:id="rId145">
        <w:r>
          <w:rPr>
            <w:rFonts w:ascii="Times New Roman" w:cs="Times New Roman" w:eastAsia="Times New Roman" w:hAnsi="Times New Roman"/>
            <w:sz w:val="14"/>
            <w:szCs w:val="14"/>
            <w:u w:val="single" w:color="auto"/>
            <w:color w:val="0000FF"/>
          </w:rPr>
          <w:t>Reorganization Agreement and Agreement and Plan of Merger dated as of January 15, 2015 by and among Westwood Holdings Group, Inc.,</w:t>
        </w:r>
      </w:hyperlink>
      <w:r>
        <w:rPr>
          <w:rFonts w:ascii="Times New Roman" w:cs="Times New Roman" w:eastAsia="Times New Roman" w:hAnsi="Times New Roman"/>
          <w:sz w:val="14"/>
          <w:szCs w:val="14"/>
          <w:u w:val="single" w:color="auto"/>
          <w:color w:val="0000FF"/>
        </w:rPr>
        <w:t xml:space="preserve"> </w:t>
      </w:r>
      <w:hyperlink r:id="rId145">
        <w:r>
          <w:rPr>
            <w:rFonts w:ascii="Times New Roman" w:cs="Times New Roman" w:eastAsia="Times New Roman" w:hAnsi="Times New Roman"/>
            <w:sz w:val="14"/>
            <w:szCs w:val="14"/>
            <w:u w:val="single" w:color="auto"/>
            <w:color w:val="0000FF"/>
          </w:rPr>
          <w:t>Westwood Trust, Woodway Financial Advisors, A Trust Company and the Shareholders of Woodway Financial Advisors, A Trust Company</w:t>
        </w:r>
      </w:hyperlink>
    </w:p>
    <w:p>
      <w:pPr>
        <w:spacing w:after="0" w:line="1" w:lineRule="exact"/>
        <w:rPr>
          <w:sz w:val="20"/>
          <w:szCs w:val="20"/>
          <w:color w:val="auto"/>
        </w:rPr>
      </w:pPr>
    </w:p>
    <w:p>
      <w:pPr>
        <w:spacing w:after="0"/>
        <w:rPr>
          <w:rFonts w:ascii="Times New Roman" w:cs="Times New Roman" w:eastAsia="Times New Roman" w:hAnsi="Times New Roman"/>
          <w:sz w:val="14"/>
          <w:szCs w:val="14"/>
          <w:u w:val="single" w:color="auto"/>
          <w:color w:val="0000FF"/>
        </w:rPr>
      </w:pPr>
      <w:hyperlink r:id="rId145">
        <w:r>
          <w:rPr>
            <w:rFonts w:ascii="Times New Roman" w:cs="Times New Roman" w:eastAsia="Times New Roman" w:hAnsi="Times New Roman"/>
            <w:sz w:val="14"/>
            <w:szCs w:val="14"/>
            <w:u w:val="single" w:color="auto"/>
            <w:color w:val="0000FF"/>
          </w:rPr>
          <w:t>(incorporated by reference from the Form 8-K filed with the SEC on January 16, 2015)</w:t>
        </w:r>
      </w:hyperlink>
    </w:p>
    <w:p>
      <w:pPr>
        <w:spacing w:after="0" w:line="7" w:lineRule="exact"/>
        <w:rPr>
          <w:sz w:val="20"/>
          <w:szCs w:val="20"/>
          <w:color w:val="auto"/>
        </w:rPr>
      </w:pPr>
    </w:p>
    <w:p>
      <w:pPr>
        <w:ind w:right="459"/>
        <w:spacing w:after="0" w:line="237" w:lineRule="auto"/>
        <w:rPr>
          <w:rFonts w:ascii="Times New Roman" w:cs="Times New Roman" w:eastAsia="Times New Roman" w:hAnsi="Times New Roman"/>
          <w:sz w:val="14"/>
          <w:szCs w:val="14"/>
          <w:u w:val="single" w:color="auto"/>
          <w:color w:val="0000FF"/>
        </w:rPr>
      </w:pPr>
      <w:hyperlink r:id="rId146">
        <w:r>
          <w:rPr>
            <w:rFonts w:ascii="Times New Roman" w:cs="Times New Roman" w:eastAsia="Times New Roman" w:hAnsi="Times New Roman"/>
            <w:sz w:val="14"/>
            <w:szCs w:val="14"/>
            <w:u w:val="single" w:color="auto"/>
            <w:color w:val="0000FF"/>
          </w:rPr>
          <w:t>Purchase Agreement, dated May 25, 2022, by and among Westwood Holdings Group, Inc., Salient Capital Management, LLC, Salient Partners, L.P.</w:t>
        </w:r>
      </w:hyperlink>
      <w:r>
        <w:rPr>
          <w:rFonts w:ascii="Times New Roman" w:cs="Times New Roman" w:eastAsia="Times New Roman" w:hAnsi="Times New Roman"/>
          <w:sz w:val="14"/>
          <w:szCs w:val="14"/>
          <w:u w:val="single" w:color="auto"/>
          <w:color w:val="0000FF"/>
        </w:rPr>
        <w:t xml:space="preserve"> </w:t>
      </w:r>
      <w:hyperlink r:id="rId146">
        <w:r>
          <w:rPr>
            <w:rFonts w:ascii="Times New Roman" w:cs="Times New Roman" w:eastAsia="Times New Roman" w:hAnsi="Times New Roman"/>
            <w:sz w:val="14"/>
            <w:szCs w:val="14"/>
            <w:u w:val="single" w:color="auto"/>
            <w:color w:val="0000FF"/>
          </w:rPr>
          <w:t>and the other Seller parties identified on Annex I (incorporated by reference from the Form 8-K filed with the SEC on May 26, 2022)</w:t>
        </w:r>
      </w:hyperlink>
    </w:p>
    <w:p>
      <w:pPr>
        <w:spacing w:after="0" w:line="7" w:lineRule="exact"/>
        <w:rPr>
          <w:sz w:val="20"/>
          <w:szCs w:val="20"/>
          <w:color w:val="auto"/>
        </w:rPr>
      </w:pPr>
    </w:p>
    <w:p>
      <w:pPr>
        <w:ind w:right="499"/>
        <w:spacing w:after="0" w:line="239" w:lineRule="auto"/>
        <w:rPr>
          <w:rFonts w:ascii="Times New Roman" w:cs="Times New Roman" w:eastAsia="Times New Roman" w:hAnsi="Times New Roman"/>
          <w:sz w:val="14"/>
          <w:szCs w:val="14"/>
          <w:u w:val="single" w:color="auto"/>
          <w:color w:val="0000FF"/>
        </w:rPr>
      </w:pPr>
      <w:hyperlink r:id="rId147">
        <w:r>
          <w:rPr>
            <w:rFonts w:ascii="Times New Roman" w:cs="Times New Roman" w:eastAsia="Times New Roman" w:hAnsi="Times New Roman"/>
            <w:sz w:val="14"/>
            <w:szCs w:val="14"/>
            <w:u w:val="single" w:color="auto"/>
            <w:color w:val="0000FF"/>
          </w:rPr>
          <w:t>Amended and Restated Certificate of Incorporation of Westwood Holdings Group, Inc. (incorporated by reference from the Form S-8 filed with the</w:t>
        </w:r>
      </w:hyperlink>
      <w:r>
        <w:rPr>
          <w:rFonts w:ascii="Times New Roman" w:cs="Times New Roman" w:eastAsia="Times New Roman" w:hAnsi="Times New Roman"/>
          <w:sz w:val="14"/>
          <w:szCs w:val="14"/>
          <w:u w:val="single" w:color="auto"/>
          <w:color w:val="0000FF"/>
        </w:rPr>
        <w:t xml:space="preserve"> </w:t>
      </w:r>
      <w:hyperlink r:id="rId147">
        <w:r>
          <w:rPr>
            <w:rFonts w:ascii="Times New Roman" w:cs="Times New Roman" w:eastAsia="Times New Roman" w:hAnsi="Times New Roman"/>
            <w:sz w:val="14"/>
            <w:szCs w:val="14"/>
            <w:u w:val="single" w:color="auto"/>
            <w:color w:val="0000FF"/>
          </w:rPr>
          <w:t>SEC on September 28, 2022)</w:t>
        </w:r>
      </w:hyperlink>
    </w:p>
    <w:p>
      <w:pPr>
        <w:spacing w:after="0" w:line="8" w:lineRule="exact"/>
        <w:rPr>
          <w:sz w:val="20"/>
          <w:szCs w:val="20"/>
          <w:color w:val="auto"/>
        </w:rPr>
      </w:pPr>
    </w:p>
    <w:p>
      <w:pPr>
        <w:ind w:right="519"/>
        <w:spacing w:after="0" w:line="239" w:lineRule="auto"/>
        <w:rPr>
          <w:rFonts w:ascii="Times New Roman" w:cs="Times New Roman" w:eastAsia="Times New Roman" w:hAnsi="Times New Roman"/>
          <w:sz w:val="14"/>
          <w:szCs w:val="14"/>
          <w:u w:val="single" w:color="auto"/>
          <w:color w:val="0000FF"/>
        </w:rPr>
      </w:pPr>
      <w:hyperlink r:id="rId148">
        <w:r>
          <w:rPr>
            <w:rFonts w:ascii="Times New Roman" w:cs="Times New Roman" w:eastAsia="Times New Roman" w:hAnsi="Times New Roman"/>
            <w:sz w:val="14"/>
            <w:szCs w:val="14"/>
            <w:u w:val="single" w:color="auto"/>
            <w:color w:val="0000FF"/>
          </w:rPr>
          <w:t>Certificate of Amendment to Certificate of Formation of Westwood Holdings Group, Inc. (incorporated by reference to the Form 8-K filed with the</w:t>
        </w:r>
      </w:hyperlink>
      <w:r>
        <w:rPr>
          <w:rFonts w:ascii="Times New Roman" w:cs="Times New Roman" w:eastAsia="Times New Roman" w:hAnsi="Times New Roman"/>
          <w:sz w:val="14"/>
          <w:szCs w:val="14"/>
          <w:u w:val="single" w:color="auto"/>
          <w:color w:val="0000FF"/>
        </w:rPr>
        <w:t xml:space="preserve"> </w:t>
      </w:r>
      <w:hyperlink r:id="rId148">
        <w:r>
          <w:rPr>
            <w:rFonts w:ascii="Times New Roman" w:cs="Times New Roman" w:eastAsia="Times New Roman" w:hAnsi="Times New Roman"/>
            <w:sz w:val="14"/>
            <w:szCs w:val="14"/>
            <w:u w:val="single" w:color="auto"/>
            <w:color w:val="0000FF"/>
          </w:rPr>
          <w:t>SEC on December 2, 2024)</w:t>
        </w:r>
      </w:hyperlink>
    </w:p>
    <w:p>
      <w:pPr>
        <w:spacing w:after="0" w:line="8" w:lineRule="exact"/>
        <w:rPr>
          <w:sz w:val="20"/>
          <w:szCs w:val="20"/>
          <w:color w:val="auto"/>
        </w:rPr>
      </w:pPr>
    </w:p>
    <w:p>
      <w:pPr>
        <w:ind w:right="379"/>
        <w:spacing w:after="0" w:line="239" w:lineRule="auto"/>
        <w:rPr>
          <w:rFonts w:ascii="Times New Roman" w:cs="Times New Roman" w:eastAsia="Times New Roman" w:hAnsi="Times New Roman"/>
          <w:sz w:val="14"/>
          <w:szCs w:val="14"/>
          <w:u w:val="single" w:color="auto"/>
          <w:color w:val="0000FF"/>
        </w:rPr>
      </w:pPr>
      <w:hyperlink r:id="rId149">
        <w:r>
          <w:rPr>
            <w:rFonts w:ascii="Times New Roman" w:cs="Times New Roman" w:eastAsia="Times New Roman" w:hAnsi="Times New Roman"/>
            <w:sz w:val="14"/>
            <w:szCs w:val="14"/>
            <w:u w:val="single" w:color="auto"/>
            <w:color w:val="0000FF"/>
          </w:rPr>
          <w:t>Amended and Restated Bylaws of Westwood Holdings Group, Inc. (incorporated by reference from the Form 8-K filed with the SEC on November 2,</w:t>
        </w:r>
      </w:hyperlink>
      <w:r>
        <w:rPr>
          <w:rFonts w:ascii="Times New Roman" w:cs="Times New Roman" w:eastAsia="Times New Roman" w:hAnsi="Times New Roman"/>
          <w:sz w:val="14"/>
          <w:szCs w:val="14"/>
          <w:u w:val="single" w:color="auto"/>
          <w:color w:val="0000FF"/>
        </w:rPr>
        <w:t xml:space="preserve"> </w:t>
      </w:r>
      <w:hyperlink r:id="rId149">
        <w:r>
          <w:rPr>
            <w:rFonts w:ascii="Times New Roman" w:cs="Times New Roman" w:eastAsia="Times New Roman" w:hAnsi="Times New Roman"/>
            <w:sz w:val="14"/>
            <w:szCs w:val="14"/>
            <w:u w:val="single" w:color="auto"/>
            <w:color w:val="0000FF"/>
          </w:rPr>
          <w:t>2021)</w:t>
        </w:r>
      </w:hyperlink>
    </w:p>
    <w:p>
      <w:pPr>
        <w:spacing w:after="0" w:line="8" w:lineRule="exact"/>
        <w:rPr>
          <w:sz w:val="20"/>
          <w:szCs w:val="20"/>
          <w:color w:val="auto"/>
        </w:rPr>
      </w:pPr>
    </w:p>
    <w:p>
      <w:pPr>
        <w:ind w:right="419"/>
        <w:spacing w:after="0" w:line="239" w:lineRule="auto"/>
        <w:rPr>
          <w:rFonts w:ascii="Times New Roman" w:cs="Times New Roman" w:eastAsia="Times New Roman" w:hAnsi="Times New Roman"/>
          <w:sz w:val="14"/>
          <w:szCs w:val="14"/>
          <w:u w:val="single" w:color="auto"/>
          <w:color w:val="0000FF"/>
        </w:rPr>
      </w:pPr>
      <w:hyperlink r:id="rId150">
        <w:r>
          <w:rPr>
            <w:rFonts w:ascii="Times New Roman" w:cs="Times New Roman" w:eastAsia="Times New Roman" w:hAnsi="Times New Roman"/>
            <w:sz w:val="14"/>
            <w:szCs w:val="14"/>
            <w:u w:val="single" w:color="auto"/>
            <w:color w:val="0000FF"/>
          </w:rPr>
          <w:t>Form of Common Stock Certificate of Westwood Holdings Group, Inc. (incorporated by reference from Amendment No. 2 to Registration Statement</w:t>
        </w:r>
      </w:hyperlink>
      <w:r>
        <w:rPr>
          <w:rFonts w:ascii="Times New Roman" w:cs="Times New Roman" w:eastAsia="Times New Roman" w:hAnsi="Times New Roman"/>
          <w:sz w:val="14"/>
          <w:szCs w:val="14"/>
          <w:u w:val="single" w:color="auto"/>
          <w:color w:val="0000FF"/>
        </w:rPr>
        <w:t xml:space="preserve"> </w:t>
      </w:r>
      <w:hyperlink r:id="rId150">
        <w:r>
          <w:rPr>
            <w:rFonts w:ascii="Times New Roman" w:cs="Times New Roman" w:eastAsia="Times New Roman" w:hAnsi="Times New Roman"/>
            <w:sz w:val="14"/>
            <w:szCs w:val="14"/>
            <w:u w:val="single" w:color="auto"/>
            <w:color w:val="0000FF"/>
          </w:rPr>
          <w:t>on Form 10/A filed with the SEC on April 30, 2002)</w:t>
        </w:r>
      </w:hyperlink>
    </w:p>
    <w:p>
      <w:pPr>
        <w:spacing w:after="0" w:line="8" w:lineRule="exact"/>
        <w:rPr>
          <w:sz w:val="20"/>
          <w:szCs w:val="20"/>
          <w:color w:val="auto"/>
        </w:rPr>
      </w:pPr>
    </w:p>
    <w:p>
      <w:pPr>
        <w:ind w:right="479"/>
        <w:spacing w:after="0" w:line="239" w:lineRule="auto"/>
        <w:rPr>
          <w:rFonts w:ascii="Times New Roman" w:cs="Times New Roman" w:eastAsia="Times New Roman" w:hAnsi="Times New Roman"/>
          <w:sz w:val="14"/>
          <w:szCs w:val="14"/>
          <w:u w:val="single" w:color="auto"/>
          <w:color w:val="0000FF"/>
        </w:rPr>
      </w:pPr>
      <w:hyperlink r:id="rId151">
        <w:r>
          <w:rPr>
            <w:rFonts w:ascii="Times New Roman" w:cs="Times New Roman" w:eastAsia="Times New Roman" w:hAnsi="Times New Roman"/>
            <w:sz w:val="14"/>
            <w:szCs w:val="14"/>
            <w:u w:val="single" w:color="auto"/>
            <w:color w:val="0000FF"/>
          </w:rPr>
          <w:t>Tenth Amended and Restated Westwood Holdings Group, Inc. Stock Incentive Plan, as amended (incorporated by reference from the Schedule 14A</w:t>
        </w:r>
      </w:hyperlink>
      <w:r>
        <w:rPr>
          <w:rFonts w:ascii="Times New Roman" w:cs="Times New Roman" w:eastAsia="Times New Roman" w:hAnsi="Times New Roman"/>
          <w:sz w:val="14"/>
          <w:szCs w:val="14"/>
          <w:u w:val="single" w:color="auto"/>
          <w:color w:val="0000FF"/>
        </w:rPr>
        <w:t xml:space="preserve"> </w:t>
      </w:r>
      <w:hyperlink r:id="rId151">
        <w:r>
          <w:rPr>
            <w:rFonts w:ascii="Times New Roman" w:cs="Times New Roman" w:eastAsia="Times New Roman" w:hAnsi="Times New Roman"/>
            <w:sz w:val="14"/>
            <w:szCs w:val="14"/>
            <w:u w:val="single" w:color="auto"/>
            <w:color w:val="0000FF"/>
          </w:rPr>
          <w:t>filed with the SEC on March 26, 2024)</w:t>
        </w:r>
      </w:hyperlink>
    </w:p>
    <w:p>
      <w:pPr>
        <w:spacing w:after="0" w:line="8" w:lineRule="exact"/>
        <w:rPr>
          <w:sz w:val="20"/>
          <w:szCs w:val="20"/>
          <w:color w:val="auto"/>
        </w:rPr>
      </w:pPr>
    </w:p>
    <w:p>
      <w:pPr>
        <w:ind w:right="639"/>
        <w:spacing w:after="0" w:line="239" w:lineRule="auto"/>
        <w:rPr>
          <w:rFonts w:ascii="Times New Roman" w:cs="Times New Roman" w:eastAsia="Times New Roman" w:hAnsi="Times New Roman"/>
          <w:sz w:val="14"/>
          <w:szCs w:val="14"/>
          <w:u w:val="single" w:color="auto"/>
          <w:color w:val="0000FF"/>
        </w:rPr>
      </w:pPr>
      <w:hyperlink r:id="rId152">
        <w:r>
          <w:rPr>
            <w:rFonts w:ascii="Times New Roman" w:cs="Times New Roman" w:eastAsia="Times New Roman" w:hAnsi="Times New Roman"/>
            <w:sz w:val="14"/>
            <w:szCs w:val="14"/>
            <w:u w:val="single" w:color="auto"/>
            <w:color w:val="0000FF"/>
          </w:rPr>
          <w:t>Tax Separation Agreement between SWS Group, Inc. and Westwood Holdings Group, Inc. (incorporated by reference from Amendment No. 5 to</w:t>
        </w:r>
      </w:hyperlink>
      <w:r>
        <w:rPr>
          <w:rFonts w:ascii="Times New Roman" w:cs="Times New Roman" w:eastAsia="Times New Roman" w:hAnsi="Times New Roman"/>
          <w:sz w:val="14"/>
          <w:szCs w:val="14"/>
          <w:u w:val="single" w:color="auto"/>
          <w:color w:val="0000FF"/>
        </w:rPr>
        <w:t xml:space="preserve"> </w:t>
      </w:r>
      <w:hyperlink r:id="rId152">
        <w:r>
          <w:rPr>
            <w:rFonts w:ascii="Times New Roman" w:cs="Times New Roman" w:eastAsia="Times New Roman" w:hAnsi="Times New Roman"/>
            <w:sz w:val="14"/>
            <w:szCs w:val="14"/>
            <w:u w:val="single" w:color="auto"/>
            <w:color w:val="0000FF"/>
          </w:rPr>
          <w:t>Registration Statement on Form 10/A filed with the SEC on June 6, 2002)</w:t>
        </w:r>
      </w:hyperlink>
    </w:p>
    <w:p>
      <w:pPr>
        <w:spacing w:after="0" w:line="8" w:lineRule="exact"/>
        <w:rPr>
          <w:sz w:val="20"/>
          <w:szCs w:val="20"/>
          <w:color w:val="auto"/>
        </w:rPr>
      </w:pPr>
    </w:p>
    <w:p>
      <w:pPr>
        <w:ind w:right="659"/>
        <w:spacing w:after="0" w:line="239" w:lineRule="auto"/>
        <w:rPr>
          <w:rFonts w:ascii="Times New Roman" w:cs="Times New Roman" w:eastAsia="Times New Roman" w:hAnsi="Times New Roman"/>
          <w:sz w:val="14"/>
          <w:szCs w:val="14"/>
          <w:u w:val="single" w:color="auto"/>
          <w:color w:val="0000FF"/>
        </w:rPr>
      </w:pPr>
      <w:hyperlink r:id="rId153">
        <w:r>
          <w:rPr>
            <w:rFonts w:ascii="Times New Roman" w:cs="Times New Roman" w:eastAsia="Times New Roman" w:hAnsi="Times New Roman"/>
            <w:sz w:val="14"/>
            <w:szCs w:val="14"/>
            <w:u w:val="single" w:color="auto"/>
            <w:color w:val="0000FF"/>
          </w:rPr>
          <w:t>Office Lease between Westwood Management Corp. and Crescent Real Estate Funding I, L.P., dated as of April 4, 1990, and amendment thereto</w:t>
        </w:r>
      </w:hyperlink>
      <w:r>
        <w:rPr>
          <w:rFonts w:ascii="Times New Roman" w:cs="Times New Roman" w:eastAsia="Times New Roman" w:hAnsi="Times New Roman"/>
          <w:sz w:val="14"/>
          <w:szCs w:val="14"/>
          <w:u w:val="single" w:color="auto"/>
          <w:color w:val="0000FF"/>
        </w:rPr>
        <w:t xml:space="preserve"> </w:t>
      </w:r>
      <w:hyperlink r:id="rId153">
        <w:r>
          <w:rPr>
            <w:rFonts w:ascii="Times New Roman" w:cs="Times New Roman" w:eastAsia="Times New Roman" w:hAnsi="Times New Roman"/>
            <w:sz w:val="14"/>
            <w:szCs w:val="14"/>
            <w:u w:val="single" w:color="auto"/>
            <w:color w:val="0000FF"/>
          </w:rPr>
          <w:t>(incorporated by reference from the Registration Statement on Form 10 filed with the SEC on February 8, 2002)</w:t>
        </w:r>
      </w:hyperlink>
    </w:p>
    <w:p>
      <w:pPr>
        <w:spacing w:after="0" w:line="8" w:lineRule="exact"/>
        <w:rPr>
          <w:sz w:val="20"/>
          <w:szCs w:val="20"/>
          <w:color w:val="auto"/>
        </w:rPr>
      </w:pPr>
    </w:p>
    <w:p>
      <w:pPr>
        <w:ind w:right="699"/>
        <w:spacing w:after="0" w:line="239" w:lineRule="auto"/>
        <w:rPr>
          <w:rFonts w:ascii="Times New Roman" w:cs="Times New Roman" w:eastAsia="Times New Roman" w:hAnsi="Times New Roman"/>
          <w:sz w:val="14"/>
          <w:szCs w:val="14"/>
          <w:u w:val="single" w:color="auto"/>
          <w:color w:val="0000FF"/>
        </w:rPr>
      </w:pPr>
      <w:hyperlink r:id="rId154">
        <w:r>
          <w:rPr>
            <w:rFonts w:ascii="Times New Roman" w:cs="Times New Roman" w:eastAsia="Times New Roman" w:hAnsi="Times New Roman"/>
            <w:sz w:val="14"/>
            <w:szCs w:val="14"/>
            <w:u w:val="single" w:color="auto"/>
            <w:color w:val="0000FF"/>
          </w:rPr>
          <w:t>Ninth Modification of Office Lease between Westwood Management Corp. and Crescent Real Estate Funding I, dated as of November 25, 2003</w:t>
        </w:r>
      </w:hyperlink>
      <w:r>
        <w:rPr>
          <w:rFonts w:ascii="Times New Roman" w:cs="Times New Roman" w:eastAsia="Times New Roman" w:hAnsi="Times New Roman"/>
          <w:sz w:val="14"/>
          <w:szCs w:val="14"/>
          <w:u w:val="single" w:color="auto"/>
          <w:color w:val="0000FF"/>
        </w:rPr>
        <w:t xml:space="preserve"> </w:t>
      </w:r>
      <w:hyperlink r:id="rId154">
        <w:r>
          <w:rPr>
            <w:rFonts w:ascii="Times New Roman" w:cs="Times New Roman" w:eastAsia="Times New Roman" w:hAnsi="Times New Roman"/>
            <w:sz w:val="14"/>
            <w:szCs w:val="14"/>
            <w:u w:val="single" w:color="auto"/>
            <w:color w:val="0000FF"/>
          </w:rPr>
          <w:t>(incorporated by reference from the Form 10-K filed with the SEC on February 27, 2004)</w:t>
        </w:r>
      </w:hyperlink>
    </w:p>
    <w:p>
      <w:pPr>
        <w:spacing w:after="0" w:line="8" w:lineRule="exact"/>
        <w:rPr>
          <w:sz w:val="20"/>
          <w:szCs w:val="20"/>
          <w:color w:val="auto"/>
        </w:rPr>
      </w:pPr>
    </w:p>
    <w:p>
      <w:pPr>
        <w:ind w:right="779"/>
        <w:spacing w:after="0" w:line="239" w:lineRule="auto"/>
        <w:rPr>
          <w:rFonts w:ascii="Times New Roman" w:cs="Times New Roman" w:eastAsia="Times New Roman" w:hAnsi="Times New Roman"/>
          <w:sz w:val="14"/>
          <w:szCs w:val="14"/>
          <w:u w:val="single" w:color="auto"/>
          <w:color w:val="0000FF"/>
        </w:rPr>
      </w:pPr>
      <w:hyperlink r:id="rId155">
        <w:r>
          <w:rPr>
            <w:rFonts w:ascii="Times New Roman" w:cs="Times New Roman" w:eastAsia="Times New Roman" w:hAnsi="Times New Roman"/>
            <w:sz w:val="14"/>
            <w:szCs w:val="14"/>
            <w:u w:val="single" w:color="auto"/>
            <w:color w:val="0000FF"/>
          </w:rPr>
          <w:t>Tenth Modification of Office Lease between Westwood Management Corp. and Crescent Real Estate Funding I, dated as of February 23, 2004</w:t>
        </w:r>
      </w:hyperlink>
      <w:r>
        <w:rPr>
          <w:rFonts w:ascii="Times New Roman" w:cs="Times New Roman" w:eastAsia="Times New Roman" w:hAnsi="Times New Roman"/>
          <w:sz w:val="14"/>
          <w:szCs w:val="14"/>
          <w:u w:val="single" w:color="auto"/>
          <w:color w:val="0000FF"/>
        </w:rPr>
        <w:t xml:space="preserve"> </w:t>
      </w:r>
      <w:hyperlink r:id="rId155">
        <w:r>
          <w:rPr>
            <w:rFonts w:ascii="Times New Roman" w:cs="Times New Roman" w:eastAsia="Times New Roman" w:hAnsi="Times New Roman"/>
            <w:sz w:val="14"/>
            <w:szCs w:val="14"/>
            <w:u w:val="single" w:color="auto"/>
            <w:color w:val="0000FF"/>
          </w:rPr>
          <w:t>(incorporated by reference from the Form 10-K filed with the SEC on February 27, 2004)</w:t>
        </w:r>
      </w:hyperlink>
    </w:p>
    <w:p>
      <w:pPr>
        <w:spacing w:after="0" w:line="8" w:lineRule="exact"/>
        <w:rPr>
          <w:sz w:val="20"/>
          <w:szCs w:val="20"/>
          <w:color w:val="auto"/>
        </w:rPr>
      </w:pPr>
    </w:p>
    <w:p>
      <w:pPr>
        <w:ind w:right="599"/>
        <w:spacing w:after="0" w:line="239" w:lineRule="auto"/>
        <w:rPr>
          <w:rFonts w:ascii="Times New Roman" w:cs="Times New Roman" w:eastAsia="Times New Roman" w:hAnsi="Times New Roman"/>
          <w:sz w:val="14"/>
          <w:szCs w:val="14"/>
          <w:u w:val="single" w:color="auto"/>
          <w:color w:val="0000FF"/>
        </w:rPr>
      </w:pPr>
      <w:hyperlink r:id="rId156">
        <w:r>
          <w:rPr>
            <w:rFonts w:ascii="Times New Roman" w:cs="Times New Roman" w:eastAsia="Times New Roman" w:hAnsi="Times New Roman"/>
            <w:sz w:val="14"/>
            <w:szCs w:val="14"/>
            <w:u w:val="single" w:color="auto"/>
            <w:color w:val="0000FF"/>
          </w:rPr>
          <w:t>Eleventh Modification of Office Lease between Westwood Management Corp. and Crescent Real Estate Funding I, dated as of December 9, 2010</w:t>
        </w:r>
      </w:hyperlink>
      <w:r>
        <w:rPr>
          <w:rFonts w:ascii="Times New Roman" w:cs="Times New Roman" w:eastAsia="Times New Roman" w:hAnsi="Times New Roman"/>
          <w:sz w:val="14"/>
          <w:szCs w:val="14"/>
          <w:u w:val="single" w:color="auto"/>
          <w:color w:val="0000FF"/>
        </w:rPr>
        <w:t xml:space="preserve"> </w:t>
      </w:r>
      <w:hyperlink r:id="rId156">
        <w:r>
          <w:rPr>
            <w:rFonts w:ascii="Times New Roman" w:cs="Times New Roman" w:eastAsia="Times New Roman" w:hAnsi="Times New Roman"/>
            <w:sz w:val="14"/>
            <w:szCs w:val="14"/>
            <w:u w:val="single" w:color="auto"/>
            <w:color w:val="0000FF"/>
          </w:rPr>
          <w:t>(incorporated by reference from the Form 10-K filed with the SEC on February 25, 2011)</w:t>
        </w:r>
      </w:hyperlink>
    </w:p>
    <w:p>
      <w:pPr>
        <w:spacing w:after="0" w:line="8" w:lineRule="exact"/>
        <w:rPr>
          <w:sz w:val="20"/>
          <w:szCs w:val="20"/>
          <w:color w:val="auto"/>
        </w:rPr>
      </w:pPr>
    </w:p>
    <w:p>
      <w:pPr>
        <w:ind w:right="1079"/>
        <w:spacing w:after="0" w:line="239" w:lineRule="auto"/>
        <w:rPr>
          <w:rFonts w:ascii="Times New Roman" w:cs="Times New Roman" w:eastAsia="Times New Roman" w:hAnsi="Times New Roman"/>
          <w:sz w:val="14"/>
          <w:szCs w:val="14"/>
          <w:u w:val="single" w:color="auto"/>
          <w:color w:val="0000FF"/>
        </w:rPr>
      </w:pPr>
      <w:hyperlink r:id="rId157">
        <w:r>
          <w:rPr>
            <w:rFonts w:ascii="Times New Roman" w:cs="Times New Roman" w:eastAsia="Times New Roman" w:hAnsi="Times New Roman"/>
            <w:sz w:val="14"/>
            <w:szCs w:val="14"/>
            <w:u w:val="single" w:color="auto"/>
            <w:color w:val="0000FF"/>
          </w:rPr>
          <w:t>Twelfth Modification of Office Lease between Westwood Management Corp. and Crescent TC Investors LP, dated as of August 17, 2012</w:t>
        </w:r>
      </w:hyperlink>
      <w:r>
        <w:rPr>
          <w:rFonts w:ascii="Times New Roman" w:cs="Times New Roman" w:eastAsia="Times New Roman" w:hAnsi="Times New Roman"/>
          <w:sz w:val="14"/>
          <w:szCs w:val="14"/>
          <w:u w:val="single" w:color="auto"/>
          <w:color w:val="0000FF"/>
        </w:rPr>
        <w:t xml:space="preserve"> </w:t>
      </w:r>
      <w:hyperlink r:id="rId157">
        <w:r>
          <w:rPr>
            <w:rFonts w:ascii="Times New Roman" w:cs="Times New Roman" w:eastAsia="Times New Roman" w:hAnsi="Times New Roman"/>
            <w:sz w:val="14"/>
            <w:szCs w:val="14"/>
            <w:u w:val="single" w:color="auto"/>
            <w:color w:val="0000FF"/>
          </w:rPr>
          <w:t>(incorporated by reference from the Form 10-K filed with the SEC on February 28, 2013)</w:t>
        </w:r>
      </w:hyperlink>
    </w:p>
    <w:p>
      <w:pPr>
        <w:spacing w:after="0" w:line="8" w:lineRule="exact"/>
        <w:rPr>
          <w:sz w:val="20"/>
          <w:szCs w:val="20"/>
          <w:color w:val="auto"/>
        </w:rPr>
      </w:pPr>
    </w:p>
    <w:p>
      <w:pPr>
        <w:ind w:right="959"/>
        <w:spacing w:after="0" w:line="239" w:lineRule="auto"/>
        <w:rPr>
          <w:rFonts w:ascii="Times New Roman" w:cs="Times New Roman" w:eastAsia="Times New Roman" w:hAnsi="Times New Roman"/>
          <w:sz w:val="14"/>
          <w:szCs w:val="14"/>
          <w:u w:val="single" w:color="auto"/>
          <w:color w:val="0000FF"/>
        </w:rPr>
      </w:pPr>
      <w:hyperlink r:id="rId158">
        <w:r>
          <w:rPr>
            <w:rFonts w:ascii="Times New Roman" w:cs="Times New Roman" w:eastAsia="Times New Roman" w:hAnsi="Times New Roman"/>
            <w:sz w:val="14"/>
            <w:szCs w:val="14"/>
            <w:u w:val="single" w:color="auto"/>
            <w:color w:val="0000FF"/>
          </w:rPr>
          <w:t>Thirteenth Modification of Office Lease between Westwood Management Corp. and Crescent TC Investors LP, dated as of October 9, 2014</w:t>
        </w:r>
      </w:hyperlink>
      <w:r>
        <w:rPr>
          <w:rFonts w:ascii="Times New Roman" w:cs="Times New Roman" w:eastAsia="Times New Roman" w:hAnsi="Times New Roman"/>
          <w:sz w:val="14"/>
          <w:szCs w:val="14"/>
          <w:u w:val="single" w:color="auto"/>
          <w:color w:val="0000FF"/>
        </w:rPr>
        <w:t xml:space="preserve"> </w:t>
      </w:r>
      <w:hyperlink r:id="rId158">
        <w:r>
          <w:rPr>
            <w:rFonts w:ascii="Times New Roman" w:cs="Times New Roman" w:eastAsia="Times New Roman" w:hAnsi="Times New Roman"/>
            <w:sz w:val="14"/>
            <w:szCs w:val="14"/>
            <w:u w:val="single" w:color="auto"/>
            <w:color w:val="0000FF"/>
          </w:rPr>
          <w:t>(incorporated by reference from the Form 10-K filed with the SEC on February 25, 2016)</w:t>
        </w:r>
      </w:hyperlink>
    </w:p>
    <w:p>
      <w:pPr>
        <w:spacing w:after="0" w:line="8" w:lineRule="exact"/>
        <w:rPr>
          <w:sz w:val="20"/>
          <w:szCs w:val="20"/>
          <w:color w:val="auto"/>
        </w:rPr>
      </w:pPr>
    </w:p>
    <w:p>
      <w:pPr>
        <w:ind w:right="879"/>
        <w:spacing w:after="0" w:line="239" w:lineRule="auto"/>
        <w:rPr>
          <w:rFonts w:ascii="Times New Roman" w:cs="Times New Roman" w:eastAsia="Times New Roman" w:hAnsi="Times New Roman"/>
          <w:sz w:val="14"/>
          <w:szCs w:val="14"/>
          <w:u w:val="single" w:color="auto"/>
          <w:color w:val="0000FF"/>
        </w:rPr>
      </w:pPr>
      <w:hyperlink r:id="rId159">
        <w:r>
          <w:rPr>
            <w:rFonts w:ascii="Times New Roman" w:cs="Times New Roman" w:eastAsia="Times New Roman" w:hAnsi="Times New Roman"/>
            <w:sz w:val="14"/>
            <w:szCs w:val="14"/>
            <w:u w:val="single" w:color="auto"/>
            <w:color w:val="0000FF"/>
          </w:rPr>
          <w:t>Fourteenth Modification of Office Lease between Westwood Management Corp. and Crescent TC Investors LP, dated as of February 5, 2015</w:t>
        </w:r>
      </w:hyperlink>
      <w:r>
        <w:rPr>
          <w:rFonts w:ascii="Times New Roman" w:cs="Times New Roman" w:eastAsia="Times New Roman" w:hAnsi="Times New Roman"/>
          <w:sz w:val="14"/>
          <w:szCs w:val="14"/>
          <w:u w:val="single" w:color="auto"/>
          <w:color w:val="0000FF"/>
        </w:rPr>
        <w:t xml:space="preserve"> </w:t>
      </w:r>
      <w:hyperlink r:id="rId159">
        <w:r>
          <w:rPr>
            <w:rFonts w:ascii="Times New Roman" w:cs="Times New Roman" w:eastAsia="Times New Roman" w:hAnsi="Times New Roman"/>
            <w:sz w:val="14"/>
            <w:szCs w:val="14"/>
            <w:u w:val="single" w:color="auto"/>
            <w:color w:val="0000FF"/>
          </w:rPr>
          <w:t>(incorporated by reference from the Form 10-K filed with the SEC on February 25, 2016)</w:t>
        </w:r>
      </w:hyperlink>
    </w:p>
    <w:p>
      <w:pPr>
        <w:spacing w:after="0" w:line="8" w:lineRule="exact"/>
        <w:rPr>
          <w:sz w:val="20"/>
          <w:szCs w:val="20"/>
          <w:color w:val="auto"/>
        </w:rPr>
      </w:pPr>
    </w:p>
    <w:p>
      <w:pPr>
        <w:ind w:right="379"/>
        <w:spacing w:after="0" w:line="239" w:lineRule="auto"/>
        <w:rPr>
          <w:rFonts w:ascii="Times New Roman" w:cs="Times New Roman" w:eastAsia="Times New Roman" w:hAnsi="Times New Roman"/>
          <w:sz w:val="14"/>
          <w:szCs w:val="14"/>
          <w:u w:val="single" w:color="auto"/>
          <w:color w:val="0000FF"/>
        </w:rPr>
      </w:pPr>
      <w:hyperlink r:id="rId160">
        <w:r>
          <w:rPr>
            <w:rFonts w:ascii="Times New Roman" w:cs="Times New Roman" w:eastAsia="Times New Roman" w:hAnsi="Times New Roman"/>
            <w:sz w:val="14"/>
            <w:szCs w:val="14"/>
            <w:u w:val="single" w:color="auto"/>
            <w:color w:val="0000FF"/>
          </w:rPr>
          <w:t>Fifteenth Modification of Office Lease between Westwood Management Corp. and Crescent TC Investors LP, dated as of July 30, 2015 (incorporated</w:t>
        </w:r>
      </w:hyperlink>
      <w:r>
        <w:rPr>
          <w:rFonts w:ascii="Times New Roman" w:cs="Times New Roman" w:eastAsia="Times New Roman" w:hAnsi="Times New Roman"/>
          <w:sz w:val="14"/>
          <w:szCs w:val="14"/>
          <w:u w:val="single" w:color="auto"/>
          <w:color w:val="0000FF"/>
        </w:rPr>
        <w:t xml:space="preserve"> </w:t>
      </w:r>
      <w:hyperlink r:id="rId160">
        <w:r>
          <w:rPr>
            <w:rFonts w:ascii="Times New Roman" w:cs="Times New Roman" w:eastAsia="Times New Roman" w:hAnsi="Times New Roman"/>
            <w:sz w:val="14"/>
            <w:szCs w:val="14"/>
            <w:u w:val="single" w:color="auto"/>
            <w:color w:val="0000FF"/>
          </w:rPr>
          <w:t>by reference from the Form 10-K filed with the SEC on February 25, 2016)</w:t>
        </w:r>
      </w:hyperlink>
    </w:p>
    <w:p>
      <w:pPr>
        <w:spacing w:after="0" w:line="8" w:lineRule="exact"/>
        <w:rPr>
          <w:sz w:val="20"/>
          <w:szCs w:val="20"/>
          <w:color w:val="auto"/>
        </w:rPr>
      </w:pPr>
    </w:p>
    <w:p>
      <w:pPr>
        <w:ind w:right="419"/>
        <w:spacing w:after="0" w:line="239" w:lineRule="auto"/>
        <w:rPr>
          <w:rFonts w:ascii="Times New Roman" w:cs="Times New Roman" w:eastAsia="Times New Roman" w:hAnsi="Times New Roman"/>
          <w:sz w:val="14"/>
          <w:szCs w:val="14"/>
          <w:u w:val="single" w:color="auto"/>
          <w:color w:val="0000FF"/>
        </w:rPr>
      </w:pPr>
      <w:hyperlink r:id="rId161">
        <w:r>
          <w:rPr>
            <w:rFonts w:ascii="Times New Roman" w:cs="Times New Roman" w:eastAsia="Times New Roman" w:hAnsi="Times New Roman"/>
            <w:sz w:val="14"/>
            <w:szCs w:val="14"/>
            <w:u w:val="single" w:color="auto"/>
            <w:color w:val="0000FF"/>
          </w:rPr>
          <w:t>Sixteenth Modification of Office Lease between Westwood Management Corp. and Crescent TC Investors LP, dated as of July 5, 2018 (incorporated</w:t>
        </w:r>
      </w:hyperlink>
      <w:r>
        <w:rPr>
          <w:rFonts w:ascii="Times New Roman" w:cs="Times New Roman" w:eastAsia="Times New Roman" w:hAnsi="Times New Roman"/>
          <w:sz w:val="14"/>
          <w:szCs w:val="14"/>
          <w:u w:val="single" w:color="auto"/>
          <w:color w:val="0000FF"/>
        </w:rPr>
        <w:t xml:space="preserve"> </w:t>
      </w:r>
      <w:hyperlink r:id="rId161">
        <w:r>
          <w:rPr>
            <w:rFonts w:ascii="Times New Roman" w:cs="Times New Roman" w:eastAsia="Times New Roman" w:hAnsi="Times New Roman"/>
            <w:sz w:val="14"/>
            <w:szCs w:val="14"/>
            <w:u w:val="single" w:color="auto"/>
            <w:color w:val="0000FF"/>
          </w:rPr>
          <w:t>by reference from the Form 10-Q filed with the SEC on October 24, 2018)</w:t>
        </w:r>
      </w:hyperlink>
    </w:p>
    <w:p>
      <w:pPr>
        <w:spacing w:after="0" w:line="200" w:lineRule="exact"/>
        <w:rPr>
          <w:sz w:val="20"/>
          <w:szCs w:val="20"/>
          <w:color w:val="auto"/>
        </w:rPr>
      </w:pPr>
    </w:p>
    <w:p>
      <w:pPr>
        <w:spacing w:after="0" w:line="307" w:lineRule="exact"/>
        <w:rPr>
          <w:sz w:val="20"/>
          <w:szCs w:val="20"/>
          <w:color w:val="auto"/>
        </w:rPr>
      </w:pPr>
    </w:p>
    <w:p>
      <w:pPr>
        <w:jc w:val="center"/>
        <w:ind w:right="199"/>
        <w:spacing w:after="0"/>
        <w:rPr>
          <w:sz w:val="20"/>
          <w:szCs w:val="20"/>
          <w:color w:val="auto"/>
        </w:rPr>
      </w:pPr>
      <w:r>
        <w:rPr>
          <w:rFonts w:ascii="Times New Roman" w:cs="Times New Roman" w:eastAsia="Times New Roman" w:hAnsi="Times New Roman"/>
          <w:sz w:val="14"/>
          <w:szCs w:val="14"/>
          <w:color w:val="auto"/>
        </w:rPr>
        <w:t>30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-847090</wp:posOffset>
            </wp:positionH>
            <wp:positionV relativeFrom="paragraph">
              <wp:posOffset>55880</wp:posOffset>
            </wp:positionV>
            <wp:extent cx="7186930" cy="38735"/>
            <wp:wrapNone/>
            <wp:docPr id="137" name="Picture 13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7"/>
                    <pic:cNvPicPr>
                      <a:picLocks noChangeAspect="1" noChangeArrowheads="1"/>
                    </pic:cNvPicPr>
                  </pic:nvPicPr>
                  <pic:blipFill>
                    <a:blip r:embed="rId162">
                      <a:extLst>
                        <a:ext uri="{28A0092B-C50C-407E-A947-70E740481C1C}"/>
                      </a:extLst>
                    </a:blip>
                    <a:srcRect/>
                    <a:stretch>
                      <a:fillRect/>
                    </a:stretch>
                  </pic:blipFill>
                  <pic:spPr bwMode="auto">
                    <a:xfrm>
                      <a:off x="0" y="0"/>
                      <a:ext cx="7186930" cy="38735"/>
                    </a:xfrm>
                    <a:prstGeom prst="rect">
                      <a:avLst/>
                    </a:prstGeom>
                    <a:noFill/>
                  </pic:spPr>
                </pic:pic>
              </a:graphicData>
            </a:graphic>
          </wp:anchor>
        </w:drawing>
      </w:r>
    </w:p>
    <w:p>
      <w:pPr>
        <w:sectPr>
          <w:pgSz w:w="11900" w:h="16838" w:orient="portrait"/>
          <w:cols w:equalWidth="0" w:num="2">
            <w:col w:w="700" w:space="600"/>
            <w:col w:w="8839"/>
          </w:cols>
          <w:pgMar w:left="320" w:top="728" w:right="1440" w:bottom="1440" w:gutter="0" w:footer="0" w:header="0"/>
        </w:sectPr>
      </w:pPr>
    </w:p>
    <w:bookmarkStart w:id="72" w:name="page73"/>
    <w:bookmarkEnd w:id="72"/>
    <w:p>
      <w:pPr>
        <w:ind w:left="300"/>
        <w:spacing w:after="0"/>
        <w:rPr>
          <w:sz w:val="20"/>
          <w:szCs w:val="20"/>
          <w:color w:val="auto"/>
        </w:rPr>
      </w:pPr>
      <w:r>
        <w:rPr>
          <w:rFonts w:ascii="Times New Roman" w:cs="Times New Roman" w:eastAsia="Times New Roman" w:hAnsi="Times New Roman"/>
          <w:sz w:val="11"/>
          <w:szCs w:val="11"/>
          <w:b w:val="1"/>
          <w:bCs w:val="1"/>
          <w:color w:val="auto"/>
        </w:rPr>
        <w:t>Exhibit</w:t>
      </w:r>
    </w:p>
    <w:p>
      <w:pPr>
        <w:spacing w:after="0" w:line="4" w:lineRule="exact"/>
        <w:rPr>
          <w:sz w:val="20"/>
          <w:szCs w:val="20"/>
          <w:color w:val="auto"/>
        </w:rPr>
      </w:pPr>
    </w:p>
    <w:p>
      <w:pPr>
        <w:jc w:val="right"/>
        <w:spacing w:after="0"/>
        <w:rPr>
          <w:sz w:val="20"/>
          <w:szCs w:val="20"/>
          <w:color w:val="auto"/>
        </w:rPr>
      </w:pPr>
      <w:r>
        <w:rPr>
          <w:rFonts w:ascii="Times New Roman" w:cs="Times New Roman" w:eastAsia="Times New Roman" w:hAnsi="Times New Roman"/>
          <w:sz w:val="11"/>
          <w:szCs w:val="11"/>
          <w:b w:val="1"/>
          <w:bCs w:val="1"/>
          <w:color w:val="auto"/>
        </w:rPr>
        <w:t>Number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-8890</wp:posOffset>
            </wp:positionH>
            <wp:positionV relativeFrom="paragraph">
              <wp:posOffset>10795</wp:posOffset>
            </wp:positionV>
            <wp:extent cx="640080" cy="6985"/>
            <wp:wrapNone/>
            <wp:docPr id="138" name="Picture 13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8"/>
                    <pic:cNvPicPr>
                      <a:picLocks noChangeAspect="1" noChangeArrowheads="1"/>
                    </pic:cNvPicPr>
                  </pic:nvPicPr>
                  <pic:blipFill>
                    <a:blip r:embed="rId163">
                      <a:extLst>
                        <a:ext uri="{28A0092B-C50C-407E-A947-70E740481C1C}"/>
                      </a:extLst>
                    </a:blip>
                    <a:srcRect/>
                    <a:stretch>
                      <a:fillRect/>
                    </a:stretch>
                  </pic:blipFill>
                  <pic:spPr bwMode="auto">
                    <a:xfrm>
                      <a:off x="0" y="0"/>
                      <a:ext cx="640080" cy="6985"/>
                    </a:xfrm>
                    <a:prstGeom prst="rect">
                      <a:avLst/>
                    </a:prstGeom>
                    <a:noFill/>
                  </pic:spPr>
                </pic:pic>
              </a:graphicData>
            </a:graphic>
          </wp:anchor>
        </w:drawing>
      </w:r>
    </w:p>
    <w:p>
      <w:pPr>
        <w:spacing w:after="0" w:line="3"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color w:val="auto"/>
        </w:rPr>
        <w:t>10.3.9*</w:t>
      </w:r>
    </w:p>
    <w:p>
      <w:pPr>
        <w:spacing w:after="0" w:line="23"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color w:val="auto"/>
        </w:rPr>
        <w:t>10.3.10*</w:t>
      </w:r>
    </w:p>
    <w:p>
      <w:pPr>
        <w:spacing w:after="0" w:line="90"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color w:val="auto"/>
        </w:rPr>
        <w:t>10.4</w:t>
      </w:r>
    </w:p>
    <w:p>
      <w:pPr>
        <w:spacing w:after="0" w:line="168"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color w:val="auto"/>
        </w:rPr>
        <w:t>10.5</w:t>
      </w:r>
    </w:p>
    <w:p>
      <w:pPr>
        <w:spacing w:after="0" w:line="168"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color w:val="auto"/>
        </w:rPr>
        <w:t>10.6+</w:t>
      </w:r>
    </w:p>
    <w:p>
      <w:pPr>
        <w:spacing w:after="0" w:line="168"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color w:val="auto"/>
        </w:rPr>
        <w:t>10.7+</w:t>
      </w:r>
    </w:p>
    <w:p>
      <w:pPr>
        <w:spacing w:after="0" w:line="94"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color w:val="auto"/>
        </w:rPr>
        <w:t>10.8+</w:t>
      </w:r>
    </w:p>
    <w:p>
      <w:pPr>
        <w:spacing w:after="0" w:line="94"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color w:val="auto"/>
        </w:rPr>
        <w:t>10.9+</w:t>
      </w:r>
    </w:p>
    <w:p>
      <w:pPr>
        <w:spacing w:after="0" w:line="168"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color w:val="auto"/>
        </w:rPr>
        <w:t>10.10+</w:t>
      </w:r>
    </w:p>
    <w:p>
      <w:pPr>
        <w:spacing w:after="0" w:line="168"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color w:val="auto"/>
        </w:rPr>
        <w:t>10.11+</w:t>
      </w:r>
    </w:p>
    <w:p>
      <w:pPr>
        <w:spacing w:after="0" w:line="168"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color w:val="auto"/>
        </w:rPr>
        <w:t>10.12+</w:t>
      </w:r>
    </w:p>
    <w:p>
      <w:pPr>
        <w:spacing w:after="0" w:line="94"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color w:val="auto"/>
        </w:rPr>
        <w:t>10.13+</w:t>
      </w:r>
    </w:p>
    <w:p>
      <w:pPr>
        <w:spacing w:after="0" w:line="94"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color w:val="auto"/>
        </w:rPr>
        <w:t>10.14+</w:t>
      </w:r>
    </w:p>
    <w:p>
      <w:pPr>
        <w:spacing w:after="0" w:line="168"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color w:val="auto"/>
        </w:rPr>
        <w:t>10.15+</w:t>
      </w:r>
    </w:p>
    <w:p>
      <w:pPr>
        <w:spacing w:after="0" w:line="168"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color w:val="auto"/>
        </w:rPr>
        <w:t>10.16+</w:t>
      </w:r>
    </w:p>
    <w:p>
      <w:pPr>
        <w:spacing w:after="0" w:line="168"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color w:val="auto"/>
        </w:rPr>
        <w:t>10.17+</w:t>
      </w:r>
    </w:p>
    <w:p>
      <w:pPr>
        <w:spacing w:after="0" w:line="168"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color w:val="auto"/>
        </w:rPr>
        <w:t>10.18+</w:t>
      </w:r>
    </w:p>
    <w:p>
      <w:pPr>
        <w:spacing w:after="0" w:line="168"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color w:val="auto"/>
        </w:rPr>
        <w:t>10.19+</w:t>
      </w:r>
    </w:p>
    <w:p>
      <w:pPr>
        <w:spacing w:after="0" w:line="168"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color w:val="auto"/>
        </w:rPr>
        <w:t>10.20+</w:t>
      </w:r>
    </w:p>
    <w:p>
      <w:pPr>
        <w:spacing w:after="0" w:line="94"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color w:val="auto"/>
        </w:rPr>
        <w:t>19*</w:t>
      </w:r>
    </w:p>
    <w:p>
      <w:pPr>
        <w:spacing w:after="0" w:line="23"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color w:val="auto"/>
        </w:rPr>
        <w:t>21.1</w:t>
      </w:r>
    </w:p>
    <w:p>
      <w:pPr>
        <w:spacing w:after="0" w:line="19"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color w:val="auto"/>
        </w:rPr>
        <w:t>23.1*</w:t>
      </w:r>
    </w:p>
    <w:p>
      <w:pPr>
        <w:spacing w:after="0" w:line="20" w:lineRule="exact"/>
        <w:rPr>
          <w:sz w:val="20"/>
          <w:szCs w:val="20"/>
          <w:color w:val="auto"/>
        </w:rPr>
      </w:pPr>
      <w:r>
        <w:rPr>
          <w:sz w:val="20"/>
          <w:szCs w:val="20"/>
          <w:color w:val="auto"/>
        </w:rPr>
        <w:br w:type="column"/>
      </w:r>
    </w:p>
    <w:p>
      <w:pPr>
        <w:spacing w:after="0" w:line="86" w:lineRule="exact"/>
        <w:rPr>
          <w:sz w:val="20"/>
          <w:szCs w:val="20"/>
          <w:color w:val="auto"/>
        </w:rPr>
      </w:pPr>
    </w:p>
    <w:p>
      <w:pPr>
        <w:jc w:val="center"/>
        <w:ind w:right="339"/>
        <w:spacing w:after="0"/>
        <w:rPr>
          <w:sz w:val="20"/>
          <w:szCs w:val="20"/>
          <w:color w:val="auto"/>
        </w:rPr>
      </w:pPr>
      <w:r>
        <w:rPr>
          <w:rFonts w:ascii="Times New Roman" w:cs="Times New Roman" w:eastAsia="Times New Roman" w:hAnsi="Times New Roman"/>
          <w:sz w:val="11"/>
          <w:szCs w:val="11"/>
          <w:b w:val="1"/>
          <w:bCs w:val="1"/>
          <w:color w:val="auto"/>
        </w:rPr>
        <w:t>Description of Exhibits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-12700</wp:posOffset>
            </wp:positionH>
            <wp:positionV relativeFrom="paragraph">
              <wp:posOffset>26035</wp:posOffset>
            </wp:positionV>
            <wp:extent cx="5423535" cy="6985"/>
            <wp:wrapNone/>
            <wp:docPr id="139" name="Picture 13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9"/>
                    <pic:cNvPicPr>
                      <a:picLocks noChangeAspect="1" noChangeArrowheads="1"/>
                    </pic:cNvPicPr>
                  </pic:nvPicPr>
                  <pic:blipFill>
                    <a:blip r:embed="rId164">
                      <a:extLst>
                        <a:ext uri="{28A0092B-C50C-407E-A947-70E740481C1C}"/>
                      </a:extLst>
                    </a:blip>
                    <a:srcRect/>
                    <a:stretch>
                      <a:fillRect/>
                    </a:stretch>
                  </pic:blipFill>
                  <pic:spPr bwMode="auto">
                    <a:xfrm>
                      <a:off x="0" y="0"/>
                      <a:ext cx="5423535" cy="6985"/>
                    </a:xfrm>
                    <a:prstGeom prst="rect">
                      <a:avLst/>
                    </a:prstGeom>
                    <a:noFill/>
                  </pic:spPr>
                </pic:pic>
              </a:graphicData>
            </a:graphic>
          </wp:anchor>
        </w:drawing>
      </w:r>
    </w:p>
    <w:p>
      <w:pPr>
        <w:spacing w:after="0" w:line="28" w:lineRule="exact"/>
        <w:rPr>
          <w:sz w:val="20"/>
          <w:szCs w:val="20"/>
          <w:color w:val="auto"/>
        </w:rPr>
      </w:pPr>
    </w:p>
    <w:p>
      <w:pPr>
        <w:ind w:right="859"/>
        <w:spacing w:after="0" w:line="271" w:lineRule="auto"/>
        <w:rPr>
          <w:sz w:val="20"/>
          <w:szCs w:val="20"/>
          <w:color w:val="auto"/>
        </w:rPr>
      </w:pPr>
      <w:r>
        <w:rPr>
          <w:rFonts w:ascii="Times New Roman" w:cs="Times New Roman" w:eastAsia="Times New Roman" w:hAnsi="Times New Roman"/>
          <w:sz w:val="14"/>
          <w:szCs w:val="14"/>
          <w:u w:val="single" w:color="auto"/>
          <w:color w:val="0000FF"/>
        </w:rPr>
        <w:t>Seventeenth Modification of Office Lease between Westwood Management Corp. and Crescent TC Investors LP, dated as of March 22, 2023 Eighteenth Modification of Office Lease between Westwood Management Corp. and Crescent TC Investors LP, dated as of June 24, 2025</w:t>
      </w:r>
    </w:p>
    <w:p>
      <w:pPr>
        <w:spacing w:after="0" w:line="1" w:lineRule="exact"/>
        <w:rPr>
          <w:sz w:val="20"/>
          <w:szCs w:val="20"/>
          <w:color w:val="auto"/>
        </w:rPr>
      </w:pPr>
    </w:p>
    <w:p>
      <w:pPr>
        <w:ind w:right="859"/>
        <w:spacing w:after="0" w:line="237" w:lineRule="auto"/>
        <w:rPr>
          <w:rFonts w:ascii="Times New Roman" w:cs="Times New Roman" w:eastAsia="Times New Roman" w:hAnsi="Times New Roman"/>
          <w:sz w:val="14"/>
          <w:szCs w:val="14"/>
          <w:u w:val="single" w:color="auto"/>
          <w:color w:val="0000FF"/>
        </w:rPr>
      </w:pPr>
      <w:hyperlink r:id="rId165">
        <w:r>
          <w:rPr>
            <w:rFonts w:ascii="Times New Roman" w:cs="Times New Roman" w:eastAsia="Times New Roman" w:hAnsi="Times New Roman"/>
            <w:sz w:val="14"/>
            <w:szCs w:val="14"/>
            <w:u w:val="single" w:color="auto"/>
            <w:color w:val="0000FF"/>
          </w:rPr>
          <w:t>Software License and Support Agreement between Advent Software, Inc. and Westwood Management Corp., dated as of December 30, 1996</w:t>
        </w:r>
      </w:hyperlink>
      <w:r>
        <w:rPr>
          <w:rFonts w:ascii="Times New Roman" w:cs="Times New Roman" w:eastAsia="Times New Roman" w:hAnsi="Times New Roman"/>
          <w:sz w:val="14"/>
          <w:szCs w:val="14"/>
          <w:u w:val="single" w:color="auto"/>
          <w:color w:val="0000FF"/>
        </w:rPr>
        <w:t xml:space="preserve"> </w:t>
      </w:r>
      <w:hyperlink r:id="rId165">
        <w:r>
          <w:rPr>
            <w:rFonts w:ascii="Times New Roman" w:cs="Times New Roman" w:eastAsia="Times New Roman" w:hAnsi="Times New Roman"/>
            <w:sz w:val="14"/>
            <w:szCs w:val="14"/>
            <w:u w:val="single" w:color="auto"/>
            <w:color w:val="0000FF"/>
          </w:rPr>
          <w:t>(incorporated by reference from the Registration Statement on Form 10 filed with the SEC on February 8, 2002)</w:t>
        </w:r>
      </w:hyperlink>
    </w:p>
    <w:p>
      <w:pPr>
        <w:spacing w:after="0" w:line="7" w:lineRule="exact"/>
        <w:rPr>
          <w:sz w:val="20"/>
          <w:szCs w:val="20"/>
          <w:color w:val="auto"/>
        </w:rPr>
      </w:pPr>
    </w:p>
    <w:p>
      <w:pPr>
        <w:ind w:right="419"/>
        <w:spacing w:after="0" w:line="239" w:lineRule="auto"/>
        <w:rPr>
          <w:rFonts w:ascii="Times New Roman" w:cs="Times New Roman" w:eastAsia="Times New Roman" w:hAnsi="Times New Roman"/>
          <w:sz w:val="14"/>
          <w:szCs w:val="14"/>
          <w:u w:val="single" w:color="auto"/>
          <w:color w:val="0000FF"/>
        </w:rPr>
      </w:pPr>
      <w:hyperlink r:id="rId166">
        <w:r>
          <w:rPr>
            <w:rFonts w:ascii="Times New Roman" w:cs="Times New Roman" w:eastAsia="Times New Roman" w:hAnsi="Times New Roman"/>
            <w:sz w:val="14"/>
            <w:szCs w:val="14"/>
            <w:u w:val="single" w:color="auto"/>
            <w:color w:val="0000FF"/>
          </w:rPr>
          <w:t>Investment Sub-advisory Agreement between Teton Advisers, LLC and Westwood Management Corp., dated as of October 6, 1994 (incorporated by</w:t>
        </w:r>
      </w:hyperlink>
      <w:r>
        <w:rPr>
          <w:rFonts w:ascii="Times New Roman" w:cs="Times New Roman" w:eastAsia="Times New Roman" w:hAnsi="Times New Roman"/>
          <w:sz w:val="14"/>
          <w:szCs w:val="14"/>
          <w:u w:val="single" w:color="auto"/>
          <w:color w:val="0000FF"/>
        </w:rPr>
        <w:t xml:space="preserve"> </w:t>
      </w:r>
      <w:hyperlink r:id="rId166">
        <w:r>
          <w:rPr>
            <w:rFonts w:ascii="Times New Roman" w:cs="Times New Roman" w:eastAsia="Times New Roman" w:hAnsi="Times New Roman"/>
            <w:sz w:val="14"/>
            <w:szCs w:val="14"/>
            <w:u w:val="single" w:color="auto"/>
            <w:color w:val="0000FF"/>
          </w:rPr>
          <w:t>reference from the Form 10-K filed with the SEC on February 28, 2013)</w:t>
        </w:r>
      </w:hyperlink>
    </w:p>
    <w:p>
      <w:pPr>
        <w:spacing w:after="0" w:line="8" w:lineRule="exact"/>
        <w:rPr>
          <w:sz w:val="20"/>
          <w:szCs w:val="20"/>
          <w:color w:val="auto"/>
        </w:rPr>
      </w:pPr>
    </w:p>
    <w:p>
      <w:pPr>
        <w:ind w:right="739"/>
        <w:spacing w:after="0" w:line="239" w:lineRule="auto"/>
        <w:rPr>
          <w:rFonts w:ascii="Times New Roman" w:cs="Times New Roman" w:eastAsia="Times New Roman" w:hAnsi="Times New Roman"/>
          <w:sz w:val="14"/>
          <w:szCs w:val="14"/>
          <w:u w:val="single" w:color="auto"/>
          <w:color w:val="0000FF"/>
        </w:rPr>
      </w:pPr>
      <w:hyperlink r:id="rId167">
        <w:r>
          <w:rPr>
            <w:rFonts w:ascii="Times New Roman" w:cs="Times New Roman" w:eastAsia="Times New Roman" w:hAnsi="Times New Roman"/>
            <w:sz w:val="14"/>
            <w:szCs w:val="14"/>
            <w:u w:val="single" w:color="auto"/>
            <w:color w:val="0000FF"/>
          </w:rPr>
          <w:t>Form of Indemnification Agreement for Westwood Holdings Group, Inc. (incorporated by reference from the Form 10-K filed with the SEC on</w:t>
        </w:r>
      </w:hyperlink>
      <w:r>
        <w:rPr>
          <w:rFonts w:ascii="Times New Roman" w:cs="Times New Roman" w:eastAsia="Times New Roman" w:hAnsi="Times New Roman"/>
          <w:sz w:val="14"/>
          <w:szCs w:val="14"/>
          <w:u w:val="single" w:color="auto"/>
          <w:color w:val="0000FF"/>
        </w:rPr>
        <w:t xml:space="preserve"> </w:t>
      </w:r>
      <w:hyperlink r:id="rId167">
        <w:r>
          <w:rPr>
            <w:rFonts w:ascii="Times New Roman" w:cs="Times New Roman" w:eastAsia="Times New Roman" w:hAnsi="Times New Roman"/>
            <w:sz w:val="14"/>
            <w:szCs w:val="14"/>
            <w:u w:val="single" w:color="auto"/>
            <w:color w:val="0000FF"/>
          </w:rPr>
          <w:t>February 27, 2004)</w:t>
        </w:r>
      </w:hyperlink>
    </w:p>
    <w:p>
      <w:pPr>
        <w:spacing w:after="0" w:line="8" w:lineRule="exact"/>
        <w:rPr>
          <w:sz w:val="20"/>
          <w:szCs w:val="20"/>
          <w:color w:val="auto"/>
        </w:rPr>
      </w:pPr>
    </w:p>
    <w:p>
      <w:pPr>
        <w:ind w:right="839"/>
        <w:spacing w:after="0" w:line="239" w:lineRule="auto"/>
        <w:rPr>
          <w:rFonts w:ascii="Times New Roman" w:cs="Times New Roman" w:eastAsia="Times New Roman" w:hAnsi="Times New Roman"/>
          <w:sz w:val="14"/>
          <w:szCs w:val="14"/>
          <w:u w:val="single" w:color="auto"/>
          <w:color w:val="0000FF"/>
        </w:rPr>
      </w:pPr>
      <w:hyperlink r:id="rId168">
        <w:r>
          <w:rPr>
            <w:rFonts w:ascii="Times New Roman" w:cs="Times New Roman" w:eastAsia="Times New Roman" w:hAnsi="Times New Roman"/>
            <w:sz w:val="14"/>
            <w:szCs w:val="14"/>
            <w:u w:val="single" w:color="auto"/>
            <w:color w:val="0000FF"/>
          </w:rPr>
          <w:t>Form of Indemnification Agreement for Westwood Management Corp. (incorporated by reference from the Form 10-K filed with the SEC on</w:t>
        </w:r>
      </w:hyperlink>
      <w:r>
        <w:rPr>
          <w:rFonts w:ascii="Times New Roman" w:cs="Times New Roman" w:eastAsia="Times New Roman" w:hAnsi="Times New Roman"/>
          <w:sz w:val="14"/>
          <w:szCs w:val="14"/>
          <w:u w:val="single" w:color="auto"/>
          <w:color w:val="0000FF"/>
        </w:rPr>
        <w:t xml:space="preserve"> </w:t>
      </w:r>
      <w:hyperlink r:id="rId168">
        <w:r>
          <w:rPr>
            <w:rFonts w:ascii="Times New Roman" w:cs="Times New Roman" w:eastAsia="Times New Roman" w:hAnsi="Times New Roman"/>
            <w:sz w:val="14"/>
            <w:szCs w:val="14"/>
            <w:u w:val="single" w:color="auto"/>
            <w:color w:val="0000FF"/>
          </w:rPr>
          <w:t>February 27, 2004)</w:t>
        </w:r>
      </w:hyperlink>
    </w:p>
    <w:p>
      <w:pPr>
        <w:spacing w:after="0" w:line="8" w:lineRule="exact"/>
        <w:rPr>
          <w:sz w:val="20"/>
          <w:szCs w:val="20"/>
          <w:color w:val="auto"/>
        </w:rPr>
      </w:pPr>
    </w:p>
    <w:p>
      <w:pPr>
        <w:spacing w:after="0"/>
        <w:rPr>
          <w:rFonts w:ascii="Times New Roman" w:cs="Times New Roman" w:eastAsia="Times New Roman" w:hAnsi="Times New Roman"/>
          <w:sz w:val="14"/>
          <w:szCs w:val="14"/>
          <w:u w:val="single" w:color="auto"/>
          <w:color w:val="0000FF"/>
        </w:rPr>
      </w:pPr>
      <w:hyperlink r:id="rId169">
        <w:r>
          <w:rPr>
            <w:rFonts w:ascii="Times New Roman" w:cs="Times New Roman" w:eastAsia="Times New Roman" w:hAnsi="Times New Roman"/>
            <w:sz w:val="14"/>
            <w:szCs w:val="14"/>
            <w:u w:val="single" w:color="auto"/>
            <w:color w:val="0000FF"/>
          </w:rPr>
          <w:t>Form of Indemnification Agreement for Westwood Trust (incorporated by reference from the Form 10-K filed with the SEC on February 27, 2004)</w:t>
        </w:r>
      </w:hyperlink>
    </w:p>
    <w:p>
      <w:pPr>
        <w:spacing w:after="0" w:line="23" w:lineRule="exact"/>
        <w:rPr>
          <w:sz w:val="20"/>
          <w:szCs w:val="20"/>
          <w:color w:val="auto"/>
        </w:rPr>
      </w:pPr>
    </w:p>
    <w:p>
      <w:pPr>
        <w:ind w:right="399"/>
        <w:spacing w:after="0" w:line="237" w:lineRule="auto"/>
        <w:rPr>
          <w:rFonts w:ascii="Times New Roman" w:cs="Times New Roman" w:eastAsia="Times New Roman" w:hAnsi="Times New Roman"/>
          <w:sz w:val="14"/>
          <w:szCs w:val="14"/>
          <w:u w:val="single" w:color="auto"/>
          <w:color w:val="0000FF"/>
        </w:rPr>
      </w:pPr>
      <w:hyperlink r:id="rId170">
        <w:r>
          <w:rPr>
            <w:rFonts w:ascii="Times New Roman" w:cs="Times New Roman" w:eastAsia="Times New Roman" w:hAnsi="Times New Roman"/>
            <w:sz w:val="14"/>
            <w:szCs w:val="14"/>
            <w:u w:val="single" w:color="auto"/>
            <w:color w:val="0000FF"/>
          </w:rPr>
          <w:t>Executive Employment Agreement between Westwood Holdings Group, Inc. and Brian O. Casey (incorporated by reference from the Form 8-K filed</w:t>
        </w:r>
      </w:hyperlink>
      <w:r>
        <w:rPr>
          <w:rFonts w:ascii="Times New Roman" w:cs="Times New Roman" w:eastAsia="Times New Roman" w:hAnsi="Times New Roman"/>
          <w:sz w:val="14"/>
          <w:szCs w:val="14"/>
          <w:u w:val="single" w:color="auto"/>
          <w:color w:val="0000FF"/>
        </w:rPr>
        <w:t xml:space="preserve"> </w:t>
      </w:r>
      <w:hyperlink r:id="rId170">
        <w:r>
          <w:rPr>
            <w:rFonts w:ascii="Times New Roman" w:cs="Times New Roman" w:eastAsia="Times New Roman" w:hAnsi="Times New Roman"/>
            <w:sz w:val="14"/>
            <w:szCs w:val="14"/>
            <w:u w:val="single" w:color="auto"/>
            <w:color w:val="0000FF"/>
          </w:rPr>
          <w:t>with the SEC on December 18, 2015)</w:t>
        </w:r>
      </w:hyperlink>
    </w:p>
    <w:p>
      <w:pPr>
        <w:spacing w:after="0" w:line="7" w:lineRule="exact"/>
        <w:rPr>
          <w:sz w:val="20"/>
          <w:szCs w:val="20"/>
          <w:color w:val="auto"/>
        </w:rPr>
      </w:pPr>
    </w:p>
    <w:p>
      <w:pPr>
        <w:ind w:right="439"/>
        <w:spacing w:after="0" w:line="239" w:lineRule="auto"/>
        <w:rPr>
          <w:rFonts w:ascii="Times New Roman" w:cs="Times New Roman" w:eastAsia="Times New Roman" w:hAnsi="Times New Roman"/>
          <w:sz w:val="14"/>
          <w:szCs w:val="14"/>
          <w:u w:val="single" w:color="auto"/>
          <w:color w:val="0000FF"/>
        </w:rPr>
      </w:pPr>
      <w:hyperlink r:id="rId171">
        <w:r>
          <w:rPr>
            <w:rFonts w:ascii="Times New Roman" w:cs="Times New Roman" w:eastAsia="Times New Roman" w:hAnsi="Times New Roman"/>
            <w:sz w:val="14"/>
            <w:szCs w:val="14"/>
            <w:u w:val="single" w:color="auto"/>
            <w:color w:val="0000FF"/>
          </w:rPr>
          <w:t>Form of Performance Share Agreement between Westwood Holdings Group, Inc. and Brian O. Casey (incorporated by reference from the Form 8-K</w:t>
        </w:r>
      </w:hyperlink>
      <w:r>
        <w:rPr>
          <w:rFonts w:ascii="Times New Roman" w:cs="Times New Roman" w:eastAsia="Times New Roman" w:hAnsi="Times New Roman"/>
          <w:sz w:val="14"/>
          <w:szCs w:val="14"/>
          <w:u w:val="single" w:color="auto"/>
          <w:color w:val="0000FF"/>
        </w:rPr>
        <w:t xml:space="preserve"> </w:t>
      </w:r>
      <w:hyperlink r:id="rId171">
        <w:r>
          <w:rPr>
            <w:rFonts w:ascii="Times New Roman" w:cs="Times New Roman" w:eastAsia="Times New Roman" w:hAnsi="Times New Roman"/>
            <w:sz w:val="14"/>
            <w:szCs w:val="14"/>
            <w:u w:val="single" w:color="auto"/>
            <w:color w:val="0000FF"/>
          </w:rPr>
          <w:t>filed with the SEC on March 14, 2016)</w:t>
        </w:r>
      </w:hyperlink>
    </w:p>
    <w:p>
      <w:pPr>
        <w:spacing w:after="0" w:line="8" w:lineRule="exact"/>
        <w:rPr>
          <w:sz w:val="20"/>
          <w:szCs w:val="20"/>
          <w:color w:val="auto"/>
        </w:rPr>
      </w:pPr>
    </w:p>
    <w:p>
      <w:pPr>
        <w:ind w:right="339"/>
        <w:spacing w:after="0" w:line="239" w:lineRule="auto"/>
        <w:rPr>
          <w:rFonts w:ascii="Times New Roman" w:cs="Times New Roman" w:eastAsia="Times New Roman" w:hAnsi="Times New Roman"/>
          <w:sz w:val="14"/>
          <w:szCs w:val="14"/>
          <w:u w:val="single" w:color="auto"/>
          <w:color w:val="0000FF"/>
        </w:rPr>
      </w:pPr>
      <w:hyperlink r:id="rId172">
        <w:r>
          <w:rPr>
            <w:rFonts w:ascii="Times New Roman" w:cs="Times New Roman" w:eastAsia="Times New Roman" w:hAnsi="Times New Roman"/>
            <w:sz w:val="14"/>
            <w:szCs w:val="14"/>
            <w:u w:val="single" w:color="auto"/>
            <w:color w:val="0000FF"/>
          </w:rPr>
          <w:t>One-Time Performance Share Agreement, dated as of March 10, 2016, between Westwood Holdings Group, Inc. and Brian O. Casey (incorporated by</w:t>
        </w:r>
      </w:hyperlink>
      <w:r>
        <w:rPr>
          <w:rFonts w:ascii="Times New Roman" w:cs="Times New Roman" w:eastAsia="Times New Roman" w:hAnsi="Times New Roman"/>
          <w:sz w:val="14"/>
          <w:szCs w:val="14"/>
          <w:u w:val="single" w:color="auto"/>
          <w:color w:val="0000FF"/>
        </w:rPr>
        <w:t xml:space="preserve"> </w:t>
      </w:r>
      <w:hyperlink r:id="rId172">
        <w:r>
          <w:rPr>
            <w:rFonts w:ascii="Times New Roman" w:cs="Times New Roman" w:eastAsia="Times New Roman" w:hAnsi="Times New Roman"/>
            <w:sz w:val="14"/>
            <w:szCs w:val="14"/>
            <w:u w:val="single" w:color="auto"/>
            <w:color w:val="0000FF"/>
          </w:rPr>
          <w:t>reference from the Form 8-K filed with the SEC on March 14, 2016)</w:t>
        </w:r>
      </w:hyperlink>
    </w:p>
    <w:p>
      <w:pPr>
        <w:spacing w:after="0" w:line="8" w:lineRule="exact"/>
        <w:rPr>
          <w:sz w:val="20"/>
          <w:szCs w:val="20"/>
          <w:color w:val="auto"/>
        </w:rPr>
      </w:pPr>
    </w:p>
    <w:p>
      <w:pPr>
        <w:ind w:right="479"/>
        <w:spacing w:after="0" w:line="239" w:lineRule="auto"/>
        <w:rPr>
          <w:rFonts w:ascii="Times New Roman" w:cs="Times New Roman" w:eastAsia="Times New Roman" w:hAnsi="Times New Roman"/>
          <w:sz w:val="14"/>
          <w:szCs w:val="14"/>
          <w:u w:val="single" w:color="auto"/>
          <w:color w:val="0000FF"/>
        </w:rPr>
      </w:pPr>
      <w:hyperlink r:id="rId173">
        <w:r>
          <w:rPr>
            <w:rFonts w:ascii="Times New Roman" w:cs="Times New Roman" w:eastAsia="Times New Roman" w:hAnsi="Times New Roman"/>
            <w:sz w:val="14"/>
            <w:szCs w:val="14"/>
            <w:u w:val="single" w:color="auto"/>
            <w:color w:val="0000FF"/>
          </w:rPr>
          <w:t>Waiver of Certain Performance Shares Under the Performance Share Agreement, dated as of February 22, 2017 (incorporated by reference from the</w:t>
        </w:r>
      </w:hyperlink>
      <w:r>
        <w:rPr>
          <w:rFonts w:ascii="Times New Roman" w:cs="Times New Roman" w:eastAsia="Times New Roman" w:hAnsi="Times New Roman"/>
          <w:sz w:val="14"/>
          <w:szCs w:val="14"/>
          <w:u w:val="single" w:color="auto"/>
          <w:color w:val="0000FF"/>
        </w:rPr>
        <w:t xml:space="preserve"> </w:t>
      </w:r>
      <w:hyperlink r:id="rId173">
        <w:r>
          <w:rPr>
            <w:rFonts w:ascii="Times New Roman" w:cs="Times New Roman" w:eastAsia="Times New Roman" w:hAnsi="Times New Roman"/>
            <w:sz w:val="14"/>
            <w:szCs w:val="14"/>
            <w:u w:val="single" w:color="auto"/>
            <w:color w:val="0000FF"/>
          </w:rPr>
          <w:t>Form 8-K filed with the SEC on February 28, 2017)</w:t>
        </w:r>
      </w:hyperlink>
    </w:p>
    <w:p>
      <w:pPr>
        <w:spacing w:after="0" w:line="8" w:lineRule="exact"/>
        <w:rPr>
          <w:sz w:val="20"/>
          <w:szCs w:val="20"/>
          <w:color w:val="auto"/>
        </w:rPr>
      </w:pPr>
    </w:p>
    <w:p>
      <w:pPr>
        <w:spacing w:after="0"/>
        <w:rPr>
          <w:rFonts w:ascii="Times New Roman" w:cs="Times New Roman" w:eastAsia="Times New Roman" w:hAnsi="Times New Roman"/>
          <w:sz w:val="14"/>
          <w:szCs w:val="14"/>
          <w:u w:val="single" w:color="auto"/>
          <w:color w:val="0000FF"/>
        </w:rPr>
      </w:pPr>
      <w:hyperlink r:id="rId174">
        <w:r>
          <w:rPr>
            <w:rFonts w:ascii="Times New Roman" w:cs="Times New Roman" w:eastAsia="Times New Roman" w:hAnsi="Times New Roman"/>
            <w:sz w:val="14"/>
            <w:szCs w:val="14"/>
            <w:u w:val="single" w:color="auto"/>
            <w:color w:val="0000FF"/>
          </w:rPr>
          <w:t>Form of Performance Share Agreement (incorporated by reference from the Form 8-K filed with the SEC on March 10, 2017)</w:t>
        </w:r>
      </w:hyperlink>
    </w:p>
    <w:p>
      <w:pPr>
        <w:spacing w:after="0" w:line="23" w:lineRule="exact"/>
        <w:rPr>
          <w:sz w:val="20"/>
          <w:szCs w:val="20"/>
          <w:color w:val="auto"/>
        </w:rPr>
      </w:pPr>
    </w:p>
    <w:p>
      <w:pPr>
        <w:ind w:right="899"/>
        <w:spacing w:after="0" w:line="237" w:lineRule="auto"/>
        <w:rPr>
          <w:rFonts w:ascii="Times New Roman" w:cs="Times New Roman" w:eastAsia="Times New Roman" w:hAnsi="Times New Roman"/>
          <w:sz w:val="14"/>
          <w:szCs w:val="14"/>
          <w:u w:val="single" w:color="auto"/>
          <w:color w:val="0000FF"/>
        </w:rPr>
      </w:pPr>
      <w:hyperlink r:id="rId175">
        <w:r>
          <w:rPr>
            <w:rFonts w:ascii="Times New Roman" w:cs="Times New Roman" w:eastAsia="Times New Roman" w:hAnsi="Times New Roman"/>
            <w:sz w:val="14"/>
            <w:szCs w:val="14"/>
            <w:u w:val="single" w:color="auto"/>
            <w:color w:val="0000FF"/>
          </w:rPr>
          <w:t>Share Award Plan of Westwood Holdings Group, Inc. for Service Provided in Canada to its Subsidiaries (incorporated by reference from the</w:t>
        </w:r>
      </w:hyperlink>
      <w:r>
        <w:rPr>
          <w:rFonts w:ascii="Times New Roman" w:cs="Times New Roman" w:eastAsia="Times New Roman" w:hAnsi="Times New Roman"/>
          <w:sz w:val="14"/>
          <w:szCs w:val="14"/>
          <w:u w:val="single" w:color="auto"/>
          <w:color w:val="0000FF"/>
        </w:rPr>
        <w:t xml:space="preserve"> </w:t>
      </w:r>
      <w:hyperlink r:id="rId175">
        <w:r>
          <w:rPr>
            <w:rFonts w:ascii="Times New Roman" w:cs="Times New Roman" w:eastAsia="Times New Roman" w:hAnsi="Times New Roman"/>
            <w:sz w:val="14"/>
            <w:szCs w:val="14"/>
            <w:u w:val="single" w:color="auto"/>
            <w:color w:val="0000FF"/>
          </w:rPr>
          <w:t>Registration Statement on Form S-8 filed with the SEC on April 18, 2013)</w:t>
        </w:r>
      </w:hyperlink>
    </w:p>
    <w:p>
      <w:pPr>
        <w:spacing w:after="0" w:line="7" w:lineRule="exact"/>
        <w:rPr>
          <w:sz w:val="20"/>
          <w:szCs w:val="20"/>
          <w:color w:val="auto"/>
        </w:rPr>
      </w:pPr>
    </w:p>
    <w:p>
      <w:pPr>
        <w:ind w:right="479"/>
        <w:spacing w:after="0" w:line="239" w:lineRule="auto"/>
        <w:rPr>
          <w:rFonts w:ascii="Times New Roman" w:cs="Times New Roman" w:eastAsia="Times New Roman" w:hAnsi="Times New Roman"/>
          <w:sz w:val="14"/>
          <w:szCs w:val="14"/>
          <w:u w:val="single" w:color="auto"/>
          <w:color w:val="0000FF"/>
        </w:rPr>
      </w:pPr>
      <w:hyperlink r:id="rId176">
        <w:r>
          <w:rPr>
            <w:rFonts w:ascii="Times New Roman" w:cs="Times New Roman" w:eastAsia="Times New Roman" w:hAnsi="Times New Roman"/>
            <w:sz w:val="14"/>
            <w:szCs w:val="14"/>
            <w:u w:val="single" w:color="auto"/>
            <w:color w:val="0000FF"/>
          </w:rPr>
          <w:t>Consulting Agreement, dated as of March 17, 2015, between Westwood Holdings Group, Inc. and Susan Byrne (incorporated by reference from the</w:t>
        </w:r>
      </w:hyperlink>
      <w:r>
        <w:rPr>
          <w:rFonts w:ascii="Times New Roman" w:cs="Times New Roman" w:eastAsia="Times New Roman" w:hAnsi="Times New Roman"/>
          <w:sz w:val="14"/>
          <w:szCs w:val="14"/>
          <w:u w:val="single" w:color="auto"/>
          <w:color w:val="0000FF"/>
        </w:rPr>
        <w:t xml:space="preserve"> </w:t>
      </w:r>
      <w:hyperlink r:id="rId176">
        <w:r>
          <w:rPr>
            <w:rFonts w:ascii="Times New Roman" w:cs="Times New Roman" w:eastAsia="Times New Roman" w:hAnsi="Times New Roman"/>
            <w:sz w:val="14"/>
            <w:szCs w:val="14"/>
            <w:u w:val="single" w:color="auto"/>
            <w:color w:val="0000FF"/>
          </w:rPr>
          <w:t>Form 10-Q filed with the SEC on July 29, 2015)</w:t>
        </w:r>
      </w:hyperlink>
    </w:p>
    <w:p>
      <w:pPr>
        <w:spacing w:after="0" w:line="8" w:lineRule="exact"/>
        <w:rPr>
          <w:sz w:val="20"/>
          <w:szCs w:val="20"/>
          <w:color w:val="auto"/>
        </w:rPr>
      </w:pPr>
    </w:p>
    <w:p>
      <w:pPr>
        <w:ind w:right="339"/>
        <w:spacing w:after="0" w:line="239" w:lineRule="auto"/>
        <w:rPr>
          <w:rFonts w:ascii="Times New Roman" w:cs="Times New Roman" w:eastAsia="Times New Roman" w:hAnsi="Times New Roman"/>
          <w:sz w:val="14"/>
          <w:szCs w:val="14"/>
          <w:u w:val="single" w:color="auto"/>
          <w:color w:val="0000FF"/>
        </w:rPr>
      </w:pPr>
      <w:hyperlink r:id="rId177">
        <w:r>
          <w:rPr>
            <w:rFonts w:ascii="Times New Roman" w:cs="Times New Roman" w:eastAsia="Times New Roman" w:hAnsi="Times New Roman"/>
            <w:sz w:val="14"/>
            <w:szCs w:val="14"/>
            <w:u w:val="single" w:color="auto"/>
            <w:color w:val="0000FF"/>
          </w:rPr>
          <w:t>Severance Agreement, dated as of February 9, 2018, between Westwood Holdings Group, Inc. and Fabian Gomez (incorporated by reference from the</w:t>
        </w:r>
      </w:hyperlink>
      <w:r>
        <w:rPr>
          <w:rFonts w:ascii="Times New Roman" w:cs="Times New Roman" w:eastAsia="Times New Roman" w:hAnsi="Times New Roman"/>
          <w:sz w:val="14"/>
          <w:szCs w:val="14"/>
          <w:u w:val="single" w:color="auto"/>
          <w:color w:val="0000FF"/>
        </w:rPr>
        <w:t xml:space="preserve"> </w:t>
      </w:r>
      <w:hyperlink r:id="rId177">
        <w:r>
          <w:rPr>
            <w:rFonts w:ascii="Times New Roman" w:cs="Times New Roman" w:eastAsia="Times New Roman" w:hAnsi="Times New Roman"/>
            <w:sz w:val="14"/>
            <w:szCs w:val="14"/>
            <w:u w:val="single" w:color="auto"/>
            <w:color w:val="0000FF"/>
          </w:rPr>
          <w:t>Form 8-K filed with the SEC on February 3, 2018)</w:t>
        </w:r>
      </w:hyperlink>
    </w:p>
    <w:p>
      <w:pPr>
        <w:spacing w:after="0" w:line="8" w:lineRule="exact"/>
        <w:rPr>
          <w:sz w:val="20"/>
          <w:szCs w:val="20"/>
          <w:color w:val="auto"/>
        </w:rPr>
      </w:pPr>
    </w:p>
    <w:p>
      <w:pPr>
        <w:ind w:right="459"/>
        <w:spacing w:after="0" w:line="239" w:lineRule="auto"/>
        <w:rPr>
          <w:rFonts w:ascii="Times New Roman" w:cs="Times New Roman" w:eastAsia="Times New Roman" w:hAnsi="Times New Roman"/>
          <w:sz w:val="14"/>
          <w:szCs w:val="14"/>
          <w:u w:val="single" w:color="auto"/>
          <w:color w:val="0000FF"/>
        </w:rPr>
      </w:pPr>
      <w:hyperlink r:id="rId178">
        <w:r>
          <w:rPr>
            <w:rFonts w:ascii="Times New Roman" w:cs="Times New Roman" w:eastAsia="Times New Roman" w:hAnsi="Times New Roman"/>
            <w:sz w:val="14"/>
            <w:szCs w:val="14"/>
            <w:u w:val="single" w:color="auto"/>
            <w:color w:val="0000FF"/>
          </w:rPr>
          <w:t>Employee Confidentiality and Non-compete Agreement, effective November 1, 2018, between Westwood Holdings Group, Inc. and Murray "Terry"</w:t>
        </w:r>
      </w:hyperlink>
      <w:r>
        <w:rPr>
          <w:rFonts w:ascii="Times New Roman" w:cs="Times New Roman" w:eastAsia="Times New Roman" w:hAnsi="Times New Roman"/>
          <w:sz w:val="14"/>
          <w:szCs w:val="14"/>
          <w:u w:val="single" w:color="auto"/>
          <w:color w:val="0000FF"/>
        </w:rPr>
        <w:t xml:space="preserve"> </w:t>
      </w:r>
      <w:hyperlink r:id="rId178">
        <w:r>
          <w:rPr>
            <w:rFonts w:ascii="Times New Roman" w:cs="Times New Roman" w:eastAsia="Times New Roman" w:hAnsi="Times New Roman"/>
            <w:sz w:val="14"/>
            <w:szCs w:val="14"/>
            <w:u w:val="single" w:color="auto"/>
            <w:color w:val="0000FF"/>
          </w:rPr>
          <w:t>Forbes III (incorporated by reference from the Form 8-K/A filed with the SEC on October 29, 2018)</w:t>
        </w:r>
      </w:hyperlink>
    </w:p>
    <w:p>
      <w:pPr>
        <w:spacing w:after="0" w:line="8" w:lineRule="exact"/>
        <w:rPr>
          <w:sz w:val="20"/>
          <w:szCs w:val="20"/>
          <w:color w:val="auto"/>
        </w:rPr>
      </w:pPr>
    </w:p>
    <w:p>
      <w:pPr>
        <w:ind w:right="519"/>
        <w:spacing w:after="0" w:line="239" w:lineRule="auto"/>
        <w:rPr>
          <w:rFonts w:ascii="Times New Roman" w:cs="Times New Roman" w:eastAsia="Times New Roman" w:hAnsi="Times New Roman"/>
          <w:sz w:val="14"/>
          <w:szCs w:val="14"/>
          <w:u w:val="single" w:color="auto"/>
          <w:color w:val="0000FF"/>
        </w:rPr>
      </w:pPr>
      <w:hyperlink r:id="rId146">
        <w:r>
          <w:rPr>
            <w:rFonts w:ascii="Times New Roman" w:cs="Times New Roman" w:eastAsia="Times New Roman" w:hAnsi="Times New Roman"/>
            <w:sz w:val="14"/>
            <w:szCs w:val="14"/>
            <w:u w:val="single" w:color="auto"/>
            <w:color w:val="0000FF"/>
          </w:rPr>
          <w:t>Employee Confidentiality and Non-Compete Agreement dated as of May 25, 2022 by and between Fabian Gomez and Westwood Holdings Group,</w:t>
        </w:r>
      </w:hyperlink>
      <w:r>
        <w:rPr>
          <w:rFonts w:ascii="Times New Roman" w:cs="Times New Roman" w:eastAsia="Times New Roman" w:hAnsi="Times New Roman"/>
          <w:sz w:val="14"/>
          <w:szCs w:val="14"/>
          <w:u w:val="single" w:color="auto"/>
          <w:color w:val="0000FF"/>
        </w:rPr>
        <w:t xml:space="preserve"> </w:t>
      </w:r>
      <w:hyperlink r:id="rId146">
        <w:r>
          <w:rPr>
            <w:rFonts w:ascii="Times New Roman" w:cs="Times New Roman" w:eastAsia="Times New Roman" w:hAnsi="Times New Roman"/>
            <w:sz w:val="14"/>
            <w:szCs w:val="14"/>
            <w:u w:val="single" w:color="auto"/>
            <w:color w:val="0000FF"/>
          </w:rPr>
          <w:t>Inc. (incorporated by reference from the Form 8-K filed with the SEC on May 26, 2022)</w:t>
        </w:r>
      </w:hyperlink>
    </w:p>
    <w:p>
      <w:pPr>
        <w:spacing w:after="0" w:line="8" w:lineRule="exact"/>
        <w:rPr>
          <w:sz w:val="20"/>
          <w:szCs w:val="20"/>
          <w:color w:val="auto"/>
        </w:rPr>
      </w:pPr>
    </w:p>
    <w:p>
      <w:pPr>
        <w:ind w:right="339"/>
        <w:spacing w:after="0" w:line="239" w:lineRule="auto"/>
        <w:rPr>
          <w:rFonts w:ascii="Times New Roman" w:cs="Times New Roman" w:eastAsia="Times New Roman" w:hAnsi="Times New Roman"/>
          <w:sz w:val="14"/>
          <w:szCs w:val="14"/>
          <w:u w:val="single" w:color="auto"/>
          <w:color w:val="0000FF"/>
        </w:rPr>
      </w:pPr>
      <w:hyperlink r:id="rId146">
        <w:r>
          <w:rPr>
            <w:rFonts w:ascii="Times New Roman" w:cs="Times New Roman" w:eastAsia="Times New Roman" w:hAnsi="Times New Roman"/>
            <w:sz w:val="14"/>
            <w:szCs w:val="14"/>
            <w:u w:val="single" w:color="auto"/>
            <w:color w:val="0000FF"/>
          </w:rPr>
          <w:t>Side Letter Agreement dated as of May 25, 2022 by and between Fabian Gomez and Westwood Holdings Group, Inc. (incorporated by reference from</w:t>
        </w:r>
      </w:hyperlink>
      <w:r>
        <w:rPr>
          <w:rFonts w:ascii="Times New Roman" w:cs="Times New Roman" w:eastAsia="Times New Roman" w:hAnsi="Times New Roman"/>
          <w:sz w:val="14"/>
          <w:szCs w:val="14"/>
          <w:u w:val="single" w:color="auto"/>
          <w:color w:val="0000FF"/>
        </w:rPr>
        <w:t xml:space="preserve"> </w:t>
      </w:r>
      <w:hyperlink r:id="rId146">
        <w:r>
          <w:rPr>
            <w:rFonts w:ascii="Times New Roman" w:cs="Times New Roman" w:eastAsia="Times New Roman" w:hAnsi="Times New Roman"/>
            <w:sz w:val="14"/>
            <w:szCs w:val="14"/>
            <w:u w:val="single" w:color="auto"/>
            <w:color w:val="0000FF"/>
          </w:rPr>
          <w:t>the Form 8-K filed with the SEC on May 26, 2022)</w:t>
        </w:r>
      </w:hyperlink>
    </w:p>
    <w:p>
      <w:pPr>
        <w:spacing w:after="0" w:line="8" w:lineRule="exact"/>
        <w:rPr>
          <w:sz w:val="20"/>
          <w:szCs w:val="20"/>
          <w:color w:val="auto"/>
        </w:rPr>
      </w:pPr>
    </w:p>
    <w:p>
      <w:pPr>
        <w:ind w:right="699"/>
        <w:spacing w:after="0" w:line="239" w:lineRule="auto"/>
        <w:rPr>
          <w:rFonts w:ascii="Times New Roman" w:cs="Times New Roman" w:eastAsia="Times New Roman" w:hAnsi="Times New Roman"/>
          <w:sz w:val="14"/>
          <w:szCs w:val="14"/>
          <w:u w:val="single" w:color="auto"/>
          <w:color w:val="0000FF"/>
        </w:rPr>
      </w:pPr>
      <w:hyperlink r:id="rId146">
        <w:r>
          <w:rPr>
            <w:rFonts w:ascii="Times New Roman" w:cs="Times New Roman" w:eastAsia="Times New Roman" w:hAnsi="Times New Roman"/>
            <w:sz w:val="14"/>
            <w:szCs w:val="14"/>
            <w:u w:val="single" w:color="auto"/>
            <w:color w:val="0000FF"/>
          </w:rPr>
          <w:t>Employee Confidentiality and Non-Compete Agreement dated as of April 8, 2021 by and between Porter Montgomery and Westwood Holdings</w:t>
        </w:r>
      </w:hyperlink>
      <w:r>
        <w:rPr>
          <w:rFonts w:ascii="Times New Roman" w:cs="Times New Roman" w:eastAsia="Times New Roman" w:hAnsi="Times New Roman"/>
          <w:sz w:val="14"/>
          <w:szCs w:val="14"/>
          <w:u w:val="single" w:color="auto"/>
          <w:color w:val="0000FF"/>
        </w:rPr>
        <w:t xml:space="preserve"> </w:t>
      </w:r>
      <w:hyperlink r:id="rId146">
        <w:r>
          <w:rPr>
            <w:rFonts w:ascii="Times New Roman" w:cs="Times New Roman" w:eastAsia="Times New Roman" w:hAnsi="Times New Roman"/>
            <w:sz w:val="14"/>
            <w:szCs w:val="14"/>
            <w:u w:val="single" w:color="auto"/>
            <w:color w:val="0000FF"/>
          </w:rPr>
          <w:t>Group, Inc. (incorporated by reference from the Form 8-K filed with the SEC on May 26, 2022)</w:t>
        </w:r>
      </w:hyperlink>
    </w:p>
    <w:p>
      <w:pPr>
        <w:spacing w:after="0" w:line="8" w:lineRule="exact"/>
        <w:rPr>
          <w:sz w:val="20"/>
          <w:szCs w:val="20"/>
          <w:color w:val="auto"/>
        </w:rPr>
      </w:pPr>
    </w:p>
    <w:p>
      <w:pPr>
        <w:spacing w:after="0"/>
        <w:rPr>
          <w:rFonts w:ascii="Times New Roman" w:cs="Times New Roman" w:eastAsia="Times New Roman" w:hAnsi="Times New Roman"/>
          <w:sz w:val="14"/>
          <w:szCs w:val="14"/>
          <w:u w:val="single" w:color="auto"/>
          <w:color w:val="0000FF"/>
        </w:rPr>
      </w:pPr>
      <w:hyperlink r:id="rId179">
        <w:r>
          <w:rPr>
            <w:rFonts w:ascii="Times New Roman" w:cs="Times New Roman" w:eastAsia="Times New Roman" w:hAnsi="Times New Roman"/>
            <w:sz w:val="14"/>
            <w:szCs w:val="14"/>
            <w:u w:val="single" w:color="auto"/>
            <w:color w:val="0000FF"/>
          </w:rPr>
          <w:t>Westwood Holdings Group, Inc. Amended and Restated Insider Trading Policy</w:t>
        </w:r>
      </w:hyperlink>
    </w:p>
    <w:p>
      <w:pPr>
        <w:spacing w:after="0" w:line="23" w:lineRule="exact"/>
        <w:rPr>
          <w:sz w:val="20"/>
          <w:szCs w:val="20"/>
          <w:color w:val="auto"/>
        </w:rPr>
      </w:pPr>
    </w:p>
    <w:p>
      <w:pPr>
        <w:spacing w:after="0"/>
        <w:rPr>
          <w:rFonts w:ascii="Times New Roman" w:cs="Times New Roman" w:eastAsia="Times New Roman" w:hAnsi="Times New Roman"/>
          <w:sz w:val="14"/>
          <w:szCs w:val="14"/>
          <w:u w:val="single" w:color="auto"/>
          <w:color w:val="0000FF"/>
        </w:rPr>
      </w:pPr>
      <w:hyperlink r:id="rId180">
        <w:r>
          <w:rPr>
            <w:rFonts w:ascii="Times New Roman" w:cs="Times New Roman" w:eastAsia="Times New Roman" w:hAnsi="Times New Roman"/>
            <w:sz w:val="14"/>
            <w:szCs w:val="14"/>
            <w:u w:val="single" w:color="auto"/>
            <w:color w:val="0000FF"/>
          </w:rPr>
          <w:t>Subsidiaries (incorporated by reference from the Form 10-K filed with the SEC on February 28, 2013)</w:t>
        </w:r>
      </w:hyperlink>
    </w:p>
    <w:p>
      <w:pPr>
        <w:spacing w:after="0" w:line="19"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u w:val="single" w:color="auto"/>
          <w:color w:val="0000FF"/>
        </w:rPr>
        <w:t>Consent of BDO USA, P.C.</w:t>
      </w:r>
    </w:p>
    <w:p>
      <w:pPr>
        <w:spacing w:after="0" w:line="200" w:lineRule="exact"/>
        <w:rPr>
          <w:sz w:val="20"/>
          <w:szCs w:val="20"/>
          <w:color w:val="auto"/>
        </w:rPr>
      </w:pPr>
    </w:p>
    <w:p>
      <w:pPr>
        <w:spacing w:after="0" w:line="314" w:lineRule="exact"/>
        <w:rPr>
          <w:sz w:val="20"/>
          <w:szCs w:val="20"/>
          <w:color w:val="auto"/>
        </w:rPr>
      </w:pPr>
    </w:p>
    <w:p>
      <w:pPr>
        <w:jc w:val="center"/>
        <w:ind w:right="179"/>
        <w:spacing w:after="0"/>
        <w:rPr>
          <w:sz w:val="20"/>
          <w:szCs w:val="20"/>
          <w:color w:val="auto"/>
        </w:rPr>
      </w:pPr>
      <w:r>
        <w:rPr>
          <w:rFonts w:ascii="Times New Roman" w:cs="Times New Roman" w:eastAsia="Times New Roman" w:hAnsi="Times New Roman"/>
          <w:sz w:val="14"/>
          <w:szCs w:val="14"/>
          <w:color w:val="auto"/>
        </w:rPr>
        <w:t>31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-847090</wp:posOffset>
            </wp:positionH>
            <wp:positionV relativeFrom="paragraph">
              <wp:posOffset>55880</wp:posOffset>
            </wp:positionV>
            <wp:extent cx="7186930" cy="38735"/>
            <wp:wrapNone/>
            <wp:docPr id="140" name="Picture 14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0"/>
                    <pic:cNvPicPr>
                      <a:picLocks noChangeAspect="1" noChangeArrowheads="1"/>
                    </pic:cNvPicPr>
                  </pic:nvPicPr>
                  <pic:blipFill>
                    <a:blip r:embed="rId181">
                      <a:extLst>
                        <a:ext uri="{28A0092B-C50C-407E-A947-70E740481C1C}"/>
                      </a:extLst>
                    </a:blip>
                    <a:srcRect/>
                    <a:stretch>
                      <a:fillRect/>
                    </a:stretch>
                  </pic:blipFill>
                  <pic:spPr bwMode="auto">
                    <a:xfrm>
                      <a:off x="0" y="0"/>
                      <a:ext cx="7186930" cy="38735"/>
                    </a:xfrm>
                    <a:prstGeom prst="rect">
                      <a:avLst/>
                    </a:prstGeom>
                    <a:noFill/>
                  </pic:spPr>
                </pic:pic>
              </a:graphicData>
            </a:graphic>
          </wp:anchor>
        </w:drawing>
      </w:r>
    </w:p>
    <w:p>
      <w:pPr>
        <w:sectPr>
          <w:pgSz w:w="11900" w:h="16838" w:orient="portrait"/>
          <w:cols w:equalWidth="0" w:num="2">
            <w:col w:w="700" w:space="600"/>
            <w:col w:w="8839"/>
          </w:cols>
          <w:pgMar w:left="320" w:top="757" w:right="1440" w:bottom="1440" w:gutter="0" w:footer="0" w:header="0"/>
        </w:sectPr>
      </w:pPr>
    </w:p>
    <w:bookmarkStart w:id="73" w:name="page74"/>
    <w:bookmarkEnd w:id="73"/>
    <w:tbl>
      <w:tblPr>
        <w:tblLayout w:type="fixed"/>
        <w:tblInd w:w="0" w:type="dxa"/>
        <w:tblCellMar>
          <w:top w:w="0" w:type="dxa"/>
          <w:left w:w="0" w:type="dxa"/>
          <w:bottom w:w="0" w:type="dxa"/>
          <w:right w:w="0" w:type="dxa"/>
        </w:tblCellMar>
      </w:tblPr>
      <w:tr>
        <w:trPr>
          <w:trHeight w:val="126"/>
        </w:trPr>
        <w:tc>
          <w:tcPr>
            <w:tcW w:w="1300" w:type="dxa"/>
            <w:vAlign w:val="bottom"/>
            <w:gridSpan w:val="2"/>
          </w:tcPr>
          <w:p>
            <w:pPr>
              <w:ind w:left="320"/>
              <w:spacing w:after="0"/>
              <w:rPr>
                <w:sz w:val="20"/>
                <w:szCs w:val="20"/>
                <w:color w:val="auto"/>
              </w:rPr>
            </w:pPr>
            <w:r>
              <w:rPr>
                <w:rFonts w:ascii="Times New Roman" w:cs="Times New Roman" w:eastAsia="Times New Roman" w:hAnsi="Times New Roman"/>
                <w:sz w:val="11"/>
                <w:szCs w:val="11"/>
                <w:b w:val="1"/>
                <w:bCs w:val="1"/>
                <w:color w:val="auto"/>
              </w:rPr>
              <w:t>Exhibit</w:t>
            </w:r>
          </w:p>
        </w:tc>
        <w:tc>
          <w:tcPr>
            <w:tcW w:w="20" w:type="dxa"/>
            <w:vAlign w:val="bottom"/>
          </w:tcPr>
          <w:p>
            <w:pPr>
              <w:spacing w:after="0"/>
              <w:rPr>
                <w:sz w:val="11"/>
                <w:szCs w:val="11"/>
                <w:color w:val="auto"/>
              </w:rPr>
            </w:pPr>
          </w:p>
        </w:tc>
        <w:tc>
          <w:tcPr>
            <w:tcW w:w="2960" w:type="dxa"/>
            <w:vAlign w:val="bottom"/>
          </w:tcPr>
          <w:p>
            <w:pPr>
              <w:spacing w:after="0"/>
              <w:rPr>
                <w:sz w:val="11"/>
                <w:szCs w:val="11"/>
                <w:color w:val="auto"/>
              </w:rPr>
            </w:pPr>
          </w:p>
        </w:tc>
        <w:tc>
          <w:tcPr>
            <w:tcW w:w="5560" w:type="dxa"/>
            <w:vAlign w:val="bottom"/>
            <w:gridSpan w:val="6"/>
            <w:vMerge w:val="restart"/>
          </w:tcPr>
          <w:p>
            <w:pPr>
              <w:ind w:left="740"/>
              <w:spacing w:after="0"/>
              <w:rPr>
                <w:sz w:val="20"/>
                <w:szCs w:val="20"/>
                <w:color w:val="auto"/>
              </w:rPr>
            </w:pPr>
            <w:r>
              <w:rPr>
                <w:rFonts w:ascii="Times New Roman" w:cs="Times New Roman" w:eastAsia="Times New Roman" w:hAnsi="Times New Roman"/>
                <w:sz w:val="11"/>
                <w:szCs w:val="11"/>
                <w:b w:val="1"/>
                <w:bCs w:val="1"/>
                <w:color w:val="auto"/>
              </w:rPr>
              <w:t>Description of Exhibits</w:t>
            </w:r>
          </w:p>
        </w:tc>
        <w:tc>
          <w:tcPr>
            <w:tcW w:w="0" w:type="dxa"/>
            <w:vAlign w:val="bottom"/>
          </w:tcPr>
          <w:p>
            <w:pPr>
              <w:spacing w:after="0"/>
              <w:rPr>
                <w:sz w:val="1"/>
                <w:szCs w:val="1"/>
                <w:color w:val="auto"/>
              </w:rPr>
            </w:pPr>
          </w:p>
        </w:tc>
      </w:tr>
      <w:tr>
        <w:trPr>
          <w:trHeight w:val="153"/>
        </w:trPr>
        <w:tc>
          <w:tcPr>
            <w:tcW w:w="1300" w:type="dxa"/>
            <w:vAlign w:val="bottom"/>
            <w:gridSpan w:val="2"/>
          </w:tcPr>
          <w:p>
            <w:pPr>
              <w:ind w:left="300"/>
              <w:spacing w:after="0"/>
              <w:rPr>
                <w:sz w:val="20"/>
                <w:szCs w:val="20"/>
                <w:color w:val="auto"/>
              </w:rPr>
            </w:pPr>
            <w:r>
              <w:rPr>
                <w:rFonts w:ascii="Times New Roman" w:cs="Times New Roman" w:eastAsia="Times New Roman" w:hAnsi="Times New Roman"/>
                <w:sz w:val="11"/>
                <w:szCs w:val="11"/>
                <w:b w:val="1"/>
                <w:bCs w:val="1"/>
                <w:color w:val="auto"/>
              </w:rPr>
              <w:t>Number</w:t>
            </w:r>
          </w:p>
        </w:tc>
        <w:tc>
          <w:tcPr>
            <w:tcW w:w="20" w:type="dxa"/>
            <w:vAlign w:val="bottom"/>
          </w:tcPr>
          <w:p>
            <w:pPr>
              <w:spacing w:after="0"/>
              <w:rPr>
                <w:sz w:val="13"/>
                <w:szCs w:val="13"/>
                <w:color w:val="auto"/>
              </w:rPr>
            </w:pPr>
          </w:p>
        </w:tc>
        <w:tc>
          <w:tcPr>
            <w:tcW w:w="2960" w:type="dxa"/>
            <w:vAlign w:val="bottom"/>
          </w:tcPr>
          <w:p>
            <w:pPr>
              <w:spacing w:after="0"/>
              <w:rPr>
                <w:sz w:val="13"/>
                <w:szCs w:val="13"/>
                <w:color w:val="auto"/>
              </w:rPr>
            </w:pPr>
          </w:p>
        </w:tc>
        <w:tc>
          <w:tcPr>
            <w:tcW w:w="5560" w:type="dxa"/>
            <w:vAlign w:val="bottom"/>
            <w:gridSpan w:val="6"/>
            <w:vMerge w:val="continue"/>
          </w:tcPr>
          <w:p>
            <w:pPr>
              <w:spacing w:after="0"/>
              <w:rPr>
                <w:sz w:val="13"/>
                <w:szCs w:val="13"/>
                <w:color w:val="auto"/>
              </w:rPr>
            </w:pPr>
          </w:p>
        </w:tc>
        <w:tc>
          <w:tcPr>
            <w:tcW w:w="0" w:type="dxa"/>
            <w:vAlign w:val="bottom"/>
          </w:tcPr>
          <w:p>
            <w:pPr>
              <w:spacing w:after="0"/>
              <w:rPr>
                <w:sz w:val="1"/>
                <w:szCs w:val="1"/>
                <w:color w:val="auto"/>
              </w:rPr>
            </w:pPr>
          </w:p>
        </w:tc>
      </w:tr>
      <w:tr>
        <w:trPr>
          <w:trHeight w:val="143"/>
        </w:trPr>
        <w:tc>
          <w:tcPr>
            <w:tcW w:w="1020" w:type="dxa"/>
            <w:vAlign w:val="bottom"/>
            <w:tcBorders>
              <w:top w:val="single" w:sz="8" w:color="auto"/>
            </w:tcBorders>
          </w:tcPr>
          <w:p>
            <w:pPr>
              <w:ind w:left="20"/>
              <w:spacing w:after="0" w:line="143" w:lineRule="exact"/>
              <w:rPr>
                <w:sz w:val="20"/>
                <w:szCs w:val="20"/>
                <w:color w:val="auto"/>
              </w:rPr>
            </w:pPr>
            <w:r>
              <w:rPr>
                <w:rFonts w:ascii="Times New Roman" w:cs="Times New Roman" w:eastAsia="Times New Roman" w:hAnsi="Times New Roman"/>
                <w:sz w:val="14"/>
                <w:szCs w:val="14"/>
                <w:color w:val="auto"/>
              </w:rPr>
              <w:t>24.1*</w:t>
            </w:r>
          </w:p>
        </w:tc>
        <w:tc>
          <w:tcPr>
            <w:tcW w:w="280" w:type="dxa"/>
            <w:vAlign w:val="bottom"/>
          </w:tcPr>
          <w:p>
            <w:pPr>
              <w:spacing w:after="0"/>
              <w:rPr>
                <w:sz w:val="12"/>
                <w:szCs w:val="12"/>
                <w:color w:val="auto"/>
              </w:rPr>
            </w:pPr>
          </w:p>
        </w:tc>
        <w:tc>
          <w:tcPr>
            <w:tcW w:w="20" w:type="dxa"/>
            <w:vAlign w:val="bottom"/>
            <w:tcBorders>
              <w:top w:val="single" w:sz="8" w:color="auto"/>
            </w:tcBorders>
          </w:tcPr>
          <w:p>
            <w:pPr>
              <w:spacing w:after="0"/>
              <w:rPr>
                <w:sz w:val="12"/>
                <w:szCs w:val="12"/>
                <w:color w:val="auto"/>
              </w:rPr>
            </w:pPr>
          </w:p>
        </w:tc>
        <w:tc>
          <w:tcPr>
            <w:tcW w:w="2960" w:type="dxa"/>
            <w:vAlign w:val="bottom"/>
            <w:tcBorders>
              <w:top w:val="single" w:sz="8" w:color="auto"/>
              <w:bottom w:val="single" w:sz="8" w:color="0000FF"/>
            </w:tcBorders>
          </w:tcPr>
          <w:p>
            <w:pPr>
              <w:spacing w:after="0" w:line="143" w:lineRule="exact"/>
              <w:rPr>
                <w:sz w:val="20"/>
                <w:szCs w:val="20"/>
                <w:color w:val="auto"/>
              </w:rPr>
            </w:pPr>
            <w:r>
              <w:rPr>
                <w:rFonts w:ascii="Times New Roman" w:cs="Times New Roman" w:eastAsia="Times New Roman" w:hAnsi="Times New Roman"/>
                <w:sz w:val="14"/>
                <w:szCs w:val="14"/>
                <w:color w:val="0000FF"/>
              </w:rPr>
              <w:t>Power of Attorney (included on first signature page)</w:t>
            </w:r>
          </w:p>
        </w:tc>
        <w:tc>
          <w:tcPr>
            <w:tcW w:w="5560" w:type="dxa"/>
            <w:vAlign w:val="bottom"/>
            <w:tcBorders>
              <w:top w:val="single" w:sz="8" w:color="auto"/>
            </w:tcBorders>
            <w:gridSpan w:val="6"/>
          </w:tcPr>
          <w:p>
            <w:pPr>
              <w:spacing w:after="0"/>
              <w:rPr>
                <w:sz w:val="12"/>
                <w:szCs w:val="12"/>
                <w:color w:val="auto"/>
              </w:rPr>
            </w:pPr>
          </w:p>
        </w:tc>
        <w:tc>
          <w:tcPr>
            <w:tcW w:w="0" w:type="dxa"/>
            <w:vAlign w:val="bottom"/>
          </w:tcPr>
          <w:p>
            <w:pPr>
              <w:spacing w:after="0"/>
              <w:rPr>
                <w:sz w:val="1"/>
                <w:szCs w:val="1"/>
                <w:color w:val="auto"/>
              </w:rPr>
            </w:pPr>
          </w:p>
        </w:tc>
      </w:tr>
      <w:tr>
        <w:trPr>
          <w:trHeight w:val="160"/>
        </w:trPr>
        <w:tc>
          <w:tcPr>
            <w:tcW w:w="1020" w:type="dxa"/>
            <w:vAlign w:val="bottom"/>
          </w:tcPr>
          <w:p>
            <w:pPr>
              <w:ind w:left="20"/>
              <w:spacing w:after="0"/>
              <w:rPr>
                <w:sz w:val="20"/>
                <w:szCs w:val="20"/>
                <w:color w:val="auto"/>
              </w:rPr>
            </w:pPr>
            <w:r>
              <w:rPr>
                <w:rFonts w:ascii="Times New Roman" w:cs="Times New Roman" w:eastAsia="Times New Roman" w:hAnsi="Times New Roman"/>
                <w:sz w:val="14"/>
                <w:szCs w:val="14"/>
                <w:color w:val="auto"/>
              </w:rPr>
              <w:t>31.1*</w:t>
            </w:r>
          </w:p>
        </w:tc>
        <w:tc>
          <w:tcPr>
            <w:tcW w:w="28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8520" w:type="dxa"/>
            <w:vAlign w:val="bottom"/>
            <w:gridSpan w:val="7"/>
          </w:tcPr>
          <w:p>
            <w:pPr>
              <w:spacing w:after="0"/>
              <w:rPr>
                <w:sz w:val="20"/>
                <w:szCs w:val="20"/>
                <w:color w:val="auto"/>
              </w:rPr>
            </w:pPr>
            <w:r>
              <w:rPr>
                <w:rFonts w:ascii="Times New Roman" w:cs="Times New Roman" w:eastAsia="Times New Roman" w:hAnsi="Times New Roman"/>
                <w:sz w:val="14"/>
                <w:szCs w:val="14"/>
                <w:color w:val="0000FF"/>
              </w:rPr>
              <w:t>Certification of the Chief Executive Officer of Westwood required by Section 302 of the Sarbanes-Oxley Act of 2002</w:t>
            </w:r>
          </w:p>
        </w:tc>
        <w:tc>
          <w:tcPr>
            <w:tcW w:w="0" w:type="dxa"/>
            <w:vAlign w:val="bottom"/>
          </w:tcPr>
          <w:p>
            <w:pPr>
              <w:spacing w:after="0"/>
              <w:rPr>
                <w:sz w:val="1"/>
                <w:szCs w:val="1"/>
                <w:color w:val="auto"/>
              </w:rPr>
            </w:pPr>
          </w:p>
        </w:tc>
      </w:tr>
      <w:tr>
        <w:trPr>
          <w:trHeight w:val="160"/>
        </w:trPr>
        <w:tc>
          <w:tcPr>
            <w:tcW w:w="1020" w:type="dxa"/>
            <w:vAlign w:val="bottom"/>
          </w:tcPr>
          <w:p>
            <w:pPr>
              <w:ind w:left="20"/>
              <w:spacing w:after="0"/>
              <w:rPr>
                <w:sz w:val="20"/>
                <w:szCs w:val="20"/>
                <w:color w:val="auto"/>
              </w:rPr>
            </w:pPr>
            <w:r>
              <w:rPr>
                <w:rFonts w:ascii="Times New Roman" w:cs="Times New Roman" w:eastAsia="Times New Roman" w:hAnsi="Times New Roman"/>
                <w:sz w:val="14"/>
                <w:szCs w:val="14"/>
                <w:color w:val="auto"/>
              </w:rPr>
              <w:t>31.2*</w:t>
            </w:r>
          </w:p>
        </w:tc>
        <w:tc>
          <w:tcPr>
            <w:tcW w:w="28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6640" w:type="dxa"/>
            <w:vAlign w:val="bottom"/>
            <w:tcBorders>
              <w:top w:val="single" w:sz="8" w:color="0000FF"/>
            </w:tcBorders>
            <w:gridSpan w:val="3"/>
          </w:tcPr>
          <w:p>
            <w:pPr>
              <w:spacing w:after="0"/>
              <w:rPr>
                <w:sz w:val="20"/>
                <w:szCs w:val="20"/>
                <w:color w:val="auto"/>
              </w:rPr>
            </w:pPr>
            <w:r>
              <w:rPr>
                <w:rFonts w:ascii="Times New Roman" w:cs="Times New Roman" w:eastAsia="Times New Roman" w:hAnsi="Times New Roman"/>
                <w:sz w:val="14"/>
                <w:szCs w:val="14"/>
                <w:color w:val="0000FF"/>
              </w:rPr>
              <w:t>Certification of the Chief Financial Officer of Westwood required by Section 302 of the Sarbanes-Oxley Act of 2002</w:t>
            </w:r>
          </w:p>
        </w:tc>
        <w:tc>
          <w:tcPr>
            <w:tcW w:w="1880" w:type="dxa"/>
            <w:vAlign w:val="bottom"/>
            <w:gridSpan w:val="4"/>
          </w:tcPr>
          <w:p>
            <w:pPr>
              <w:spacing w:after="0"/>
              <w:rPr>
                <w:sz w:val="13"/>
                <w:szCs w:val="13"/>
                <w:color w:val="auto"/>
              </w:rPr>
            </w:pPr>
          </w:p>
        </w:tc>
        <w:tc>
          <w:tcPr>
            <w:tcW w:w="0" w:type="dxa"/>
            <w:vAlign w:val="bottom"/>
          </w:tcPr>
          <w:p>
            <w:pPr>
              <w:spacing w:after="0"/>
              <w:rPr>
                <w:sz w:val="1"/>
                <w:szCs w:val="1"/>
                <w:color w:val="auto"/>
              </w:rPr>
            </w:pPr>
          </w:p>
        </w:tc>
      </w:tr>
      <w:tr>
        <w:trPr>
          <w:trHeight w:val="20"/>
        </w:trPr>
        <w:tc>
          <w:tcPr>
            <w:tcW w:w="102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6600" w:type="dxa"/>
            <w:vAlign w:val="bottom"/>
            <w:gridSpan w:val="2"/>
            <w:shd w:val="clear" w:color="auto" w:fill="0000FF"/>
          </w:tcPr>
          <w:p>
            <w:pPr>
              <w:spacing w:after="0" w:line="20" w:lineRule="exact"/>
              <w:rPr>
                <w:sz w:val="1"/>
                <w:szCs w:val="1"/>
                <w:color w:val="auto"/>
              </w:rPr>
            </w:pPr>
          </w:p>
        </w:tc>
        <w:tc>
          <w:tcPr>
            <w:tcW w:w="80" w:type="dxa"/>
            <w:vAlign w:val="bottom"/>
            <w:gridSpan w:val="2"/>
          </w:tcPr>
          <w:p>
            <w:pPr>
              <w:spacing w:after="0" w:line="20" w:lineRule="exact"/>
              <w:rPr>
                <w:sz w:val="1"/>
                <w:szCs w:val="1"/>
                <w:color w:val="auto"/>
              </w:rPr>
            </w:pPr>
          </w:p>
        </w:tc>
        <w:tc>
          <w:tcPr>
            <w:tcW w:w="168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60"/>
        </w:trPr>
        <w:tc>
          <w:tcPr>
            <w:tcW w:w="1020" w:type="dxa"/>
            <w:vAlign w:val="bottom"/>
          </w:tcPr>
          <w:p>
            <w:pPr>
              <w:ind w:left="20"/>
              <w:spacing w:after="0"/>
              <w:rPr>
                <w:sz w:val="20"/>
                <w:szCs w:val="20"/>
                <w:color w:val="auto"/>
              </w:rPr>
            </w:pPr>
            <w:r>
              <w:rPr>
                <w:rFonts w:ascii="Times New Roman" w:cs="Times New Roman" w:eastAsia="Times New Roman" w:hAnsi="Times New Roman"/>
                <w:sz w:val="14"/>
                <w:szCs w:val="14"/>
                <w:color w:val="auto"/>
              </w:rPr>
              <w:t>32.1#</w:t>
            </w:r>
          </w:p>
        </w:tc>
        <w:tc>
          <w:tcPr>
            <w:tcW w:w="28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8520" w:type="dxa"/>
            <w:vAlign w:val="bottom"/>
            <w:gridSpan w:val="7"/>
          </w:tcPr>
          <w:p>
            <w:pPr>
              <w:spacing w:after="0"/>
              <w:rPr>
                <w:sz w:val="20"/>
                <w:szCs w:val="20"/>
                <w:color w:val="auto"/>
              </w:rPr>
            </w:pPr>
            <w:r>
              <w:rPr>
                <w:rFonts w:ascii="Times New Roman" w:cs="Times New Roman" w:eastAsia="Times New Roman" w:hAnsi="Times New Roman"/>
                <w:sz w:val="14"/>
                <w:szCs w:val="14"/>
                <w:color w:val="0000FF"/>
              </w:rPr>
              <w:t>Certification of Chief Executive Officer Pursuant to 18 U.S.C. Section 1350, as Adopted Pursuant to Section 906 of the Sarbanes-Oxley Act of 2002</w:t>
            </w:r>
          </w:p>
        </w:tc>
        <w:tc>
          <w:tcPr>
            <w:tcW w:w="0" w:type="dxa"/>
            <w:vAlign w:val="bottom"/>
          </w:tcPr>
          <w:p>
            <w:pPr>
              <w:spacing w:after="0"/>
              <w:rPr>
                <w:sz w:val="1"/>
                <w:szCs w:val="1"/>
                <w:color w:val="auto"/>
              </w:rPr>
            </w:pPr>
          </w:p>
        </w:tc>
      </w:tr>
      <w:tr>
        <w:trPr>
          <w:trHeight w:val="160"/>
        </w:trPr>
        <w:tc>
          <w:tcPr>
            <w:tcW w:w="1020" w:type="dxa"/>
            <w:vAlign w:val="bottom"/>
          </w:tcPr>
          <w:p>
            <w:pPr>
              <w:ind w:left="20"/>
              <w:spacing w:after="0"/>
              <w:rPr>
                <w:sz w:val="20"/>
                <w:szCs w:val="20"/>
                <w:color w:val="auto"/>
              </w:rPr>
            </w:pPr>
            <w:r>
              <w:rPr>
                <w:rFonts w:ascii="Times New Roman" w:cs="Times New Roman" w:eastAsia="Times New Roman" w:hAnsi="Times New Roman"/>
                <w:sz w:val="14"/>
                <w:szCs w:val="14"/>
                <w:color w:val="auto"/>
              </w:rPr>
              <w:t>32.2#</w:t>
            </w:r>
          </w:p>
        </w:tc>
        <w:tc>
          <w:tcPr>
            <w:tcW w:w="28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8400" w:type="dxa"/>
            <w:vAlign w:val="bottom"/>
            <w:tcBorders>
              <w:top w:val="single" w:sz="8" w:color="0000FF"/>
            </w:tcBorders>
            <w:gridSpan w:val="6"/>
          </w:tcPr>
          <w:p>
            <w:pPr>
              <w:spacing w:after="0"/>
              <w:rPr>
                <w:sz w:val="20"/>
                <w:szCs w:val="20"/>
                <w:color w:val="auto"/>
              </w:rPr>
            </w:pPr>
            <w:r>
              <w:rPr>
                <w:rFonts w:ascii="Times New Roman" w:cs="Times New Roman" w:eastAsia="Times New Roman" w:hAnsi="Times New Roman"/>
                <w:sz w:val="14"/>
                <w:szCs w:val="14"/>
                <w:color w:val="0000FF"/>
              </w:rPr>
              <w:t>Certification of Chief Financial Officer Pursuant to 18 U.S.C. Section 1350, as Adopted Pursuant to Section 906 of the Sarbanes-Oxley Act of 2002</w:t>
            </w:r>
          </w:p>
        </w:tc>
        <w:tc>
          <w:tcPr>
            <w:tcW w:w="12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60"/>
        </w:trPr>
        <w:tc>
          <w:tcPr>
            <w:tcW w:w="1020" w:type="dxa"/>
            <w:vAlign w:val="bottom"/>
          </w:tcPr>
          <w:p>
            <w:pPr>
              <w:ind w:left="20"/>
              <w:spacing w:after="0"/>
              <w:rPr>
                <w:sz w:val="20"/>
                <w:szCs w:val="20"/>
                <w:color w:val="auto"/>
              </w:rPr>
            </w:pPr>
            <w:r>
              <w:rPr>
                <w:rFonts w:ascii="Times New Roman" w:cs="Times New Roman" w:eastAsia="Times New Roman" w:hAnsi="Times New Roman"/>
                <w:sz w:val="14"/>
                <w:szCs w:val="14"/>
                <w:color w:val="auto"/>
              </w:rPr>
              <w:t>97+</w:t>
            </w:r>
          </w:p>
        </w:tc>
        <w:tc>
          <w:tcPr>
            <w:tcW w:w="28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6680" w:type="dxa"/>
            <w:vAlign w:val="bottom"/>
            <w:tcBorders>
              <w:top w:val="single" w:sz="8" w:color="0000FF"/>
              <w:bottom w:val="single" w:sz="8" w:color="0000FF"/>
            </w:tcBorders>
            <w:gridSpan w:val="4"/>
          </w:tcPr>
          <w:p>
            <w:pPr>
              <w:spacing w:after="0"/>
              <w:rPr>
                <w:rFonts w:ascii="Times New Roman" w:cs="Times New Roman" w:eastAsia="Times New Roman" w:hAnsi="Times New Roman"/>
                <w:sz w:val="14"/>
                <w:szCs w:val="14"/>
                <w:color w:val="0000FF"/>
              </w:rPr>
            </w:pPr>
            <w:hyperlink r:id="rId182">
              <w:r>
                <w:rPr>
                  <w:rFonts w:ascii="Times New Roman" w:cs="Times New Roman" w:eastAsia="Times New Roman" w:hAnsi="Times New Roman"/>
                  <w:sz w:val="14"/>
                  <w:szCs w:val="14"/>
                  <w:color w:val="0000FF"/>
                </w:rPr>
                <w:t>Compensation Recovery Policy (incorporated by reference from the Form 10-K filed with the SEC on March 7, 2024)</w:t>
              </w:r>
            </w:hyperlink>
          </w:p>
        </w:tc>
        <w:tc>
          <w:tcPr>
            <w:tcW w:w="1680" w:type="dxa"/>
            <w:vAlign w:val="bottom"/>
            <w:tcBorders>
              <w:top w:val="single" w:sz="8" w:color="0000FF"/>
            </w:tcBorders>
          </w:tcPr>
          <w:p>
            <w:pPr>
              <w:spacing w:after="0"/>
              <w:rPr>
                <w:sz w:val="13"/>
                <w:szCs w:val="13"/>
                <w:color w:val="auto"/>
              </w:rPr>
            </w:pPr>
          </w:p>
        </w:tc>
        <w:tc>
          <w:tcPr>
            <w:tcW w:w="160" w:type="dxa"/>
            <w:vAlign w:val="bottom"/>
            <w:gridSpan w:val="2"/>
          </w:tcPr>
          <w:p>
            <w:pPr>
              <w:spacing w:after="0"/>
              <w:rPr>
                <w:sz w:val="13"/>
                <w:szCs w:val="13"/>
                <w:color w:val="auto"/>
              </w:rPr>
            </w:pPr>
          </w:p>
        </w:tc>
        <w:tc>
          <w:tcPr>
            <w:tcW w:w="0" w:type="dxa"/>
            <w:vAlign w:val="bottom"/>
          </w:tcPr>
          <w:p>
            <w:pPr>
              <w:spacing w:after="0"/>
              <w:rPr>
                <w:sz w:val="1"/>
                <w:szCs w:val="1"/>
                <w:color w:val="auto"/>
              </w:rPr>
            </w:pPr>
          </w:p>
        </w:tc>
      </w:tr>
      <w:tr>
        <w:trPr>
          <w:trHeight w:val="150"/>
        </w:trPr>
        <w:tc>
          <w:tcPr>
            <w:tcW w:w="1020" w:type="dxa"/>
            <w:vAlign w:val="bottom"/>
          </w:tcPr>
          <w:p>
            <w:pPr>
              <w:spacing w:after="0"/>
              <w:rPr>
                <w:sz w:val="13"/>
                <w:szCs w:val="13"/>
                <w:color w:val="auto"/>
              </w:rPr>
            </w:pPr>
          </w:p>
        </w:tc>
        <w:tc>
          <w:tcPr>
            <w:tcW w:w="28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8520" w:type="dxa"/>
            <w:vAlign w:val="bottom"/>
            <w:gridSpan w:val="7"/>
          </w:tcPr>
          <w:p>
            <w:pPr>
              <w:spacing w:after="0" w:line="150" w:lineRule="exact"/>
              <w:rPr>
                <w:sz w:val="20"/>
                <w:szCs w:val="20"/>
                <w:color w:val="auto"/>
              </w:rPr>
            </w:pPr>
            <w:r>
              <w:rPr>
                <w:rFonts w:ascii="Times New Roman" w:cs="Times New Roman" w:eastAsia="Times New Roman" w:hAnsi="Times New Roman"/>
                <w:sz w:val="14"/>
                <w:szCs w:val="14"/>
                <w:color w:val="auto"/>
              </w:rPr>
              <w:t>The following financial information from Westwood Holdings Group, Inc.'s Annual Report on Form 10-K for the year ended December 31, 2025,</w:t>
            </w:r>
          </w:p>
        </w:tc>
        <w:tc>
          <w:tcPr>
            <w:tcW w:w="0" w:type="dxa"/>
            <w:vAlign w:val="bottom"/>
          </w:tcPr>
          <w:p>
            <w:pPr>
              <w:spacing w:after="0"/>
              <w:rPr>
                <w:sz w:val="1"/>
                <w:szCs w:val="1"/>
                <w:color w:val="auto"/>
              </w:rPr>
            </w:pPr>
          </w:p>
        </w:tc>
      </w:tr>
      <w:tr>
        <w:trPr>
          <w:trHeight w:val="144"/>
        </w:trPr>
        <w:tc>
          <w:tcPr>
            <w:tcW w:w="1020" w:type="dxa"/>
            <w:vAlign w:val="bottom"/>
          </w:tcPr>
          <w:p>
            <w:pPr>
              <w:spacing w:after="0"/>
              <w:rPr>
                <w:sz w:val="12"/>
                <w:szCs w:val="12"/>
                <w:color w:val="auto"/>
              </w:rPr>
            </w:pPr>
          </w:p>
        </w:tc>
        <w:tc>
          <w:tcPr>
            <w:tcW w:w="28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8520" w:type="dxa"/>
            <w:vAlign w:val="bottom"/>
            <w:gridSpan w:val="7"/>
          </w:tcPr>
          <w:p>
            <w:pPr>
              <w:spacing w:after="0" w:line="145" w:lineRule="exact"/>
              <w:rPr>
                <w:sz w:val="20"/>
                <w:szCs w:val="20"/>
                <w:color w:val="auto"/>
              </w:rPr>
            </w:pPr>
            <w:r>
              <w:rPr>
                <w:rFonts w:ascii="Times New Roman" w:cs="Times New Roman" w:eastAsia="Times New Roman" w:hAnsi="Times New Roman"/>
                <w:sz w:val="14"/>
                <w:szCs w:val="14"/>
                <w:color w:val="auto"/>
              </w:rPr>
              <w:t>formatted in Inline eXtensible Business Reporting Language (iXBRL): (i) Consolidated Balance Sheets as of December 31, 2025 and 2024; (ii)</w:t>
            </w:r>
          </w:p>
        </w:tc>
        <w:tc>
          <w:tcPr>
            <w:tcW w:w="0" w:type="dxa"/>
            <w:vAlign w:val="bottom"/>
          </w:tcPr>
          <w:p>
            <w:pPr>
              <w:spacing w:after="0"/>
              <w:rPr>
                <w:sz w:val="1"/>
                <w:szCs w:val="1"/>
                <w:color w:val="auto"/>
              </w:rPr>
            </w:pPr>
          </w:p>
        </w:tc>
      </w:tr>
      <w:tr>
        <w:trPr>
          <w:trHeight w:val="142"/>
        </w:trPr>
        <w:tc>
          <w:tcPr>
            <w:tcW w:w="1020" w:type="dxa"/>
            <w:vAlign w:val="bottom"/>
          </w:tcPr>
          <w:p>
            <w:pPr>
              <w:ind w:left="20"/>
              <w:spacing w:after="0" w:line="142" w:lineRule="exact"/>
              <w:rPr>
                <w:sz w:val="20"/>
                <w:szCs w:val="20"/>
                <w:color w:val="auto"/>
              </w:rPr>
            </w:pPr>
            <w:r>
              <w:rPr>
                <w:rFonts w:ascii="Times New Roman" w:cs="Times New Roman" w:eastAsia="Times New Roman" w:hAnsi="Times New Roman"/>
                <w:sz w:val="14"/>
                <w:szCs w:val="14"/>
                <w:color w:val="auto"/>
              </w:rPr>
              <w:t>101*</w:t>
            </w:r>
          </w:p>
        </w:tc>
        <w:tc>
          <w:tcPr>
            <w:tcW w:w="28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8520" w:type="dxa"/>
            <w:vAlign w:val="bottom"/>
            <w:gridSpan w:val="7"/>
          </w:tcPr>
          <w:p>
            <w:pPr>
              <w:spacing w:after="0" w:line="142" w:lineRule="exact"/>
              <w:rPr>
                <w:sz w:val="20"/>
                <w:szCs w:val="20"/>
                <w:color w:val="auto"/>
              </w:rPr>
            </w:pPr>
            <w:r>
              <w:rPr>
                <w:rFonts w:ascii="Times New Roman" w:cs="Times New Roman" w:eastAsia="Times New Roman" w:hAnsi="Times New Roman"/>
                <w:sz w:val="14"/>
                <w:szCs w:val="14"/>
                <w:color w:val="auto"/>
              </w:rPr>
              <w:t>Consolidated Statements of Operations for the years ended December 31, 2025, 2024 and 2023; (iii) Consolidated Statements of Stockholders' Equity</w:t>
            </w:r>
          </w:p>
        </w:tc>
        <w:tc>
          <w:tcPr>
            <w:tcW w:w="0" w:type="dxa"/>
            <w:vAlign w:val="bottom"/>
          </w:tcPr>
          <w:p>
            <w:pPr>
              <w:spacing w:after="0"/>
              <w:rPr>
                <w:sz w:val="1"/>
                <w:szCs w:val="1"/>
                <w:color w:val="auto"/>
              </w:rPr>
            </w:pPr>
          </w:p>
        </w:tc>
      </w:tr>
      <w:tr>
        <w:trPr>
          <w:trHeight w:val="138"/>
        </w:trPr>
        <w:tc>
          <w:tcPr>
            <w:tcW w:w="102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8520" w:type="dxa"/>
            <w:vAlign w:val="bottom"/>
            <w:gridSpan w:val="7"/>
          </w:tcPr>
          <w:p>
            <w:pPr>
              <w:spacing w:after="0" w:line="138" w:lineRule="exact"/>
              <w:rPr>
                <w:sz w:val="20"/>
                <w:szCs w:val="20"/>
                <w:color w:val="auto"/>
              </w:rPr>
            </w:pPr>
            <w:r>
              <w:rPr>
                <w:rFonts w:ascii="Times New Roman" w:cs="Times New Roman" w:eastAsia="Times New Roman" w:hAnsi="Times New Roman"/>
                <w:sz w:val="14"/>
                <w:szCs w:val="14"/>
                <w:color w:val="auto"/>
              </w:rPr>
              <w:t>for the years ended December 31, 2025, 2024 and 2023; (iv) Consolidated Statements of Cash Flows for the years ended December 31, 2025, 2024</w:t>
            </w:r>
          </w:p>
        </w:tc>
        <w:tc>
          <w:tcPr>
            <w:tcW w:w="0" w:type="dxa"/>
            <w:vAlign w:val="bottom"/>
          </w:tcPr>
          <w:p>
            <w:pPr>
              <w:spacing w:after="0"/>
              <w:rPr>
                <w:sz w:val="1"/>
                <w:szCs w:val="1"/>
                <w:color w:val="auto"/>
              </w:rPr>
            </w:pPr>
          </w:p>
        </w:tc>
      </w:tr>
      <w:tr>
        <w:trPr>
          <w:trHeight w:val="184"/>
        </w:trPr>
        <w:tc>
          <w:tcPr>
            <w:tcW w:w="1020" w:type="dxa"/>
            <w:vAlign w:val="bottom"/>
          </w:tcPr>
          <w:p>
            <w:pPr>
              <w:spacing w:after="0"/>
              <w:rPr>
                <w:sz w:val="16"/>
                <w:szCs w:val="16"/>
                <w:color w:val="auto"/>
              </w:rPr>
            </w:pPr>
          </w:p>
        </w:tc>
        <w:tc>
          <w:tcPr>
            <w:tcW w:w="28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8520" w:type="dxa"/>
            <w:vAlign w:val="bottom"/>
            <w:gridSpan w:val="7"/>
          </w:tcPr>
          <w:p>
            <w:pPr>
              <w:spacing w:after="0"/>
              <w:rPr>
                <w:sz w:val="20"/>
                <w:szCs w:val="20"/>
                <w:color w:val="auto"/>
              </w:rPr>
            </w:pPr>
            <w:r>
              <w:rPr>
                <w:rFonts w:ascii="Times New Roman" w:cs="Times New Roman" w:eastAsia="Times New Roman" w:hAnsi="Times New Roman"/>
                <w:sz w:val="14"/>
                <w:szCs w:val="14"/>
                <w:color w:val="auto"/>
              </w:rPr>
              <w:t>and 2023; and (v) Notes to the Consolidated Financial Statements.</w:t>
            </w:r>
          </w:p>
        </w:tc>
        <w:tc>
          <w:tcPr>
            <w:tcW w:w="0" w:type="dxa"/>
            <w:vAlign w:val="bottom"/>
          </w:tcPr>
          <w:p>
            <w:pPr>
              <w:spacing w:after="0"/>
              <w:rPr>
                <w:sz w:val="1"/>
                <w:szCs w:val="1"/>
                <w:color w:val="auto"/>
              </w:rPr>
            </w:pPr>
          </w:p>
        </w:tc>
      </w:tr>
      <w:tr>
        <w:trPr>
          <w:trHeight w:val="187"/>
        </w:trPr>
        <w:tc>
          <w:tcPr>
            <w:tcW w:w="1020" w:type="dxa"/>
            <w:vAlign w:val="bottom"/>
          </w:tcPr>
          <w:p>
            <w:pPr>
              <w:ind w:left="20"/>
              <w:spacing w:after="0"/>
              <w:rPr>
                <w:sz w:val="20"/>
                <w:szCs w:val="20"/>
                <w:color w:val="auto"/>
              </w:rPr>
            </w:pPr>
            <w:r>
              <w:rPr>
                <w:rFonts w:ascii="Times New Roman" w:cs="Times New Roman" w:eastAsia="Times New Roman" w:hAnsi="Times New Roman"/>
                <w:sz w:val="14"/>
                <w:szCs w:val="14"/>
                <w:color w:val="auto"/>
              </w:rPr>
              <w:t>104*</w:t>
            </w:r>
          </w:p>
        </w:tc>
        <w:tc>
          <w:tcPr>
            <w:tcW w:w="28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8520" w:type="dxa"/>
            <w:vAlign w:val="bottom"/>
            <w:gridSpan w:val="7"/>
          </w:tcPr>
          <w:p>
            <w:pPr>
              <w:spacing w:after="0"/>
              <w:rPr>
                <w:sz w:val="20"/>
                <w:szCs w:val="20"/>
                <w:color w:val="auto"/>
              </w:rPr>
            </w:pPr>
            <w:r>
              <w:rPr>
                <w:rFonts w:ascii="Times New Roman" w:cs="Times New Roman" w:eastAsia="Times New Roman" w:hAnsi="Times New Roman"/>
                <w:sz w:val="14"/>
                <w:szCs w:val="14"/>
                <w:color w:val="auto"/>
              </w:rPr>
              <w:t>Cover Page Interactive Data File (formatted as iXBRL and contained in Exhibit 101)</w:t>
            </w:r>
          </w:p>
        </w:tc>
        <w:tc>
          <w:tcPr>
            <w:tcW w:w="0" w:type="dxa"/>
            <w:vAlign w:val="bottom"/>
          </w:tcPr>
          <w:p>
            <w:pPr>
              <w:spacing w:after="0"/>
              <w:rPr>
                <w:sz w:val="1"/>
                <w:szCs w:val="1"/>
                <w:color w:val="auto"/>
              </w:rPr>
            </w:pPr>
          </w:p>
        </w:tc>
      </w:tr>
    </w:tbl>
    <w:p>
      <w:pPr>
        <w:spacing w:after="0" w:line="325" w:lineRule="exact"/>
        <w:rPr>
          <w:sz w:val="20"/>
          <w:szCs w:val="20"/>
          <w:color w:val="auto"/>
        </w:rPr>
      </w:pPr>
    </w:p>
    <w:p>
      <w:pPr>
        <w:ind w:left="140"/>
        <w:spacing w:after="0"/>
        <w:tabs>
          <w:tab w:leader="none" w:pos="320" w:val="left"/>
        </w:tabs>
        <w:rPr>
          <w:sz w:val="20"/>
          <w:szCs w:val="20"/>
          <w:color w:val="auto"/>
        </w:rPr>
      </w:pPr>
      <w:r>
        <w:rPr>
          <w:rFonts w:ascii="Times New Roman" w:cs="Times New Roman" w:eastAsia="Times New Roman" w:hAnsi="Times New Roman"/>
          <w:sz w:val="14"/>
          <w:szCs w:val="14"/>
          <w:color w:val="auto"/>
        </w:rPr>
        <w:t>*</w:t>
        <w:tab/>
        <w:t>Filed herewith.</w:t>
      </w:r>
    </w:p>
    <w:p>
      <w:pPr>
        <w:spacing w:after="0" w:line="94" w:lineRule="exact"/>
        <w:rPr>
          <w:sz w:val="20"/>
          <w:szCs w:val="20"/>
          <w:color w:val="auto"/>
        </w:rPr>
      </w:pPr>
    </w:p>
    <w:p>
      <w:pPr>
        <w:ind w:left="140"/>
        <w:spacing w:after="0"/>
        <w:tabs>
          <w:tab w:leader="none" w:pos="340" w:val="left"/>
        </w:tabs>
        <w:rPr>
          <w:sz w:val="20"/>
          <w:szCs w:val="20"/>
          <w:color w:val="auto"/>
        </w:rPr>
      </w:pPr>
      <w:r>
        <w:rPr>
          <w:rFonts w:ascii="Times New Roman" w:cs="Times New Roman" w:eastAsia="Times New Roman" w:hAnsi="Times New Roman"/>
          <w:sz w:val="14"/>
          <w:szCs w:val="14"/>
          <w:color w:val="auto"/>
        </w:rPr>
        <w:t>+</w:t>
        <w:tab/>
        <w:t>Indicates management contract or compensation plan, contract or arrangement.</w:t>
      </w:r>
    </w:p>
    <w:p>
      <w:pPr>
        <w:spacing w:after="0" w:line="94" w:lineRule="exact"/>
        <w:rPr>
          <w:sz w:val="20"/>
          <w:szCs w:val="20"/>
          <w:color w:val="auto"/>
        </w:rPr>
      </w:pPr>
    </w:p>
    <w:p>
      <w:pPr>
        <w:ind w:left="5580" w:right="3319" w:hanging="5448"/>
        <w:spacing w:after="0" w:line="935" w:lineRule="auto"/>
        <w:tabs>
          <w:tab w:leader="none" w:pos="351" w:val="left"/>
        </w:tabs>
        <w:numPr>
          <w:ilvl w:val="0"/>
          <w:numId w:val="29"/>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Pursuant to Item 601(b)(32) of SEC Regulation S-K, these exhibits are furnished rather than filed with this Report. 32</w:t>
      </w:r>
    </w:p>
    <w:p>
      <w:pPr>
        <w:sectPr>
          <w:pgSz w:w="11900" w:h="16838" w:orient="portrait"/>
          <w:cols w:equalWidth="0" w:num="1">
            <w:col w:w="10159"/>
          </w:cols>
          <w:pgMar w:left="300" w:top="747" w:right="1440" w:bottom="1440" w:gutter="0" w:footer="0" w:header="0"/>
        </w:sectPr>
      </w:pPr>
    </w:p>
    <w:bookmarkStart w:id="74" w:name="page75"/>
    <w:bookmarkEnd w:id="74"/>
    <w:p>
      <w:pPr>
        <w:spacing w:after="0" w:line="935" w:lineRule="auto"/>
        <w:tabs>
          <w:tab w:leader="none" w:pos="351" w:val="left"/>
        </w:tabs>
        <w:rPr>
          <w:sz w:val="20"/>
          <w:szCs w:val="20"/>
          <w:color w:val="auto"/>
        </w:rPr>
      </w:pPr>
      <w:r>
        <w:rPr>
          <w:sz w:val="20"/>
          <w:szCs w:val="20"/>
          <w:color w:val="auto"/>
        </w:rPr>
        <w:drawing>
          <wp:anchor simplePos="0" relativeHeight="251657728" behindDoc="1" locked="0" layoutInCell="0" allowOverlap="1">
            <wp:simplePos x="0" y="0"/>
            <wp:positionH relativeFrom="page">
              <wp:posOffset>298450</wp:posOffset>
            </wp:positionH>
            <wp:positionV relativeFrom="page">
              <wp:posOffset>304165</wp:posOffset>
            </wp:positionV>
            <wp:extent cx="7080250" cy="9333865"/>
            <wp:wrapNone/>
            <wp:docPr id="141" name="Picture 14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1"/>
                    <pic:cNvPicPr>
                      <a:picLocks noChangeAspect="1" noChangeArrowheads="1"/>
                    </pic:cNvPicPr>
                  </pic:nvPicPr>
                  <pic:blipFill>
                    <a:blip r:embed="rId183">
                      <a:extLst>
                        <a:ext uri="{28A0092B-C50C-407E-A947-70E740481C1C}"/>
                      </a:extLst>
                    </a:blip>
                    <a:srcRect/>
                    <a:stretch>
                      <a:fillRect/>
                    </a:stretch>
                  </pic:blipFill>
                  <pic:spPr bwMode="auto">
                    <a:xfrm>
                      <a:off x="0" y="0"/>
                      <a:ext cx="7080250" cy="9333865"/>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75" w:name="page76"/>
    <w:bookmarkEnd w:id="75"/>
    <w:p>
      <w:pPr>
        <w:spacing w:after="0" w:line="935" w:lineRule="auto"/>
        <w:tabs>
          <w:tab w:leader="none" w:pos="351" w:val="left"/>
        </w:tabs>
        <w:rPr>
          <w:sz w:val="20"/>
          <w:szCs w:val="20"/>
          <w:color w:val="auto"/>
        </w:rPr>
      </w:pPr>
      <w:r>
        <w:rPr>
          <w:sz w:val="20"/>
          <w:szCs w:val="20"/>
          <w:color w:val="auto"/>
        </w:rPr>
        <w:drawing>
          <wp:anchor simplePos="0" relativeHeight="251657728" behindDoc="1" locked="0" layoutInCell="0" allowOverlap="1">
            <wp:simplePos x="0" y="0"/>
            <wp:positionH relativeFrom="page">
              <wp:posOffset>298450</wp:posOffset>
            </wp:positionH>
            <wp:positionV relativeFrom="page">
              <wp:posOffset>425450</wp:posOffset>
            </wp:positionV>
            <wp:extent cx="7080250" cy="9340850"/>
            <wp:wrapNone/>
            <wp:docPr id="142" name="Picture 14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2"/>
                    <pic:cNvPicPr>
                      <a:picLocks noChangeAspect="1" noChangeArrowheads="1"/>
                    </pic:cNvPicPr>
                  </pic:nvPicPr>
                  <pic:blipFill>
                    <a:blip r:embed="rId184">
                      <a:extLst>
                        <a:ext uri="{28A0092B-C50C-407E-A947-70E740481C1C}"/>
                      </a:extLst>
                    </a:blip>
                    <a:srcRect/>
                    <a:stretch>
                      <a:fillRect/>
                    </a:stretch>
                  </pic:blipFill>
                  <pic:spPr bwMode="auto">
                    <a:xfrm>
                      <a:off x="0" y="0"/>
                      <a:ext cx="7080250" cy="9340850"/>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76" w:name="page77"/>
    <w:bookmarkEnd w:id="76"/>
    <w:p>
      <w:pPr>
        <w:spacing w:after="0" w:line="935" w:lineRule="auto"/>
        <w:tabs>
          <w:tab w:leader="none" w:pos="351" w:val="left"/>
        </w:tabs>
        <w:rPr>
          <w:sz w:val="20"/>
          <w:szCs w:val="20"/>
          <w:color w:val="auto"/>
        </w:rPr>
      </w:pPr>
      <w:r>
        <w:rPr>
          <w:sz w:val="20"/>
          <w:szCs w:val="20"/>
          <w:color w:val="auto"/>
        </w:rPr>
        <w:drawing>
          <wp:anchor simplePos="0" relativeHeight="251657728" behindDoc="1" locked="0" layoutInCell="0" allowOverlap="1">
            <wp:simplePos x="0" y="0"/>
            <wp:positionH relativeFrom="page">
              <wp:posOffset>298450</wp:posOffset>
            </wp:positionH>
            <wp:positionV relativeFrom="page">
              <wp:posOffset>425450</wp:posOffset>
            </wp:positionV>
            <wp:extent cx="7080250" cy="9333865"/>
            <wp:wrapNone/>
            <wp:docPr id="143" name="Picture 14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3"/>
                    <pic:cNvPicPr>
                      <a:picLocks noChangeAspect="1" noChangeArrowheads="1"/>
                    </pic:cNvPicPr>
                  </pic:nvPicPr>
                  <pic:blipFill>
                    <a:blip r:embed="rId185">
                      <a:extLst>
                        <a:ext uri="{28A0092B-C50C-407E-A947-70E740481C1C}"/>
                      </a:extLst>
                    </a:blip>
                    <a:srcRect/>
                    <a:stretch>
                      <a:fillRect/>
                    </a:stretch>
                  </pic:blipFill>
                  <pic:spPr bwMode="auto">
                    <a:xfrm>
                      <a:off x="0" y="0"/>
                      <a:ext cx="7080250" cy="9333865"/>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77" w:name="page78"/>
    <w:bookmarkEnd w:id="77"/>
    <w:p>
      <w:pPr>
        <w:spacing w:after="0" w:line="935" w:lineRule="auto"/>
        <w:tabs>
          <w:tab w:leader="none" w:pos="351" w:val="left"/>
        </w:tabs>
        <w:rPr>
          <w:sz w:val="20"/>
          <w:szCs w:val="20"/>
          <w:color w:val="auto"/>
        </w:rPr>
      </w:pPr>
      <w:r>
        <w:rPr>
          <w:sz w:val="20"/>
          <w:szCs w:val="20"/>
          <w:color w:val="auto"/>
        </w:rPr>
        <w:drawing>
          <wp:anchor simplePos="0" relativeHeight="251657728" behindDoc="1" locked="0" layoutInCell="0" allowOverlap="1">
            <wp:simplePos x="0" y="0"/>
            <wp:positionH relativeFrom="page">
              <wp:posOffset>298450</wp:posOffset>
            </wp:positionH>
            <wp:positionV relativeFrom="page">
              <wp:posOffset>426085</wp:posOffset>
            </wp:positionV>
            <wp:extent cx="7080250" cy="9333865"/>
            <wp:wrapNone/>
            <wp:docPr id="144" name="Picture 14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4"/>
                    <pic:cNvPicPr>
                      <a:picLocks noChangeAspect="1" noChangeArrowheads="1"/>
                    </pic:cNvPicPr>
                  </pic:nvPicPr>
                  <pic:blipFill>
                    <a:blip r:embed="rId186">
                      <a:extLst>
                        <a:ext uri="{28A0092B-C50C-407E-A947-70E740481C1C}"/>
                      </a:extLst>
                    </a:blip>
                    <a:srcRect/>
                    <a:stretch>
                      <a:fillRect/>
                    </a:stretch>
                  </pic:blipFill>
                  <pic:spPr bwMode="auto">
                    <a:xfrm>
                      <a:off x="0" y="0"/>
                      <a:ext cx="7080250" cy="9333865"/>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78" w:name="page79"/>
    <w:bookmarkEnd w:id="78"/>
    <w:p>
      <w:pPr>
        <w:spacing w:after="0" w:line="935" w:lineRule="auto"/>
        <w:tabs>
          <w:tab w:leader="none" w:pos="351" w:val="left"/>
        </w:tabs>
        <w:rPr>
          <w:sz w:val="20"/>
          <w:szCs w:val="20"/>
          <w:color w:val="auto"/>
        </w:rPr>
      </w:pPr>
      <w:r>
        <w:rPr>
          <w:sz w:val="20"/>
          <w:szCs w:val="20"/>
          <w:color w:val="auto"/>
        </w:rPr>
        <w:drawing>
          <wp:anchor simplePos="0" relativeHeight="251657728" behindDoc="1" locked="0" layoutInCell="0" allowOverlap="1">
            <wp:simplePos x="0" y="0"/>
            <wp:positionH relativeFrom="page">
              <wp:posOffset>298450</wp:posOffset>
            </wp:positionH>
            <wp:positionV relativeFrom="page">
              <wp:posOffset>425450</wp:posOffset>
            </wp:positionV>
            <wp:extent cx="7080250" cy="9327515"/>
            <wp:wrapNone/>
            <wp:docPr id="145" name="Picture 14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5"/>
                    <pic:cNvPicPr>
                      <a:picLocks noChangeAspect="1" noChangeArrowheads="1"/>
                    </pic:cNvPicPr>
                  </pic:nvPicPr>
                  <pic:blipFill>
                    <a:blip r:embed="rId187">
                      <a:extLst>
                        <a:ext uri="{28A0092B-C50C-407E-A947-70E740481C1C}"/>
                      </a:extLst>
                    </a:blip>
                    <a:srcRect/>
                    <a:stretch>
                      <a:fillRect/>
                    </a:stretch>
                  </pic:blipFill>
                  <pic:spPr bwMode="auto">
                    <a:xfrm>
                      <a:off x="0" y="0"/>
                      <a:ext cx="7080250" cy="9327515"/>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79" w:name="page80"/>
    <w:bookmarkEnd w:id="79"/>
    <w:p>
      <w:pPr>
        <w:spacing w:after="0" w:line="935" w:lineRule="auto"/>
        <w:tabs>
          <w:tab w:leader="none" w:pos="351" w:val="left"/>
        </w:tabs>
        <w:rPr>
          <w:sz w:val="20"/>
          <w:szCs w:val="20"/>
          <w:color w:val="auto"/>
        </w:rPr>
      </w:pPr>
      <w:r>
        <w:rPr>
          <w:sz w:val="20"/>
          <w:szCs w:val="20"/>
          <w:color w:val="auto"/>
        </w:rPr>
        <w:drawing>
          <wp:anchor simplePos="0" relativeHeight="251657728" behindDoc="1" locked="0" layoutInCell="0" allowOverlap="1">
            <wp:simplePos x="0" y="0"/>
            <wp:positionH relativeFrom="page">
              <wp:posOffset>298450</wp:posOffset>
            </wp:positionH>
            <wp:positionV relativeFrom="page">
              <wp:posOffset>425450</wp:posOffset>
            </wp:positionV>
            <wp:extent cx="7080250" cy="9333865"/>
            <wp:wrapNone/>
            <wp:docPr id="146" name="Picture 14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6"/>
                    <pic:cNvPicPr>
                      <a:picLocks noChangeAspect="1" noChangeArrowheads="1"/>
                    </pic:cNvPicPr>
                  </pic:nvPicPr>
                  <pic:blipFill>
                    <a:blip r:embed="rId188">
                      <a:extLst>
                        <a:ext uri="{28A0092B-C50C-407E-A947-70E740481C1C}"/>
                      </a:extLst>
                    </a:blip>
                    <a:srcRect/>
                    <a:stretch>
                      <a:fillRect/>
                    </a:stretch>
                  </pic:blipFill>
                  <pic:spPr bwMode="auto">
                    <a:xfrm>
                      <a:off x="0" y="0"/>
                      <a:ext cx="7080250" cy="9333865"/>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80" w:name="page81"/>
    <w:bookmarkEnd w:id="80"/>
    <w:p>
      <w:pPr>
        <w:spacing w:after="0" w:line="935" w:lineRule="auto"/>
        <w:tabs>
          <w:tab w:leader="none" w:pos="351" w:val="left"/>
        </w:tabs>
        <w:rPr>
          <w:sz w:val="20"/>
          <w:szCs w:val="20"/>
          <w:color w:val="auto"/>
        </w:rPr>
      </w:pPr>
      <w:r>
        <w:rPr>
          <w:sz w:val="20"/>
          <w:szCs w:val="20"/>
          <w:color w:val="auto"/>
        </w:rPr>
        <w:drawing>
          <wp:anchor simplePos="0" relativeHeight="251657728" behindDoc="1" locked="0" layoutInCell="0" allowOverlap="1">
            <wp:simplePos x="0" y="0"/>
            <wp:positionH relativeFrom="page">
              <wp:posOffset>298450</wp:posOffset>
            </wp:positionH>
            <wp:positionV relativeFrom="page">
              <wp:posOffset>426085</wp:posOffset>
            </wp:positionV>
            <wp:extent cx="7080250" cy="9327515"/>
            <wp:wrapNone/>
            <wp:docPr id="147" name="Picture 14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7"/>
                    <pic:cNvPicPr>
                      <a:picLocks noChangeAspect="1" noChangeArrowheads="1"/>
                    </pic:cNvPicPr>
                  </pic:nvPicPr>
                  <pic:blipFill>
                    <a:blip r:embed="rId189">
                      <a:extLst>
                        <a:ext uri="{28A0092B-C50C-407E-A947-70E740481C1C}"/>
                      </a:extLst>
                    </a:blip>
                    <a:srcRect/>
                    <a:stretch>
                      <a:fillRect/>
                    </a:stretch>
                  </pic:blipFill>
                  <pic:spPr bwMode="auto">
                    <a:xfrm>
                      <a:off x="0" y="0"/>
                      <a:ext cx="7080250" cy="9327515"/>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81" w:name="page82"/>
    <w:bookmarkEnd w:id="81"/>
    <w:p>
      <w:pPr>
        <w:spacing w:after="0" w:line="935" w:lineRule="auto"/>
        <w:tabs>
          <w:tab w:leader="none" w:pos="351" w:val="left"/>
        </w:tabs>
        <w:rPr>
          <w:sz w:val="20"/>
          <w:szCs w:val="20"/>
          <w:color w:val="auto"/>
        </w:rPr>
      </w:pPr>
      <w:r>
        <w:rPr>
          <w:sz w:val="20"/>
          <w:szCs w:val="20"/>
          <w:color w:val="auto"/>
        </w:rPr>
        <w:drawing>
          <wp:anchor simplePos="0" relativeHeight="251657728" behindDoc="1" locked="0" layoutInCell="0" allowOverlap="1">
            <wp:simplePos x="0" y="0"/>
            <wp:positionH relativeFrom="page">
              <wp:posOffset>298450</wp:posOffset>
            </wp:positionH>
            <wp:positionV relativeFrom="page">
              <wp:posOffset>425450</wp:posOffset>
            </wp:positionV>
            <wp:extent cx="7080250" cy="9327515"/>
            <wp:wrapNone/>
            <wp:docPr id="148" name="Picture 14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8"/>
                    <pic:cNvPicPr>
                      <a:picLocks noChangeAspect="1" noChangeArrowheads="1"/>
                    </pic:cNvPicPr>
                  </pic:nvPicPr>
                  <pic:blipFill>
                    <a:blip r:embed="rId190">
                      <a:extLst>
                        <a:ext uri="{28A0092B-C50C-407E-A947-70E740481C1C}"/>
                      </a:extLst>
                    </a:blip>
                    <a:srcRect/>
                    <a:stretch>
                      <a:fillRect/>
                    </a:stretch>
                  </pic:blipFill>
                  <pic:spPr bwMode="auto">
                    <a:xfrm>
                      <a:off x="0" y="0"/>
                      <a:ext cx="7080250" cy="9327515"/>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82" w:name="page83"/>
    <w:bookmarkEnd w:id="82"/>
    <w:p>
      <w:pPr>
        <w:spacing w:after="0" w:line="935" w:lineRule="auto"/>
        <w:tabs>
          <w:tab w:leader="none" w:pos="351" w:val="left"/>
        </w:tabs>
        <w:rPr>
          <w:sz w:val="20"/>
          <w:szCs w:val="20"/>
          <w:color w:val="auto"/>
        </w:rPr>
      </w:pPr>
      <w:r>
        <w:rPr>
          <w:sz w:val="20"/>
          <w:szCs w:val="20"/>
          <w:color w:val="auto"/>
        </w:rPr>
        <w:drawing>
          <wp:anchor simplePos="0" relativeHeight="251657728" behindDoc="1" locked="0" layoutInCell="0" allowOverlap="1">
            <wp:simplePos x="0" y="0"/>
            <wp:positionH relativeFrom="page">
              <wp:posOffset>298450</wp:posOffset>
            </wp:positionH>
            <wp:positionV relativeFrom="page">
              <wp:posOffset>426085</wp:posOffset>
            </wp:positionV>
            <wp:extent cx="7080250" cy="9327515"/>
            <wp:wrapNone/>
            <wp:docPr id="149" name="Picture 14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9"/>
                    <pic:cNvPicPr>
                      <a:picLocks noChangeAspect="1" noChangeArrowheads="1"/>
                    </pic:cNvPicPr>
                  </pic:nvPicPr>
                  <pic:blipFill>
                    <a:blip r:embed="rId191">
                      <a:extLst>
                        <a:ext uri="{28A0092B-C50C-407E-A947-70E740481C1C}"/>
                      </a:extLst>
                    </a:blip>
                    <a:srcRect/>
                    <a:stretch>
                      <a:fillRect/>
                    </a:stretch>
                  </pic:blipFill>
                  <pic:spPr bwMode="auto">
                    <a:xfrm>
                      <a:off x="0" y="0"/>
                      <a:ext cx="7080250" cy="9327515"/>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83" w:name="page84"/>
    <w:bookmarkEnd w:id="83"/>
    <w:p>
      <w:pPr>
        <w:spacing w:after="0" w:line="935" w:lineRule="auto"/>
        <w:tabs>
          <w:tab w:leader="none" w:pos="351" w:val="left"/>
        </w:tabs>
        <w:rPr>
          <w:sz w:val="20"/>
          <w:szCs w:val="20"/>
          <w:color w:val="auto"/>
        </w:rPr>
      </w:pPr>
      <w:r>
        <w:rPr>
          <w:sz w:val="20"/>
          <w:szCs w:val="20"/>
          <w:color w:val="auto"/>
        </w:rPr>
        <w:drawing>
          <wp:anchor simplePos="0" relativeHeight="251657728" behindDoc="1" locked="0" layoutInCell="0" allowOverlap="1">
            <wp:simplePos x="0" y="0"/>
            <wp:positionH relativeFrom="page">
              <wp:posOffset>298450</wp:posOffset>
            </wp:positionH>
            <wp:positionV relativeFrom="page">
              <wp:posOffset>425450</wp:posOffset>
            </wp:positionV>
            <wp:extent cx="7080250" cy="9327515"/>
            <wp:wrapNone/>
            <wp:docPr id="150" name="Picture 15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0"/>
                    <pic:cNvPicPr>
                      <a:picLocks noChangeAspect="1" noChangeArrowheads="1"/>
                    </pic:cNvPicPr>
                  </pic:nvPicPr>
                  <pic:blipFill>
                    <a:blip r:embed="rId192">
                      <a:extLst>
                        <a:ext uri="{28A0092B-C50C-407E-A947-70E740481C1C}"/>
                      </a:extLst>
                    </a:blip>
                    <a:srcRect/>
                    <a:stretch>
                      <a:fillRect/>
                    </a:stretch>
                  </pic:blipFill>
                  <pic:spPr bwMode="auto">
                    <a:xfrm>
                      <a:off x="0" y="0"/>
                      <a:ext cx="7080250" cy="9327515"/>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84" w:name="page85"/>
    <w:bookmarkEnd w:id="84"/>
    <w:p>
      <w:pPr>
        <w:spacing w:after="0" w:line="935" w:lineRule="auto"/>
        <w:tabs>
          <w:tab w:leader="none" w:pos="351" w:val="left"/>
        </w:tabs>
        <w:rPr>
          <w:sz w:val="20"/>
          <w:szCs w:val="20"/>
          <w:color w:val="auto"/>
        </w:rPr>
      </w:pPr>
      <w:r>
        <w:rPr>
          <w:sz w:val="20"/>
          <w:szCs w:val="20"/>
          <w:color w:val="auto"/>
        </w:rPr>
        <w:drawing>
          <wp:anchor simplePos="0" relativeHeight="251657728" behindDoc="1" locked="0" layoutInCell="0" allowOverlap="1">
            <wp:simplePos x="0" y="0"/>
            <wp:positionH relativeFrom="page">
              <wp:posOffset>298450</wp:posOffset>
            </wp:positionH>
            <wp:positionV relativeFrom="page">
              <wp:posOffset>425450</wp:posOffset>
            </wp:positionV>
            <wp:extent cx="7080250" cy="9327515"/>
            <wp:wrapNone/>
            <wp:docPr id="151" name="Picture 15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1"/>
                    <pic:cNvPicPr>
                      <a:picLocks noChangeAspect="1" noChangeArrowheads="1"/>
                    </pic:cNvPicPr>
                  </pic:nvPicPr>
                  <pic:blipFill>
                    <a:blip r:embed="rId193">
                      <a:extLst>
                        <a:ext uri="{28A0092B-C50C-407E-A947-70E740481C1C}"/>
                      </a:extLst>
                    </a:blip>
                    <a:srcRect/>
                    <a:stretch>
                      <a:fillRect/>
                    </a:stretch>
                  </pic:blipFill>
                  <pic:spPr bwMode="auto">
                    <a:xfrm>
                      <a:off x="0" y="0"/>
                      <a:ext cx="7080250" cy="9327515"/>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85" w:name="page86"/>
    <w:bookmarkEnd w:id="85"/>
    <w:p>
      <w:pPr>
        <w:spacing w:after="0" w:line="935" w:lineRule="auto"/>
        <w:tabs>
          <w:tab w:leader="none" w:pos="351" w:val="left"/>
        </w:tabs>
        <w:rPr>
          <w:sz w:val="20"/>
          <w:szCs w:val="20"/>
          <w:color w:val="auto"/>
        </w:rPr>
      </w:pPr>
    </w:p>
    <w:p>
      <w:pPr>
        <w:sectPr>
          <w:pgSz w:w="11900" w:h="16838" w:orient="portrait"/>
          <w:cols w:equalWidth="1" w:num="1" w:space="0"/>
          <w:pgMar w:left="1440" w:top="1440" w:right="1440" w:bottom="875" w:gutter="0" w:footer="0" w:header="0"/>
        </w:sectPr>
      </w:pPr>
    </w:p>
    <w:bookmarkStart w:id="86" w:name="page87"/>
    <w:bookmarkEnd w:id="86"/>
    <w:p>
      <w:pPr>
        <w:spacing w:after="0" w:line="935" w:lineRule="auto"/>
        <w:tabs>
          <w:tab w:leader="none" w:pos="351" w:val="left"/>
        </w:tabs>
        <w:rPr>
          <w:sz w:val="20"/>
          <w:szCs w:val="20"/>
          <w:color w:val="auto"/>
        </w:rPr>
      </w:pPr>
      <w:r>
        <w:rPr>
          <w:sz w:val="20"/>
          <w:szCs w:val="20"/>
          <w:color w:val="auto"/>
        </w:rPr>
        <w:drawing>
          <wp:anchor simplePos="0" relativeHeight="251657728" behindDoc="1" locked="0" layoutInCell="0" allowOverlap="1">
            <wp:simplePos x="0" y="0"/>
            <wp:positionH relativeFrom="page">
              <wp:posOffset>298450</wp:posOffset>
            </wp:positionH>
            <wp:positionV relativeFrom="page">
              <wp:posOffset>304165</wp:posOffset>
            </wp:positionV>
            <wp:extent cx="7105650" cy="9333865"/>
            <wp:wrapNone/>
            <wp:docPr id="152" name="Picture 15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2"/>
                    <pic:cNvPicPr>
                      <a:picLocks noChangeAspect="1" noChangeArrowheads="1"/>
                    </pic:cNvPicPr>
                  </pic:nvPicPr>
                  <pic:blipFill>
                    <a:blip r:embed="rId194">
                      <a:extLst>
                        <a:ext uri="{28A0092B-C50C-407E-A947-70E740481C1C}"/>
                      </a:extLst>
                    </a:blip>
                    <a:srcRect/>
                    <a:stretch>
                      <a:fillRect/>
                    </a:stretch>
                  </pic:blipFill>
                  <pic:spPr bwMode="auto">
                    <a:xfrm>
                      <a:off x="0" y="0"/>
                      <a:ext cx="7105650" cy="9333865"/>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87" w:name="page88"/>
    <w:bookmarkEnd w:id="87"/>
    <w:p>
      <w:pPr>
        <w:spacing w:after="0" w:line="935" w:lineRule="auto"/>
        <w:tabs>
          <w:tab w:leader="none" w:pos="351" w:val="left"/>
        </w:tabs>
        <w:rPr>
          <w:sz w:val="20"/>
          <w:szCs w:val="20"/>
          <w:color w:val="auto"/>
        </w:rPr>
      </w:pPr>
      <w:r>
        <w:rPr>
          <w:sz w:val="20"/>
          <w:szCs w:val="20"/>
          <w:color w:val="auto"/>
        </w:rPr>
        <w:drawing>
          <wp:anchor simplePos="0" relativeHeight="251657728" behindDoc="1" locked="0" layoutInCell="0" allowOverlap="1">
            <wp:simplePos x="0" y="0"/>
            <wp:positionH relativeFrom="page">
              <wp:posOffset>298450</wp:posOffset>
            </wp:positionH>
            <wp:positionV relativeFrom="page">
              <wp:posOffset>425450</wp:posOffset>
            </wp:positionV>
            <wp:extent cx="7105650" cy="9340850"/>
            <wp:wrapNone/>
            <wp:docPr id="153" name="Picture 15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3"/>
                    <pic:cNvPicPr>
                      <a:picLocks noChangeAspect="1" noChangeArrowheads="1"/>
                    </pic:cNvPicPr>
                  </pic:nvPicPr>
                  <pic:blipFill>
                    <a:blip r:embed="rId195">
                      <a:extLst>
                        <a:ext uri="{28A0092B-C50C-407E-A947-70E740481C1C}"/>
                      </a:extLst>
                    </a:blip>
                    <a:srcRect/>
                    <a:stretch>
                      <a:fillRect/>
                    </a:stretch>
                  </pic:blipFill>
                  <pic:spPr bwMode="auto">
                    <a:xfrm>
                      <a:off x="0" y="0"/>
                      <a:ext cx="7105650" cy="9340850"/>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88" w:name="page89"/>
    <w:bookmarkEnd w:id="88"/>
    <w:p>
      <w:pPr>
        <w:spacing w:after="0" w:line="935" w:lineRule="auto"/>
        <w:tabs>
          <w:tab w:leader="none" w:pos="351" w:val="left"/>
        </w:tabs>
        <w:rPr>
          <w:sz w:val="20"/>
          <w:szCs w:val="20"/>
          <w:color w:val="auto"/>
        </w:rPr>
      </w:pPr>
      <w:r>
        <w:rPr>
          <w:sz w:val="20"/>
          <w:szCs w:val="20"/>
          <w:color w:val="auto"/>
        </w:rPr>
        <w:drawing>
          <wp:anchor simplePos="0" relativeHeight="251657728" behindDoc="1" locked="0" layoutInCell="0" allowOverlap="1">
            <wp:simplePos x="0" y="0"/>
            <wp:positionH relativeFrom="page">
              <wp:posOffset>298450</wp:posOffset>
            </wp:positionH>
            <wp:positionV relativeFrom="page">
              <wp:posOffset>425450</wp:posOffset>
            </wp:positionV>
            <wp:extent cx="7105650" cy="9333865"/>
            <wp:wrapNone/>
            <wp:docPr id="154" name="Picture 15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4"/>
                    <pic:cNvPicPr>
                      <a:picLocks noChangeAspect="1" noChangeArrowheads="1"/>
                    </pic:cNvPicPr>
                  </pic:nvPicPr>
                  <pic:blipFill>
                    <a:blip r:embed="rId196">
                      <a:extLst>
                        <a:ext uri="{28A0092B-C50C-407E-A947-70E740481C1C}"/>
                      </a:extLst>
                    </a:blip>
                    <a:srcRect/>
                    <a:stretch>
                      <a:fillRect/>
                    </a:stretch>
                  </pic:blipFill>
                  <pic:spPr bwMode="auto">
                    <a:xfrm>
                      <a:off x="0" y="0"/>
                      <a:ext cx="7105650" cy="9333865"/>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89" w:name="page90"/>
    <w:bookmarkEnd w:id="89"/>
    <w:p>
      <w:pPr>
        <w:spacing w:after="0" w:line="935" w:lineRule="auto"/>
        <w:tabs>
          <w:tab w:leader="none" w:pos="351" w:val="left"/>
        </w:tabs>
        <w:rPr>
          <w:sz w:val="20"/>
          <w:szCs w:val="20"/>
          <w:color w:val="auto"/>
        </w:rPr>
      </w:pPr>
      <w:r>
        <w:rPr>
          <w:sz w:val="20"/>
          <w:szCs w:val="20"/>
          <w:color w:val="auto"/>
        </w:rPr>
        <w:drawing>
          <wp:anchor simplePos="0" relativeHeight="251657728" behindDoc="1" locked="0" layoutInCell="0" allowOverlap="1">
            <wp:simplePos x="0" y="0"/>
            <wp:positionH relativeFrom="page">
              <wp:posOffset>298450</wp:posOffset>
            </wp:positionH>
            <wp:positionV relativeFrom="page">
              <wp:posOffset>425450</wp:posOffset>
            </wp:positionV>
            <wp:extent cx="7105650" cy="9333865"/>
            <wp:wrapNone/>
            <wp:docPr id="155" name="Picture 15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5"/>
                    <pic:cNvPicPr>
                      <a:picLocks noChangeAspect="1" noChangeArrowheads="1"/>
                    </pic:cNvPicPr>
                  </pic:nvPicPr>
                  <pic:blipFill>
                    <a:blip r:embed="rId197">
                      <a:extLst>
                        <a:ext uri="{28A0092B-C50C-407E-A947-70E740481C1C}"/>
                      </a:extLst>
                    </a:blip>
                    <a:srcRect/>
                    <a:stretch>
                      <a:fillRect/>
                    </a:stretch>
                  </pic:blipFill>
                  <pic:spPr bwMode="auto">
                    <a:xfrm>
                      <a:off x="0" y="0"/>
                      <a:ext cx="7105650" cy="9333865"/>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90" w:name="page91"/>
    <w:bookmarkEnd w:id="90"/>
    <w:p>
      <w:pPr>
        <w:spacing w:after="0" w:line="935" w:lineRule="auto"/>
        <w:tabs>
          <w:tab w:leader="none" w:pos="351" w:val="left"/>
        </w:tabs>
        <w:rPr>
          <w:sz w:val="20"/>
          <w:szCs w:val="20"/>
          <w:color w:val="auto"/>
        </w:rPr>
      </w:pPr>
      <w:r>
        <w:rPr>
          <w:sz w:val="20"/>
          <w:szCs w:val="20"/>
          <w:color w:val="auto"/>
        </w:rPr>
        <w:drawing>
          <wp:anchor simplePos="0" relativeHeight="251657728" behindDoc="1" locked="0" layoutInCell="0" allowOverlap="1">
            <wp:simplePos x="0" y="0"/>
            <wp:positionH relativeFrom="page">
              <wp:posOffset>298450</wp:posOffset>
            </wp:positionH>
            <wp:positionV relativeFrom="page">
              <wp:posOffset>425450</wp:posOffset>
            </wp:positionV>
            <wp:extent cx="7105650" cy="9333865"/>
            <wp:wrapNone/>
            <wp:docPr id="156" name="Picture 15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6"/>
                    <pic:cNvPicPr>
                      <a:picLocks noChangeAspect="1" noChangeArrowheads="1"/>
                    </pic:cNvPicPr>
                  </pic:nvPicPr>
                  <pic:blipFill>
                    <a:blip r:embed="rId198">
                      <a:extLst>
                        <a:ext uri="{28A0092B-C50C-407E-A947-70E740481C1C}"/>
                      </a:extLst>
                    </a:blip>
                    <a:srcRect/>
                    <a:stretch>
                      <a:fillRect/>
                    </a:stretch>
                  </pic:blipFill>
                  <pic:spPr bwMode="auto">
                    <a:xfrm>
                      <a:off x="0" y="0"/>
                      <a:ext cx="7105650" cy="9333865"/>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91" w:name="page92"/>
    <w:bookmarkEnd w:id="91"/>
    <w:p>
      <w:pPr>
        <w:spacing w:after="0" w:line="935" w:lineRule="auto"/>
        <w:tabs>
          <w:tab w:leader="none" w:pos="351" w:val="left"/>
        </w:tabs>
        <w:rPr>
          <w:sz w:val="20"/>
          <w:szCs w:val="20"/>
          <w:color w:val="auto"/>
        </w:rPr>
      </w:pPr>
      <w:r>
        <w:rPr>
          <w:sz w:val="20"/>
          <w:szCs w:val="20"/>
          <w:color w:val="auto"/>
        </w:rPr>
        <w:drawing>
          <wp:anchor simplePos="0" relativeHeight="251657728" behindDoc="1" locked="0" layoutInCell="0" allowOverlap="1">
            <wp:simplePos x="0" y="0"/>
            <wp:positionH relativeFrom="page">
              <wp:posOffset>298450</wp:posOffset>
            </wp:positionH>
            <wp:positionV relativeFrom="page">
              <wp:posOffset>426085</wp:posOffset>
            </wp:positionV>
            <wp:extent cx="7105650" cy="9333865"/>
            <wp:wrapNone/>
            <wp:docPr id="157" name="Picture 15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7"/>
                    <pic:cNvPicPr>
                      <a:picLocks noChangeAspect="1" noChangeArrowheads="1"/>
                    </pic:cNvPicPr>
                  </pic:nvPicPr>
                  <pic:blipFill>
                    <a:blip r:embed="rId199">
                      <a:extLst>
                        <a:ext uri="{28A0092B-C50C-407E-A947-70E740481C1C}"/>
                      </a:extLst>
                    </a:blip>
                    <a:srcRect/>
                    <a:stretch>
                      <a:fillRect/>
                    </a:stretch>
                  </pic:blipFill>
                  <pic:spPr bwMode="auto">
                    <a:xfrm>
                      <a:off x="0" y="0"/>
                      <a:ext cx="7105650" cy="9333865"/>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92" w:name="page93"/>
    <w:bookmarkEnd w:id="92"/>
    <w:p>
      <w:pPr>
        <w:spacing w:after="0" w:line="935" w:lineRule="auto"/>
        <w:tabs>
          <w:tab w:leader="none" w:pos="351" w:val="left"/>
        </w:tabs>
        <w:rPr>
          <w:sz w:val="20"/>
          <w:szCs w:val="20"/>
          <w:color w:val="auto"/>
        </w:rPr>
      </w:pPr>
      <w:r>
        <w:rPr>
          <w:sz w:val="20"/>
          <w:szCs w:val="20"/>
          <w:color w:val="auto"/>
        </w:rPr>
        <w:drawing>
          <wp:anchor simplePos="0" relativeHeight="251657728" behindDoc="1" locked="0" layoutInCell="0" allowOverlap="1">
            <wp:simplePos x="0" y="0"/>
            <wp:positionH relativeFrom="page">
              <wp:posOffset>298450</wp:posOffset>
            </wp:positionH>
            <wp:positionV relativeFrom="page">
              <wp:posOffset>425450</wp:posOffset>
            </wp:positionV>
            <wp:extent cx="7105650" cy="9333865"/>
            <wp:wrapNone/>
            <wp:docPr id="158" name="Picture 15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8"/>
                    <pic:cNvPicPr>
                      <a:picLocks noChangeAspect="1" noChangeArrowheads="1"/>
                    </pic:cNvPicPr>
                  </pic:nvPicPr>
                  <pic:blipFill>
                    <a:blip r:embed="rId200">
                      <a:extLst>
                        <a:ext uri="{28A0092B-C50C-407E-A947-70E740481C1C}"/>
                      </a:extLst>
                    </a:blip>
                    <a:srcRect/>
                    <a:stretch>
                      <a:fillRect/>
                    </a:stretch>
                  </pic:blipFill>
                  <pic:spPr bwMode="auto">
                    <a:xfrm>
                      <a:off x="0" y="0"/>
                      <a:ext cx="7105650" cy="9333865"/>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93" w:name="page94"/>
    <w:bookmarkEnd w:id="93"/>
    <w:p>
      <w:pPr>
        <w:spacing w:after="0" w:line="935" w:lineRule="auto"/>
        <w:tabs>
          <w:tab w:leader="none" w:pos="351" w:val="left"/>
        </w:tabs>
        <w:rPr>
          <w:sz w:val="20"/>
          <w:szCs w:val="20"/>
          <w:color w:val="auto"/>
        </w:rPr>
      </w:pPr>
      <w:r>
        <w:rPr>
          <w:sz w:val="20"/>
          <w:szCs w:val="20"/>
          <w:color w:val="auto"/>
        </w:rPr>
        <w:drawing>
          <wp:anchor simplePos="0" relativeHeight="251657728" behindDoc="1" locked="0" layoutInCell="0" allowOverlap="1">
            <wp:simplePos x="0" y="0"/>
            <wp:positionH relativeFrom="page">
              <wp:posOffset>298450</wp:posOffset>
            </wp:positionH>
            <wp:positionV relativeFrom="page">
              <wp:posOffset>425450</wp:posOffset>
            </wp:positionV>
            <wp:extent cx="7105650" cy="9340850"/>
            <wp:wrapNone/>
            <wp:docPr id="159" name="Picture 15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9"/>
                    <pic:cNvPicPr>
                      <a:picLocks noChangeAspect="1" noChangeArrowheads="1"/>
                    </pic:cNvPicPr>
                  </pic:nvPicPr>
                  <pic:blipFill>
                    <a:blip r:embed="rId201">
                      <a:extLst>
                        <a:ext uri="{28A0092B-C50C-407E-A947-70E740481C1C}"/>
                      </a:extLst>
                    </a:blip>
                    <a:srcRect/>
                    <a:stretch>
                      <a:fillRect/>
                    </a:stretch>
                  </pic:blipFill>
                  <pic:spPr bwMode="auto">
                    <a:xfrm>
                      <a:off x="0" y="0"/>
                      <a:ext cx="7105650" cy="9340850"/>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94" w:name="page95"/>
    <w:bookmarkEnd w:id="94"/>
    <w:p>
      <w:pPr>
        <w:spacing w:after="0" w:line="935" w:lineRule="auto"/>
        <w:tabs>
          <w:tab w:leader="none" w:pos="351" w:val="left"/>
        </w:tabs>
        <w:rPr>
          <w:sz w:val="20"/>
          <w:szCs w:val="20"/>
          <w:color w:val="auto"/>
        </w:rPr>
      </w:pPr>
      <w:r>
        <w:rPr>
          <w:sz w:val="20"/>
          <w:szCs w:val="20"/>
          <w:color w:val="auto"/>
        </w:rPr>
        <w:drawing>
          <wp:anchor simplePos="0" relativeHeight="251657728" behindDoc="1" locked="0" layoutInCell="0" allowOverlap="1">
            <wp:simplePos x="0" y="0"/>
            <wp:positionH relativeFrom="page">
              <wp:posOffset>298450</wp:posOffset>
            </wp:positionH>
            <wp:positionV relativeFrom="page">
              <wp:posOffset>425450</wp:posOffset>
            </wp:positionV>
            <wp:extent cx="7105650" cy="9333865"/>
            <wp:wrapNone/>
            <wp:docPr id="160" name="Picture 16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0"/>
                    <pic:cNvPicPr>
                      <a:picLocks noChangeAspect="1" noChangeArrowheads="1"/>
                    </pic:cNvPicPr>
                  </pic:nvPicPr>
                  <pic:blipFill>
                    <a:blip r:embed="rId202">
                      <a:extLst>
                        <a:ext uri="{28A0092B-C50C-407E-A947-70E740481C1C}"/>
                      </a:extLst>
                    </a:blip>
                    <a:srcRect/>
                    <a:stretch>
                      <a:fillRect/>
                    </a:stretch>
                  </pic:blipFill>
                  <pic:spPr bwMode="auto">
                    <a:xfrm>
                      <a:off x="0" y="0"/>
                      <a:ext cx="7105650" cy="9333865"/>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95" w:name="page96"/>
    <w:bookmarkEnd w:id="95"/>
    <w:p>
      <w:pPr>
        <w:spacing w:after="0" w:line="935" w:lineRule="auto"/>
        <w:tabs>
          <w:tab w:leader="none" w:pos="351" w:val="left"/>
        </w:tabs>
        <w:rPr>
          <w:sz w:val="20"/>
          <w:szCs w:val="20"/>
          <w:color w:val="auto"/>
        </w:rPr>
      </w:pPr>
      <w:r>
        <w:rPr>
          <w:sz w:val="20"/>
          <w:szCs w:val="20"/>
          <w:color w:val="auto"/>
        </w:rPr>
        <w:drawing>
          <wp:anchor simplePos="0" relativeHeight="251657728" behindDoc="1" locked="0" layoutInCell="0" allowOverlap="1">
            <wp:simplePos x="0" y="0"/>
            <wp:positionH relativeFrom="page">
              <wp:posOffset>298450</wp:posOffset>
            </wp:positionH>
            <wp:positionV relativeFrom="page">
              <wp:posOffset>425450</wp:posOffset>
            </wp:positionV>
            <wp:extent cx="7105650" cy="9333865"/>
            <wp:wrapNone/>
            <wp:docPr id="161" name="Picture 16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1"/>
                    <pic:cNvPicPr>
                      <a:picLocks noChangeAspect="1" noChangeArrowheads="1"/>
                    </pic:cNvPicPr>
                  </pic:nvPicPr>
                  <pic:blipFill>
                    <a:blip r:embed="rId203">
                      <a:extLst>
                        <a:ext uri="{28A0092B-C50C-407E-A947-70E740481C1C}"/>
                      </a:extLst>
                    </a:blip>
                    <a:srcRect/>
                    <a:stretch>
                      <a:fillRect/>
                    </a:stretch>
                  </pic:blipFill>
                  <pic:spPr bwMode="auto">
                    <a:xfrm>
                      <a:off x="0" y="0"/>
                      <a:ext cx="7105650" cy="9333865"/>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96" w:name="page97"/>
    <w:bookmarkEnd w:id="96"/>
    <w:p>
      <w:pPr>
        <w:spacing w:after="0" w:line="935" w:lineRule="auto"/>
        <w:tabs>
          <w:tab w:leader="none" w:pos="351" w:val="left"/>
        </w:tabs>
        <w:rPr>
          <w:sz w:val="20"/>
          <w:szCs w:val="20"/>
          <w:color w:val="auto"/>
        </w:rPr>
      </w:pPr>
      <w:r>
        <w:rPr>
          <w:sz w:val="20"/>
          <w:szCs w:val="20"/>
          <w:color w:val="auto"/>
        </w:rPr>
        <w:drawing>
          <wp:anchor simplePos="0" relativeHeight="251657728" behindDoc="1" locked="0" layoutInCell="0" allowOverlap="1">
            <wp:simplePos x="0" y="0"/>
            <wp:positionH relativeFrom="page">
              <wp:posOffset>298450</wp:posOffset>
            </wp:positionH>
            <wp:positionV relativeFrom="page">
              <wp:posOffset>426085</wp:posOffset>
            </wp:positionV>
            <wp:extent cx="7105650" cy="9333865"/>
            <wp:wrapNone/>
            <wp:docPr id="162" name="Picture 16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2"/>
                    <pic:cNvPicPr>
                      <a:picLocks noChangeAspect="1" noChangeArrowheads="1"/>
                    </pic:cNvPicPr>
                  </pic:nvPicPr>
                  <pic:blipFill>
                    <a:blip r:embed="rId204">
                      <a:extLst>
                        <a:ext uri="{28A0092B-C50C-407E-A947-70E740481C1C}"/>
                      </a:extLst>
                    </a:blip>
                    <a:srcRect/>
                    <a:stretch>
                      <a:fillRect/>
                    </a:stretch>
                  </pic:blipFill>
                  <pic:spPr bwMode="auto">
                    <a:xfrm>
                      <a:off x="0" y="0"/>
                      <a:ext cx="7105650" cy="9333865"/>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97" w:name="page98"/>
    <w:bookmarkEnd w:id="97"/>
    <w:p>
      <w:pPr>
        <w:spacing w:after="0" w:line="935" w:lineRule="auto"/>
        <w:tabs>
          <w:tab w:leader="none" w:pos="351" w:val="left"/>
        </w:tabs>
        <w:rPr>
          <w:sz w:val="20"/>
          <w:szCs w:val="20"/>
          <w:color w:val="auto"/>
        </w:rPr>
      </w:pPr>
      <w:r>
        <w:rPr>
          <w:sz w:val="20"/>
          <w:szCs w:val="20"/>
          <w:color w:val="auto"/>
        </w:rPr>
        <w:drawing>
          <wp:anchor simplePos="0" relativeHeight="251657728" behindDoc="1" locked="0" layoutInCell="0" allowOverlap="1">
            <wp:simplePos x="0" y="0"/>
            <wp:positionH relativeFrom="page">
              <wp:posOffset>298450</wp:posOffset>
            </wp:positionH>
            <wp:positionV relativeFrom="page">
              <wp:posOffset>425450</wp:posOffset>
            </wp:positionV>
            <wp:extent cx="7105650" cy="9327515"/>
            <wp:wrapNone/>
            <wp:docPr id="163" name="Picture 16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3"/>
                    <pic:cNvPicPr>
                      <a:picLocks noChangeAspect="1" noChangeArrowheads="1"/>
                    </pic:cNvPicPr>
                  </pic:nvPicPr>
                  <pic:blipFill>
                    <a:blip r:embed="rId205">
                      <a:extLst>
                        <a:ext uri="{28A0092B-C50C-407E-A947-70E740481C1C}"/>
                      </a:extLst>
                    </a:blip>
                    <a:srcRect/>
                    <a:stretch>
                      <a:fillRect/>
                    </a:stretch>
                  </pic:blipFill>
                  <pic:spPr bwMode="auto">
                    <a:xfrm>
                      <a:off x="0" y="0"/>
                      <a:ext cx="7105650" cy="9327515"/>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98" w:name="page99"/>
    <w:bookmarkEnd w:id="98"/>
    <w:p>
      <w:pPr>
        <w:spacing w:after="0" w:line="935" w:lineRule="auto"/>
        <w:tabs>
          <w:tab w:leader="none" w:pos="351" w:val="left"/>
        </w:tabs>
        <w:rPr>
          <w:sz w:val="20"/>
          <w:szCs w:val="20"/>
          <w:color w:val="auto"/>
        </w:rPr>
      </w:pPr>
      <w:r>
        <w:rPr>
          <w:sz w:val="20"/>
          <w:szCs w:val="20"/>
          <w:color w:val="auto"/>
        </w:rPr>
        <w:drawing>
          <wp:anchor simplePos="0" relativeHeight="251657728" behindDoc="1" locked="0" layoutInCell="0" allowOverlap="1">
            <wp:simplePos x="0" y="0"/>
            <wp:positionH relativeFrom="page">
              <wp:posOffset>298450</wp:posOffset>
            </wp:positionH>
            <wp:positionV relativeFrom="page">
              <wp:posOffset>425450</wp:posOffset>
            </wp:positionV>
            <wp:extent cx="7105650" cy="9327515"/>
            <wp:wrapNone/>
            <wp:docPr id="164" name="Picture 16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4"/>
                    <pic:cNvPicPr>
                      <a:picLocks noChangeAspect="1" noChangeArrowheads="1"/>
                    </pic:cNvPicPr>
                  </pic:nvPicPr>
                  <pic:blipFill>
                    <a:blip r:embed="rId206">
                      <a:extLst>
                        <a:ext uri="{28A0092B-C50C-407E-A947-70E740481C1C}"/>
                      </a:extLst>
                    </a:blip>
                    <a:srcRect/>
                    <a:stretch>
                      <a:fillRect/>
                    </a:stretch>
                  </pic:blipFill>
                  <pic:spPr bwMode="auto">
                    <a:xfrm>
                      <a:off x="0" y="0"/>
                      <a:ext cx="7105650" cy="9327515"/>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99" w:name="page100"/>
    <w:bookmarkEnd w:id="99"/>
    <w:p>
      <w:pPr>
        <w:spacing w:after="0" w:line="935" w:lineRule="auto"/>
        <w:tabs>
          <w:tab w:leader="none" w:pos="351" w:val="left"/>
        </w:tabs>
        <w:rPr>
          <w:sz w:val="20"/>
          <w:szCs w:val="20"/>
          <w:color w:val="auto"/>
        </w:rPr>
      </w:pPr>
      <w:r>
        <w:rPr>
          <w:sz w:val="20"/>
          <w:szCs w:val="20"/>
          <w:color w:val="auto"/>
        </w:rPr>
        <w:drawing>
          <wp:anchor simplePos="0" relativeHeight="251657728" behindDoc="1" locked="0" layoutInCell="0" allowOverlap="1">
            <wp:simplePos x="0" y="0"/>
            <wp:positionH relativeFrom="page">
              <wp:posOffset>298450</wp:posOffset>
            </wp:positionH>
            <wp:positionV relativeFrom="page">
              <wp:posOffset>426085</wp:posOffset>
            </wp:positionV>
            <wp:extent cx="7105650" cy="9327515"/>
            <wp:wrapNone/>
            <wp:docPr id="165" name="Picture 16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5"/>
                    <pic:cNvPicPr>
                      <a:picLocks noChangeAspect="1" noChangeArrowheads="1"/>
                    </pic:cNvPicPr>
                  </pic:nvPicPr>
                  <pic:blipFill>
                    <a:blip r:embed="rId207">
                      <a:extLst>
                        <a:ext uri="{28A0092B-C50C-407E-A947-70E740481C1C}"/>
                      </a:extLst>
                    </a:blip>
                    <a:srcRect/>
                    <a:stretch>
                      <a:fillRect/>
                    </a:stretch>
                  </pic:blipFill>
                  <pic:spPr bwMode="auto">
                    <a:xfrm>
                      <a:off x="0" y="0"/>
                      <a:ext cx="7105650" cy="9327515"/>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100" w:name="page101"/>
    <w:bookmarkEnd w:id="100"/>
    <w:p>
      <w:pPr>
        <w:spacing w:after="0" w:line="935" w:lineRule="auto"/>
        <w:tabs>
          <w:tab w:leader="none" w:pos="351" w:val="left"/>
        </w:tabs>
        <w:rPr>
          <w:sz w:val="20"/>
          <w:szCs w:val="20"/>
          <w:color w:val="auto"/>
        </w:rPr>
      </w:pPr>
      <w:r>
        <w:rPr>
          <w:sz w:val="20"/>
          <w:szCs w:val="20"/>
          <w:color w:val="auto"/>
        </w:rPr>
        <w:drawing>
          <wp:anchor simplePos="0" relativeHeight="251657728" behindDoc="1" locked="0" layoutInCell="0" allowOverlap="1">
            <wp:simplePos x="0" y="0"/>
            <wp:positionH relativeFrom="page">
              <wp:posOffset>298450</wp:posOffset>
            </wp:positionH>
            <wp:positionV relativeFrom="page">
              <wp:posOffset>425450</wp:posOffset>
            </wp:positionV>
            <wp:extent cx="7105650" cy="9327515"/>
            <wp:wrapNone/>
            <wp:docPr id="166" name="Picture 16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6"/>
                    <pic:cNvPicPr>
                      <a:picLocks noChangeAspect="1" noChangeArrowheads="1"/>
                    </pic:cNvPicPr>
                  </pic:nvPicPr>
                  <pic:blipFill>
                    <a:blip r:embed="rId208">
                      <a:extLst>
                        <a:ext uri="{28A0092B-C50C-407E-A947-70E740481C1C}"/>
                      </a:extLst>
                    </a:blip>
                    <a:srcRect/>
                    <a:stretch>
                      <a:fillRect/>
                    </a:stretch>
                  </pic:blipFill>
                  <pic:spPr bwMode="auto">
                    <a:xfrm>
                      <a:off x="0" y="0"/>
                      <a:ext cx="7105650" cy="9327515"/>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101" w:name="page102"/>
    <w:bookmarkEnd w:id="101"/>
    <w:p>
      <w:pPr>
        <w:spacing w:after="0" w:line="935" w:lineRule="auto"/>
        <w:tabs>
          <w:tab w:leader="none" w:pos="351" w:val="left"/>
        </w:tabs>
        <w:rPr>
          <w:sz w:val="20"/>
          <w:szCs w:val="20"/>
          <w:color w:val="auto"/>
        </w:rPr>
      </w:pPr>
      <w:r>
        <w:rPr>
          <w:sz w:val="20"/>
          <w:szCs w:val="20"/>
          <w:color w:val="auto"/>
        </w:rPr>
        <w:drawing>
          <wp:anchor simplePos="0" relativeHeight="251657728" behindDoc="1" locked="0" layoutInCell="0" allowOverlap="1">
            <wp:simplePos x="0" y="0"/>
            <wp:positionH relativeFrom="page">
              <wp:posOffset>298450</wp:posOffset>
            </wp:positionH>
            <wp:positionV relativeFrom="page">
              <wp:posOffset>426085</wp:posOffset>
            </wp:positionV>
            <wp:extent cx="7105650" cy="9333865"/>
            <wp:wrapNone/>
            <wp:docPr id="167" name="Picture 16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7"/>
                    <pic:cNvPicPr>
                      <a:picLocks noChangeAspect="1" noChangeArrowheads="1"/>
                    </pic:cNvPicPr>
                  </pic:nvPicPr>
                  <pic:blipFill>
                    <a:blip r:embed="rId209">
                      <a:extLst>
                        <a:ext uri="{28A0092B-C50C-407E-A947-70E740481C1C}"/>
                      </a:extLst>
                    </a:blip>
                    <a:srcRect/>
                    <a:stretch>
                      <a:fillRect/>
                    </a:stretch>
                  </pic:blipFill>
                  <pic:spPr bwMode="auto">
                    <a:xfrm>
                      <a:off x="0" y="0"/>
                      <a:ext cx="7105650" cy="9333865"/>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102" w:name="page103"/>
    <w:bookmarkEnd w:id="102"/>
    <w:p>
      <w:pPr>
        <w:spacing w:after="0" w:line="935" w:lineRule="auto"/>
        <w:tabs>
          <w:tab w:leader="none" w:pos="351" w:val="left"/>
        </w:tabs>
        <w:rPr>
          <w:sz w:val="20"/>
          <w:szCs w:val="20"/>
          <w:color w:val="auto"/>
        </w:rPr>
      </w:pPr>
      <w:r>
        <w:rPr>
          <w:sz w:val="20"/>
          <w:szCs w:val="20"/>
          <w:color w:val="auto"/>
        </w:rPr>
        <w:drawing>
          <wp:anchor simplePos="0" relativeHeight="251657728" behindDoc="1" locked="0" layoutInCell="0" allowOverlap="1">
            <wp:simplePos x="0" y="0"/>
            <wp:positionH relativeFrom="page">
              <wp:posOffset>298450</wp:posOffset>
            </wp:positionH>
            <wp:positionV relativeFrom="page">
              <wp:posOffset>425450</wp:posOffset>
            </wp:positionV>
            <wp:extent cx="7105650" cy="9340850"/>
            <wp:wrapNone/>
            <wp:docPr id="168" name="Picture 16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8"/>
                    <pic:cNvPicPr>
                      <a:picLocks noChangeAspect="1" noChangeArrowheads="1"/>
                    </pic:cNvPicPr>
                  </pic:nvPicPr>
                  <pic:blipFill>
                    <a:blip r:embed="rId210">
                      <a:extLst>
                        <a:ext uri="{28A0092B-C50C-407E-A947-70E740481C1C}"/>
                      </a:extLst>
                    </a:blip>
                    <a:srcRect/>
                    <a:stretch>
                      <a:fillRect/>
                    </a:stretch>
                  </pic:blipFill>
                  <pic:spPr bwMode="auto">
                    <a:xfrm>
                      <a:off x="0" y="0"/>
                      <a:ext cx="7105650" cy="9340850"/>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103" w:name="page104"/>
    <w:bookmarkEnd w:id="103"/>
    <w:p>
      <w:pPr>
        <w:spacing w:after="0" w:line="935" w:lineRule="auto"/>
        <w:tabs>
          <w:tab w:leader="none" w:pos="351" w:val="left"/>
        </w:tabs>
        <w:rPr>
          <w:sz w:val="20"/>
          <w:szCs w:val="20"/>
          <w:color w:val="auto"/>
        </w:rPr>
      </w:pPr>
      <w:r>
        <w:rPr>
          <w:sz w:val="20"/>
          <w:szCs w:val="20"/>
          <w:color w:val="auto"/>
        </w:rPr>
        <w:drawing>
          <wp:anchor simplePos="0" relativeHeight="251657728" behindDoc="1" locked="0" layoutInCell="0" allowOverlap="1">
            <wp:simplePos x="0" y="0"/>
            <wp:positionH relativeFrom="page">
              <wp:posOffset>298450</wp:posOffset>
            </wp:positionH>
            <wp:positionV relativeFrom="page">
              <wp:posOffset>425450</wp:posOffset>
            </wp:positionV>
            <wp:extent cx="7105650" cy="9340850"/>
            <wp:wrapNone/>
            <wp:docPr id="169" name="Picture 16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9"/>
                    <pic:cNvPicPr>
                      <a:picLocks noChangeAspect="1" noChangeArrowheads="1"/>
                    </pic:cNvPicPr>
                  </pic:nvPicPr>
                  <pic:blipFill>
                    <a:blip r:embed="rId211">
                      <a:extLst>
                        <a:ext uri="{28A0092B-C50C-407E-A947-70E740481C1C}"/>
                      </a:extLst>
                    </a:blip>
                    <a:srcRect/>
                    <a:stretch>
                      <a:fillRect/>
                    </a:stretch>
                  </pic:blipFill>
                  <pic:spPr bwMode="auto">
                    <a:xfrm>
                      <a:off x="0" y="0"/>
                      <a:ext cx="7105650" cy="9340850"/>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104" w:name="page105"/>
    <w:bookmarkEnd w:id="104"/>
    <w:p>
      <w:pPr>
        <w:spacing w:after="0" w:line="935" w:lineRule="auto"/>
        <w:tabs>
          <w:tab w:leader="none" w:pos="351" w:val="left"/>
        </w:tabs>
        <w:rPr>
          <w:sz w:val="20"/>
          <w:szCs w:val="20"/>
          <w:color w:val="auto"/>
        </w:rPr>
      </w:pPr>
      <w:r>
        <w:rPr>
          <w:sz w:val="20"/>
          <w:szCs w:val="20"/>
          <w:color w:val="auto"/>
        </w:rPr>
        <w:drawing>
          <wp:anchor simplePos="0" relativeHeight="251657728" behindDoc="1" locked="0" layoutInCell="0" allowOverlap="1">
            <wp:simplePos x="0" y="0"/>
            <wp:positionH relativeFrom="page">
              <wp:posOffset>298450</wp:posOffset>
            </wp:positionH>
            <wp:positionV relativeFrom="page">
              <wp:posOffset>426085</wp:posOffset>
            </wp:positionV>
            <wp:extent cx="7105650" cy="9333865"/>
            <wp:wrapNone/>
            <wp:docPr id="170" name="Picture 17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0"/>
                    <pic:cNvPicPr>
                      <a:picLocks noChangeAspect="1" noChangeArrowheads="1"/>
                    </pic:cNvPicPr>
                  </pic:nvPicPr>
                  <pic:blipFill>
                    <a:blip r:embed="rId212">
                      <a:extLst>
                        <a:ext uri="{28A0092B-C50C-407E-A947-70E740481C1C}"/>
                      </a:extLst>
                    </a:blip>
                    <a:srcRect/>
                    <a:stretch>
                      <a:fillRect/>
                    </a:stretch>
                  </pic:blipFill>
                  <pic:spPr bwMode="auto">
                    <a:xfrm>
                      <a:off x="0" y="0"/>
                      <a:ext cx="7105650" cy="9333865"/>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105" w:name="page106"/>
    <w:bookmarkEnd w:id="105"/>
    <w:p>
      <w:pPr>
        <w:spacing w:after="0" w:line="935" w:lineRule="auto"/>
        <w:tabs>
          <w:tab w:leader="none" w:pos="351" w:val="left"/>
        </w:tabs>
        <w:rPr>
          <w:sz w:val="20"/>
          <w:szCs w:val="20"/>
          <w:color w:val="auto"/>
        </w:rPr>
      </w:pPr>
      <w:r>
        <w:rPr>
          <w:sz w:val="20"/>
          <w:szCs w:val="20"/>
          <w:color w:val="auto"/>
        </w:rPr>
        <w:drawing>
          <wp:anchor simplePos="0" relativeHeight="251657728" behindDoc="1" locked="0" layoutInCell="0" allowOverlap="1">
            <wp:simplePos x="0" y="0"/>
            <wp:positionH relativeFrom="page">
              <wp:posOffset>298450</wp:posOffset>
            </wp:positionH>
            <wp:positionV relativeFrom="page">
              <wp:posOffset>425450</wp:posOffset>
            </wp:positionV>
            <wp:extent cx="7105650" cy="9333865"/>
            <wp:wrapNone/>
            <wp:docPr id="171" name="Picture 17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1"/>
                    <pic:cNvPicPr>
                      <a:picLocks noChangeAspect="1" noChangeArrowheads="1"/>
                    </pic:cNvPicPr>
                  </pic:nvPicPr>
                  <pic:blipFill>
                    <a:blip r:embed="rId213">
                      <a:extLst>
                        <a:ext uri="{28A0092B-C50C-407E-A947-70E740481C1C}"/>
                      </a:extLst>
                    </a:blip>
                    <a:srcRect/>
                    <a:stretch>
                      <a:fillRect/>
                    </a:stretch>
                  </pic:blipFill>
                  <pic:spPr bwMode="auto">
                    <a:xfrm>
                      <a:off x="0" y="0"/>
                      <a:ext cx="7105650" cy="9333865"/>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106" w:name="page107"/>
    <w:bookmarkEnd w:id="106"/>
    <w:p>
      <w:pPr>
        <w:spacing w:after="0" w:line="935" w:lineRule="auto"/>
        <w:tabs>
          <w:tab w:leader="none" w:pos="351" w:val="left"/>
        </w:tabs>
        <w:rPr>
          <w:sz w:val="20"/>
          <w:szCs w:val="20"/>
          <w:color w:val="auto"/>
        </w:rPr>
      </w:pPr>
      <w:r>
        <w:rPr>
          <w:sz w:val="20"/>
          <w:szCs w:val="20"/>
          <w:color w:val="auto"/>
        </w:rPr>
        <w:drawing>
          <wp:anchor simplePos="0" relativeHeight="251657728" behindDoc="1" locked="0" layoutInCell="0" allowOverlap="1">
            <wp:simplePos x="0" y="0"/>
            <wp:positionH relativeFrom="page">
              <wp:posOffset>298450</wp:posOffset>
            </wp:positionH>
            <wp:positionV relativeFrom="page">
              <wp:posOffset>425450</wp:posOffset>
            </wp:positionV>
            <wp:extent cx="7105650" cy="9327515"/>
            <wp:wrapNone/>
            <wp:docPr id="172" name="Picture 17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2"/>
                    <pic:cNvPicPr>
                      <a:picLocks noChangeAspect="1" noChangeArrowheads="1"/>
                    </pic:cNvPicPr>
                  </pic:nvPicPr>
                  <pic:blipFill>
                    <a:blip r:embed="rId214">
                      <a:extLst>
                        <a:ext uri="{28A0092B-C50C-407E-A947-70E740481C1C}"/>
                      </a:extLst>
                    </a:blip>
                    <a:srcRect/>
                    <a:stretch>
                      <a:fillRect/>
                    </a:stretch>
                  </pic:blipFill>
                  <pic:spPr bwMode="auto">
                    <a:xfrm>
                      <a:off x="0" y="0"/>
                      <a:ext cx="7105650" cy="9327515"/>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107" w:name="page108"/>
    <w:bookmarkEnd w:id="107"/>
    <w:p>
      <w:pPr>
        <w:spacing w:after="0" w:line="935" w:lineRule="auto"/>
        <w:tabs>
          <w:tab w:leader="none" w:pos="351" w:val="left"/>
        </w:tabs>
        <w:rPr>
          <w:sz w:val="20"/>
          <w:szCs w:val="20"/>
          <w:color w:val="auto"/>
        </w:rPr>
      </w:pPr>
      <w:r>
        <w:rPr>
          <w:sz w:val="20"/>
          <w:szCs w:val="20"/>
          <w:color w:val="auto"/>
        </w:rPr>
        <w:drawing>
          <wp:anchor simplePos="0" relativeHeight="251657728" behindDoc="1" locked="0" layoutInCell="0" allowOverlap="1">
            <wp:simplePos x="0" y="0"/>
            <wp:positionH relativeFrom="page">
              <wp:posOffset>298450</wp:posOffset>
            </wp:positionH>
            <wp:positionV relativeFrom="page">
              <wp:posOffset>425450</wp:posOffset>
            </wp:positionV>
            <wp:extent cx="7105650" cy="9333865"/>
            <wp:wrapNone/>
            <wp:docPr id="173" name="Picture 17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3"/>
                    <pic:cNvPicPr>
                      <a:picLocks noChangeAspect="1" noChangeArrowheads="1"/>
                    </pic:cNvPicPr>
                  </pic:nvPicPr>
                  <pic:blipFill>
                    <a:blip r:embed="rId215">
                      <a:extLst>
                        <a:ext uri="{28A0092B-C50C-407E-A947-70E740481C1C}"/>
                      </a:extLst>
                    </a:blip>
                    <a:srcRect/>
                    <a:stretch>
                      <a:fillRect/>
                    </a:stretch>
                  </pic:blipFill>
                  <pic:spPr bwMode="auto">
                    <a:xfrm>
                      <a:off x="0" y="0"/>
                      <a:ext cx="7105650" cy="9333865"/>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108" w:name="page109"/>
    <w:bookmarkEnd w:id="108"/>
    <w:p>
      <w:pPr>
        <w:spacing w:after="0" w:line="935" w:lineRule="auto"/>
        <w:tabs>
          <w:tab w:leader="none" w:pos="351" w:val="left"/>
        </w:tabs>
        <w:rPr>
          <w:sz w:val="20"/>
          <w:szCs w:val="20"/>
          <w:color w:val="auto"/>
        </w:rPr>
      </w:pPr>
      <w:r>
        <w:rPr>
          <w:sz w:val="20"/>
          <w:szCs w:val="20"/>
          <w:color w:val="auto"/>
        </w:rPr>
        <w:drawing>
          <wp:anchor simplePos="0" relativeHeight="251657728" behindDoc="1" locked="0" layoutInCell="0" allowOverlap="1">
            <wp:simplePos x="0" y="0"/>
            <wp:positionH relativeFrom="page">
              <wp:posOffset>298450</wp:posOffset>
            </wp:positionH>
            <wp:positionV relativeFrom="page">
              <wp:posOffset>425450</wp:posOffset>
            </wp:positionV>
            <wp:extent cx="7105650" cy="9327515"/>
            <wp:wrapNone/>
            <wp:docPr id="174" name="Picture 17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4"/>
                    <pic:cNvPicPr>
                      <a:picLocks noChangeAspect="1" noChangeArrowheads="1"/>
                    </pic:cNvPicPr>
                  </pic:nvPicPr>
                  <pic:blipFill>
                    <a:blip r:embed="rId216">
                      <a:extLst>
                        <a:ext uri="{28A0092B-C50C-407E-A947-70E740481C1C}"/>
                      </a:extLst>
                    </a:blip>
                    <a:srcRect/>
                    <a:stretch>
                      <a:fillRect/>
                    </a:stretch>
                  </pic:blipFill>
                  <pic:spPr bwMode="auto">
                    <a:xfrm>
                      <a:off x="0" y="0"/>
                      <a:ext cx="7105650" cy="9327515"/>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109" w:name="page110"/>
    <w:bookmarkEnd w:id="109"/>
    <w:p>
      <w:pPr>
        <w:spacing w:after="0" w:line="935" w:lineRule="auto"/>
        <w:tabs>
          <w:tab w:leader="none" w:pos="351" w:val="left"/>
        </w:tabs>
        <w:rPr>
          <w:sz w:val="20"/>
          <w:szCs w:val="20"/>
          <w:color w:val="auto"/>
        </w:rPr>
      </w:pPr>
    </w:p>
    <w:p>
      <w:pPr>
        <w:sectPr>
          <w:pgSz w:w="11900" w:h="16838" w:orient="portrait"/>
          <w:cols w:equalWidth="1" w:num="1" w:space="0"/>
          <w:pgMar w:left="1440" w:top="1440" w:right="1440" w:bottom="875" w:gutter="0" w:footer="0" w:header="0"/>
        </w:sectPr>
      </w:pPr>
    </w:p>
    <w:bookmarkStart w:id="110" w:name="page111"/>
    <w:bookmarkEnd w:id="110"/>
    <w:p>
      <w:pPr>
        <w:jc w:val="right"/>
        <w:spacing w:after="0"/>
        <w:rPr>
          <w:sz w:val="20"/>
          <w:szCs w:val="20"/>
          <w:color w:val="auto"/>
        </w:rPr>
      </w:pPr>
      <w:r>
        <w:rPr>
          <w:rFonts w:ascii="Times New Roman" w:cs="Times New Roman" w:eastAsia="Times New Roman" w:hAnsi="Times New Roman"/>
          <w:sz w:val="14"/>
          <w:szCs w:val="14"/>
          <w:b w:val="1"/>
          <w:bCs w:val="1"/>
          <w:color w:val="auto"/>
        </w:rPr>
        <w:t>Exhibit 23.1</w:t>
      </w:r>
    </w:p>
    <w:p>
      <w:pPr>
        <w:spacing w:after="0" w:line="200" w:lineRule="exact"/>
        <w:rPr>
          <w:sz w:val="20"/>
          <w:szCs w:val="20"/>
          <w:color w:val="auto"/>
        </w:rPr>
      </w:pPr>
    </w:p>
    <w:p>
      <w:pPr>
        <w:spacing w:after="0" w:line="329"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b w:val="1"/>
          <w:bCs w:val="1"/>
          <w:color w:val="auto"/>
        </w:rPr>
        <w:t>CONSENT OF INDEPENDENT REGISTERED PUBLIC ACCOUNTING FIRM</w:t>
      </w:r>
    </w:p>
    <w:p>
      <w:pPr>
        <w:spacing w:after="0" w:line="96"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color w:val="auto"/>
        </w:rPr>
        <w:t>Westwood Holdings Group, Inc.</w:t>
      </w:r>
    </w:p>
    <w:p>
      <w:pPr>
        <w:spacing w:after="0" w:line="94"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color w:val="auto"/>
        </w:rPr>
        <w:t>Dallas, Texas</w:t>
      </w:r>
    </w:p>
    <w:p>
      <w:pPr>
        <w:spacing w:after="0" w:line="94" w:lineRule="exact"/>
        <w:rPr>
          <w:sz w:val="20"/>
          <w:szCs w:val="20"/>
          <w:color w:val="auto"/>
        </w:rPr>
      </w:pPr>
    </w:p>
    <w:p>
      <w:pPr>
        <w:jc w:val="both"/>
        <w:spacing w:after="0" w:line="270" w:lineRule="auto"/>
        <w:rPr>
          <w:sz w:val="20"/>
          <w:szCs w:val="20"/>
          <w:color w:val="auto"/>
        </w:rPr>
      </w:pPr>
      <w:r>
        <w:rPr>
          <w:rFonts w:ascii="Times New Roman" w:cs="Times New Roman" w:eastAsia="Times New Roman" w:hAnsi="Times New Roman"/>
          <w:sz w:val="14"/>
          <w:szCs w:val="14"/>
          <w:color w:val="auto"/>
        </w:rPr>
        <w:t>We hereby consent to the incorporation by reference in the Registration Statements on Form S-8 (Nos. 333-293588, 333-285065, 333-277220, 333-269604, 333-267641, 333-258305, 333-238965, 333-232595, 333-228335, 333-224886, 333-218080, 333-203728, 333-188002, 333-187998, 333-175696, 333-160377, 333-133963, and 333-98841) of Westwood Holdings Group, Inc., of our report dated March 4, 2026, relating to the consolidated financial statements which appears in this Annual Report on Form 10-K.</w:t>
      </w:r>
    </w:p>
    <w:p>
      <w:pPr>
        <w:spacing w:after="0" w:line="51"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color w:val="auto"/>
        </w:rPr>
        <w:t>/s/ BDO USA, P.C.</w:t>
      </w:r>
    </w:p>
    <w:p>
      <w:pPr>
        <w:spacing w:after="0" w:line="179"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color w:val="auto"/>
        </w:rPr>
        <w:t>Dallas, Texas</w:t>
      </w:r>
    </w:p>
    <w:p>
      <w:pPr>
        <w:spacing w:after="0" w:line="94"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color w:val="auto"/>
        </w:rPr>
        <w:t>March 4, 2026</w:t>
      </w:r>
    </w:p>
    <w:p>
      <w:pPr>
        <w:sectPr>
          <w:pgSz w:w="11900" w:h="16838" w:orient="portrait"/>
          <w:cols w:equalWidth="0" w:num="1">
            <w:col w:w="11280"/>
          </w:cols>
          <w:pgMar w:left="300" w:top="123" w:right="319" w:bottom="1440" w:gutter="0" w:footer="0" w:header="0"/>
        </w:sectPr>
      </w:pPr>
    </w:p>
    <w:bookmarkStart w:id="111" w:name="page112"/>
    <w:bookmarkEnd w:id="111"/>
    <w:p>
      <w:pPr>
        <w:jc w:val="right"/>
        <w:spacing w:after="0"/>
        <w:rPr>
          <w:sz w:val="20"/>
          <w:szCs w:val="20"/>
          <w:color w:val="auto"/>
        </w:rPr>
      </w:pPr>
      <w:r>
        <w:rPr>
          <w:rFonts w:ascii="Times New Roman" w:cs="Times New Roman" w:eastAsia="Times New Roman" w:hAnsi="Times New Roman"/>
          <w:sz w:val="14"/>
          <w:szCs w:val="14"/>
          <w:b w:val="1"/>
          <w:bCs w:val="1"/>
          <w:color w:val="auto"/>
        </w:rPr>
        <w:t>Exhibit 31.1</w:t>
      </w:r>
    </w:p>
    <w:p>
      <w:pPr>
        <w:spacing w:after="0" w:line="200" w:lineRule="exact"/>
        <w:rPr>
          <w:sz w:val="20"/>
          <w:szCs w:val="20"/>
          <w:color w:val="auto"/>
        </w:rPr>
      </w:pPr>
    </w:p>
    <w:p>
      <w:pPr>
        <w:spacing w:after="0" w:line="244"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4"/>
          <w:szCs w:val="14"/>
          <w:b w:val="1"/>
          <w:bCs w:val="1"/>
          <w:color w:val="auto"/>
        </w:rPr>
        <w:t>CERTIFICATION OF CHIEF EXECUTIVE OFFICER</w:t>
      </w:r>
    </w:p>
    <w:p>
      <w:pPr>
        <w:spacing w:after="0" w:line="2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4"/>
          <w:szCs w:val="14"/>
          <w:b w:val="1"/>
          <w:bCs w:val="1"/>
          <w:color w:val="auto"/>
        </w:rPr>
        <w:t>PURSUANT TO</w:t>
      </w:r>
    </w:p>
    <w:p>
      <w:pPr>
        <w:spacing w:after="0" w:line="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4"/>
          <w:szCs w:val="14"/>
          <w:b w:val="1"/>
          <w:bCs w:val="1"/>
          <w:color w:val="auto"/>
        </w:rPr>
        <w:t>SECURITIES EXCHANGE ACT RULES 13A-14 AND 15D-14</w:t>
      </w:r>
    </w:p>
    <w:p>
      <w:pPr>
        <w:spacing w:after="0" w:line="376"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color w:val="auto"/>
        </w:rPr>
        <w:t>I, Brian O. Casey, certify that:</w:t>
      </w:r>
    </w:p>
    <w:p>
      <w:pPr>
        <w:spacing w:after="0" w:line="200" w:lineRule="exact"/>
        <w:rPr>
          <w:sz w:val="20"/>
          <w:szCs w:val="20"/>
          <w:color w:val="auto"/>
        </w:rPr>
      </w:pPr>
    </w:p>
    <w:p>
      <w:pPr>
        <w:ind w:left="520" w:hanging="260"/>
        <w:spacing w:after="0"/>
        <w:tabs>
          <w:tab w:leader="none" w:pos="520" w:val="left"/>
        </w:tabs>
        <w:numPr>
          <w:ilvl w:val="0"/>
          <w:numId w:val="30"/>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I have reviewed this annual report on Form 10-K of Westwood Holdings Group, Inc.;</w:t>
      </w:r>
    </w:p>
    <w:p>
      <w:pPr>
        <w:spacing w:after="0" w:line="23" w:lineRule="exact"/>
        <w:rPr>
          <w:rFonts w:ascii="Times New Roman" w:cs="Times New Roman" w:eastAsia="Times New Roman" w:hAnsi="Times New Roman"/>
          <w:sz w:val="14"/>
          <w:szCs w:val="14"/>
          <w:color w:val="auto"/>
        </w:rPr>
      </w:pPr>
    </w:p>
    <w:p>
      <w:pPr>
        <w:ind w:left="520" w:right="720" w:hanging="260"/>
        <w:spacing w:after="0" w:line="253" w:lineRule="auto"/>
        <w:tabs>
          <w:tab w:leader="none" w:pos="520" w:val="left"/>
        </w:tabs>
        <w:numPr>
          <w:ilvl w:val="0"/>
          <w:numId w:val="30"/>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Based on my knowledge, this report does not contain any untrue statement of a material fact or omit to state a material fact necessary to make the statements made, in light of the circumstances under which such statements were made, not misleading with respect to the period covered by this report;</w:t>
      </w:r>
    </w:p>
    <w:p>
      <w:pPr>
        <w:ind w:left="520" w:right="200" w:hanging="260"/>
        <w:spacing w:after="0" w:line="253" w:lineRule="auto"/>
        <w:tabs>
          <w:tab w:leader="none" w:pos="520" w:val="left"/>
        </w:tabs>
        <w:numPr>
          <w:ilvl w:val="0"/>
          <w:numId w:val="30"/>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Based on my knowledge, the financial statements, and other financial information included in this report, fairly present in all material respects the financial condition, results of operations and cash flows of the registrant as of, and for, the periods presented in this report;</w:t>
      </w:r>
    </w:p>
    <w:p>
      <w:pPr>
        <w:ind w:left="520" w:right="240" w:hanging="260"/>
        <w:spacing w:after="0" w:line="253" w:lineRule="auto"/>
        <w:tabs>
          <w:tab w:leader="none" w:pos="520" w:val="left"/>
        </w:tabs>
        <w:numPr>
          <w:ilvl w:val="0"/>
          <w:numId w:val="30"/>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The registrant’s other certifying officer(s) and I are responsible for establishing and maintaining disclosure controls and procedures (as defined in Exchange Act Rules 13a-15(e) and 15d-15(e)) and internal control over financial reporting (as defined in Exchange Act Rules 13a-15(f) and 15d-15(f)) for the registrant and have:</w:t>
      </w:r>
    </w:p>
    <w:p>
      <w:pPr>
        <w:jc w:val="both"/>
        <w:ind w:left="1020" w:right="360" w:hanging="251"/>
        <w:spacing w:after="0" w:line="253" w:lineRule="auto"/>
        <w:tabs>
          <w:tab w:leader="none" w:pos="1012" w:val="left"/>
        </w:tabs>
        <w:numPr>
          <w:ilvl w:val="1"/>
          <w:numId w:val="30"/>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Designed such disclosure controls and procedures, or caused such disclosure controls and procedures to be designed under our supervision, to ensure that material information relating to the registrant, including its consolidated subsidiaries, is made known to us by others within those entities, particularly during the period in which this report is being prepared;</w:t>
      </w:r>
    </w:p>
    <w:p>
      <w:pPr>
        <w:jc w:val="both"/>
        <w:ind w:left="1020" w:right="560" w:hanging="251"/>
        <w:spacing w:after="0" w:line="253" w:lineRule="auto"/>
        <w:tabs>
          <w:tab w:leader="none" w:pos="1020" w:val="left"/>
        </w:tabs>
        <w:numPr>
          <w:ilvl w:val="1"/>
          <w:numId w:val="30"/>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Designed such internal control over financial reporting, or caused such internal control over financial reporting to be designed under our supervision, to provide reasonable assurance regarding the reliability of financial reporting and the preparation of financial statements for external purposes in accordance with generally accepted accounting principles;</w:t>
      </w:r>
    </w:p>
    <w:p>
      <w:pPr>
        <w:ind w:left="1020" w:right="180" w:hanging="251"/>
        <w:spacing w:after="0" w:line="253" w:lineRule="auto"/>
        <w:tabs>
          <w:tab w:leader="none" w:pos="1012" w:val="left"/>
        </w:tabs>
        <w:numPr>
          <w:ilvl w:val="1"/>
          <w:numId w:val="30"/>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Evaluated the effectiveness of the registrant’s disclosure controls and procedures and presented in this report our conclusions about the effectiveness of the disclosure controls and procedures, as of the end of the period covered by this report based on such evaluation; and</w:t>
      </w:r>
    </w:p>
    <w:p>
      <w:pPr>
        <w:ind w:left="1020" w:right="160" w:hanging="251"/>
        <w:spacing w:after="0" w:line="253" w:lineRule="auto"/>
        <w:tabs>
          <w:tab w:leader="none" w:pos="1020" w:val="left"/>
        </w:tabs>
        <w:numPr>
          <w:ilvl w:val="1"/>
          <w:numId w:val="30"/>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Disclosed in this report any change in the registrant’s internal control over financial reporting that occurred during the registrant’s most recent fiscal quarter (the registrant’s fourth fiscal quarter in the case of an annual report) that has materially affected, or is reasonably likely to materially affect, the registrant’s internal control over financial reporting; and</w:t>
      </w:r>
    </w:p>
    <w:p>
      <w:pPr>
        <w:ind w:left="520" w:right="380" w:hanging="260"/>
        <w:spacing w:after="0" w:line="253" w:lineRule="auto"/>
        <w:tabs>
          <w:tab w:leader="none" w:pos="520" w:val="left"/>
        </w:tabs>
        <w:numPr>
          <w:ilvl w:val="0"/>
          <w:numId w:val="30"/>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The registrant’s other certifying officer(s) and I have disclosed, based on our most recent evaluation of internal control over financial reporting, to the registrant’s auditors and the audit committee of the registrant’s board of directors (or persons performing the equivalent functions):</w:t>
      </w:r>
    </w:p>
    <w:p>
      <w:pPr>
        <w:ind w:left="1020" w:right="520" w:hanging="251"/>
        <w:spacing w:after="0" w:line="253" w:lineRule="auto"/>
        <w:tabs>
          <w:tab w:leader="none" w:pos="1012" w:val="left"/>
        </w:tabs>
        <w:numPr>
          <w:ilvl w:val="1"/>
          <w:numId w:val="30"/>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All significant deficiencies and material weaknesses in the design or operation of internal control over financial reporting which are reasonably likely to adversely affect the registrant’s ability to record, process, summarize and report financial information; and</w:t>
      </w:r>
    </w:p>
    <w:p>
      <w:pPr>
        <w:ind w:left="1020" w:hanging="251"/>
        <w:spacing w:after="0"/>
        <w:tabs>
          <w:tab w:leader="none" w:pos="1020" w:val="left"/>
        </w:tabs>
        <w:numPr>
          <w:ilvl w:val="1"/>
          <w:numId w:val="30"/>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Any fraud, whether or not material, that involves management or other employees who have a significant role in the registrant’s internal control over financial reporting.</w:t>
      </w:r>
    </w:p>
    <w:p>
      <w:pPr>
        <w:spacing w:after="0" w:line="164"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color w:val="auto"/>
        </w:rPr>
        <w:t>Dated: March 4, 2026</w:t>
      </w:r>
    </w:p>
    <w:p>
      <w:pPr>
        <w:spacing w:after="0" w:line="41" w:lineRule="exact"/>
        <w:rPr>
          <w:sz w:val="20"/>
          <w:szCs w:val="20"/>
          <w:color w:val="auto"/>
        </w:rPr>
      </w:pPr>
    </w:p>
    <w:p>
      <w:pPr>
        <w:ind w:left="5660"/>
        <w:spacing w:after="0"/>
        <w:rPr>
          <w:sz w:val="20"/>
          <w:szCs w:val="20"/>
          <w:color w:val="auto"/>
        </w:rPr>
      </w:pPr>
      <w:r>
        <w:rPr>
          <w:rFonts w:ascii="Times New Roman" w:cs="Times New Roman" w:eastAsia="Times New Roman" w:hAnsi="Times New Roman"/>
          <w:sz w:val="14"/>
          <w:szCs w:val="14"/>
          <w:color w:val="auto"/>
        </w:rPr>
        <w:t>/s/ Brian O. Casey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3580765</wp:posOffset>
            </wp:positionH>
            <wp:positionV relativeFrom="paragraph">
              <wp:posOffset>14605</wp:posOffset>
            </wp:positionV>
            <wp:extent cx="3557270" cy="6985"/>
            <wp:wrapNone/>
            <wp:docPr id="175" name="Picture 17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5"/>
                    <pic:cNvPicPr>
                      <a:picLocks noChangeAspect="1" noChangeArrowheads="1"/>
                    </pic:cNvPicPr>
                  </pic:nvPicPr>
                  <pic:blipFill>
                    <a:blip r:embed="rId217">
                      <a:extLst>
                        <a:ext uri="{28A0092B-C50C-407E-A947-70E740481C1C}"/>
                      </a:extLst>
                    </a:blip>
                    <a:srcRect/>
                    <a:stretch>
                      <a:fillRect/>
                    </a:stretch>
                  </pic:blipFill>
                  <pic:spPr bwMode="auto">
                    <a:xfrm>
                      <a:off x="0" y="0"/>
                      <a:ext cx="3557270" cy="6985"/>
                    </a:xfrm>
                    <a:prstGeom prst="rect">
                      <a:avLst/>
                    </a:prstGeom>
                    <a:noFill/>
                  </pic:spPr>
                </pic:pic>
              </a:graphicData>
            </a:graphic>
          </wp:anchor>
        </w:drawing>
      </w:r>
    </w:p>
    <w:p>
      <w:pPr>
        <w:spacing w:after="0" w:line="10" w:lineRule="exact"/>
        <w:rPr>
          <w:sz w:val="20"/>
          <w:szCs w:val="20"/>
          <w:color w:val="auto"/>
        </w:rPr>
      </w:pPr>
    </w:p>
    <w:p>
      <w:pPr>
        <w:ind w:left="5660"/>
        <w:spacing w:after="0"/>
        <w:rPr>
          <w:sz w:val="20"/>
          <w:szCs w:val="20"/>
          <w:color w:val="auto"/>
        </w:rPr>
      </w:pPr>
      <w:r>
        <w:rPr>
          <w:rFonts w:ascii="Times New Roman" w:cs="Times New Roman" w:eastAsia="Times New Roman" w:hAnsi="Times New Roman"/>
          <w:sz w:val="14"/>
          <w:szCs w:val="14"/>
          <w:color w:val="auto"/>
        </w:rPr>
        <w:t>Brian O. Casey</w:t>
      </w:r>
    </w:p>
    <w:p>
      <w:pPr>
        <w:spacing w:after="0" w:line="23" w:lineRule="exact"/>
        <w:rPr>
          <w:sz w:val="20"/>
          <w:szCs w:val="20"/>
          <w:color w:val="auto"/>
        </w:rPr>
      </w:pPr>
    </w:p>
    <w:p>
      <w:pPr>
        <w:ind w:left="5660"/>
        <w:spacing w:after="0"/>
        <w:rPr>
          <w:sz w:val="20"/>
          <w:szCs w:val="20"/>
          <w:color w:val="auto"/>
        </w:rPr>
      </w:pPr>
      <w:r>
        <w:rPr>
          <w:rFonts w:ascii="Times New Roman" w:cs="Times New Roman" w:eastAsia="Times New Roman" w:hAnsi="Times New Roman"/>
          <w:sz w:val="14"/>
          <w:szCs w:val="14"/>
          <w:color w:val="auto"/>
        </w:rPr>
        <w:t>Chief Executive Officer</w:t>
      </w:r>
    </w:p>
    <w:p>
      <w:pPr>
        <w:sectPr>
          <w:pgSz w:w="11900" w:h="16838" w:orient="portrait"/>
          <w:cols w:equalWidth="0" w:num="1">
            <w:col w:w="11280"/>
          </w:cols>
          <w:pgMar w:left="300" w:top="123" w:right="319" w:bottom="1440" w:gutter="0" w:footer="0" w:header="0"/>
        </w:sectPr>
      </w:pPr>
    </w:p>
    <w:bookmarkStart w:id="112" w:name="page113"/>
    <w:bookmarkEnd w:id="112"/>
    <w:p>
      <w:pPr>
        <w:jc w:val="right"/>
        <w:spacing w:after="0"/>
        <w:rPr>
          <w:sz w:val="20"/>
          <w:szCs w:val="20"/>
          <w:color w:val="auto"/>
        </w:rPr>
      </w:pPr>
      <w:r>
        <w:rPr>
          <w:rFonts w:ascii="Times New Roman" w:cs="Times New Roman" w:eastAsia="Times New Roman" w:hAnsi="Times New Roman"/>
          <w:sz w:val="14"/>
          <w:szCs w:val="14"/>
          <w:b w:val="1"/>
          <w:bCs w:val="1"/>
          <w:color w:val="auto"/>
        </w:rPr>
        <w:t>Exhibit 31.2</w:t>
      </w:r>
    </w:p>
    <w:p>
      <w:pPr>
        <w:spacing w:after="0" w:line="200" w:lineRule="exact"/>
        <w:rPr>
          <w:sz w:val="20"/>
          <w:szCs w:val="20"/>
          <w:color w:val="auto"/>
        </w:rPr>
      </w:pPr>
    </w:p>
    <w:p>
      <w:pPr>
        <w:spacing w:after="0" w:line="28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4"/>
          <w:szCs w:val="14"/>
          <w:b w:val="1"/>
          <w:bCs w:val="1"/>
          <w:color w:val="auto"/>
        </w:rPr>
        <w:t>CERTIFICATION OF CHIEF FINANCIAL OFFICER</w:t>
      </w:r>
    </w:p>
    <w:p>
      <w:pPr>
        <w:spacing w:after="0" w:line="5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4"/>
          <w:szCs w:val="14"/>
          <w:b w:val="1"/>
          <w:bCs w:val="1"/>
          <w:color w:val="auto"/>
        </w:rPr>
        <w:t>PURSUANT TO</w:t>
      </w:r>
    </w:p>
    <w:p>
      <w:pPr>
        <w:spacing w:after="0" w:line="5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4"/>
          <w:szCs w:val="14"/>
          <w:b w:val="1"/>
          <w:bCs w:val="1"/>
          <w:color w:val="auto"/>
        </w:rPr>
        <w:t>SECURITIES EXCHANGE ACT RULES 13A-14 AND 15D-14</w:t>
      </w:r>
    </w:p>
    <w:p>
      <w:pPr>
        <w:spacing w:after="0" w:line="200" w:lineRule="exact"/>
        <w:rPr>
          <w:sz w:val="20"/>
          <w:szCs w:val="20"/>
          <w:color w:val="auto"/>
        </w:rPr>
      </w:pPr>
    </w:p>
    <w:p>
      <w:pPr>
        <w:spacing w:after="0" w:line="320"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color w:val="auto"/>
        </w:rPr>
        <w:t>I, Murray Forbes III, certify that:</w:t>
      </w:r>
    </w:p>
    <w:p>
      <w:pPr>
        <w:spacing w:after="0" w:line="285" w:lineRule="exact"/>
        <w:rPr>
          <w:sz w:val="20"/>
          <w:szCs w:val="20"/>
          <w:color w:val="auto"/>
        </w:rPr>
      </w:pPr>
    </w:p>
    <w:p>
      <w:pPr>
        <w:ind w:left="520" w:hanging="260"/>
        <w:spacing w:after="0"/>
        <w:tabs>
          <w:tab w:leader="none" w:pos="520" w:val="left"/>
        </w:tabs>
        <w:numPr>
          <w:ilvl w:val="0"/>
          <w:numId w:val="31"/>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I have reviewed this annual report on Form 10-K of Westwood Holdings Group, Inc.;</w:t>
      </w:r>
    </w:p>
    <w:p>
      <w:pPr>
        <w:spacing w:after="0" w:line="51" w:lineRule="exact"/>
        <w:rPr>
          <w:rFonts w:ascii="Times New Roman" w:cs="Times New Roman" w:eastAsia="Times New Roman" w:hAnsi="Times New Roman"/>
          <w:sz w:val="14"/>
          <w:szCs w:val="14"/>
          <w:color w:val="auto"/>
        </w:rPr>
      </w:pPr>
    </w:p>
    <w:p>
      <w:pPr>
        <w:ind w:left="520" w:right="720" w:hanging="260"/>
        <w:spacing w:after="0" w:line="284" w:lineRule="auto"/>
        <w:tabs>
          <w:tab w:leader="none" w:pos="520" w:val="left"/>
        </w:tabs>
        <w:numPr>
          <w:ilvl w:val="0"/>
          <w:numId w:val="31"/>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Based on my knowledge, this report does not contain any untrue statement of a material fact or omit to state a material fact necessary to make the statements made, in light of the circumstances under which such statements were made, not misleading with respect to the period covered by this report;</w:t>
      </w:r>
    </w:p>
    <w:p>
      <w:pPr>
        <w:ind w:left="520" w:right="200" w:hanging="260"/>
        <w:spacing w:after="0" w:line="284" w:lineRule="auto"/>
        <w:tabs>
          <w:tab w:leader="none" w:pos="520" w:val="left"/>
        </w:tabs>
        <w:numPr>
          <w:ilvl w:val="0"/>
          <w:numId w:val="31"/>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Based on my knowledge, the financial statements, and other financial information included in this report, fairly present in all material respects the financial condition, results of operations and cash flows of the registrant as of, and for, the periods presented in this report;</w:t>
      </w:r>
    </w:p>
    <w:p>
      <w:pPr>
        <w:ind w:left="520" w:right="240" w:hanging="260"/>
        <w:spacing w:after="0" w:line="284" w:lineRule="auto"/>
        <w:tabs>
          <w:tab w:leader="none" w:pos="520" w:val="left"/>
        </w:tabs>
        <w:numPr>
          <w:ilvl w:val="0"/>
          <w:numId w:val="31"/>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The registrant’s other certifying officer(s) and I are responsible for establishing and maintaining disclosure controls and procedures (as defined in Exchange Act Rules 13a-15(e) and 15d-15(e)) and internal control over financial reporting (as defined in Exchange Act Rules 13a-15(f) and 15d-15(f)) for the registrant and have:</w:t>
      </w:r>
    </w:p>
    <w:p>
      <w:pPr>
        <w:jc w:val="both"/>
        <w:ind w:left="1020" w:right="360" w:hanging="251"/>
        <w:spacing w:after="0" w:line="270" w:lineRule="auto"/>
        <w:tabs>
          <w:tab w:leader="none" w:pos="1012" w:val="left"/>
        </w:tabs>
        <w:numPr>
          <w:ilvl w:val="1"/>
          <w:numId w:val="31"/>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Designed such disclosure controls and procedures, or caused such disclosure controls and procedures to be designed under our supervision, to ensure that material information relating to the registrant, including its consolidated subsidiaries, is made known to us by others within those entities, particularly during the period in which this report is being prepared;</w:t>
      </w:r>
    </w:p>
    <w:p>
      <w:pPr>
        <w:spacing w:after="0" w:line="8" w:lineRule="exact"/>
        <w:rPr>
          <w:rFonts w:ascii="Times New Roman" w:cs="Times New Roman" w:eastAsia="Times New Roman" w:hAnsi="Times New Roman"/>
          <w:sz w:val="14"/>
          <w:szCs w:val="14"/>
          <w:color w:val="auto"/>
        </w:rPr>
      </w:pPr>
    </w:p>
    <w:p>
      <w:pPr>
        <w:jc w:val="both"/>
        <w:ind w:left="1020" w:right="560" w:hanging="251"/>
        <w:spacing w:after="0" w:line="270" w:lineRule="auto"/>
        <w:tabs>
          <w:tab w:leader="none" w:pos="1020" w:val="left"/>
        </w:tabs>
        <w:numPr>
          <w:ilvl w:val="1"/>
          <w:numId w:val="31"/>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Designed such internal control over financial reporting, or caused such internal control over financial reporting to be designed under our supervision, to provide reasonable assurance regarding the reliability of financial reporting and the preparation of financial statements for external purposes in accordance with generally accepted accounting principles;</w:t>
      </w:r>
    </w:p>
    <w:p>
      <w:pPr>
        <w:spacing w:after="0" w:line="8" w:lineRule="exact"/>
        <w:rPr>
          <w:rFonts w:ascii="Times New Roman" w:cs="Times New Roman" w:eastAsia="Times New Roman" w:hAnsi="Times New Roman"/>
          <w:sz w:val="14"/>
          <w:szCs w:val="14"/>
          <w:color w:val="auto"/>
        </w:rPr>
      </w:pPr>
    </w:p>
    <w:p>
      <w:pPr>
        <w:ind w:left="1020" w:right="180" w:hanging="251"/>
        <w:spacing w:after="0" w:line="284" w:lineRule="auto"/>
        <w:tabs>
          <w:tab w:leader="none" w:pos="1012" w:val="left"/>
        </w:tabs>
        <w:numPr>
          <w:ilvl w:val="1"/>
          <w:numId w:val="31"/>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Evaluated the effectiveness of the registrant’s disclosure controls and procedures and presented in this report our conclusions about the effectiveness of the disclosure controls and procedures, as of the end of the period covered by this report based on such evaluation; and</w:t>
      </w:r>
    </w:p>
    <w:p>
      <w:pPr>
        <w:ind w:left="1020" w:right="160" w:hanging="251"/>
        <w:spacing w:after="0" w:line="284" w:lineRule="auto"/>
        <w:tabs>
          <w:tab w:leader="none" w:pos="1020" w:val="left"/>
        </w:tabs>
        <w:numPr>
          <w:ilvl w:val="1"/>
          <w:numId w:val="31"/>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Disclosed in this report any change in the registrant’s internal control over financial reporting that occurred during the registrant’s most recent fiscal quarter (the registrant’s fourth fiscal quarter in the case of an annual report) that has materially affected, or is reasonably likely to materially affect, the registrant’s internal control over financial reporting; and</w:t>
      </w:r>
    </w:p>
    <w:p>
      <w:pPr>
        <w:ind w:left="520" w:right="380" w:hanging="260"/>
        <w:spacing w:after="0" w:line="284" w:lineRule="auto"/>
        <w:tabs>
          <w:tab w:leader="none" w:pos="520" w:val="left"/>
        </w:tabs>
        <w:numPr>
          <w:ilvl w:val="0"/>
          <w:numId w:val="31"/>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The registrant’s other certifying officer(s) and I have disclosed, based on our most recent evaluation of internal control over financial reporting, to the registrant’s auditors and the audit committee of the registrant’s board of directors (or persons performing the equivalent functions):</w:t>
      </w:r>
    </w:p>
    <w:p>
      <w:pPr>
        <w:ind w:left="1020" w:right="520" w:hanging="251"/>
        <w:spacing w:after="0" w:line="284" w:lineRule="auto"/>
        <w:tabs>
          <w:tab w:leader="none" w:pos="1012" w:val="left"/>
        </w:tabs>
        <w:numPr>
          <w:ilvl w:val="1"/>
          <w:numId w:val="31"/>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All significant deficiencies and material weaknesses in the design or operation of internal control over financial reporting which are reasonably likely to adversely affect the registrant’s ability to record, process, summarize and report financial information; and</w:t>
      </w:r>
    </w:p>
    <w:p>
      <w:pPr>
        <w:ind w:left="1020" w:hanging="251"/>
        <w:spacing w:after="0"/>
        <w:tabs>
          <w:tab w:leader="none" w:pos="1020" w:val="left"/>
        </w:tabs>
        <w:numPr>
          <w:ilvl w:val="1"/>
          <w:numId w:val="31"/>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Any fraud, whether or not material, that involves management or other employees who have a significant role in the registrant’s internal control over financial reporting.</w:t>
      </w:r>
    </w:p>
    <w:p>
      <w:pPr>
        <w:spacing w:after="0" w:line="51"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color w:val="auto"/>
        </w:rPr>
        <w:t>Dated: March 4, 2026</w:t>
      </w:r>
    </w:p>
    <w:p>
      <w:pPr>
        <w:spacing w:after="0" w:line="83" w:lineRule="exact"/>
        <w:rPr>
          <w:sz w:val="20"/>
          <w:szCs w:val="20"/>
          <w:color w:val="auto"/>
        </w:rPr>
      </w:pPr>
    </w:p>
    <w:p>
      <w:pPr>
        <w:ind w:left="5660"/>
        <w:spacing w:after="0"/>
        <w:rPr>
          <w:sz w:val="20"/>
          <w:szCs w:val="20"/>
          <w:color w:val="auto"/>
        </w:rPr>
      </w:pPr>
      <w:r>
        <w:rPr>
          <w:rFonts w:ascii="Times New Roman" w:cs="Times New Roman" w:eastAsia="Times New Roman" w:hAnsi="Times New Roman"/>
          <w:sz w:val="14"/>
          <w:szCs w:val="14"/>
          <w:color w:val="auto"/>
        </w:rPr>
        <w:t>/s/ Murray Forbes III</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3580765</wp:posOffset>
            </wp:positionH>
            <wp:positionV relativeFrom="paragraph">
              <wp:posOffset>14605</wp:posOffset>
            </wp:positionV>
            <wp:extent cx="3557270" cy="6985"/>
            <wp:wrapNone/>
            <wp:docPr id="176" name="Picture 17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6"/>
                    <pic:cNvPicPr>
                      <a:picLocks noChangeAspect="1" noChangeArrowheads="1"/>
                    </pic:cNvPicPr>
                  </pic:nvPicPr>
                  <pic:blipFill>
                    <a:blip r:embed="rId218">
                      <a:extLst>
                        <a:ext uri="{28A0092B-C50C-407E-A947-70E740481C1C}"/>
                      </a:extLst>
                    </a:blip>
                    <a:srcRect/>
                    <a:stretch>
                      <a:fillRect/>
                    </a:stretch>
                  </pic:blipFill>
                  <pic:spPr bwMode="auto">
                    <a:xfrm>
                      <a:off x="0" y="0"/>
                      <a:ext cx="3557270" cy="6985"/>
                    </a:xfrm>
                    <a:prstGeom prst="rect">
                      <a:avLst/>
                    </a:prstGeom>
                    <a:noFill/>
                  </pic:spPr>
                </pic:pic>
              </a:graphicData>
            </a:graphic>
          </wp:anchor>
        </w:drawing>
      </w:r>
    </w:p>
    <w:p>
      <w:pPr>
        <w:spacing w:after="0" w:line="10" w:lineRule="exact"/>
        <w:rPr>
          <w:sz w:val="20"/>
          <w:szCs w:val="20"/>
          <w:color w:val="auto"/>
        </w:rPr>
      </w:pPr>
    </w:p>
    <w:p>
      <w:pPr>
        <w:ind w:left="5660"/>
        <w:spacing w:after="0"/>
        <w:rPr>
          <w:sz w:val="20"/>
          <w:szCs w:val="20"/>
          <w:color w:val="auto"/>
        </w:rPr>
      </w:pPr>
      <w:r>
        <w:rPr>
          <w:rFonts w:ascii="Times New Roman" w:cs="Times New Roman" w:eastAsia="Times New Roman" w:hAnsi="Times New Roman"/>
          <w:sz w:val="14"/>
          <w:szCs w:val="14"/>
          <w:color w:val="auto"/>
        </w:rPr>
        <w:t>Murray Forbes III</w:t>
      </w:r>
    </w:p>
    <w:p>
      <w:pPr>
        <w:spacing w:after="0" w:line="23" w:lineRule="exact"/>
        <w:rPr>
          <w:sz w:val="20"/>
          <w:szCs w:val="20"/>
          <w:color w:val="auto"/>
        </w:rPr>
      </w:pPr>
    </w:p>
    <w:p>
      <w:pPr>
        <w:ind w:left="5660"/>
        <w:spacing w:after="0"/>
        <w:rPr>
          <w:sz w:val="20"/>
          <w:szCs w:val="20"/>
          <w:color w:val="auto"/>
        </w:rPr>
      </w:pPr>
      <w:r>
        <w:rPr>
          <w:rFonts w:ascii="Times New Roman" w:cs="Times New Roman" w:eastAsia="Times New Roman" w:hAnsi="Times New Roman"/>
          <w:sz w:val="14"/>
          <w:szCs w:val="14"/>
          <w:color w:val="auto"/>
        </w:rPr>
        <w:t>Chief Financial Officer</w:t>
      </w:r>
    </w:p>
    <w:p>
      <w:pPr>
        <w:sectPr>
          <w:pgSz w:w="11900" w:h="16838" w:orient="portrait"/>
          <w:cols w:equalWidth="0" w:num="1">
            <w:col w:w="11280"/>
          </w:cols>
          <w:pgMar w:left="300" w:top="123" w:right="319" w:bottom="1440" w:gutter="0" w:footer="0" w:header="0"/>
        </w:sectPr>
      </w:pPr>
    </w:p>
    <w:bookmarkStart w:id="113" w:name="page114"/>
    <w:bookmarkEnd w:id="113"/>
    <w:p>
      <w:pPr>
        <w:jc w:val="right"/>
        <w:spacing w:after="0"/>
        <w:rPr>
          <w:sz w:val="20"/>
          <w:szCs w:val="20"/>
          <w:color w:val="auto"/>
        </w:rPr>
      </w:pPr>
      <w:r>
        <w:rPr>
          <w:rFonts w:ascii="Times New Roman" w:cs="Times New Roman" w:eastAsia="Times New Roman" w:hAnsi="Times New Roman"/>
          <w:sz w:val="14"/>
          <w:szCs w:val="14"/>
          <w:b w:val="1"/>
          <w:bCs w:val="1"/>
          <w:color w:val="auto"/>
        </w:rPr>
        <w:t>Exhibit 32.1</w:t>
      </w:r>
    </w:p>
    <w:p>
      <w:pPr>
        <w:spacing w:after="0" w:line="200" w:lineRule="exact"/>
        <w:rPr>
          <w:sz w:val="20"/>
          <w:szCs w:val="20"/>
          <w:color w:val="auto"/>
        </w:rPr>
      </w:pPr>
    </w:p>
    <w:p>
      <w:pPr>
        <w:spacing w:after="0" w:line="244"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4"/>
          <w:szCs w:val="14"/>
          <w:b w:val="1"/>
          <w:bCs w:val="1"/>
          <w:color w:val="auto"/>
        </w:rPr>
        <w:t>CERTIFICATION PURSUANT TO</w:t>
      </w:r>
    </w:p>
    <w:p>
      <w:pPr>
        <w:spacing w:after="0" w:line="2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4"/>
          <w:szCs w:val="14"/>
          <w:b w:val="1"/>
          <w:bCs w:val="1"/>
          <w:color w:val="auto"/>
        </w:rPr>
        <w:t>18 U.S.C. SECTION 1350,</w:t>
      </w:r>
    </w:p>
    <w:p>
      <w:pPr>
        <w:spacing w:after="0" w:line="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4"/>
          <w:szCs w:val="14"/>
          <w:b w:val="1"/>
          <w:bCs w:val="1"/>
          <w:color w:val="auto"/>
        </w:rPr>
        <w:t>AS ADOPTED PURSUANT TO</w:t>
      </w:r>
    </w:p>
    <w:p>
      <w:pPr>
        <w:spacing w:after="0" w:line="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4"/>
          <w:szCs w:val="14"/>
          <w:b w:val="1"/>
          <w:bCs w:val="1"/>
          <w:color w:val="auto"/>
        </w:rPr>
        <w:t>SECTION 906 OF THE SARBANES-OXLEY ACT OF 2002</w:t>
      </w:r>
    </w:p>
    <w:p>
      <w:pPr>
        <w:spacing w:after="0" w:line="200" w:lineRule="exact"/>
        <w:rPr>
          <w:sz w:val="20"/>
          <w:szCs w:val="20"/>
          <w:color w:val="auto"/>
        </w:rPr>
      </w:pPr>
    </w:p>
    <w:p>
      <w:pPr>
        <w:spacing w:after="0" w:line="261" w:lineRule="exact"/>
        <w:rPr>
          <w:sz w:val="20"/>
          <w:szCs w:val="20"/>
          <w:color w:val="auto"/>
        </w:rPr>
      </w:pPr>
    </w:p>
    <w:p>
      <w:pPr>
        <w:ind w:right="340"/>
        <w:spacing w:after="0" w:line="270" w:lineRule="auto"/>
        <w:rPr>
          <w:sz w:val="20"/>
          <w:szCs w:val="20"/>
          <w:color w:val="auto"/>
        </w:rPr>
      </w:pPr>
      <w:r>
        <w:rPr>
          <w:rFonts w:ascii="Times New Roman" w:cs="Times New Roman" w:eastAsia="Times New Roman" w:hAnsi="Times New Roman"/>
          <w:sz w:val="14"/>
          <w:szCs w:val="14"/>
          <w:color w:val="auto"/>
        </w:rPr>
        <w:t>In connection with the Annual Report of Westwood Holdings Group, Inc. (the “Company”) on Form 10-K for the year ended December 31, 2025, as filed with the Securities and Exchange Commission on the date hereof (the “Report”), I, Brian O. Casey, President &amp; Chief Executive Officer of the Company, certify, pursuant to 18 U.S.C. § 1350, as adopted pursuant to § 906 of the Sarbanes-Oxley Act of 2002, that, to the best of my knowledge:</w:t>
      </w:r>
    </w:p>
    <w:p>
      <w:pPr>
        <w:spacing w:after="0" w:line="51" w:lineRule="exact"/>
        <w:rPr>
          <w:sz w:val="20"/>
          <w:szCs w:val="20"/>
          <w:color w:val="auto"/>
        </w:rPr>
      </w:pPr>
    </w:p>
    <w:p>
      <w:pPr>
        <w:ind w:left="820" w:hanging="306"/>
        <w:spacing w:after="0"/>
        <w:tabs>
          <w:tab w:leader="none" w:pos="820" w:val="left"/>
        </w:tabs>
        <w:numPr>
          <w:ilvl w:val="0"/>
          <w:numId w:val="32"/>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The Report fully complies with the requirements of section 13(a) or 15(d) of the Securities Exchange Act of 1934 (15 U.S.C.78m or 78o(d)); and</w:t>
      </w:r>
    </w:p>
    <w:p>
      <w:pPr>
        <w:spacing w:after="0" w:line="93" w:lineRule="exact"/>
        <w:rPr>
          <w:rFonts w:ascii="Times New Roman" w:cs="Times New Roman" w:eastAsia="Times New Roman" w:hAnsi="Times New Roman"/>
          <w:sz w:val="14"/>
          <w:szCs w:val="14"/>
          <w:color w:val="auto"/>
        </w:rPr>
      </w:pPr>
    </w:p>
    <w:p>
      <w:pPr>
        <w:ind w:left="820" w:hanging="306"/>
        <w:spacing w:after="0"/>
        <w:tabs>
          <w:tab w:leader="none" w:pos="820" w:val="left"/>
        </w:tabs>
        <w:numPr>
          <w:ilvl w:val="0"/>
          <w:numId w:val="32"/>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The information contained in the Report fairly presents, in all material respects, the financial condition and results of operations of the Company.</w:t>
      </w:r>
    </w:p>
    <w:p>
      <w:pPr>
        <w:spacing w:after="0" w:line="94"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color w:val="auto"/>
        </w:rPr>
        <w:t>Dated: March 4, 2026</w:t>
      </w:r>
    </w:p>
    <w:p>
      <w:pPr>
        <w:spacing w:after="0" w:line="41" w:lineRule="exact"/>
        <w:rPr>
          <w:sz w:val="20"/>
          <w:szCs w:val="20"/>
          <w:color w:val="auto"/>
        </w:rPr>
      </w:pPr>
    </w:p>
    <w:p>
      <w:pPr>
        <w:ind w:left="5660"/>
        <w:spacing w:after="0"/>
        <w:rPr>
          <w:sz w:val="20"/>
          <w:szCs w:val="20"/>
          <w:color w:val="auto"/>
        </w:rPr>
      </w:pPr>
      <w:r>
        <w:rPr>
          <w:rFonts w:ascii="Times New Roman" w:cs="Times New Roman" w:eastAsia="Times New Roman" w:hAnsi="Times New Roman"/>
          <w:sz w:val="14"/>
          <w:szCs w:val="14"/>
          <w:color w:val="auto"/>
        </w:rPr>
        <w:t>/s/ Brian O. Casey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3580765</wp:posOffset>
            </wp:positionH>
            <wp:positionV relativeFrom="paragraph">
              <wp:posOffset>14605</wp:posOffset>
            </wp:positionV>
            <wp:extent cx="3557270" cy="6985"/>
            <wp:wrapNone/>
            <wp:docPr id="177" name="Picture 17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7"/>
                    <pic:cNvPicPr>
                      <a:picLocks noChangeAspect="1" noChangeArrowheads="1"/>
                    </pic:cNvPicPr>
                  </pic:nvPicPr>
                  <pic:blipFill>
                    <a:blip r:embed="rId219">
                      <a:extLst>
                        <a:ext uri="{28A0092B-C50C-407E-A947-70E740481C1C}"/>
                      </a:extLst>
                    </a:blip>
                    <a:srcRect/>
                    <a:stretch>
                      <a:fillRect/>
                    </a:stretch>
                  </pic:blipFill>
                  <pic:spPr bwMode="auto">
                    <a:xfrm>
                      <a:off x="0" y="0"/>
                      <a:ext cx="3557270" cy="6985"/>
                    </a:xfrm>
                    <a:prstGeom prst="rect">
                      <a:avLst/>
                    </a:prstGeom>
                    <a:noFill/>
                  </pic:spPr>
                </pic:pic>
              </a:graphicData>
            </a:graphic>
          </wp:anchor>
        </w:drawing>
      </w:r>
    </w:p>
    <w:p>
      <w:pPr>
        <w:spacing w:after="0" w:line="10" w:lineRule="exact"/>
        <w:rPr>
          <w:sz w:val="20"/>
          <w:szCs w:val="20"/>
          <w:color w:val="auto"/>
        </w:rPr>
      </w:pPr>
    </w:p>
    <w:p>
      <w:pPr>
        <w:ind w:left="5660"/>
        <w:spacing w:after="0"/>
        <w:rPr>
          <w:sz w:val="20"/>
          <w:szCs w:val="20"/>
          <w:color w:val="auto"/>
        </w:rPr>
      </w:pPr>
      <w:r>
        <w:rPr>
          <w:rFonts w:ascii="Times New Roman" w:cs="Times New Roman" w:eastAsia="Times New Roman" w:hAnsi="Times New Roman"/>
          <w:sz w:val="14"/>
          <w:szCs w:val="14"/>
          <w:color w:val="auto"/>
        </w:rPr>
        <w:t>Brian O. Casey</w:t>
      </w:r>
    </w:p>
    <w:p>
      <w:pPr>
        <w:spacing w:after="0" w:line="23" w:lineRule="exact"/>
        <w:rPr>
          <w:sz w:val="20"/>
          <w:szCs w:val="20"/>
          <w:color w:val="auto"/>
        </w:rPr>
      </w:pPr>
    </w:p>
    <w:p>
      <w:pPr>
        <w:ind w:left="5660"/>
        <w:spacing w:after="0"/>
        <w:rPr>
          <w:sz w:val="20"/>
          <w:szCs w:val="20"/>
          <w:color w:val="auto"/>
        </w:rPr>
      </w:pPr>
      <w:r>
        <w:rPr>
          <w:rFonts w:ascii="Times New Roman" w:cs="Times New Roman" w:eastAsia="Times New Roman" w:hAnsi="Times New Roman"/>
          <w:sz w:val="14"/>
          <w:szCs w:val="14"/>
          <w:color w:val="auto"/>
        </w:rPr>
        <w:t>Chief Executive Officer</w:t>
      </w:r>
    </w:p>
    <w:p>
      <w:pPr>
        <w:spacing w:after="0" w:line="281" w:lineRule="exact"/>
        <w:rPr>
          <w:sz w:val="20"/>
          <w:szCs w:val="20"/>
          <w:color w:val="auto"/>
        </w:rPr>
      </w:pPr>
    </w:p>
    <w:p>
      <w:pPr>
        <w:ind w:right="60"/>
        <w:spacing w:after="0" w:line="270" w:lineRule="auto"/>
        <w:rPr>
          <w:sz w:val="20"/>
          <w:szCs w:val="20"/>
          <w:color w:val="auto"/>
        </w:rPr>
      </w:pPr>
      <w:r>
        <w:rPr>
          <w:rFonts w:ascii="Times New Roman" w:cs="Times New Roman" w:eastAsia="Times New Roman" w:hAnsi="Times New Roman"/>
          <w:sz w:val="14"/>
          <w:szCs w:val="14"/>
          <w:color w:val="auto"/>
        </w:rPr>
        <w:t>A signed original of this written statement required by Section 906 has been provided to Westwood Holdings Group, Inc. and will be retained by Westwood Holdings Group, Inc. and furnished to the Securities and Exchange Commission or its staff upon request. The foregoing certification is being furnished solely pursuant to 18 U.S.C. Section 1350 and is not being filed as part of the Report or as a separate disclosure document.</w:t>
      </w:r>
    </w:p>
    <w:p>
      <w:pPr>
        <w:sectPr>
          <w:pgSz w:w="11900" w:h="16838" w:orient="portrait"/>
          <w:cols w:equalWidth="0" w:num="1">
            <w:col w:w="11280"/>
          </w:cols>
          <w:pgMar w:left="300" w:top="123" w:right="319" w:bottom="1440" w:gutter="0" w:footer="0" w:header="0"/>
        </w:sectPr>
      </w:pPr>
    </w:p>
    <w:bookmarkStart w:id="114" w:name="page115"/>
    <w:bookmarkEnd w:id="114"/>
    <w:p>
      <w:pPr>
        <w:jc w:val="right"/>
        <w:spacing w:after="0"/>
        <w:rPr>
          <w:sz w:val="20"/>
          <w:szCs w:val="20"/>
          <w:color w:val="auto"/>
        </w:rPr>
      </w:pPr>
      <w:r>
        <w:rPr>
          <w:rFonts w:ascii="Times New Roman" w:cs="Times New Roman" w:eastAsia="Times New Roman" w:hAnsi="Times New Roman"/>
          <w:sz w:val="14"/>
          <w:szCs w:val="14"/>
          <w:b w:val="1"/>
          <w:bCs w:val="1"/>
          <w:color w:val="auto"/>
        </w:rPr>
        <w:t>Exhibit 32.2</w:t>
      </w:r>
    </w:p>
    <w:p>
      <w:pPr>
        <w:spacing w:after="0" w:line="200" w:lineRule="exact"/>
        <w:rPr>
          <w:sz w:val="20"/>
          <w:szCs w:val="20"/>
          <w:color w:val="auto"/>
        </w:rPr>
      </w:pPr>
    </w:p>
    <w:p>
      <w:pPr>
        <w:spacing w:after="0" w:line="244"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4"/>
          <w:szCs w:val="14"/>
          <w:b w:val="1"/>
          <w:bCs w:val="1"/>
          <w:color w:val="auto"/>
        </w:rPr>
        <w:t>CERTIFICATION PURSUANT TO</w:t>
      </w:r>
    </w:p>
    <w:p>
      <w:pPr>
        <w:spacing w:after="0" w:line="2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4"/>
          <w:szCs w:val="14"/>
          <w:b w:val="1"/>
          <w:bCs w:val="1"/>
          <w:color w:val="auto"/>
        </w:rPr>
        <w:t>18 U.S.C. SECTION 1350,</w:t>
      </w:r>
    </w:p>
    <w:p>
      <w:pPr>
        <w:spacing w:after="0" w:line="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4"/>
          <w:szCs w:val="14"/>
          <w:b w:val="1"/>
          <w:bCs w:val="1"/>
          <w:color w:val="auto"/>
        </w:rPr>
        <w:t>AS ADOPTED PURSUANT TO</w:t>
      </w:r>
    </w:p>
    <w:p>
      <w:pPr>
        <w:spacing w:after="0" w:line="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4"/>
          <w:szCs w:val="14"/>
          <w:b w:val="1"/>
          <w:bCs w:val="1"/>
          <w:color w:val="auto"/>
        </w:rPr>
        <w:t>SECTION 906 OF THE SARBANES-OXLEY ACT OF 2002</w:t>
      </w:r>
    </w:p>
    <w:p>
      <w:pPr>
        <w:spacing w:after="0" w:line="270" w:lineRule="exact"/>
        <w:rPr>
          <w:sz w:val="20"/>
          <w:szCs w:val="20"/>
          <w:color w:val="auto"/>
        </w:rPr>
      </w:pPr>
    </w:p>
    <w:p>
      <w:pPr>
        <w:ind w:right="320"/>
        <w:spacing w:after="0" w:line="270" w:lineRule="auto"/>
        <w:rPr>
          <w:sz w:val="20"/>
          <w:szCs w:val="20"/>
          <w:color w:val="auto"/>
        </w:rPr>
      </w:pPr>
      <w:r>
        <w:rPr>
          <w:rFonts w:ascii="Times New Roman" w:cs="Times New Roman" w:eastAsia="Times New Roman" w:hAnsi="Times New Roman"/>
          <w:sz w:val="14"/>
          <w:szCs w:val="14"/>
          <w:color w:val="auto"/>
        </w:rPr>
        <w:t>In connection with the Annual Report of Westwood Holdings Group, Inc. (the “Company”) on Form 10-K for the year ended December 31, 2025, as filed with the Securities and Exchange Commission on the date hereof (the “Report”), I, Murray Forbes III, Chief Financial Officer of the Company, certify, pursuant to 18 U.S.C. § 1350, as adopted pursuant to § 906 of the Sarbanes-Oxley Act of 2002, that, to the best of my knowledge:</w:t>
      </w:r>
    </w:p>
    <w:p>
      <w:pPr>
        <w:spacing w:after="0" w:line="51" w:lineRule="exact"/>
        <w:rPr>
          <w:sz w:val="20"/>
          <w:szCs w:val="20"/>
          <w:color w:val="auto"/>
        </w:rPr>
      </w:pPr>
    </w:p>
    <w:p>
      <w:pPr>
        <w:ind w:left="820" w:hanging="306"/>
        <w:spacing w:after="0"/>
        <w:tabs>
          <w:tab w:leader="none" w:pos="820" w:val="left"/>
        </w:tabs>
        <w:numPr>
          <w:ilvl w:val="0"/>
          <w:numId w:val="33"/>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The Report fully complies with the requirements of section 13(a) or 15(d) of the Securities Exchange Act of 1934 (15 U.S.C.78m or 78o(d)); and</w:t>
      </w:r>
    </w:p>
    <w:p>
      <w:pPr>
        <w:spacing w:after="0" w:line="93" w:lineRule="exact"/>
        <w:rPr>
          <w:rFonts w:ascii="Times New Roman" w:cs="Times New Roman" w:eastAsia="Times New Roman" w:hAnsi="Times New Roman"/>
          <w:sz w:val="14"/>
          <w:szCs w:val="14"/>
          <w:color w:val="auto"/>
        </w:rPr>
      </w:pPr>
    </w:p>
    <w:p>
      <w:pPr>
        <w:ind w:right="2260" w:firstLine="514"/>
        <w:spacing w:after="0" w:line="403" w:lineRule="auto"/>
        <w:tabs>
          <w:tab w:leader="none" w:pos="813" w:val="left"/>
        </w:tabs>
        <w:numPr>
          <w:ilvl w:val="0"/>
          <w:numId w:val="33"/>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The information contained in the Report fairly presents, in all material respects, the financial condition and results of operations of the Company. Dated: March 4, 2026</w:t>
      </w:r>
    </w:p>
    <w:p>
      <w:pPr>
        <w:ind w:left="5660"/>
        <w:spacing w:after="0"/>
        <w:rPr>
          <w:sz w:val="20"/>
          <w:szCs w:val="20"/>
          <w:color w:val="auto"/>
        </w:rPr>
      </w:pPr>
      <w:r>
        <w:rPr>
          <w:rFonts w:ascii="Times New Roman" w:cs="Times New Roman" w:eastAsia="Times New Roman" w:hAnsi="Times New Roman"/>
          <w:sz w:val="14"/>
          <w:szCs w:val="14"/>
          <w:color w:val="auto"/>
        </w:rPr>
        <w:t>/s/ Murray Forbes III</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3580765</wp:posOffset>
            </wp:positionH>
            <wp:positionV relativeFrom="paragraph">
              <wp:posOffset>14605</wp:posOffset>
            </wp:positionV>
            <wp:extent cx="3557270" cy="6985"/>
            <wp:wrapNone/>
            <wp:docPr id="178" name="Picture 17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8"/>
                    <pic:cNvPicPr>
                      <a:picLocks noChangeAspect="1" noChangeArrowheads="1"/>
                    </pic:cNvPicPr>
                  </pic:nvPicPr>
                  <pic:blipFill>
                    <a:blip r:embed="rId220">
                      <a:extLst>
                        <a:ext uri="{28A0092B-C50C-407E-A947-70E740481C1C}"/>
                      </a:extLst>
                    </a:blip>
                    <a:srcRect/>
                    <a:stretch>
                      <a:fillRect/>
                    </a:stretch>
                  </pic:blipFill>
                  <pic:spPr bwMode="auto">
                    <a:xfrm>
                      <a:off x="0" y="0"/>
                      <a:ext cx="3557270" cy="6985"/>
                    </a:xfrm>
                    <a:prstGeom prst="rect">
                      <a:avLst/>
                    </a:prstGeom>
                    <a:noFill/>
                  </pic:spPr>
                </pic:pic>
              </a:graphicData>
            </a:graphic>
          </wp:anchor>
        </w:drawing>
      </w:r>
    </w:p>
    <w:p>
      <w:pPr>
        <w:spacing w:after="0" w:line="10" w:lineRule="exact"/>
        <w:rPr>
          <w:sz w:val="20"/>
          <w:szCs w:val="20"/>
          <w:color w:val="auto"/>
        </w:rPr>
      </w:pPr>
    </w:p>
    <w:p>
      <w:pPr>
        <w:ind w:left="5660"/>
        <w:spacing w:after="0"/>
        <w:rPr>
          <w:sz w:val="20"/>
          <w:szCs w:val="20"/>
          <w:color w:val="auto"/>
        </w:rPr>
      </w:pPr>
      <w:r>
        <w:rPr>
          <w:rFonts w:ascii="Times New Roman" w:cs="Times New Roman" w:eastAsia="Times New Roman" w:hAnsi="Times New Roman"/>
          <w:sz w:val="14"/>
          <w:szCs w:val="14"/>
          <w:color w:val="auto"/>
        </w:rPr>
        <w:t>Murray Forbes III</w:t>
      </w:r>
    </w:p>
    <w:p>
      <w:pPr>
        <w:spacing w:after="0" w:line="23" w:lineRule="exact"/>
        <w:rPr>
          <w:sz w:val="20"/>
          <w:szCs w:val="20"/>
          <w:color w:val="auto"/>
        </w:rPr>
      </w:pPr>
    </w:p>
    <w:p>
      <w:pPr>
        <w:ind w:left="5660"/>
        <w:spacing w:after="0"/>
        <w:rPr>
          <w:sz w:val="20"/>
          <w:szCs w:val="20"/>
          <w:color w:val="auto"/>
        </w:rPr>
      </w:pPr>
      <w:r>
        <w:rPr>
          <w:rFonts w:ascii="Times New Roman" w:cs="Times New Roman" w:eastAsia="Times New Roman" w:hAnsi="Times New Roman"/>
          <w:sz w:val="14"/>
          <w:szCs w:val="14"/>
          <w:color w:val="auto"/>
        </w:rPr>
        <w:t>Chief Financial Officer</w:t>
      </w:r>
    </w:p>
    <w:p>
      <w:pPr>
        <w:spacing w:after="0" w:line="200" w:lineRule="exact"/>
        <w:rPr>
          <w:sz w:val="20"/>
          <w:szCs w:val="20"/>
          <w:color w:val="auto"/>
        </w:rPr>
      </w:pPr>
    </w:p>
    <w:p>
      <w:pPr>
        <w:spacing w:after="0" w:line="251" w:lineRule="exact"/>
        <w:rPr>
          <w:sz w:val="20"/>
          <w:szCs w:val="20"/>
          <w:color w:val="auto"/>
        </w:rPr>
      </w:pPr>
    </w:p>
    <w:p>
      <w:pPr>
        <w:ind w:right="60"/>
        <w:spacing w:after="0" w:line="270" w:lineRule="auto"/>
        <w:rPr>
          <w:sz w:val="20"/>
          <w:szCs w:val="20"/>
          <w:color w:val="auto"/>
        </w:rPr>
      </w:pPr>
      <w:r>
        <w:rPr>
          <w:rFonts w:ascii="Times New Roman" w:cs="Times New Roman" w:eastAsia="Times New Roman" w:hAnsi="Times New Roman"/>
          <w:sz w:val="14"/>
          <w:szCs w:val="14"/>
          <w:color w:val="auto"/>
        </w:rPr>
        <w:t>A signed original of this written statement required by Section 906 has been provided to Westwood Holdings Group, Inc. and will be retained by Westwood Holdings Group, Inc. and furnished to the Securities and Exchange Commission or its staff upon request. The foregoing certification is being furnished solely pursuant to 18 U.S.C. Section 1350 and is not being filed as part of the Report or as a separate disclosure document.</w:t>
      </w:r>
    </w:p>
    <w:sectPr>
      <w:pgSz w:w="11900" w:h="16838" w:orient="portrait"/>
      <w:cols w:equalWidth="0" w:num="1">
        <w:col w:w="11280"/>
      </w:cols>
      <w:pgMar w:left="300" w:top="123" w:right="319"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MS PGothic">
    <w:panose1 w:val="020B0600070205080204"/>
    <w:charset w:val="80"/>
    <w:family w:val="swiss"/>
    <w:pitch w:val="variable"/>
    <w:sig w:usb0="E00002FF" w:usb1="6AC7FDFB" w:usb2="08000012" w:usb3="00000000" w:csb0="4002009F" w:csb1="DFD70000"/>
  </w:font>
</w:fonts>
</file>

<file path=word/numbering.xml><?xml version="1.0" encoding="utf-8"?>
<w:numbering xmlns:w="http://schemas.openxmlformats.org/wordprocessingml/2006/main">
  <w:abstractNum w:abstractNumId="0">
    <w:nsid w:val="25E45D32"/>
    <w:multiLevelType w:val="hybridMultilevel"/>
    <w:lvl w:ilvl="0">
      <w:lvlJc w:val="left"/>
      <w:lvlText w:val="•"/>
      <w:numFmt w:val="bullet"/>
      <w:start w:val="1"/>
    </w:lvl>
  </w:abstractNum>
  <w:abstractNum w:abstractNumId="1">
    <w:nsid w:val="519B500D"/>
    <w:multiLevelType w:val="hybridMultilevel"/>
    <w:lvl w:ilvl="0">
      <w:lvlJc w:val="left"/>
      <w:lvlText w:val="*"/>
      <w:numFmt w:val="bullet"/>
      <w:start w:val="1"/>
    </w:lvl>
  </w:abstractNum>
  <w:abstractNum w:abstractNumId="2">
    <w:nsid w:val="431BD7B7"/>
    <w:multiLevelType w:val="hybridMultilevel"/>
    <w:lvl w:ilvl="0">
      <w:lvlJc w:val="left"/>
      <w:lvlText w:val="•"/>
      <w:numFmt w:val="bullet"/>
      <w:start w:val="1"/>
    </w:lvl>
  </w:abstractNum>
  <w:abstractNum w:abstractNumId="3">
    <w:nsid w:val="3F2DBA31"/>
    <w:multiLevelType w:val="hybridMultilevel"/>
    <w:lvl w:ilvl="0">
      <w:lvlJc w:val="left"/>
      <w:lvlText w:val="•"/>
      <w:numFmt w:val="bullet"/>
      <w:start w:val="1"/>
    </w:lvl>
  </w:abstractNum>
  <w:abstractNum w:abstractNumId="4">
    <w:nsid w:val="7C83E458"/>
    <w:multiLevelType w:val="hybridMultilevel"/>
    <w:lvl w:ilvl="0">
      <w:lvlJc w:val="left"/>
      <w:lvlText w:val="•"/>
      <w:numFmt w:val="bullet"/>
      <w:start w:val="1"/>
    </w:lvl>
  </w:abstractNum>
  <w:abstractNum w:abstractNumId="5">
    <w:nsid w:val="257130A3"/>
    <w:multiLevelType w:val="hybridMultilevel"/>
    <w:lvl w:ilvl="0">
      <w:lvlJc w:val="left"/>
      <w:lvlText w:val="•"/>
      <w:numFmt w:val="bullet"/>
      <w:start w:val="1"/>
    </w:lvl>
  </w:abstractNum>
  <w:abstractNum w:abstractNumId="6">
    <w:nsid w:val="62BBD95A"/>
    <w:multiLevelType w:val="hybridMultilevel"/>
    <w:lvl w:ilvl="0">
      <w:lvlJc w:val="left"/>
      <w:lvlText w:val="•"/>
      <w:numFmt w:val="bullet"/>
      <w:start w:val="1"/>
    </w:lvl>
  </w:abstractNum>
  <w:abstractNum w:abstractNumId="7">
    <w:nsid w:val="436C6125"/>
    <w:multiLevelType w:val="hybridMultilevel"/>
    <w:lvl w:ilvl="0">
      <w:lvlJc w:val="left"/>
      <w:lvlText w:val="%1."/>
      <w:numFmt w:val="decimal"/>
      <w:start w:val="1"/>
    </w:lvl>
  </w:abstractNum>
  <w:abstractNum w:abstractNumId="8">
    <w:nsid w:val="628C895D"/>
    <w:multiLevelType w:val="hybridMultilevel"/>
    <w:lvl w:ilvl="0">
      <w:lvlJc w:val="left"/>
      <w:lvlText w:val="•"/>
      <w:numFmt w:val="bullet"/>
      <w:start w:val="1"/>
    </w:lvl>
  </w:abstractNum>
  <w:abstractNum w:abstractNumId="9">
    <w:nsid w:val="333AB105"/>
    <w:multiLevelType w:val="hybridMultilevel"/>
    <w:lvl w:ilvl="0">
      <w:lvlJc w:val="left"/>
      <w:lvlText w:val="•"/>
      <w:numFmt w:val="bullet"/>
      <w:start w:val="1"/>
    </w:lvl>
  </w:abstractNum>
  <w:abstractNum w:abstractNumId="10">
    <w:nsid w:val="721DA317"/>
    <w:multiLevelType w:val="hybridMultilevel"/>
    <w:lvl w:ilvl="0">
      <w:lvlJc w:val="left"/>
      <w:lvlText w:val="•"/>
      <w:numFmt w:val="bullet"/>
      <w:start w:val="1"/>
    </w:lvl>
  </w:abstractNum>
  <w:abstractNum w:abstractNumId="11">
    <w:nsid w:val="2443A858"/>
    <w:multiLevelType w:val="hybridMultilevel"/>
    <w:lvl w:ilvl="0">
      <w:lvlJc w:val="left"/>
      <w:lvlText w:val="•"/>
      <w:numFmt w:val="bullet"/>
      <w:start w:val="1"/>
    </w:lvl>
  </w:abstractNum>
  <w:abstractNum w:abstractNumId="12">
    <w:nsid w:val="2D1D5AE9"/>
    <w:multiLevelType w:val="hybridMultilevel"/>
    <w:lvl w:ilvl="0">
      <w:lvlJc w:val="left"/>
      <w:lvlText w:val="•"/>
      <w:numFmt w:val="bullet"/>
      <w:start w:val="1"/>
    </w:lvl>
  </w:abstractNum>
  <w:abstractNum w:abstractNumId="13">
    <w:nsid w:val="6763845E"/>
    <w:multiLevelType w:val="hybridMultilevel"/>
    <w:lvl w:ilvl="0">
      <w:lvlJc w:val="left"/>
      <w:lvlText w:val="•"/>
      <w:numFmt w:val="bullet"/>
      <w:start w:val="1"/>
    </w:lvl>
  </w:abstractNum>
  <w:abstractNum w:abstractNumId="14">
    <w:nsid w:val="75A2A8D4"/>
    <w:multiLevelType w:val="hybridMultilevel"/>
    <w:lvl w:ilvl="0">
      <w:lvlJc w:val="left"/>
      <w:lvlText w:val="(%1)"/>
      <w:numFmt w:val="decimal"/>
      <w:start w:val="1"/>
    </w:lvl>
  </w:abstractNum>
  <w:abstractNum w:abstractNumId="15">
    <w:nsid w:val="8EDBDAB"/>
    <w:multiLevelType w:val="hybridMultilevel"/>
    <w:lvl w:ilvl="0">
      <w:lvlJc w:val="left"/>
      <w:lvlText w:val="(%1)"/>
      <w:numFmt w:val="decimal"/>
      <w:start w:val="1"/>
    </w:lvl>
  </w:abstractNum>
  <w:abstractNum w:abstractNumId="16">
    <w:nsid w:val="79838CB2"/>
    <w:multiLevelType w:val="hybridMultilevel"/>
    <w:lvl w:ilvl="0">
      <w:lvlJc w:val="left"/>
      <w:lvlText w:val="•"/>
      <w:numFmt w:val="bullet"/>
      <w:start w:val="1"/>
    </w:lvl>
  </w:abstractNum>
  <w:abstractNum w:abstractNumId="17">
    <w:nsid w:val="4353D0CD"/>
    <w:multiLevelType w:val="hybridMultilevel"/>
    <w:lvl w:ilvl="0">
      <w:lvlJc w:val="left"/>
      <w:lvlText w:val="•"/>
      <w:numFmt w:val="bullet"/>
      <w:start w:val="1"/>
    </w:lvl>
  </w:abstractNum>
  <w:abstractNum w:abstractNumId="18">
    <w:nsid w:val="B03E0C6"/>
    <w:multiLevelType w:val="hybridMultilevel"/>
    <w:lvl w:ilvl="0">
      <w:lvlJc w:val="left"/>
      <w:lvlText w:val="%1."/>
      <w:numFmt w:val="decimal"/>
      <w:start w:val="3"/>
    </w:lvl>
  </w:abstractNum>
  <w:abstractNum w:abstractNumId="19">
    <w:nsid w:val="189A769B"/>
    <w:multiLevelType w:val="hybridMultilevel"/>
    <w:lvl w:ilvl="0">
      <w:lvlJc w:val="left"/>
      <w:lvlText w:val="%1."/>
      <w:numFmt w:val="decimal"/>
      <w:start w:val="4"/>
    </w:lvl>
  </w:abstractNum>
  <w:abstractNum w:abstractNumId="20">
    <w:nsid w:val="54E49EB4"/>
    <w:multiLevelType w:val="hybridMultilevel"/>
    <w:lvl w:ilvl="0">
      <w:lvlJc w:val="left"/>
      <w:lvlText w:val="•"/>
      <w:numFmt w:val="bullet"/>
      <w:start w:val="1"/>
    </w:lvl>
  </w:abstractNum>
  <w:abstractNum w:abstractNumId="21">
    <w:nsid w:val="71F32454"/>
    <w:multiLevelType w:val="hybridMultilevel"/>
    <w:lvl w:ilvl="0">
      <w:lvlJc w:val="left"/>
      <w:lvlText w:val="(%1)"/>
      <w:numFmt w:val="decimal"/>
      <w:start w:val="1"/>
    </w:lvl>
  </w:abstractNum>
  <w:abstractNum w:abstractNumId="22">
    <w:nsid w:val="2CA88611"/>
    <w:multiLevelType w:val="hybridMultilevel"/>
    <w:lvl w:ilvl="0">
      <w:lvlJc w:val="left"/>
      <w:lvlText w:val="%1."/>
      <w:numFmt w:val="decimal"/>
      <w:start w:val="8"/>
    </w:lvl>
  </w:abstractNum>
  <w:abstractNum w:abstractNumId="23">
    <w:nsid w:val="836C40E"/>
    <w:multiLevelType w:val="hybridMultilevel"/>
    <w:lvl w:ilvl="0">
      <w:lvlJc w:val="left"/>
      <w:lvlText w:val="(%1)"/>
      <w:numFmt w:val="decimal"/>
      <w:start w:val="1"/>
    </w:lvl>
  </w:abstractNum>
  <w:abstractNum w:abstractNumId="24">
    <w:nsid w:val="2901D82"/>
    <w:multiLevelType w:val="hybridMultilevel"/>
    <w:lvl w:ilvl="0">
      <w:lvlJc w:val="left"/>
      <w:lvlText w:val="*"/>
      <w:numFmt w:val="bullet"/>
      <w:start w:val="1"/>
    </w:lvl>
  </w:abstractNum>
  <w:abstractNum w:abstractNumId="25">
    <w:nsid w:val="3A95F874"/>
    <w:multiLevelType w:val="hybridMultilevel"/>
    <w:lvl w:ilvl="0">
      <w:lvlJc w:val="left"/>
      <w:lvlText w:val="%1."/>
      <w:numFmt w:val="decimal"/>
      <w:start w:val="11"/>
    </w:lvl>
  </w:abstractNum>
  <w:abstractNum w:abstractNumId="26">
    <w:nsid w:val="8138641"/>
    <w:multiLevelType w:val="hybridMultilevel"/>
    <w:lvl w:ilvl="0">
      <w:lvlJc w:val="left"/>
      <w:lvlText w:val="*"/>
      <w:numFmt w:val="bullet"/>
      <w:start w:val="1"/>
    </w:lvl>
  </w:abstractNum>
  <w:abstractNum w:abstractNumId="27">
    <w:nsid w:val="1E7FF521"/>
    <w:multiLevelType w:val="hybridMultilevel"/>
    <w:lvl w:ilvl="0">
      <w:lvlJc w:val="left"/>
      <w:lvlText w:val="%1."/>
      <w:numFmt w:val="decimal"/>
      <w:start w:val="14"/>
    </w:lvl>
  </w:abstractNum>
  <w:abstractNum w:abstractNumId="28">
    <w:nsid w:val="7C3DBD3D"/>
    <w:multiLevelType w:val="hybridMultilevel"/>
    <w:lvl w:ilvl="0">
      <w:lvlJc w:val="left"/>
      <w:lvlText w:val="#"/>
      <w:numFmt w:val="bullet"/>
      <w:start w:val="1"/>
    </w:lvl>
  </w:abstractNum>
  <w:abstractNum w:abstractNumId="29">
    <w:nsid w:val="737B8DDC"/>
    <w:multiLevelType w:val="hybridMultilevel"/>
    <w:lvl w:ilvl="0">
      <w:lvlJc w:val="left"/>
      <w:lvlText w:val="%1."/>
      <w:numFmt w:val="decimal"/>
      <w:start w:val="1"/>
    </w:lvl>
    <w:lvl w:ilvl="1">
      <w:lvlJc w:val="left"/>
      <w:lvlText w:val="%2."/>
      <w:numFmt w:val="lowerLetter"/>
      <w:start w:val="1"/>
    </w:lvl>
  </w:abstractNum>
  <w:abstractNum w:abstractNumId="30">
    <w:nsid w:val="6CEAF087"/>
    <w:multiLevelType w:val="hybridMultilevel"/>
    <w:lvl w:ilvl="0">
      <w:lvlJc w:val="left"/>
      <w:lvlText w:val="%1."/>
      <w:numFmt w:val="decimal"/>
      <w:start w:val="1"/>
    </w:lvl>
    <w:lvl w:ilvl="1">
      <w:lvlJc w:val="left"/>
      <w:lvlText w:val="%2."/>
      <w:numFmt w:val="lowerLetter"/>
      <w:start w:val="1"/>
    </w:lvl>
  </w:abstractNum>
  <w:abstractNum w:abstractNumId="31">
    <w:nsid w:val="22221A70"/>
    <w:multiLevelType w:val="hybridMultilevel"/>
    <w:lvl w:ilvl="0">
      <w:lvlJc w:val="left"/>
      <w:lvlText w:val="(%1)"/>
      <w:numFmt w:val="decimal"/>
      <w:start w:val="1"/>
    </w:lvl>
  </w:abstractNum>
  <w:abstractNum w:abstractNumId="32">
    <w:nsid w:val="4516DDE9"/>
    <w:multiLevelType w:val="hybridMultilevel"/>
    <w:lvl w:ilvl="0">
      <w:lvlJc w:val="left"/>
      <w:lvlText w:val="(%1)"/>
      <w:numFmt w:val="decimal"/>
      <w:start w:val="1"/>
    </w:lvl>
  </w:abstractNum>
  <w:num w:numId="1">
    <w:abstractNumId w:val="0"/>
  </w:num>
  <w:num w:numId="2">
    <w:abstractNumId w:val="1"/>
  </w:num>
  <w:num w:numId="3">
    <w:abstractNumId w:val="2"/>
  </w:num>
  <w:num w:numId="4">
    <w:abstractNumId w:val="3"/>
  </w:num>
  <w:num w:numId="5">
    <w:abstractNumId w:val="4"/>
  </w:num>
  <w:num w:numId="6">
    <w:abstractNumId w:val="5"/>
  </w:num>
  <w:num w:numId="7">
    <w:abstractNumId w:val="6"/>
  </w:num>
  <w:num w:numId="8">
    <w:abstractNumId w:val="7"/>
  </w:num>
  <w:num w:numId="9">
    <w:abstractNumId w:val="8"/>
  </w:num>
  <w:num w:numId="10">
    <w:abstractNumId w:val="9"/>
  </w:num>
  <w:num w:numId="11">
    <w:abstractNumId w:val="10"/>
  </w:num>
  <w:num w:numId="12">
    <w:abstractNumId w:val="11"/>
  </w:num>
  <w:num w:numId="13">
    <w:abstractNumId w:val="12"/>
  </w:num>
  <w:num w:numId="14">
    <w:abstractNumId w:val="13"/>
  </w:num>
  <w:num w:numId="15">
    <w:abstractNumId w:val="14"/>
  </w:num>
  <w:num w:numId="16">
    <w:abstractNumId w:val="15"/>
  </w:num>
  <w:num w:numId="17">
    <w:abstractNumId w:val="16"/>
  </w:num>
  <w:num w:numId="18">
    <w:abstractNumId w:val="17"/>
  </w:num>
  <w:num w:numId="19">
    <w:abstractNumId w:val="18"/>
  </w:num>
  <w:num w:numId="20">
    <w:abstractNumId w:val="19"/>
  </w:num>
  <w:num w:numId="21">
    <w:abstractNumId w:val="20"/>
  </w:num>
  <w:num w:numId="22">
    <w:abstractNumId w:val="21"/>
  </w:num>
  <w:num w:numId="23">
    <w:abstractNumId w:val="22"/>
  </w:num>
  <w:num w:numId="24">
    <w:abstractNumId w:val="23"/>
  </w:num>
  <w:num w:numId="25">
    <w:abstractNumId w:val="24"/>
  </w:num>
  <w:num w:numId="26">
    <w:abstractNumId w:val="25"/>
  </w:num>
  <w:num w:numId="27">
    <w:abstractNumId w:val="26"/>
  </w:num>
  <w:num w:numId="28">
    <w:abstractNumId w:val="27"/>
  </w:num>
  <w:num w:numId="29">
    <w:abstractNumId w:val="28"/>
  </w:num>
  <w:num w:numId="30">
    <w:abstractNumId w:val="29"/>
  </w:num>
  <w:num w:numId="31">
    <w:abstractNumId w:val="30"/>
  </w:num>
  <w:num w:numId="32">
    <w:abstractNumId w:val="31"/>
  </w:num>
  <w:num w:numId="33">
    <w:abstractNumId w:val="3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pn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3" Type="http://schemas.openxmlformats.org/officeDocument/2006/relationships/image" Target="media/image6.png"/><Relationship Id="rId14" Type="http://schemas.openxmlformats.org/officeDocument/2006/relationships/image" Target="media/image7.png"/><Relationship Id="rId15" Type="http://schemas.openxmlformats.org/officeDocument/2006/relationships/image" Target="media/image8.png"/><Relationship Id="rId16" Type="http://schemas.openxmlformats.org/officeDocument/2006/relationships/image" Target="media/image9.png"/><Relationship Id="rId17" Type="http://schemas.openxmlformats.org/officeDocument/2006/relationships/image" Target="media/image10.png"/><Relationship Id="rId18" Type="http://schemas.openxmlformats.org/officeDocument/2006/relationships/image" Target="media/image11.png"/><Relationship Id="rId19" Type="http://schemas.openxmlformats.org/officeDocument/2006/relationships/image" Target="media/image12.png"/><Relationship Id="rId20" Type="http://schemas.openxmlformats.org/officeDocument/2006/relationships/image" Target="media/image13.png"/><Relationship Id="rId21" Type="http://schemas.openxmlformats.org/officeDocument/2006/relationships/image" Target="media/image14.png"/><Relationship Id="rId22" Type="http://schemas.openxmlformats.org/officeDocument/2006/relationships/image" Target="media/image15.png"/><Relationship Id="rId23" Type="http://schemas.openxmlformats.org/officeDocument/2006/relationships/image" Target="media/image16.png"/><Relationship Id="rId24" Type="http://schemas.openxmlformats.org/officeDocument/2006/relationships/image" Target="media/image17.png"/><Relationship Id="rId25" Type="http://schemas.openxmlformats.org/officeDocument/2006/relationships/image" Target="media/image18.png"/><Relationship Id="rId26" Type="http://schemas.openxmlformats.org/officeDocument/2006/relationships/image" Target="media/image19.png"/><Relationship Id="rId27" Type="http://schemas.openxmlformats.org/officeDocument/2006/relationships/image" Target="media/image20.png"/><Relationship Id="rId28" Type="http://schemas.openxmlformats.org/officeDocument/2006/relationships/image" Target="media/image21.png"/><Relationship Id="rId29" Type="http://schemas.openxmlformats.org/officeDocument/2006/relationships/image" Target="media/image22.png"/><Relationship Id="rId30" Type="http://schemas.openxmlformats.org/officeDocument/2006/relationships/image" Target="media/image23.png"/><Relationship Id="rId31" Type="http://schemas.openxmlformats.org/officeDocument/2006/relationships/image" Target="media/image24.png"/><Relationship Id="rId32" Type="http://schemas.openxmlformats.org/officeDocument/2006/relationships/image" Target="media/image25.png"/><Relationship Id="rId33" Type="http://schemas.openxmlformats.org/officeDocument/2006/relationships/image" Target="media/image26.png"/><Relationship Id="rId34" Type="http://schemas.openxmlformats.org/officeDocument/2006/relationships/image" Target="media/image27.png"/><Relationship Id="rId35" Type="http://schemas.openxmlformats.org/officeDocument/2006/relationships/image" Target="media/image28.png"/><Relationship Id="rId36" Type="http://schemas.openxmlformats.org/officeDocument/2006/relationships/image" Target="media/image29.png"/><Relationship Id="rId37" Type="http://schemas.openxmlformats.org/officeDocument/2006/relationships/image" Target="media/image30.jpeg"/><Relationship Id="rId38" Type="http://schemas.openxmlformats.org/officeDocument/2006/relationships/image" Target="media/image31.png"/><Relationship Id="rId39" Type="http://schemas.openxmlformats.org/officeDocument/2006/relationships/image" Target="media/image32.png"/><Relationship Id="rId40" Type="http://schemas.openxmlformats.org/officeDocument/2006/relationships/image" Target="media/image33.png"/><Relationship Id="rId41" Type="http://schemas.openxmlformats.org/officeDocument/2006/relationships/image" Target="media/image34.png"/><Relationship Id="rId42" Type="http://schemas.openxmlformats.org/officeDocument/2006/relationships/image" Target="media/image35.png"/><Relationship Id="rId43" Type="http://schemas.openxmlformats.org/officeDocument/2006/relationships/image" Target="media/image36.png"/><Relationship Id="rId44" Type="http://schemas.openxmlformats.org/officeDocument/2006/relationships/image" Target="media/image37.png"/><Relationship Id="rId45" Type="http://schemas.openxmlformats.org/officeDocument/2006/relationships/image" Target="media/image38.png"/><Relationship Id="rId46" Type="http://schemas.openxmlformats.org/officeDocument/2006/relationships/image" Target="media/image39.png"/><Relationship Id="rId47" Type="http://schemas.openxmlformats.org/officeDocument/2006/relationships/image" Target="media/image40.png"/><Relationship Id="rId48" Type="http://schemas.openxmlformats.org/officeDocument/2006/relationships/image" Target="media/image41.png"/><Relationship Id="rId49" Type="http://schemas.openxmlformats.org/officeDocument/2006/relationships/image" Target="media/image42.png"/><Relationship Id="rId50" Type="http://schemas.openxmlformats.org/officeDocument/2006/relationships/image" Target="media/image43.png"/><Relationship Id="rId51" Type="http://schemas.openxmlformats.org/officeDocument/2006/relationships/image" Target="media/image44.png"/><Relationship Id="rId52" Type="http://schemas.openxmlformats.org/officeDocument/2006/relationships/image" Target="media/image45.png"/><Relationship Id="rId53" Type="http://schemas.openxmlformats.org/officeDocument/2006/relationships/image" Target="media/image46.png"/><Relationship Id="rId54" Type="http://schemas.openxmlformats.org/officeDocument/2006/relationships/image" Target="media/image47.png"/><Relationship Id="rId55" Type="http://schemas.openxmlformats.org/officeDocument/2006/relationships/image" Target="media/image48.png"/><Relationship Id="rId56" Type="http://schemas.openxmlformats.org/officeDocument/2006/relationships/image" Target="media/image49.png"/><Relationship Id="rId57" Type="http://schemas.openxmlformats.org/officeDocument/2006/relationships/image" Target="media/image50.png"/><Relationship Id="rId58" Type="http://schemas.openxmlformats.org/officeDocument/2006/relationships/image" Target="media/image51.png"/><Relationship Id="rId59" Type="http://schemas.openxmlformats.org/officeDocument/2006/relationships/image" Target="media/image52.png"/><Relationship Id="rId60" Type="http://schemas.openxmlformats.org/officeDocument/2006/relationships/image" Target="media/image53.png"/><Relationship Id="rId61" Type="http://schemas.openxmlformats.org/officeDocument/2006/relationships/image" Target="media/image54.png"/><Relationship Id="rId62" Type="http://schemas.openxmlformats.org/officeDocument/2006/relationships/image" Target="media/image55.png"/><Relationship Id="rId63" Type="http://schemas.openxmlformats.org/officeDocument/2006/relationships/image" Target="media/image56.png"/><Relationship Id="rId64" Type="http://schemas.openxmlformats.org/officeDocument/2006/relationships/image" Target="media/image57.png"/><Relationship Id="rId65" Type="http://schemas.openxmlformats.org/officeDocument/2006/relationships/image" Target="media/image58.png"/><Relationship Id="rId66" Type="http://schemas.openxmlformats.org/officeDocument/2006/relationships/image" Target="media/image59.png"/><Relationship Id="rId67" Type="http://schemas.openxmlformats.org/officeDocument/2006/relationships/image" Target="media/image60.png"/><Relationship Id="rId68" Type="http://schemas.openxmlformats.org/officeDocument/2006/relationships/image" Target="media/image61.png"/><Relationship Id="rId69" Type="http://schemas.openxmlformats.org/officeDocument/2006/relationships/image" Target="media/image62.png"/><Relationship Id="rId70" Type="http://schemas.openxmlformats.org/officeDocument/2006/relationships/image" Target="media/image63.png"/><Relationship Id="rId71" Type="http://schemas.openxmlformats.org/officeDocument/2006/relationships/image" Target="media/image64.png"/><Relationship Id="rId72" Type="http://schemas.openxmlformats.org/officeDocument/2006/relationships/image" Target="media/image65.png"/><Relationship Id="rId73" Type="http://schemas.openxmlformats.org/officeDocument/2006/relationships/image" Target="media/image66.png"/><Relationship Id="rId74" Type="http://schemas.openxmlformats.org/officeDocument/2006/relationships/image" Target="media/image67.png"/><Relationship Id="rId75" Type="http://schemas.openxmlformats.org/officeDocument/2006/relationships/image" Target="media/image68.png"/><Relationship Id="rId76" Type="http://schemas.openxmlformats.org/officeDocument/2006/relationships/image" Target="media/image69.png"/><Relationship Id="rId77" Type="http://schemas.openxmlformats.org/officeDocument/2006/relationships/image" Target="media/image70.png"/><Relationship Id="rId78" Type="http://schemas.openxmlformats.org/officeDocument/2006/relationships/image" Target="media/image71.png"/><Relationship Id="rId79" Type="http://schemas.openxmlformats.org/officeDocument/2006/relationships/image" Target="media/image72.png"/><Relationship Id="rId80" Type="http://schemas.openxmlformats.org/officeDocument/2006/relationships/image" Target="media/image73.png"/><Relationship Id="rId81" Type="http://schemas.openxmlformats.org/officeDocument/2006/relationships/image" Target="media/image74.png"/><Relationship Id="rId82" Type="http://schemas.openxmlformats.org/officeDocument/2006/relationships/image" Target="media/image75.png"/><Relationship Id="rId83" Type="http://schemas.openxmlformats.org/officeDocument/2006/relationships/image" Target="media/image76.png"/><Relationship Id="rId84" Type="http://schemas.openxmlformats.org/officeDocument/2006/relationships/image" Target="media/image77.png"/><Relationship Id="rId85" Type="http://schemas.openxmlformats.org/officeDocument/2006/relationships/image" Target="media/image78.png"/><Relationship Id="rId86" Type="http://schemas.openxmlformats.org/officeDocument/2006/relationships/image" Target="media/image79.png"/><Relationship Id="rId87" Type="http://schemas.openxmlformats.org/officeDocument/2006/relationships/image" Target="media/image80.png"/><Relationship Id="rId88" Type="http://schemas.openxmlformats.org/officeDocument/2006/relationships/image" Target="media/image81.png"/><Relationship Id="rId89" Type="http://schemas.openxmlformats.org/officeDocument/2006/relationships/image" Target="media/image82.png"/><Relationship Id="rId90" Type="http://schemas.openxmlformats.org/officeDocument/2006/relationships/image" Target="media/image83.png"/><Relationship Id="rId91" Type="http://schemas.openxmlformats.org/officeDocument/2006/relationships/image" Target="media/image84.png"/><Relationship Id="rId92" Type="http://schemas.openxmlformats.org/officeDocument/2006/relationships/image" Target="media/image85.png"/><Relationship Id="rId93" Type="http://schemas.openxmlformats.org/officeDocument/2006/relationships/image" Target="media/image86.png"/><Relationship Id="rId94" Type="http://schemas.openxmlformats.org/officeDocument/2006/relationships/image" Target="media/image87.png"/><Relationship Id="rId95" Type="http://schemas.openxmlformats.org/officeDocument/2006/relationships/image" Target="media/image88.png"/><Relationship Id="rId96" Type="http://schemas.openxmlformats.org/officeDocument/2006/relationships/image" Target="media/image89.png"/><Relationship Id="rId97" Type="http://schemas.openxmlformats.org/officeDocument/2006/relationships/image" Target="media/image90.png"/><Relationship Id="rId98" Type="http://schemas.openxmlformats.org/officeDocument/2006/relationships/image" Target="media/image91.png"/><Relationship Id="rId99" Type="http://schemas.openxmlformats.org/officeDocument/2006/relationships/image" Target="media/image92.png"/><Relationship Id="rId100" Type="http://schemas.openxmlformats.org/officeDocument/2006/relationships/image" Target="media/image93.png"/><Relationship Id="rId101" Type="http://schemas.openxmlformats.org/officeDocument/2006/relationships/image" Target="media/image94.png"/><Relationship Id="rId102" Type="http://schemas.openxmlformats.org/officeDocument/2006/relationships/image" Target="media/image95.png"/><Relationship Id="rId103" Type="http://schemas.openxmlformats.org/officeDocument/2006/relationships/image" Target="media/image96.png"/><Relationship Id="rId104" Type="http://schemas.openxmlformats.org/officeDocument/2006/relationships/image" Target="media/image97.png"/><Relationship Id="rId105" Type="http://schemas.openxmlformats.org/officeDocument/2006/relationships/image" Target="media/image98.png"/><Relationship Id="rId106" Type="http://schemas.openxmlformats.org/officeDocument/2006/relationships/image" Target="media/image99.png"/><Relationship Id="rId107" Type="http://schemas.openxmlformats.org/officeDocument/2006/relationships/image" Target="media/image100.png"/><Relationship Id="rId108" Type="http://schemas.openxmlformats.org/officeDocument/2006/relationships/image" Target="media/image101.png"/><Relationship Id="rId109" Type="http://schemas.openxmlformats.org/officeDocument/2006/relationships/image" Target="media/image102.png"/><Relationship Id="rId110" Type="http://schemas.openxmlformats.org/officeDocument/2006/relationships/image" Target="media/image103.png"/><Relationship Id="rId111" Type="http://schemas.openxmlformats.org/officeDocument/2006/relationships/image" Target="media/image104.png"/><Relationship Id="rId112" Type="http://schemas.openxmlformats.org/officeDocument/2006/relationships/image" Target="media/image105.png"/><Relationship Id="rId113" Type="http://schemas.openxmlformats.org/officeDocument/2006/relationships/image" Target="media/image106.png"/><Relationship Id="rId114" Type="http://schemas.openxmlformats.org/officeDocument/2006/relationships/image" Target="media/image107.png"/><Relationship Id="rId115" Type="http://schemas.openxmlformats.org/officeDocument/2006/relationships/image" Target="media/image108.png"/><Relationship Id="rId116" Type="http://schemas.openxmlformats.org/officeDocument/2006/relationships/image" Target="media/image109.png"/><Relationship Id="rId117" Type="http://schemas.openxmlformats.org/officeDocument/2006/relationships/image" Target="media/image110.png"/><Relationship Id="rId118" Type="http://schemas.openxmlformats.org/officeDocument/2006/relationships/image" Target="media/image111.png"/><Relationship Id="rId119" Type="http://schemas.openxmlformats.org/officeDocument/2006/relationships/image" Target="media/image112.png"/><Relationship Id="rId120" Type="http://schemas.openxmlformats.org/officeDocument/2006/relationships/image" Target="media/image113.png"/><Relationship Id="rId121" Type="http://schemas.openxmlformats.org/officeDocument/2006/relationships/image" Target="media/image114.png"/><Relationship Id="rId122" Type="http://schemas.openxmlformats.org/officeDocument/2006/relationships/image" Target="media/image115.png"/><Relationship Id="rId123" Type="http://schemas.openxmlformats.org/officeDocument/2006/relationships/image" Target="media/image116.png"/><Relationship Id="rId124" Type="http://schemas.openxmlformats.org/officeDocument/2006/relationships/image" Target="media/image117.png"/><Relationship Id="rId125" Type="http://schemas.openxmlformats.org/officeDocument/2006/relationships/image" Target="media/image118.png"/><Relationship Id="rId126" Type="http://schemas.openxmlformats.org/officeDocument/2006/relationships/image" Target="media/image119.png"/><Relationship Id="rId127" Type="http://schemas.openxmlformats.org/officeDocument/2006/relationships/image" Target="media/image120.png"/><Relationship Id="rId128" Type="http://schemas.openxmlformats.org/officeDocument/2006/relationships/image" Target="media/image121.png"/><Relationship Id="rId129" Type="http://schemas.openxmlformats.org/officeDocument/2006/relationships/image" Target="media/image122.png"/><Relationship Id="rId130" Type="http://schemas.openxmlformats.org/officeDocument/2006/relationships/image" Target="media/image123.png"/><Relationship Id="rId131" Type="http://schemas.openxmlformats.org/officeDocument/2006/relationships/image" Target="media/image124.png"/><Relationship Id="rId132" Type="http://schemas.openxmlformats.org/officeDocument/2006/relationships/image" Target="media/image125.png"/><Relationship Id="rId133" Type="http://schemas.openxmlformats.org/officeDocument/2006/relationships/image" Target="media/image126.png"/><Relationship Id="rId134" Type="http://schemas.openxmlformats.org/officeDocument/2006/relationships/image" Target="media/image127.png"/><Relationship Id="rId135" Type="http://schemas.openxmlformats.org/officeDocument/2006/relationships/image" Target="media/image128.png"/><Relationship Id="rId136" Type="http://schemas.openxmlformats.org/officeDocument/2006/relationships/image" Target="media/image129.png"/><Relationship Id="rId137" Type="http://schemas.openxmlformats.org/officeDocument/2006/relationships/image" Target="media/image130.png"/><Relationship Id="rId138" Type="http://schemas.openxmlformats.org/officeDocument/2006/relationships/image" Target="media/image131.png"/><Relationship Id="rId139" Type="http://schemas.openxmlformats.org/officeDocument/2006/relationships/image" Target="media/image132.png"/><Relationship Id="rId140" Type="http://schemas.openxmlformats.org/officeDocument/2006/relationships/image" Target="media/image133.png"/><Relationship Id="rId141" Type="http://schemas.openxmlformats.org/officeDocument/2006/relationships/image" Target="media/image134.png"/><Relationship Id="rId142" Type="http://schemas.openxmlformats.org/officeDocument/2006/relationships/image" Target="media/image135.png"/><Relationship Id="rId143" Type="http://schemas.openxmlformats.org/officeDocument/2006/relationships/image" Target="media/image136.png"/><Relationship Id="rId162" Type="http://schemas.openxmlformats.org/officeDocument/2006/relationships/image" Target="media/image137.png"/><Relationship Id="rId163" Type="http://schemas.openxmlformats.org/officeDocument/2006/relationships/image" Target="media/image138.png"/><Relationship Id="rId164" Type="http://schemas.openxmlformats.org/officeDocument/2006/relationships/image" Target="media/image139.png"/><Relationship Id="rId181" Type="http://schemas.openxmlformats.org/officeDocument/2006/relationships/image" Target="media/image140.png"/><Relationship Id="rId183" Type="http://schemas.openxmlformats.org/officeDocument/2006/relationships/image" Target="media/image141.png"/><Relationship Id="rId184" Type="http://schemas.openxmlformats.org/officeDocument/2006/relationships/image" Target="media/image142.png"/><Relationship Id="rId185" Type="http://schemas.openxmlformats.org/officeDocument/2006/relationships/image" Target="media/image143.png"/><Relationship Id="rId186" Type="http://schemas.openxmlformats.org/officeDocument/2006/relationships/image" Target="media/image144.png"/><Relationship Id="rId187" Type="http://schemas.openxmlformats.org/officeDocument/2006/relationships/image" Target="media/image145.png"/><Relationship Id="rId188" Type="http://schemas.openxmlformats.org/officeDocument/2006/relationships/image" Target="media/image146.png"/><Relationship Id="rId189" Type="http://schemas.openxmlformats.org/officeDocument/2006/relationships/image" Target="media/image147.png"/><Relationship Id="rId190" Type="http://schemas.openxmlformats.org/officeDocument/2006/relationships/image" Target="media/image148.png"/><Relationship Id="rId191" Type="http://schemas.openxmlformats.org/officeDocument/2006/relationships/image" Target="media/image149.png"/><Relationship Id="rId192" Type="http://schemas.openxmlformats.org/officeDocument/2006/relationships/image" Target="media/image150.png"/><Relationship Id="rId193" Type="http://schemas.openxmlformats.org/officeDocument/2006/relationships/image" Target="media/image151.png"/><Relationship Id="rId194" Type="http://schemas.openxmlformats.org/officeDocument/2006/relationships/image" Target="media/image152.png"/><Relationship Id="rId195" Type="http://schemas.openxmlformats.org/officeDocument/2006/relationships/image" Target="media/image153.png"/><Relationship Id="rId196" Type="http://schemas.openxmlformats.org/officeDocument/2006/relationships/image" Target="media/image154.png"/><Relationship Id="rId197" Type="http://schemas.openxmlformats.org/officeDocument/2006/relationships/image" Target="media/image155.png"/><Relationship Id="rId198" Type="http://schemas.openxmlformats.org/officeDocument/2006/relationships/image" Target="media/image156.png"/><Relationship Id="rId199" Type="http://schemas.openxmlformats.org/officeDocument/2006/relationships/image" Target="media/image157.png"/><Relationship Id="rId200" Type="http://schemas.openxmlformats.org/officeDocument/2006/relationships/image" Target="media/image158.png"/><Relationship Id="rId201" Type="http://schemas.openxmlformats.org/officeDocument/2006/relationships/image" Target="media/image159.png"/><Relationship Id="rId202" Type="http://schemas.openxmlformats.org/officeDocument/2006/relationships/image" Target="media/image160.png"/><Relationship Id="rId203" Type="http://schemas.openxmlformats.org/officeDocument/2006/relationships/image" Target="media/image161.png"/><Relationship Id="rId204" Type="http://schemas.openxmlformats.org/officeDocument/2006/relationships/image" Target="media/image162.png"/><Relationship Id="rId205" Type="http://schemas.openxmlformats.org/officeDocument/2006/relationships/image" Target="media/image163.png"/><Relationship Id="rId206" Type="http://schemas.openxmlformats.org/officeDocument/2006/relationships/image" Target="media/image164.png"/><Relationship Id="rId207" Type="http://schemas.openxmlformats.org/officeDocument/2006/relationships/image" Target="media/image165.png"/><Relationship Id="rId208" Type="http://schemas.openxmlformats.org/officeDocument/2006/relationships/image" Target="media/image166.png"/><Relationship Id="rId209" Type="http://schemas.openxmlformats.org/officeDocument/2006/relationships/image" Target="media/image167.png"/><Relationship Id="rId210" Type="http://schemas.openxmlformats.org/officeDocument/2006/relationships/image" Target="media/image168.png"/><Relationship Id="rId211" Type="http://schemas.openxmlformats.org/officeDocument/2006/relationships/image" Target="media/image169.png"/><Relationship Id="rId212" Type="http://schemas.openxmlformats.org/officeDocument/2006/relationships/image" Target="media/image170.png"/><Relationship Id="rId213" Type="http://schemas.openxmlformats.org/officeDocument/2006/relationships/image" Target="media/image171.png"/><Relationship Id="rId214" Type="http://schemas.openxmlformats.org/officeDocument/2006/relationships/image" Target="media/image172.png"/><Relationship Id="rId215" Type="http://schemas.openxmlformats.org/officeDocument/2006/relationships/image" Target="media/image173.png"/><Relationship Id="rId216" Type="http://schemas.openxmlformats.org/officeDocument/2006/relationships/image" Target="media/image174.png"/><Relationship Id="rId217" Type="http://schemas.openxmlformats.org/officeDocument/2006/relationships/image" Target="media/image175.png"/><Relationship Id="rId218" Type="http://schemas.openxmlformats.org/officeDocument/2006/relationships/image" Target="media/image176.png"/><Relationship Id="rId219" Type="http://schemas.openxmlformats.org/officeDocument/2006/relationships/image" Target="media/image177.png"/><Relationship Id="rId220" Type="http://schemas.openxmlformats.org/officeDocument/2006/relationships/image" Target="media/image178.png"/><Relationship Id="rId144" Type="http://schemas.openxmlformats.org/officeDocument/2006/relationships/hyperlink" Target="http://www.sec.gov/Archives/edgar/data/1165002/000119312513084081/d444159dex21.htm" TargetMode="External"/><Relationship Id="rId145" Type="http://schemas.openxmlformats.org/officeDocument/2006/relationships/hyperlink" Target="http://www.sec.gov/Archives/edgar/data/1165002/000119312515012458/d853486dex21.htm" TargetMode="External"/><Relationship Id="rId146" Type="http://schemas.openxmlformats.org/officeDocument/2006/relationships/hyperlink" Target="https://www.sec.gov/Archives/edgar/data/1165002/000116500222000079/0001165002-22-000079-index.htm" TargetMode="External"/><Relationship Id="rId147" Type="http://schemas.openxmlformats.org/officeDocument/2006/relationships/hyperlink" Target="https://www.sec.gov/Archives/edgar/data/1165002/000116500222000098/0001165002-22-000098-index.htm" TargetMode="External"/><Relationship Id="rId148" Type="http://schemas.openxmlformats.org/officeDocument/2006/relationships/hyperlink" Target="https://www.sec.gov/ix?doc=/Archives/edgar/data/0001165002/000116500224000087/whg-20241202.htm" TargetMode="External"/><Relationship Id="rId149" Type="http://schemas.openxmlformats.org/officeDocument/2006/relationships/hyperlink" Target="https://www.sec.gov/ix?doc=/Archives/edgar/data/0001165002/000116500221000089/whg-20211027.htm" TargetMode="External"/><Relationship Id="rId150" Type="http://schemas.openxmlformats.org/officeDocument/2006/relationships/hyperlink" Target="https://www.sec.gov/Archives/edgar/data/1165002/000093066102001393/d1012ba.txt" TargetMode="External"/><Relationship Id="rId151" Type="http://schemas.openxmlformats.org/officeDocument/2006/relationships/hyperlink" Target="https://www.sec.gov/Archives/edgar/data/1165002/000116500224000032/a2024proxy.htm" TargetMode="External"/><Relationship Id="rId152" Type="http://schemas.openxmlformats.org/officeDocument/2006/relationships/hyperlink" Target="http://www.sec.gov/Archives/edgar/data/1165002/000093066102001944/dex103.txt" TargetMode="External"/><Relationship Id="rId153" Type="http://schemas.openxmlformats.org/officeDocument/2006/relationships/hyperlink" Target="http://www.sec.gov/Archives/edgar/data/1165002/000093066102000359/dex1010.txt" TargetMode="External"/><Relationship Id="rId154" Type="http://schemas.openxmlformats.org/officeDocument/2006/relationships/hyperlink" Target="http://www.sec.gov/Archives/edgar/data/1165002/000119312504031244/dex106.htm" TargetMode="External"/><Relationship Id="rId155" Type="http://schemas.openxmlformats.org/officeDocument/2006/relationships/hyperlink" Target="http://www.sec.gov/Archives/edgar/data/1165002/000119312504031244/dex107.htm" TargetMode="External"/><Relationship Id="rId156" Type="http://schemas.openxmlformats.org/officeDocument/2006/relationships/hyperlink" Target="http://www.sec.gov/Archives/edgar/data/1165002/000119312511047683/dex107.htm" TargetMode="External"/><Relationship Id="rId157" Type="http://schemas.openxmlformats.org/officeDocument/2006/relationships/hyperlink" Target="http://www.sec.gov/Archives/edgar/data/1165002/000119312513084081/d444159dex108.htm" TargetMode="External"/><Relationship Id="rId158" Type="http://schemas.openxmlformats.org/officeDocument/2006/relationships/hyperlink" Target="http://www.sec.gov/Archives/edgar/data/1165002/000116500216000034/exhibit1035.htm" TargetMode="External"/><Relationship Id="rId159" Type="http://schemas.openxmlformats.org/officeDocument/2006/relationships/hyperlink" Target="http://www.sec.gov/Archives/edgar/data/1165002/000116500216000034/exhibit1036.htm" TargetMode="External"/><Relationship Id="rId160" Type="http://schemas.openxmlformats.org/officeDocument/2006/relationships/hyperlink" Target="http://www.sec.gov/Archives/edgar/data/1165002/000116500216000034/exhibit1037.htm" TargetMode="External"/><Relationship Id="rId161" Type="http://schemas.openxmlformats.org/officeDocument/2006/relationships/hyperlink" Target="http://www.sec.gov/Archives/edgar/data/1165002/000116500218000064/exhibit10crescentamendment.htm" TargetMode="External"/><Relationship Id="rId165" Type="http://schemas.openxmlformats.org/officeDocument/2006/relationships/hyperlink" Target="http://www.sec.gov/Archives/edgar/data/1165002/000093066102000359/dex1012.txt" TargetMode="External"/><Relationship Id="rId166" Type="http://schemas.openxmlformats.org/officeDocument/2006/relationships/hyperlink" Target="http://www.sec.gov/Archives/edgar/data/1165002/000119312513084081/d444159dex1011.htm" TargetMode="External"/><Relationship Id="rId167" Type="http://schemas.openxmlformats.org/officeDocument/2006/relationships/hyperlink" Target="http://www.sec.gov/Archives/edgar/data/1165002/000119312504031244/dex1011.htm" TargetMode="External"/><Relationship Id="rId168" Type="http://schemas.openxmlformats.org/officeDocument/2006/relationships/hyperlink" Target="http://www.sec.gov/Archives/edgar/data/1165002/000119312504031244/dex1012.htm" TargetMode="External"/><Relationship Id="rId169" Type="http://schemas.openxmlformats.org/officeDocument/2006/relationships/hyperlink" Target="http://www.sec.gov/Archives/edgar/data/1165002/000119312504031244/dex1013.htm" TargetMode="External"/><Relationship Id="rId170" Type="http://schemas.openxmlformats.org/officeDocument/2006/relationships/hyperlink" Target="http://www.sec.gov/Archives/edgar/data/1165002/000116500215000026/bocemploymentagreementfinal.htm" TargetMode="External"/><Relationship Id="rId171" Type="http://schemas.openxmlformats.org/officeDocument/2006/relationships/hyperlink" Target="http://www.sec.gov/Archives/edgar/data/1165002/000116500216000041/perfornanceshareagreement.htm" TargetMode="External"/><Relationship Id="rId172" Type="http://schemas.openxmlformats.org/officeDocument/2006/relationships/hyperlink" Target="http://www.sec.gov/Archives/edgar/data/1165002/000116500216000041/performanceshareagreementc.htm" TargetMode="External"/><Relationship Id="rId173" Type="http://schemas.openxmlformats.org/officeDocument/2006/relationships/hyperlink" Target="http://www.sec.gov/Archives/edgar/data/1165002/000116500217000027/exhibit101.htm" TargetMode="External"/><Relationship Id="rId174" Type="http://schemas.openxmlformats.org/officeDocument/2006/relationships/hyperlink" Target="http://www.sec.gov/Archives/edgar/data/1165002/000116500217000033/formofperfornanceshareagre.htm" TargetMode="External"/><Relationship Id="rId175" Type="http://schemas.openxmlformats.org/officeDocument/2006/relationships/hyperlink" Target="http://www.sec.gov/Archives/edgar/data/1165002/000119312513161059/d525354dex44.htm" TargetMode="External"/><Relationship Id="rId176" Type="http://schemas.openxmlformats.org/officeDocument/2006/relationships/hyperlink" Target="http://www.sec.gov/Archives/edgar/data/1165002/000116500215000006/exhibit101.htm" TargetMode="External"/><Relationship Id="rId177" Type="http://schemas.openxmlformats.org/officeDocument/2006/relationships/hyperlink" Target="http://www.sec.gov/Archives/edgar/data/1165002/000116500218000006/final8kexhibitcoo.htm" TargetMode="External"/><Relationship Id="rId178" Type="http://schemas.openxmlformats.org/officeDocument/2006/relationships/hyperlink" Target="http://www.sec.gov/Archives/edgar/data/1165002/000116500218000067/cfoconfidentialityandnon-c.htm" TargetMode="External"/><Relationship Id="rId179" Type="http://schemas.openxmlformats.org/officeDocument/2006/relationships/hyperlink" Target="https://www.sec.gov/Archives/edgar/data/1165002/000116500225000022/whg-insiderxtradingxpoli.htm" TargetMode="External"/><Relationship Id="rId180" Type="http://schemas.openxmlformats.org/officeDocument/2006/relationships/hyperlink" Target="http://www.sec.gov/Archives/edgar/data/1165002/000119312513084081/d444159dex211.htm" TargetMode="External"/><Relationship Id="rId182" Type="http://schemas.openxmlformats.org/officeDocument/2006/relationships/hyperlink" Target="https://www.sec.gov/ix?doc=/Archives/edgar/data/0001165002/000116500224000022/whg-20231231.htm" TargetMode="External"/></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2026-03-04T15:34:50Z</dcterms:created>
  <dcterms:modified xsi:type="dcterms:W3CDTF">2026-03-04T15:34:50Z</dcterms:modified>
</cp:coreProperties>
</file>