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4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FORM 8-K</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CURRENT REPORT</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Pursuant to Section 13 or 15(d) of the</w:t>
      </w:r>
    </w:p>
    <w:p>
      <w:pPr>
        <w:jc w:val="center"/>
        <w:ind w:right="-339"/>
        <w:spacing w:after="0"/>
        <w:rPr>
          <w:sz w:val="20"/>
          <w:szCs w:val="20"/>
          <w:color w:val="auto"/>
        </w:rPr>
      </w:pPr>
      <w:r>
        <w:rPr>
          <w:rFonts w:ascii="Arial" w:cs="Arial" w:eastAsia="Arial" w:hAnsi="Arial"/>
          <w:sz w:val="20"/>
          <w:szCs w:val="20"/>
          <w:color w:val="auto"/>
        </w:rPr>
        <w:t>Securities Exchange Act of 1934</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Date of Report (Date of earliest event reported): April 25, 2018</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WESTWOOD HOLDINGS GROUP, INC.</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243" w:lineRule="exact"/>
        <w:rPr>
          <w:sz w:val="24"/>
          <w:szCs w:val="24"/>
          <w:color w:val="auto"/>
        </w:rPr>
      </w:pPr>
    </w:p>
    <w:p>
      <w:pPr>
        <w:ind w:left="500"/>
        <w:spacing w:after="0"/>
        <w:tabs>
          <w:tab w:leader="none" w:pos="1440" w:val="left"/>
          <w:tab w:leader="none" w:pos="2480" w:val="left"/>
        </w:tabs>
        <w:rPr>
          <w:sz w:val="20"/>
          <w:szCs w:val="20"/>
          <w:color w:val="auto"/>
        </w:rPr>
      </w:pPr>
      <w:r>
        <w:rPr>
          <w:rFonts w:ascii="Arial" w:cs="Arial" w:eastAsia="Arial" w:hAnsi="Arial"/>
          <w:sz w:val="20"/>
          <w:szCs w:val="20"/>
          <w:color w:val="auto"/>
        </w:rPr>
        <w:t>Delaware</w:t>
        <w:tab/>
        <w:t>001-31234</w:t>
      </w:r>
      <w:r>
        <w:rPr>
          <w:sz w:val="20"/>
          <w:szCs w:val="20"/>
          <w:color w:val="auto"/>
        </w:rPr>
        <w:tab/>
      </w:r>
      <w:r>
        <w:rPr>
          <w:rFonts w:ascii="Arial" w:cs="Arial" w:eastAsia="Arial" w:hAnsi="Arial"/>
          <w:sz w:val="16"/>
          <w:szCs w:val="16"/>
          <w:color w:val="auto"/>
        </w:rPr>
        <w:t>75-2969997</w:t>
      </w:r>
    </w:p>
    <w:p>
      <w:pPr>
        <w:spacing w:after="0" w:line="15" w:lineRule="exact"/>
        <w:rPr>
          <w:sz w:val="24"/>
          <w:szCs w:val="24"/>
          <w:color w:val="auto"/>
        </w:rPr>
      </w:pPr>
    </w:p>
    <w:p>
      <w:pPr>
        <w:spacing w:after="0"/>
        <w:tabs>
          <w:tab w:leader="none" w:pos="2260" w:val="left"/>
          <w:tab w:leader="none" w:pos="3540" w:val="left"/>
        </w:tabs>
        <w:rPr>
          <w:sz w:val="20"/>
          <w:szCs w:val="20"/>
          <w:color w:val="auto"/>
        </w:rPr>
      </w:pPr>
      <w:r>
        <w:rPr>
          <w:rFonts w:ascii="Arial" w:cs="Arial" w:eastAsia="Arial" w:hAnsi="Arial"/>
          <w:sz w:val="20"/>
          <w:szCs w:val="20"/>
          <w:color w:val="auto"/>
        </w:rPr>
        <w:t>(State or other jurisdiction</w:t>
        <w:tab/>
        <w:t>(Commission</w:t>
      </w:r>
      <w:r>
        <w:rPr>
          <w:sz w:val="20"/>
          <w:szCs w:val="20"/>
          <w:color w:val="auto"/>
        </w:rPr>
        <w:tab/>
      </w:r>
      <w:r>
        <w:rPr>
          <w:rFonts w:ascii="Arial" w:cs="Arial" w:eastAsia="Arial" w:hAnsi="Arial"/>
          <w:sz w:val="18"/>
          <w:szCs w:val="18"/>
          <w:color w:val="auto"/>
        </w:rPr>
        <w:t>(IRS Employer</w:t>
      </w:r>
    </w:p>
    <w:p>
      <w:pPr>
        <w:ind w:left="340"/>
        <w:spacing w:after="0"/>
        <w:tabs>
          <w:tab w:leader="none" w:pos="1900" w:val="left"/>
          <w:tab w:leader="none" w:pos="3180" w:val="left"/>
        </w:tabs>
        <w:rPr>
          <w:sz w:val="20"/>
          <w:szCs w:val="20"/>
          <w:color w:val="auto"/>
        </w:rPr>
      </w:pPr>
      <w:r>
        <w:rPr>
          <w:rFonts w:ascii="Arial" w:cs="Arial" w:eastAsia="Arial" w:hAnsi="Arial"/>
          <w:sz w:val="20"/>
          <w:szCs w:val="20"/>
          <w:color w:val="auto"/>
        </w:rPr>
        <w:t>of incorporation)</w:t>
        <w:tab/>
        <w:t>File Number)</w:t>
      </w:r>
      <w:r>
        <w:rPr>
          <w:sz w:val="20"/>
          <w:szCs w:val="20"/>
          <w:color w:val="auto"/>
        </w:rPr>
        <w:tab/>
      </w: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200 Crescent Court, Suite 1200</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Dallas, Texas 75201</w:t>
      </w:r>
    </w:p>
    <w:p>
      <w:pPr>
        <w:jc w:val="center"/>
        <w:ind w:right="-339"/>
        <w:spacing w:after="0"/>
        <w:rPr>
          <w:sz w:val="20"/>
          <w:szCs w:val="20"/>
          <w:color w:val="auto"/>
        </w:rPr>
      </w:pPr>
      <w:r>
        <w:rPr>
          <w:rFonts w:ascii="Arial" w:cs="Arial" w:eastAsia="Arial" w:hAnsi="Arial"/>
          <w:sz w:val="20"/>
          <w:szCs w:val="20"/>
          <w:color w:val="auto"/>
        </w:rPr>
        <w:t>(Address of principal executive offices)</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(214) 756-6900</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ind w:firstLine="324"/>
        <w:spacing w:after="0" w:line="28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227"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communications pursuant to Rule 425 under the Securities Act (17 CFR 230.425)</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100"/>
          </w:cols>
          <w:pgMar w:left="240" w:top="690" w:right="5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0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On April 25, 2018, Westwood Holdings Group, Inc. (“Westwood”) issued a press release entitled “Westwood Holdings Group, Inc. Reports First Quarter 2018 Results; Active Management Prevails as all U.S. Value and Multi-asset Strategies Exceed Primary Benchmarks”, a copy of which is furnished with this Current Report on Form 8-K as Exhibit 99.1.</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22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$0.68 per common share, payable on July 2, 2018 to stockholders of record on June 8, 2018.</w:t>
      </w:r>
    </w:p>
    <w:p>
      <w:pPr>
        <w:spacing w:after="0" w:line="19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ectPr>
          <w:pgSz w:w="11900" w:h="16838" w:orient="portrait"/>
          <w:cols w:equalWidth="0" w:num="1">
            <w:col w:w="11380"/>
          </w:cols>
          <w:pgMar w:left="240" w:top="582" w:right="2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0" w:lineRule="exact"/>
        <w:rPr>
          <w:sz w:val="20"/>
          <w:szCs w:val="20"/>
          <w:color w:val="auto"/>
        </w:rPr>
      </w:pPr>
    </w:p>
    <w:p>
      <w:pPr>
        <w:sectPr>
          <w:pgSz w:w="11900" w:h="16838" w:orient="portrait"/>
          <w:cols w:equalWidth="0" w:num="2">
            <w:col w:w="1560" w:space="720"/>
            <w:col w:w="9100"/>
          </w:cols>
          <w:pgMar w:left="240" w:top="582" w:right="279" w:bottom="1440" w:gutter="0" w:footer="0" w:header="0"/>
          <w:type w:val="continuous"/>
        </w:sectPr>
      </w:pPr>
    </w:p>
    <w:p>
      <w:pPr>
        <w:spacing w:after="0" w:line="52" w:lineRule="exact"/>
        <w:rPr>
          <w:sz w:val="20"/>
          <w:szCs w:val="20"/>
          <w:color w:val="auto"/>
        </w:rPr>
      </w:pPr>
    </w:p>
    <w:p>
      <w:pPr>
        <w:ind w:left="1300" w:right="480" w:hanging="1296"/>
        <w:spacing w:after="0" w:line="287" w:lineRule="auto"/>
        <w:tabs>
          <w:tab w:leader="none" w:pos="12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9"/>
          <w:szCs w:val="19"/>
          <w:color w:val="auto"/>
        </w:rPr>
        <w:t>Press Release dated April 25, 2018, entitled “Westwood Holdings Group, Inc. Reports First Quarter 2018 Results; Active Management Prevails as all U.S. Value and Multi-asset Strategies Exceed Primary Benchmarks”.</w:t>
      </w:r>
    </w:p>
    <w:p>
      <w:pPr>
        <w:sectPr>
          <w:pgSz w:w="11900" w:h="16838" w:orient="portrait"/>
          <w:cols w:equalWidth="0" w:num="1">
            <w:col w:w="11380"/>
          </w:cols>
          <w:pgMar w:left="240" w:top="58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April 25, 2018</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86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Tiffany B. Kice</w:t>
      </w: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8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00" w:type="dxa"/>
            <w:vAlign w:val="bottom"/>
            <w:gridSpan w:val="3"/>
          </w:tcPr>
          <w:p>
            <w:pPr>
              <w:spacing w:after="0"/>
              <w:rPr>
                <w:sz w:val="20"/>
                <w:szCs w:val="20"/>
                <w:color w:val="auto"/>
              </w:rPr>
            </w:pPr>
            <w:r>
              <w:rPr>
                <w:rFonts w:ascii="Arial" w:cs="Arial" w:eastAsia="Arial" w:hAnsi="Arial"/>
                <w:sz w:val="20"/>
                <w:szCs w:val="20"/>
                <w:color w:val="auto"/>
              </w:rPr>
              <w:t>EXHIBIT INDEX</w:t>
            </w:r>
          </w:p>
        </w:tc>
      </w:tr>
      <w:tr>
        <w:trPr>
          <w:trHeight w:val="439"/>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540" w:type="dxa"/>
            <w:vAlign w:val="bottom"/>
            <w:gridSpan w:val="2"/>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39"/>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20" w:type="dxa"/>
            <w:vAlign w:val="bottom"/>
            <w:tcBorders>
              <w:bottom w:val="single" w:sz="8" w:color="0000FF"/>
            </w:tcBorders>
            <w:gridSpan w:val="5"/>
          </w:tcPr>
          <w:p>
            <w:pPr>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Press Release dated April 25, 2018, entitled “Westwood Holdings Group, Inc. Reports First Quarter 2018 Results;</w:t>
              </w:r>
            </w:hyperlink>
          </w:p>
        </w:tc>
      </w:tr>
      <w:tr>
        <w:trPr>
          <w:trHeight w:val="210"/>
        </w:trPr>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60" w:type="dxa"/>
            <w:vAlign w:val="bottom"/>
            <w:tcBorders>
              <w:bottom w:val="single" w:sz="8" w:color="0000FF"/>
            </w:tcBorders>
            <w:gridSpan w:val="4"/>
          </w:tcPr>
          <w:p>
            <w:pPr>
              <w:spacing w:after="0" w:line="209" w:lineRule="exact"/>
              <w:rPr>
                <w:rFonts w:ascii="Arial" w:cs="Arial" w:eastAsia="Arial" w:hAnsi="Arial"/>
                <w:sz w:val="20"/>
                <w:szCs w:val="20"/>
                <w:color w:val="0000FF"/>
                <w:w w:val="89"/>
              </w:rPr>
            </w:pPr>
            <w:hyperlink w:anchor="page5">
              <w:r>
                <w:rPr>
                  <w:rFonts w:ascii="Arial" w:cs="Arial" w:eastAsia="Arial" w:hAnsi="Arial"/>
                  <w:sz w:val="20"/>
                  <w:szCs w:val="20"/>
                  <w:color w:val="0000FF"/>
                  <w:w w:val="89"/>
                </w:rPr>
                <w:t>Active Management Prevails as all U.S. Value and Multi-asset Strategies Exceed Primary Benchmarks”.</w:t>
              </w:r>
            </w:hyperlink>
          </w:p>
        </w:tc>
        <w:tc>
          <w:tcPr>
            <w:tcW w:w="760" w:type="dxa"/>
            <w:vAlign w:val="bottom"/>
          </w:tcPr>
          <w:p>
            <w:pPr>
              <w:spacing w:after="0"/>
              <w:rPr>
                <w:sz w:val="18"/>
                <w:szCs w:val="18"/>
                <w:color w:val="auto"/>
              </w:rPr>
            </w:pPr>
          </w:p>
        </w:tc>
      </w:tr>
    </w:tbl>
    <w:p>
      <w:pPr>
        <w:sectPr>
          <w:pgSz w:w="11900" w:h="16838" w:orient="portrait"/>
          <w:cols w:equalWidth="0" w:num="1">
            <w:col w:w="10980"/>
          </w:cols>
          <w:pgMar w:left="240" w:top="787" w:right="6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First Quarter 2018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Active Management Prevails as all U.S. Value and Multi-asset Strategies Exceed Primary Benchmarks</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Dallas, TX, April 25, 2018 – Westwood Holdings Group, Inc. (NYSE: WHG) today reported first quarter 2018 earnings. Highlights from the quarter include:</w:t>
      </w:r>
    </w:p>
    <w:p>
      <w:pPr>
        <w:spacing w:after="0" w:line="121" w:lineRule="exact"/>
        <w:rPr>
          <w:sz w:val="20"/>
          <w:szCs w:val="20"/>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$33.6 million increased $1.0 million from the first quarter of 2017. Current quarter revenues include $1.3 million of performance-based fees compared to $0.4 million in the prior year quarter.</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of our U.S. value and multi-asset strategies outperformed their primary benchmarks for the quarter.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Top quartile performance was achieved by our SmallCap Value, SMidCap Plus, SMidCap Value and LargeCap Value teams.</w:t>
      </w:r>
    </w:p>
    <w:p>
      <w:pPr>
        <w:spacing w:after="0" w:line="20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closed on the sale of our Omaha-based Private Wealth operations, received net proceeds of $10.0 million and recognized a $0.5 million gain on sale.</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At quarter-end, Westwood had $100.5 million in cash and investments, stockholders’ equity of $156.0 million, and no debt.</w:t>
      </w:r>
    </w:p>
    <w:p>
      <w:pPr>
        <w:spacing w:after="0" w:line="29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First quarter 2018 revenues of $33.6 million compared to $32.6 million in the first quarter of 2017 and $33.9 million in the fourth quarter of 2017. The increase from the prior year quarter primarily related to performance-based fees of $1.3 million earned in the current quarter. The decrease from the immediately preceding quarter was primarily due to net outflows.</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Assets under management at March 31, 2018 totaled $22.6 billion, compared to $22.1 billion and $24.2 billion at March 31, 2017 and December 31, 2017, respectively.</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First quarter net income of $8.0 million compared with $6.1 million in the first quarter of 2017. The increase primarily related to higher revenues and a $0.9 million foreign currency transaction gain, net of tax, recorded in the current quarter. Diluted earnings per share of $0.93 in the first quarter of 2018 compared to $0.73 in the first quarter of 2017. Non-GAAP Economic Earnings increased from $10.6 million, or $1.28 per share, in 2017's first quarter, to $12.6 million, or $1.48 per share, in the first quarter of 2018.</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First quarter net income of $8.0 million compared with $2.9 million in the fourth quarter of 2017. The increase was driven primarily by a $3.4 million incremental income tax expense recorded during the fourth quarter of 2017 as a result of the tax reform enacted in December 2017, as well as the current quarter foreign currency transaction gain noted above. Diluted earnings per share for the quarter of $0.93 compared to $0.34 for the fourth quarter of 2017. Non-GAAP Economic Earnings of $12.6 million, or $1.48 per share, compared to $7.6 million, or $0.89 per share, in the immediately preceding quarter.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2"/>
          <w:szCs w:val="22"/>
          <w:color w:val="auto"/>
        </w:rPr>
        <w:t>Brian Casey, Westwood’s President &amp; CEO, commented, "The first quarter saw a return to volatility as worldwide politics took center stage. We were pleased to see the benefits of active management on display as all of our U.S. Value and multi-asset products outperformed their primary passive benchmarks. We believe that continued political uncertainty and interest rate fears will lead to higher volatility and provide more opportunities for active managers with disciplined investment processes to outperform passive strategies."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Westwood’s Board of Directors declared a quarterly cash dividend of $0.68 per common share, payable on July 2, 2018 to stockholders of record on June 8, 2018.</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Earnings per Share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first quarter 2018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May 2, 2018 by dialing 855-859-2056 (domestic and Canada) or 404-537-3406 (international) and then entering the passcode 7395078.</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Westwood Holdings Group, Inc. provides investment management services to institutional investors, private wealth clients and financial intermediaries. With $22.6 billion in assets under management (as of March 31, 2018), our firm offers a range of investment strategies including U.S. equities, Master Limited Partnerships (MLPs), Multi-Asset, Global and Emerging Markets equities, and Global Convertible securities portfolios. Access to our strategies is available through separate accounts,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and Houston.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ectPr>
          <w:pgSz w:w="11900" w:h="16838" w:orient="portrait"/>
          <w:cols w:equalWidth="0" w:num="1">
            <w:col w:w="11420"/>
          </w:cols>
          <w:pgMar w:left="240" w:top="6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reputation and relationships with current and potential customers; our ability to attract and retain qualified personnel; our ability to perform operational tasks; our ability to maintain effective cyber security; our ability to identify and execute on our strategic initiatives; our ability to select and oversee third-party vendors; our ability to maintain effective information systems;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2017 and its quarterly report on Form 10-Q for the quarter ended March 31, 2018.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Tiffany B. Kice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Three Months Ended</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7"/>
        </w:trPr>
        <w:tc>
          <w:tcPr>
            <w:tcW w:w="66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9"/>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1320" w:type="dxa"/>
            <w:vAlign w:val="bottom"/>
          </w:tcPr>
          <w:p>
            <w:pPr>
              <w:jc w:val="right"/>
              <w:ind w:right="37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23,789</w:t>
            </w: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386</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7,795</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653</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17,717</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477</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1,756</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2,544</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7,770</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7,770</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w:t>
            </w: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6,064</w:t>
            </w:r>
          </w:p>
        </w:tc>
      </w:tr>
      <w:tr>
        <w:trPr>
          <w:trHeight w:val="237"/>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6,271</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6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0.75</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r>
      <w:tr>
        <w:trPr>
          <w:trHeight w:val="297"/>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8,270,793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8,181,546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8,065,825</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8,539,545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8,546,936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8,311,382</w:t>
            </w:r>
          </w:p>
        </w:tc>
      </w:tr>
      <w:tr>
        <w:trPr>
          <w:trHeight w:val="297"/>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Economic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0.62</w:t>
            </w:r>
          </w:p>
        </w:tc>
      </w:tr>
    </w:tbl>
    <w:p>
      <w:pPr>
        <w:sectPr>
          <w:pgSz w:w="11900" w:h="16838" w:orient="portrait"/>
          <w:cols w:equalWidth="0" w:num="1">
            <w:col w:w="11420"/>
          </w:cols>
          <w:pgMar w:left="240" w:top="625" w:right="239" w:bottom="1440" w:gutter="0" w:footer="0" w:header="0"/>
        </w:sectPr>
      </w:pPr>
    </w:p>
    <w:bookmarkStart w:id="8" w:name="page9"/>
    <w:bookmarkEnd w:id="8"/>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6"/>
                <w:szCs w:val="16"/>
                <w:b w:val="1"/>
                <w:bCs w:val="1"/>
                <w:color w:val="auto"/>
                <w:w w:val="90"/>
              </w:rPr>
              <w:t>December 31, 2017</w:t>
            </w:r>
          </w:p>
        </w:tc>
        <w:tc>
          <w:tcPr>
            <w:tcW w:w="0" w:type="dxa"/>
            <w:vAlign w:val="bottom"/>
          </w:tcPr>
          <w:p>
            <w:pPr>
              <w:spacing w:after="0"/>
              <w:rPr>
                <w:sz w:val="1"/>
                <w:szCs w:val="1"/>
                <w:color w:val="auto"/>
              </w:rPr>
            </w:pPr>
          </w:p>
        </w:tc>
      </w:tr>
      <w:tr>
        <w:trPr>
          <w:trHeight w:val="102"/>
        </w:trPr>
        <w:tc>
          <w:tcPr>
            <w:tcW w:w="8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income taxes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$5,848 and $5,673</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175,116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6,980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dividends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36,263</w:t>
            </w:r>
          </w:p>
        </w:tc>
        <w:tc>
          <w:tcPr>
            <w:tcW w:w="0" w:type="dxa"/>
            <w:vAlign w:val="bottom"/>
          </w:tcPr>
          <w:p>
            <w:pPr>
              <w:spacing w:after="0"/>
              <w:rPr>
                <w:sz w:val="1"/>
                <w:szCs w:val="1"/>
                <w:color w:val="auto"/>
              </w:rPr>
            </w:pPr>
          </w:p>
        </w:tc>
      </w:tr>
      <w:tr>
        <w:trPr>
          <w:trHeight w:val="297"/>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80"/>
              <w:spacing w:after="0"/>
              <w:rPr>
                <w:sz w:val="20"/>
                <w:szCs w:val="20"/>
                <w:color w:val="auto"/>
              </w:rPr>
            </w:pPr>
            <w:r>
              <w:rPr>
                <w:rFonts w:ascii="Arial" w:cs="Arial" w:eastAsia="Arial" w:hAnsi="Arial"/>
                <w:sz w:val="18"/>
                <w:szCs w:val="18"/>
                <w:color w:val="auto"/>
                <w:w w:val="97"/>
              </w:rPr>
              <w:t>Common stock, $0.01 par value, authorized 25,000,000 shares, issued 10,195,216 and outstanding</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w w:val="89"/>
              </w:rPr>
              <w:t>9,017,274 shares at March 31, 2018; issued 9,980,827 and outstanding 8,899,587 shares at December</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720"/>
              <w:spacing w:after="0"/>
              <w:rPr>
                <w:sz w:val="20"/>
                <w:szCs w:val="20"/>
                <w:color w:val="auto"/>
              </w:rPr>
            </w:pPr>
            <w:r>
              <w:rPr>
                <w:rFonts w:ascii="Arial" w:cs="Arial" w:eastAsia="Arial" w:hAnsi="Arial"/>
                <w:sz w:val="18"/>
                <w:szCs w:val="18"/>
                <w:color w:val="auto"/>
              </w:rPr>
              <w:t>31, 2017</w:t>
            </w: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w w:val="94"/>
              </w:rPr>
              <w:t>Treasury stock, at cost - 1,177,942 shares at March 31, 2018; 1,081,240 shares at December 31, 2017</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(49,788)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28,607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156,396</w:t>
            </w:r>
          </w:p>
        </w:tc>
        <w:tc>
          <w:tcPr>
            <w:tcW w:w="0" w:type="dxa"/>
            <w:vAlign w:val="bottom"/>
          </w:tcPr>
          <w:p>
            <w:pPr>
              <w:spacing w:after="0"/>
              <w:rPr>
                <w:sz w:val="1"/>
                <w:szCs w:val="1"/>
                <w:color w:val="auto"/>
              </w:rPr>
            </w:pPr>
          </w:p>
        </w:tc>
      </w:tr>
      <w:tr>
        <w:trPr>
          <w:trHeight w:val="25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175,116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4"/>
          </w:tcPr>
          <w:p>
            <w:pPr>
              <w:jc w:val="right"/>
              <w:ind w:right="399"/>
              <w:spacing w:after="0"/>
              <w:rPr>
                <w:sz w:val="20"/>
                <w:szCs w:val="20"/>
                <w:color w:val="auto"/>
              </w:rPr>
            </w:pPr>
            <w:r>
              <w:rPr>
                <w:rFonts w:ascii="Arial" w:cs="Arial" w:eastAsia="Arial" w:hAnsi="Arial"/>
                <w:sz w:val="15"/>
                <w:szCs w:val="15"/>
                <w:b w:val="1"/>
                <w:bCs w:val="1"/>
                <w:color w:val="auto"/>
              </w:rPr>
              <w:t>Three Months Ended March 31,</w:t>
            </w:r>
          </w:p>
        </w:tc>
      </w:tr>
      <w:tr>
        <w:trPr>
          <w:trHeight w:val="35"/>
        </w:trPr>
        <w:tc>
          <w:tcPr>
            <w:tcW w:w="8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9"/>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5"/>
                <w:szCs w:val="15"/>
                <w:b w:val="1"/>
                <w:bCs w:val="1"/>
                <w:color w:val="auto"/>
              </w:rPr>
              <w:t>2017</w:t>
            </w:r>
          </w:p>
        </w:tc>
      </w:tr>
      <w:tr>
        <w:trPr>
          <w:trHeight w:val="35"/>
        </w:trPr>
        <w:tc>
          <w:tcPr>
            <w:tcW w:w="8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7,978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6,064</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3,897</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Net sales of investments- trading securities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12,002</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(11,394)</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9,941</w:t>
            </w: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Omaha divestiture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treasury stock under employee stock plans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(5,189)</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(6,564)</w:t>
            </w:r>
          </w:p>
        </w:tc>
      </w:tr>
      <w:tr>
        <w:trPr>
          <w:trHeight w:val="217"/>
        </w:trPr>
        <w:tc>
          <w:tcPr>
            <w:tcW w:w="8340" w:type="dxa"/>
            <w:vAlign w:val="bottom"/>
          </w:tcPr>
          <w:p>
            <w:pPr>
              <w:ind w:left="9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(12,745)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(13,079)</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r>
      <w:tr>
        <w:trPr>
          <w:trHeight w:val="24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(3,053)</w:t>
            </w:r>
          </w:p>
        </w:tc>
      </w:tr>
      <w:tr>
        <w:trPr>
          <w:trHeight w:val="27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33,679</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51,550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30,626</w:t>
            </w:r>
          </w:p>
        </w:tc>
      </w:tr>
      <w:tr>
        <w:trPr>
          <w:trHeight w:val="203"/>
        </w:trPr>
        <w:tc>
          <w:tcPr>
            <w:tcW w:w="8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w:t>
            </w:r>
          </w:p>
        </w:tc>
      </w:tr>
      <w:tr>
        <w:trPr>
          <w:trHeight w:val="237"/>
        </w:trPr>
        <w:tc>
          <w:tcPr>
            <w:tcW w:w="8340" w:type="dxa"/>
            <w:vAlign w:val="bottom"/>
          </w:tcPr>
          <w:p>
            <w:pPr>
              <w:ind w:left="340"/>
              <w:spacing w:after="0"/>
              <w:rPr>
                <w:sz w:val="20"/>
                <w:szCs w:val="20"/>
                <w:color w:val="auto"/>
              </w:rPr>
            </w:pPr>
            <w:r>
              <w:rPr>
                <w:rFonts w:ascii="Arial" w:cs="Arial" w:eastAsia="Arial" w:hAnsi="Arial"/>
                <w:sz w:val="16"/>
                <w:szCs w:val="16"/>
                <w:color w:val="auto"/>
              </w:rPr>
              <w:t>Accrued dividends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7,836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7,358</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purchase of property and equipment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10" w:name="page11"/>
    <w:bookmarkEnd w:id="10"/>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09"/>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32"/>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 Stock based compensation expense</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3,897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12,642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8,539,545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8,546,936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8,311,382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1.28</w:t>
            </w:r>
          </w:p>
        </w:tc>
      </w:tr>
    </w:tbl>
    <w:p>
      <w:pPr>
        <w:spacing w:after="0" w:line="27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2019-12-28T22:42:13Z</dcterms:created>
  <dcterms:modified xsi:type="dcterms:W3CDTF">2019-12-28T22:42:13Z</dcterms:modified>
</cp:coreProperties>
</file>