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19"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39" w:lineRule="exact"/>
        <w:rPr>
          <w:sz w:val="24"/>
          <w:szCs w:val="24"/>
          <w:color w:val="auto"/>
        </w:rPr>
      </w:pPr>
    </w:p>
    <w:p>
      <w:pPr>
        <w:ind w:left="520" w:hanging="454"/>
        <w:spacing w:after="0"/>
        <w:tabs>
          <w:tab w:leader="none" w:pos="52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74"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78"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63"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Additional Materials</w:t>
      </w:r>
    </w:p>
    <w:p>
      <w:pPr>
        <w:spacing w:after="0" w:line="177"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38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53" w:lineRule="exact"/>
        <w:rPr>
          <w:sz w:val="24"/>
          <w:szCs w:val="24"/>
          <w:color w:val="auto"/>
        </w:rPr>
      </w:pPr>
    </w:p>
    <w:p>
      <w:pPr>
        <w:ind w:left="480" w:hanging="454"/>
        <w:spacing w:after="0"/>
        <w:tabs>
          <w:tab w:leader="none" w:pos="48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163"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76" w:lineRule="exact"/>
        <w:rPr>
          <w:rFonts w:ascii="MS PGothic" w:cs="MS PGothic" w:eastAsia="MS PGothic" w:hAnsi="MS PGothic"/>
          <w:sz w:val="14"/>
          <w:szCs w:val="1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40" w:right="1440" w:bottom="1440" w:gutter="0" w:footer="0" w:header="0"/>
        </w:sectPr>
      </w:pPr>
    </w:p>
    <w:bookmarkStart w:id="1" w:name="page2"/>
    <w:bookmarkEnd w:id="1"/>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448945</wp:posOffset>
            </wp:positionV>
            <wp:extent cx="1423035" cy="45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5402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SUPPLEMENT DATED MARCH 24, 2023</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PROXY STATEMENT DATED MARCH 17, 2023</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Westwood Holdings Group, Inc. (the “Company,” “we,” “us” or “our”) is voluntarily supplementing the Company’s definitive proxy statement (the “Proxy Statement”) for the 2023 Annual Meeting of Stockholders of the Company (the “Annual Meeting”), as filed with the Securities and Exchange Commission (the “SEC”) on March 17, 2023, to update the treatment of abstentions with respect to Proposal 3 – Approval of the Ninth Amended and Restated Westwood Holdings Group, Inc. Stock Incentive Plan. The update is a result of a change to Section 312.07 of the New York Stock Exchange (“NYSE”) Listed Company Manual. This supplemental information should be read in conjunction with the Proxy Statement, which should be read in its entirety.</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 in Treatment of Abstentions</w:t>
      </w:r>
    </w:p>
    <w:p>
      <w:pPr>
        <w:spacing w:after="0" w:line="11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November 19, 2021, the SEC approved an amendment to Section 312.07 of the NYSE Listed Company Manual. The amendment impacts the treatment of “abstentions” with respect to the vote on Proposal 3 – Approval of the Ninth Amended and Restated Westwood Holdings Group, Inc. Stock Incentive Plan. Prior to the amendment, NYSE guidance required abstentions to be treated as “against” votes with respect to the vote on Proposal 3. As a result of the amendment, abstentions on Proposal 3 will not be counted as votes cast.</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Revised Text of the Proxy Statement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text under the heading entitled “</w:t>
      </w:r>
      <w:r>
        <w:rPr>
          <w:rFonts w:ascii="Times New Roman" w:cs="Times New Roman" w:eastAsia="Times New Roman" w:hAnsi="Times New Roman"/>
          <w:sz w:val="18"/>
          <w:szCs w:val="18"/>
          <w:b w:val="1"/>
          <w:bCs w:val="1"/>
          <w:color w:val="auto"/>
        </w:rPr>
        <w:t>What vote is required to approval each proposal?</w:t>
      </w:r>
      <w:r>
        <w:rPr>
          <w:rFonts w:ascii="Times New Roman" w:cs="Times New Roman" w:eastAsia="Times New Roman" w:hAnsi="Times New Roman"/>
          <w:sz w:val="18"/>
          <w:szCs w:val="18"/>
          <w:color w:val="auto"/>
        </w:rPr>
        <w:t>” on page 2 of the Proxy Statement pertaining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is replaced with the following (strikethrough indicates removal of language and bold and underlined indicates addition of language):</w:t>
      </w:r>
    </w:p>
    <w:p>
      <w:pPr>
        <w:spacing w:after="0" w:line="9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“Proposal 3: The approval of the Ninth Amended and Restated Westwood Holdings Group, Inc. Stock Incentive Plan requires the affirmative "FOR" vote of a majority of the votes cast at the annual meeting. You may vote "FOR," “AGAINST” or "ABSTAIN" with respect to this proposal. As the approval of Proposal 3 is a non-routine matter under applicable rules, your bank, broker or other nominee cannot vote without instructions from you. </w:t>
      </w:r>
      <w:r>
        <w:rPr>
          <w:rFonts w:ascii="Times New Roman" w:cs="Times New Roman" w:eastAsia="Times New Roman" w:hAnsi="Times New Roman"/>
          <w:sz w:val="18"/>
          <w:szCs w:val="18"/>
          <w:color w:val="auto"/>
          <w:strike w:val="1"/>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Neither a</w:t>
      </w:r>
      <w:r>
        <w:rPr>
          <w:rFonts w:ascii="Times New Roman" w:cs="Times New Roman" w:eastAsia="Times New Roman" w:hAnsi="Times New Roman"/>
          <w:sz w:val="18"/>
          <w:szCs w:val="18"/>
          <w:color w:val="auto"/>
        </w:rPr>
        <w:t xml:space="preserve"> broker non-vote </w:t>
      </w:r>
      <w:r>
        <w:rPr>
          <w:rFonts w:ascii="Times New Roman" w:cs="Times New Roman" w:eastAsia="Times New Roman" w:hAnsi="Times New Roman"/>
          <w:sz w:val="18"/>
          <w:szCs w:val="18"/>
          <w:b w:val="1"/>
          <w:bCs w:val="1"/>
          <w:u w:val="single" w:color="auto"/>
          <w:color w:val="auto"/>
        </w:rPr>
        <w:t>nor an abstention</w:t>
      </w:r>
      <w:r>
        <w:rPr>
          <w:rFonts w:ascii="Times New Roman" w:cs="Times New Roman" w:eastAsia="Times New Roman" w:hAnsi="Times New Roman"/>
          <w:sz w:val="18"/>
          <w:szCs w:val="18"/>
          <w:color w:val="auto"/>
        </w:rPr>
        <w:t xml:space="preserve"> is </w:t>
      </w:r>
      <w:r>
        <w:rPr>
          <w:rFonts w:ascii="Times New Roman" w:cs="Times New Roman" w:eastAsia="Times New Roman" w:hAnsi="Times New Roman"/>
          <w:sz w:val="18"/>
          <w:szCs w:val="18"/>
          <w:color w:val="auto"/>
          <w:strike w:val="1"/>
        </w:rPr>
        <w:t>not</w:t>
      </w:r>
      <w:r>
        <w:rPr>
          <w:rFonts w:ascii="Times New Roman" w:cs="Times New Roman" w:eastAsia="Times New Roman" w:hAnsi="Times New Roman"/>
          <w:sz w:val="18"/>
          <w:szCs w:val="18"/>
          <w:color w:val="auto"/>
        </w:rPr>
        <w:t xml:space="preserve"> a vote cast under applicable law or applicable NYSE rules and will have no effect on the outcome of this proposal. </w:t>
      </w:r>
      <w:r>
        <w:rPr>
          <w:rFonts w:ascii="Times New Roman" w:cs="Times New Roman" w:eastAsia="Times New Roman" w:hAnsi="Times New Roman"/>
          <w:sz w:val="18"/>
          <w:szCs w:val="18"/>
          <w:color w:val="auto"/>
          <w:strike w:val="1"/>
        </w:rPr>
        <w:t>An abstention, however, is a vote cast under applicable NYSE rules and, as a result, abstentions will have the effect of votes "AGAINST"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proposal.</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first sentence under the “Vote Sought and Recommendation” heading on page 32 of the Proxy Statement is replaced with the following (strikethrough indicates removal of language and bold and underlined indicates addition of language):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approval of the Amendment requires the affirmative vote of a majority of the votes cast with respect to this Proposal. All proxies submitted will be voted "FOR" this Proposal unless stockholders specify a contrary vote in their proxies. Broker non-votes </w:t>
      </w:r>
      <w:r>
        <w:rPr>
          <w:rFonts w:ascii="Times New Roman" w:cs="Times New Roman" w:eastAsia="Times New Roman" w:hAnsi="Times New Roman"/>
          <w:sz w:val="18"/>
          <w:szCs w:val="18"/>
          <w:b w:val="1"/>
          <w:bCs w:val="1"/>
          <w:u w:val="single" w:color="auto"/>
          <w:color w:val="auto"/>
        </w:rPr>
        <w:t>and abstentions</w:t>
      </w:r>
      <w:r>
        <w:rPr>
          <w:rFonts w:ascii="Times New Roman" w:cs="Times New Roman" w:eastAsia="Times New Roman" w:hAnsi="Times New Roman"/>
          <w:sz w:val="18"/>
          <w:szCs w:val="18"/>
          <w:color w:val="auto"/>
        </w:rPr>
        <w:t xml:space="preserve"> will not be counted as votes cast with respect to this Proposal</w:t>
      </w:r>
      <w:r>
        <w:rPr>
          <w:rFonts w:ascii="Times New Roman" w:cs="Times New Roman" w:eastAsia="Times New Roman" w:hAnsi="Times New Roman"/>
          <w:sz w:val="18"/>
          <w:szCs w:val="18"/>
          <w:color w:val="auto"/>
          <w:strike w:val="1"/>
        </w:rPr>
        <w:t>; however, abstentions will have the same effect as votes against this Proposal</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Stockholders who would like additional copies, without charge, of the Proxy Statement or who have questions about the Proxy Statement or this supplement should contact Terry Forbes, the Company’s Chief Financial Officer &amp; Treasurer, at 200 Crescent Court, Suite 1200, Dallas, Texas 75201 or by telephoning (214) 756-6900.</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2023-03-24T07:41:21Z</dcterms:created>
  <dcterms:modified xsi:type="dcterms:W3CDTF">2023-03-24T07:41:21Z</dcterms:modified>
</cp:coreProperties>
</file>