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18" w:lineRule="exact"/>
        <w:rPr>
          <w:sz w:val="24"/>
          <w:szCs w:val="24"/>
          <w:color w:val="auto"/>
        </w:rPr>
      </w:pPr>
    </w:p>
    <w:p>
      <w:pPr>
        <w:ind w:left="20"/>
        <w:spacing w:after="0" w:line="111" w:lineRule="exact"/>
        <w:rPr>
          <w:sz w:val="20"/>
          <w:szCs w:val="20"/>
          <w:color w:val="auto"/>
        </w:rPr>
      </w:pPr>
      <w:r>
        <w:rPr>
          <w:rFonts w:ascii="MS PGothic" w:cs="MS PGothic" w:eastAsia="MS PGothic" w:hAnsi="MS PGothic"/>
          <w:sz w:val="11"/>
          <w:szCs w:val="11"/>
          <w:color w:val="auto"/>
        </w:rPr>
        <w:t>☒</w:t>
      </w:r>
    </w:p>
    <w:p>
      <w:pPr>
        <w:spacing w:after="0" w:line="200" w:lineRule="exact"/>
        <w:rPr>
          <w:sz w:val="24"/>
          <w:szCs w:val="24"/>
          <w:color w:val="auto"/>
        </w:rPr>
      </w:pPr>
    </w:p>
    <w:p>
      <w:pPr>
        <w:spacing w:after="0" w:line="302" w:lineRule="exact"/>
        <w:rPr>
          <w:sz w:val="24"/>
          <w:szCs w:val="24"/>
          <w:color w:val="auto"/>
        </w:rPr>
      </w:pPr>
    </w:p>
    <w:p>
      <w:pPr>
        <w:ind w:left="40"/>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-181610</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-208915</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5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4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6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53" w:lineRule="exact"/>
        <w:rPr>
          <w:sz w:val="24"/>
          <w:szCs w:val="24"/>
          <w:color w:val="auto"/>
        </w:rPr>
      </w:pPr>
    </w:p>
    <w:p>
      <w:pPr>
        <w:ind w:left="3640"/>
        <w:spacing w:after="0"/>
        <w:tabs>
          <w:tab w:leader="none" w:pos="5500"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-1905</wp:posOffset>
            </wp:positionV>
            <wp:extent cx="8223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325" cy="6985"/>
                    </a:xfrm>
                    <a:prstGeom prst="rect">
                      <a:avLst/>
                    </a:prstGeom>
                    <a:noFill/>
                  </pic:spPr>
                </pic:pic>
              </a:graphicData>
            </a:graphic>
          </wp:anchor>
        </w:drawing>
      </w:r>
    </w:p>
    <w:p>
      <w:pPr>
        <w:spacing w:after="0" w:line="4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Commission file number 1-31234</w:t>
      </w:r>
    </w:p>
    <w:p>
      <w:pPr>
        <w:spacing w:after="0" w:line="5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5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WESTWOOD HOLDINGS GROUP, INC.</w:t>
      </w:r>
    </w:p>
    <w:p>
      <w:pPr>
        <w:spacing w:after="0" w:line="1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28" w:lineRule="exact"/>
        <w:rPr>
          <w:sz w:val="24"/>
          <w:szCs w:val="24"/>
          <w:color w:val="auto"/>
        </w:rPr>
      </w:pPr>
    </w:p>
    <w:p>
      <w:pPr>
        <w:ind w:left="1780"/>
        <w:spacing w:after="0"/>
        <w:tabs>
          <w:tab w:leader="none" w:pos="7600" w:val="left"/>
        </w:tabs>
        <w:rPr>
          <w:sz w:val="20"/>
          <w:szCs w:val="20"/>
          <w:color w:val="auto"/>
        </w:rPr>
      </w:pP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11"/>
          <w:szCs w:val="11"/>
          <w:b w:val="1"/>
          <w:bCs w:val="1"/>
          <w:color w:val="auto"/>
        </w:rPr>
        <w:t>75-2969997</w:t>
      </w:r>
    </w:p>
    <w:p>
      <w:pPr>
        <w:spacing w:after="0" w:line="29" w:lineRule="exact"/>
        <w:rPr>
          <w:sz w:val="24"/>
          <w:szCs w:val="24"/>
          <w:color w:val="auto"/>
        </w:rPr>
      </w:pPr>
    </w:p>
    <w:p>
      <w:pPr>
        <w:ind w:left="1420"/>
        <w:spacing w:after="0"/>
        <w:tabs>
          <w:tab w:leader="none" w:pos="7540" w:val="left"/>
        </w:tabs>
        <w:rPr>
          <w:sz w:val="20"/>
          <w:szCs w:val="20"/>
          <w:color w:val="auto"/>
        </w:rPr>
      </w:pPr>
      <w:r>
        <w:rPr>
          <w:rFonts w:ascii="Times New Roman" w:cs="Times New Roman" w:eastAsia="Times New Roman" w:hAnsi="Times New Roman"/>
          <w:sz w:val="10"/>
          <w:szCs w:val="10"/>
          <w:color w:val="auto"/>
        </w:rPr>
        <w:t>(State or other jurisdiction of</w:t>
      </w:r>
      <w:r>
        <w:rPr>
          <w:sz w:val="20"/>
          <w:szCs w:val="20"/>
          <w:color w:val="auto"/>
        </w:rPr>
        <w:tab/>
      </w:r>
      <w:r>
        <w:rPr>
          <w:rFonts w:ascii="Times New Roman" w:cs="Times New Roman" w:eastAsia="Times New Roman" w:hAnsi="Times New Roman"/>
          <w:sz w:val="9"/>
          <w:szCs w:val="9"/>
          <w:color w:val="auto"/>
        </w:rPr>
        <w:t>(I.R.S. Employer</w:t>
      </w:r>
    </w:p>
    <w:p>
      <w:pPr>
        <w:jc w:val="right"/>
        <w:ind w:right="2320"/>
        <w:spacing w:after="0"/>
        <w:tabs>
          <w:tab w:leader="none" w:pos="700" w:val="left"/>
        </w:tabs>
        <w:rPr>
          <w:sz w:val="20"/>
          <w:szCs w:val="20"/>
          <w:color w:val="auto"/>
        </w:rPr>
      </w:pPr>
      <w:r>
        <w:rPr>
          <w:rFonts w:ascii="Times New Roman" w:cs="Times New Roman" w:eastAsia="Times New Roman" w:hAnsi="Times New Roman"/>
          <w:sz w:val="10"/>
          <w:szCs w:val="10"/>
          <w:color w:val="auto"/>
        </w:rPr>
        <w:t>incorporation or organization)</w:t>
      </w:r>
      <w:r>
        <w:rPr>
          <w:sz w:val="20"/>
          <w:szCs w:val="20"/>
          <w:color w:val="auto"/>
        </w:rPr>
        <w:tab/>
      </w:r>
      <w:r>
        <w:rPr>
          <w:rFonts w:ascii="Times New Roman" w:cs="Times New Roman" w:eastAsia="Times New Roman" w:hAnsi="Times New Roman"/>
          <w:sz w:val="9"/>
          <w:szCs w:val="9"/>
          <w:color w:val="auto"/>
        </w:rPr>
        <w:t>Identification No.)</w:t>
      </w:r>
    </w:p>
    <w:p>
      <w:pPr>
        <w:spacing w:after="0" w:line="18" w:lineRule="exact"/>
        <w:rPr>
          <w:sz w:val="24"/>
          <w:szCs w:val="24"/>
          <w:color w:val="auto"/>
        </w:rPr>
      </w:pPr>
    </w:p>
    <w:p>
      <w:pPr>
        <w:sectPr>
          <w:pgSz w:w="11900" w:h="16838" w:orient="portrait"/>
          <w:cols w:equalWidth="0" w:num="2">
            <w:col w:w="440" w:space="260"/>
            <w:col w:w="10580"/>
          </w:cols>
          <w:pgMar w:left="300" w:top="1017" w:right="319" w:bottom="1440" w:gutter="0" w:footer="0" w:header="0"/>
        </w:sectPr>
      </w:pPr>
    </w:p>
    <w:p>
      <w:pPr>
        <w:ind w:left="1960"/>
        <w:spacing w:after="0"/>
        <w:rPr>
          <w:sz w:val="20"/>
          <w:szCs w:val="20"/>
          <w:color w:val="auto"/>
        </w:rPr>
      </w:pPr>
      <w:r>
        <w:rPr>
          <w:rFonts w:ascii="Times New Roman" w:cs="Times New Roman" w:eastAsia="Times New Roman" w:hAnsi="Times New Roman"/>
          <w:sz w:val="11"/>
          <w:szCs w:val="11"/>
          <w:b w:val="1"/>
          <w:bCs w:val="1"/>
          <w:color w:val="auto"/>
        </w:rPr>
        <w:t>200 Crescent Court, Suite 1200</w:t>
      </w:r>
    </w:p>
    <w:p>
      <w:pPr>
        <w:spacing w:after="0" w:line="33" w:lineRule="exact"/>
        <w:rPr>
          <w:sz w:val="24"/>
          <w:szCs w:val="24"/>
          <w:color w:val="auto"/>
        </w:rPr>
      </w:pPr>
    </w:p>
    <w:p>
      <w:pPr>
        <w:ind w:left="2360"/>
        <w:spacing w:after="0"/>
        <w:tabs>
          <w:tab w:leader="none" w:pos="8440" w:val="left"/>
        </w:tabs>
        <w:rPr>
          <w:sz w:val="20"/>
          <w:szCs w:val="20"/>
          <w:color w:val="auto"/>
        </w:rPr>
      </w:pPr>
      <w:r>
        <w:rPr>
          <w:rFonts w:ascii="Times New Roman" w:cs="Times New Roman" w:eastAsia="Times New Roman" w:hAnsi="Times New Roman"/>
          <w:sz w:val="11"/>
          <w:szCs w:val="11"/>
          <w:b w:val="1"/>
          <w:bCs w:val="1"/>
          <w:color w:val="auto"/>
        </w:rPr>
        <w:t>Dallas, Texas</w:t>
      </w:r>
      <w:r>
        <w:rPr>
          <w:sz w:val="20"/>
          <w:szCs w:val="20"/>
          <w:color w:val="auto"/>
        </w:rPr>
        <w:tab/>
      </w:r>
      <w:r>
        <w:rPr>
          <w:rFonts w:ascii="Times New Roman" w:cs="Times New Roman" w:eastAsia="Times New Roman" w:hAnsi="Times New Roman"/>
          <w:sz w:val="11"/>
          <w:szCs w:val="11"/>
          <w:b w:val="1"/>
          <w:bCs w:val="1"/>
          <w:color w:val="auto"/>
        </w:rPr>
        <w:t>75201</w:t>
      </w:r>
    </w:p>
    <w:p>
      <w:pPr>
        <w:spacing w:after="0" w:line="39" w:lineRule="exact"/>
        <w:rPr>
          <w:sz w:val="24"/>
          <w:szCs w:val="24"/>
          <w:color w:val="auto"/>
        </w:rPr>
      </w:pPr>
    </w:p>
    <w:p>
      <w:pPr>
        <w:ind w:left="1920"/>
        <w:spacing w:after="0"/>
        <w:tabs>
          <w:tab w:leader="none" w:pos="8360" w:val="left"/>
        </w:tabs>
        <w:rPr>
          <w:sz w:val="20"/>
          <w:szCs w:val="20"/>
          <w:color w:val="auto"/>
        </w:rPr>
      </w:pPr>
      <w:r>
        <w:rPr>
          <w:rFonts w:ascii="Times New Roman" w:cs="Times New Roman" w:eastAsia="Times New Roman" w:hAnsi="Times New Roman"/>
          <w:sz w:val="10"/>
          <w:szCs w:val="10"/>
          <w:color w:val="auto"/>
        </w:rPr>
        <w:t>(Address of principal executive offices)</w:t>
      </w:r>
      <w:r>
        <w:rPr>
          <w:sz w:val="20"/>
          <w:szCs w:val="20"/>
          <w:color w:val="auto"/>
        </w:rPr>
        <w:tab/>
      </w:r>
      <w:r>
        <w:rPr>
          <w:rFonts w:ascii="Times New Roman" w:cs="Times New Roman" w:eastAsia="Times New Roman" w:hAnsi="Times New Roman"/>
          <w:sz w:val="9"/>
          <w:szCs w:val="9"/>
          <w:color w:val="auto"/>
        </w:rPr>
        <w:t>(Zip Code)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(214) 756-6900</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1"/>
                <w:szCs w:val="11"/>
                <w:color w:val="auto"/>
              </w:rPr>
            </w:pPr>
          </w:p>
        </w:tc>
        <w:tc>
          <w:tcPr>
            <w:tcW w:w="3400" w:type="dxa"/>
            <w:vAlign w:val="bottom"/>
            <w:gridSpan w:val="2"/>
          </w:tcPr>
          <w:p>
            <w:pPr>
              <w:jc w:val="center"/>
              <w:ind w:right="2503"/>
              <w:spacing w:after="0"/>
              <w:rPr>
                <w:sz w:val="20"/>
                <w:szCs w:val="20"/>
                <w:color w:val="auto"/>
              </w:rPr>
            </w:pPr>
            <w:r>
              <w:rPr>
                <w:rFonts w:ascii="Times New Roman" w:cs="Times New Roman" w:eastAsia="Times New Roman" w:hAnsi="Times New Roman"/>
                <w:sz w:val="11"/>
                <w:szCs w:val="11"/>
                <w:color w:val="auto"/>
              </w:rPr>
              <w:t>Title of each class:</w:t>
            </w: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color w:val="auto"/>
              </w:rPr>
              <w:t>Trading Symbol:</w:t>
            </w:r>
          </w:p>
        </w:tc>
        <w:tc>
          <w:tcPr>
            <w:tcW w:w="168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63"/>
        </w:trPr>
        <w:tc>
          <w:tcPr>
            <w:tcW w:w="5200" w:type="dxa"/>
            <w:vAlign w:val="bottom"/>
            <w:gridSpan w:val="3"/>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60" w:type="dxa"/>
            <w:vAlign w:val="bottom"/>
          </w:tcPr>
          <w:p>
            <w:pPr>
              <w:spacing w:after="0"/>
              <w:rPr>
                <w:sz w:val="14"/>
                <w:szCs w:val="14"/>
                <w:color w:val="auto"/>
              </w:rPr>
            </w:pPr>
          </w:p>
        </w:tc>
        <w:tc>
          <w:tcPr>
            <w:tcW w:w="62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w w:val="99"/>
              </w:rPr>
              <w:t>WHG</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r>
        <w:trPr>
          <w:trHeight w:val="265"/>
        </w:trPr>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40" w:type="dxa"/>
            <w:vAlign w:val="bottom"/>
            <w:gridSpan w:val="7"/>
          </w:tcPr>
          <w:p>
            <w:pPr>
              <w:jc w:val="center"/>
              <w:ind w:right="1383"/>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10"/>
        </w:trPr>
        <w:tc>
          <w:tcPr>
            <w:tcW w:w="8060" w:type="dxa"/>
            <w:vAlign w:val="bottom"/>
            <w:gridSpan w:val="8"/>
          </w:tcPr>
          <w:p>
            <w:pPr>
              <w:jc w:val="center"/>
              <w:ind w:left="3187"/>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tc>
        <w:tc>
          <w:tcPr>
            <w:tcW w:w="2020" w:type="dxa"/>
            <w:vAlign w:val="bottom"/>
          </w:tcPr>
          <w:p>
            <w:pPr>
              <w:spacing w:after="0"/>
              <w:rPr>
                <w:sz w:val="9"/>
                <w:szCs w:val="9"/>
                <w:color w:val="auto"/>
              </w:rPr>
            </w:pPr>
          </w:p>
        </w:tc>
      </w:tr>
      <w:tr>
        <w:trPr>
          <w:trHeight w:val="208"/>
        </w:trPr>
        <w:tc>
          <w:tcPr>
            <w:tcW w:w="5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registrant is a well-known seasoned issuer, as defined in Rule 405 of the Securities Act.</w:t>
            </w: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500" w:type="dxa"/>
            <w:vAlign w:val="bottom"/>
            <w:gridSpan w:val="2"/>
          </w:tcPr>
          <w:p>
            <w:pPr>
              <w:spacing w:after="0" w:line="111" w:lineRule="exact"/>
              <w:rPr>
                <w:sz w:val="20"/>
                <w:szCs w:val="20"/>
                <w:color w:val="auto"/>
              </w:rPr>
            </w:pPr>
            <w:r>
              <w:rPr>
                <w:rFonts w:ascii="MS PGothic" w:cs="MS PGothic" w:eastAsia="MS PGothic" w:hAnsi="MS PGothic"/>
                <w:sz w:val="11"/>
                <w:szCs w:val="11"/>
                <w:color w:val="auto"/>
              </w:rPr>
              <w:t>☒</w:t>
            </w:r>
          </w:p>
        </w:tc>
        <w:tc>
          <w:tcPr>
            <w:tcW w:w="1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2"/>
        </w:trPr>
        <w:tc>
          <w:tcPr>
            <w:tcW w:w="58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w:t>
            </w:r>
          </w:p>
        </w:tc>
        <w:tc>
          <w:tcPr>
            <w:tcW w:w="50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370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r>
    </w:tbl>
    <w:p>
      <w:pPr>
        <w:spacing w:after="0" w:line="26" w:lineRule="exact"/>
        <w:rPr>
          <w:sz w:val="24"/>
          <w:szCs w:val="24"/>
          <w:color w:val="auto"/>
        </w:rPr>
      </w:pPr>
    </w:p>
    <w:p>
      <w:pPr>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6" w:lineRule="exact"/>
        <w:rPr>
          <w:sz w:val="24"/>
          <w:szCs w:val="24"/>
          <w:color w:val="auto"/>
        </w:rPr>
      </w:pPr>
    </w:p>
    <w:p>
      <w:pPr>
        <w:ind w:right="2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6" w:lineRule="exact"/>
        <w:rPr>
          <w:sz w:val="24"/>
          <w:szCs w:val="24"/>
          <w:color w:val="auto"/>
        </w:rPr>
      </w:pPr>
    </w:p>
    <w:p>
      <w:pPr>
        <w:ind w:right="280"/>
        <w:spacing w:after="0" w:line="27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1"/>
        </w:trPr>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Accelerated filer</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20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0" w:lineRule="exact"/>
        <w:rPr>
          <w:sz w:val="24"/>
          <w:szCs w:val="24"/>
          <w:color w:val="auto"/>
        </w:rPr>
      </w:pPr>
    </w:p>
    <w:p>
      <w:pPr>
        <w:ind w:right="8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6" w:lineRule="exact"/>
        <w:rPr>
          <w:sz w:val="24"/>
          <w:szCs w:val="24"/>
          <w:color w:val="auto"/>
        </w:rPr>
      </w:pPr>
    </w:p>
    <w:p>
      <w:pPr>
        <w:ind w:right="42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p>
    <w:p>
      <w:pPr>
        <w:spacing w:after="0" w:line="2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91" w:lineRule="exact"/>
        <w:rPr>
          <w:sz w:val="24"/>
          <w:szCs w:val="24"/>
          <w:color w:val="auto"/>
        </w:rPr>
      </w:pPr>
    </w:p>
    <w:p>
      <w:pPr>
        <w:ind w:right="14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1" w:lineRule="exact"/>
        <w:rPr>
          <w:sz w:val="24"/>
          <w:szCs w:val="24"/>
          <w:color w:val="auto"/>
        </w:rPr>
      </w:pPr>
    </w:p>
    <w:p>
      <w:pPr>
        <w:spacing w:after="0" w:line="127" w:lineRule="exact"/>
        <w:tabs>
          <w:tab w:leader="none" w:pos="522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91" w:lineRule="exact"/>
        <w:rPr>
          <w:sz w:val="24"/>
          <w:szCs w:val="24"/>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The aggregate market value on June 30, 2024 of the voting and non-voting common equity held by non-affiliates of the registrant was $93,937,983. For purposes of this calculation, the registrant has assumed that stockholders that are not officers or directors of the registrant are not affiliates of the registrant.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par value $0.01 per share, outstanding as of February 28, 2025: 9,379,675.</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6" w:lineRule="exact"/>
        <w:rPr>
          <w:sz w:val="24"/>
          <w:szCs w:val="24"/>
          <w:color w:val="auto"/>
        </w:rPr>
      </w:pPr>
    </w:p>
    <w:p>
      <w:pPr>
        <w:ind w:right="40"/>
        <w:spacing w:after="0" w:line="300" w:lineRule="auto"/>
        <w:rPr>
          <w:sz w:val="20"/>
          <w:szCs w:val="20"/>
          <w:color w:val="auto"/>
        </w:rPr>
      </w:pPr>
      <w:r>
        <w:rPr>
          <w:rFonts w:ascii="Times New Roman" w:cs="Times New Roman" w:eastAsia="Times New Roman" w:hAnsi="Times New Roman"/>
          <w:sz w:val="11"/>
          <w:szCs w:val="11"/>
          <w:color w:val="auto"/>
        </w:rPr>
        <w:t>Selected portions of the registrant’s definitive Proxy Statement for the 2025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639445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7114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20" w:type="dxa"/>
            <w:vAlign w:val="bottom"/>
            <w:gridSpan w:val="8"/>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tc>
        <w:tc>
          <w:tcPr>
            <w:tcW w:w="900" w:type="dxa"/>
            <w:vAlign w:val="bottom"/>
          </w:tcPr>
          <w:p>
            <w:pPr>
              <w:spacing w:after="0"/>
              <w:rPr>
                <w:sz w:val="16"/>
                <w:szCs w:val="16"/>
                <w:color w:val="auto"/>
              </w:rPr>
            </w:pPr>
          </w:p>
        </w:tc>
      </w:tr>
      <w:tr>
        <w:trPr>
          <w:trHeight w:val="255"/>
        </w:trPr>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20" w:type="dxa"/>
            <w:vAlign w:val="bottom"/>
            <w:gridSpan w:val="6"/>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900" w:type="dxa"/>
            <w:vAlign w:val="bottom"/>
          </w:tcPr>
          <w:p>
            <w:pPr>
              <w:spacing w:after="0"/>
              <w:rPr>
                <w:sz w:val="22"/>
                <w:szCs w:val="22"/>
                <w:color w:val="auto"/>
              </w:rPr>
            </w:pPr>
          </w:p>
        </w:tc>
      </w:tr>
      <w:tr>
        <w:trPr>
          <w:trHeight w:val="373"/>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9"/>
        </w:trPr>
        <w:tc>
          <w:tcPr>
            <w:tcW w:w="6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1.</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0"/>
        </w:trPr>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04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0000FF"/>
              </w:rPr>
              <w:t>1A. Risk Factors</w:t>
            </w:r>
          </w:p>
        </w:tc>
        <w:tc>
          <w:tcPr>
            <w:tcW w:w="8660" w:type="dxa"/>
            <w:vAlign w:val="bottom"/>
            <w:gridSpan w:val="19"/>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0000FF"/>
              </w:rPr>
              <w:t>1B. Unresolved Staff Comments</w:t>
            </w:r>
          </w:p>
        </w:tc>
        <w:tc>
          <w:tcPr>
            <w:tcW w:w="7740" w:type="dxa"/>
            <w:vAlign w:val="bottom"/>
            <w:gridSpan w:val="12"/>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1C. 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2.</w:t>
            </w: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w w:val="99"/>
              </w:rPr>
              <w:t>Properties</w:t>
            </w:r>
          </w:p>
        </w:tc>
        <w:tc>
          <w:tcPr>
            <w:tcW w:w="320" w:type="dxa"/>
            <w:vAlign w:val="bottom"/>
            <w:tcBorders>
              <w:top w:val="single" w:sz="8" w:color="0000FF"/>
            </w:tcBorders>
            <w:gridSpan w:val="2"/>
          </w:tcPr>
          <w:p>
            <w:pPr>
              <w:spacing w:after="0"/>
              <w:rPr>
                <w:sz w:val="13"/>
                <w:szCs w:val="13"/>
                <w:color w:val="auto"/>
              </w:rPr>
            </w:pPr>
          </w:p>
        </w:tc>
        <w:tc>
          <w:tcPr>
            <w:tcW w:w="8580" w:type="dxa"/>
            <w:vAlign w:val="bottom"/>
            <w:gridSpan w:val="18"/>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3.</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0"/>
        </w:trPr>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4.</w:t>
            </w:r>
          </w:p>
        </w:tc>
        <w:tc>
          <w:tcPr>
            <w:tcW w:w="1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Mine Safety Disclosures</w:t>
            </w:r>
          </w:p>
        </w:tc>
        <w:tc>
          <w:tcPr>
            <w:tcW w:w="8080" w:type="dxa"/>
            <w:vAlign w:val="bottom"/>
            <w:gridSpan w:val="15"/>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45"/>
        </w:trPr>
        <w:tc>
          <w:tcPr>
            <w:tcW w:w="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5.</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6.</w:t>
            </w:r>
          </w:p>
        </w:tc>
        <w:tc>
          <w:tcPr>
            <w:tcW w:w="68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4"/>
                <w:szCs w:val="14"/>
                <w:b w:val="1"/>
                <w:bCs w:val="1"/>
                <w:color w:val="0000FF"/>
              </w:rPr>
              <w:t>Reserved</w:t>
            </w:r>
          </w:p>
        </w:tc>
        <w:tc>
          <w:tcPr>
            <w:tcW w:w="2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7.</w:t>
            </w:r>
          </w:p>
        </w:tc>
        <w:tc>
          <w:tcPr>
            <w:tcW w:w="5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 Operations</w:t>
            </w:r>
          </w:p>
        </w:tc>
        <w:tc>
          <w:tcPr>
            <w:tcW w:w="4160" w:type="dxa"/>
            <w:vAlign w:val="bottom"/>
            <w:gridSpan w:val="4"/>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7A. 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8.</w:t>
            </w:r>
          </w:p>
        </w:tc>
        <w:tc>
          <w:tcPr>
            <w:tcW w:w="37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Financial Statements and Supplementary Data</w:t>
            </w:r>
          </w:p>
        </w:tc>
        <w:tc>
          <w:tcPr>
            <w:tcW w:w="5800" w:type="dxa"/>
            <w:vAlign w:val="bottom"/>
            <w:gridSpan w:val="7"/>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9.</w:t>
            </w:r>
          </w:p>
        </w:tc>
        <w:tc>
          <w:tcPr>
            <w:tcW w:w="54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b w:val="1"/>
                <w:bCs w:val="1"/>
                <w:color w:val="0000FF"/>
              </w:rPr>
              <w:t>Changes in and Disagreements with Accountants on Accounting and Financial Disclosure</w:t>
            </w:r>
          </w:p>
        </w:tc>
        <w:tc>
          <w:tcPr>
            <w:tcW w:w="4140" w:type="dxa"/>
            <w:vAlign w:val="bottom"/>
            <w:gridSpan w:val="3"/>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7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0000FF"/>
              </w:rPr>
              <w:t>9A. Controls and Procedures</w:t>
            </w:r>
          </w:p>
        </w:tc>
        <w:tc>
          <w:tcPr>
            <w:tcW w:w="7920" w:type="dxa"/>
            <w:vAlign w:val="bottom"/>
            <w:gridSpan w:val="13"/>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4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0000FF"/>
              </w:rPr>
              <w:t>9B. Other Information</w:t>
            </w:r>
          </w:p>
        </w:tc>
        <w:tc>
          <w:tcPr>
            <w:tcW w:w="8300" w:type="dxa"/>
            <w:vAlign w:val="bottom"/>
            <w:gridSpan w:val="16"/>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9C. 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5"/>
              </w:rPr>
              <w:t>PART III:</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36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4"/>
                <w:szCs w:val="14"/>
                <w:b w:val="1"/>
                <w:bCs w:val="1"/>
                <w:color w:val="0000FF"/>
              </w:rPr>
              <w:t>10. Directors, Executive Officers and Corporate Governance</w:t>
            </w:r>
          </w:p>
        </w:tc>
        <w:tc>
          <w:tcPr>
            <w:tcW w:w="6020" w:type="dxa"/>
            <w:vAlign w:val="bottom"/>
            <w:gridSpan w:val="8"/>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11. 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20"/>
        </w:trPr>
        <w:tc>
          <w:tcPr>
            <w:tcW w:w="34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720" w:type="dxa"/>
            <w:vAlign w:val="bottom"/>
            <w:gridSpan w:val="10"/>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638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4"/>
                <w:szCs w:val="14"/>
                <w:b w:val="1"/>
                <w:bCs w:val="1"/>
                <w:color w:val="0000FF"/>
              </w:rPr>
              <w:t>12. Security Ownership of Certain Beneficial Owners and Management and Related Stockholder Matters</w:t>
            </w:r>
          </w:p>
        </w:tc>
        <w:tc>
          <w:tcPr>
            <w:tcW w:w="3320" w:type="dxa"/>
            <w:vAlign w:val="bottom"/>
            <w:gridSpan w:val="2"/>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13. 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2620" w:type="dxa"/>
            <w:vAlign w:val="bottom"/>
            <w:tcBorders>
              <w:top w:val="single" w:sz="8" w:color="0000FF"/>
              <w:bottom w:val="single" w:sz="8" w:color="0000FF"/>
            </w:tcBorders>
            <w:gridSpan w:val="13"/>
          </w:tcPr>
          <w:p>
            <w:pPr>
              <w:ind w:left="20"/>
              <w:spacing w:after="0"/>
              <w:rPr>
                <w:sz w:val="20"/>
                <w:szCs w:val="20"/>
                <w:color w:val="auto"/>
              </w:rPr>
            </w:pPr>
            <w:r>
              <w:rPr>
                <w:rFonts w:ascii="Times New Roman" w:cs="Times New Roman" w:eastAsia="Times New Roman" w:hAnsi="Times New Roman"/>
                <w:sz w:val="14"/>
                <w:szCs w:val="14"/>
                <w:b w:val="1"/>
                <w:bCs w:val="1"/>
                <w:color w:val="0000FF"/>
              </w:rPr>
              <w:t>14. Principal Accounting Fees and Services</w:t>
            </w:r>
          </w:p>
        </w:tc>
        <w:tc>
          <w:tcPr>
            <w:tcW w:w="2220" w:type="dxa"/>
            <w:vAlign w:val="bottom"/>
            <w:tcBorders>
              <w:top w:val="single" w:sz="8" w:color="0000FF"/>
            </w:tcBorders>
            <w:gridSpan w:val="6"/>
          </w:tcPr>
          <w:p>
            <w:pPr>
              <w:spacing w:after="0"/>
              <w:rPr>
                <w:sz w:val="13"/>
                <w:szCs w:val="13"/>
                <w:color w:val="auto"/>
              </w:rPr>
            </w:pPr>
          </w:p>
        </w:tc>
        <w:tc>
          <w:tcPr>
            <w:tcW w:w="4860" w:type="dxa"/>
            <w:vAlign w:val="bottom"/>
            <w:gridSpan w:val="5"/>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0"/>
        </w:trPr>
        <w:tc>
          <w:tcPr>
            <w:tcW w:w="6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266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4"/>
                <w:szCs w:val="14"/>
                <w:b w:val="1"/>
                <w:bCs w:val="1"/>
                <w:color w:val="0000FF"/>
              </w:rPr>
              <w:t>15. Exhibits, Financial Statement Schedules</w:t>
            </w:r>
          </w:p>
        </w:tc>
        <w:tc>
          <w:tcPr>
            <w:tcW w:w="7040" w:type="dxa"/>
            <w:vAlign w:val="bottom"/>
            <w:gridSpan w:val="10"/>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94" w:lineRule="exact"/>
        <w:rPr>
          <w:sz w:val="20"/>
          <w:szCs w:val="20"/>
          <w:color w:val="auto"/>
        </w:rPr>
      </w:pPr>
    </w:p>
    <w:p>
      <w:pPr>
        <w:ind w:right="2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6"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We manage investment assets and provide services for our clients through our subsidiaries, Westwood Management Corp., Westwood Advisors, L.L.C., Salient Advisors, L.P. and Broadmark Asset Management LLC (each of which is a registered investment adviser ("RIA") registered with the Securities and Exchange Commission ("SEC"), and Salient Capital, L.P., SEC-registered broker-dealer and Financial Industry Regulatory Authority ("FINRA") member, collectively referred to hereinafter together as "Westwood Management") and Westwood Trust ("Westwood Wealth Management"). Westwood Management, founded in 1983,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Our revenues are generally derived from fees based on a percentage of assets under management ("AUM") and assets under advisement ("AUA"). Westwood Management and Westwood Trust collectively had AUM of approximately $16.6 billion and AUA of approximately $1.0 billion at December 31, 2024. We were incorporated under the laws of the State of Delaware on December 12, 2001. Our common stock is listed on the New York Stock Exchange under the ticker symbol "WHG." We are a holding company whose principal assets consist of the capital stock and ownership interests of our operating subsidiaries, primarily Westwood Management, Westwood Trust and Broadmark Asset Management, LLC ("Broadmark").</w:t>
      </w:r>
    </w:p>
    <w:p>
      <w:pPr>
        <w:spacing w:after="0" w:line="65"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success of our business is dependent on client, institutional investment consultant and intermediary relationships. In addition to offering attractive investment opportunities and investment performance, we believe that client service is of paramount importance in the asset management business. Accordingly, a major business focus for us is to build strong relationships with clients to enhance our ability to anticipate their needs and satisfy their investment objectives. Our team approach is designed to deliver efficient, responsive service to our clients, while innovating investment strategies and product alternatives.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operating structure can support a larger business and we believe we are able to accommodate growth by acquisition, product innovation and internal growth within our client base. We have developed investment strategies that we expect to be attractive in our target institutional, wealth management and intermediary markets. Developing new investment strategies and building the organization to support these strategies can result in incurring expenses before significant offsetting revenues are realized. We continue to evaluate new strategies and resources in terms of meeting actual and potential investor needs.</w:t>
      </w:r>
    </w:p>
    <w:p>
      <w:pPr>
        <w:spacing w:after="0" w:line="5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During 2022 we acquired the asset management business of Salient Partners, L.P. (the "Salient Acquisition"). As part of the Salient Acquisition we also acquired Salient Capital, L.P. ("SCLP"), Salient Advisors, L.P. ("Salient Advisors") and an approximately 48% interest in Broadmark. Broadmark is a San Francisco-based RIA managing and/or sub-advising mutual funds, retail and institutional separately-managed accounts. SCLP serves as a sub-placement agent for private placements. Salient Advisors is an SEC-registered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spacing w:after="0" w:line="58"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In January 2023 we acquired an additional 32% interest in Broadmark, increasing our ownership of Broadmark to approximately 80%, which represents a controlling interest for financial statement consolidation purposes (the "Broadmark Acquisition").</w:t>
      </w:r>
    </w:p>
    <w:p>
      <w:pPr>
        <w:spacing w:after="0" w:line="39"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During 2024 we launched exchange-traded funds ("ETFs"), built out the organizational support structure for the Managed Investment Solutions ("MIS") team that joined us in last 2023, and partnered with a newly launched firm, WEBs Investments Inc., to develop and launch innovative investment strategies for investors and advisors, each of which is discussed in detail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Strategic Investments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3" w:name="page4"/>
    <w:bookmarkEnd w:id="3"/>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Over the past several years we have made a number of strategic investments, including investments in Vista Bank, ("Vista"), Westwood Hospitality Fund I, LLC ("Westwood Hospitality"), Westwood Energy Secondaries Fund I, LLC ("Westwood Energy Secondaries"), the TXSE Group Inc ("TXSE") and Westwood Engineered Beta ("WEBs").</w:t>
      </w:r>
    </w:p>
    <w:p>
      <w:pPr>
        <w:spacing w:after="0" w:line="39"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Vista offers traditional banking services and provides clients of Westwood Trust efficient access to lines of credit secured by their investment portfolios. Our partnership enables Vista to refer its clients needing more complex financial planning and investment services to Westwood Wealth Management.</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Hospitality is a private investment fund seeded via our investment that we offer to clients of Westwood Trust.</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Energy Secondaries is a private investment fund seeded via our investment that we offer to our clients.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TXSE is a private company that offers expansion potential for our Texas presence, specifically in the Texas triangle.</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a discussion of our investment in WEBs, see "Growth Strategy"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 Information</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maintain a website at westwoodgroup.com. Information contained on, or connected to, our website is not incorporated by reference into this Report and should not be considered part of this Report or any other filing that we make with the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and Human Capital, and Governance/Nominating Committee Charters are available without charge on our website. Stockholders may also obtain print copies of these documents free of charge by submitting a written request to Murray Forbes III, our Chief Financial Officer and Treasurer, at the address set forth on the front of this Report. The public can also obtain access to any public document we file with the SEC at www.sec.gov.</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Advisory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6"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Our advisory business encompasses six distinct investment capabilities — United States ("U.S.") Value Equity, Multi-Asset, Energy and Real Assets, Tactical Absolute Return, Income Alternatives and Managed Investment Solutions.</w:t>
      </w:r>
    </w:p>
    <w:p>
      <w:pPr>
        <w:spacing w:after="0" w:line="39" w:lineRule="exact"/>
        <w:rPr>
          <w:sz w:val="20"/>
          <w:szCs w:val="20"/>
          <w:color w:val="auto"/>
        </w:rPr>
      </w:pPr>
    </w:p>
    <w:p>
      <w:pPr>
        <w:ind w:right="220" w:firstLine="382"/>
        <w:spacing w:after="0" w:line="268"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financial advisors, individuals, the Westwood Funds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mutual funds, and Westwood ETFs, as well as sub-advisory services to other mutual funds and pooled investment vehicles.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Strategies</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offer high-conviction equity, outcome-oriented solutions and liquid alternatives to address a wide range of investment objectives, including five strategies each having AUM exceeding $1 billion in AUM: LargeCap Value, Income Opportunity, SmallCap Value, MLP &amp; Energy Infrastructure and SMidCap Value.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Value Equity</w:t>
      </w:r>
    </w:p>
    <w:p>
      <w:pPr>
        <w:spacing w:after="0" w:line="94"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U.S. Value Equity team employs a value-oriented approach to identify undervalued, high-quality businesses capable of generating superior risk-adjusted returns, using a fundamental, bottom-up, investment process. Our team seeks well-run businesses with conservative balance sheets and strong free cash flow that can expand enterprise value by funding growth initiatives or by returning capital to shareholders. Identifying undervalued companies with strong fundamentals, where the outlook for future earnings growth is underestimated by the market, offers us the potential for asymmetric returns. This investment approach is intended to preserve capital during unfavorable periods and provide superior real returns over the long term. We have established a track record of producing competitive risk adjusted and real returns for our clients. The principal investment strategies currently managed by the U.S. Value Equity team are as follows: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AllCap Value: </w:t>
      </w:r>
      <w:r>
        <w:rPr>
          <w:rFonts w:ascii="Times New Roman" w:cs="Times New Roman" w:eastAsia="Times New Roman" w:hAnsi="Times New Roman"/>
          <w:sz w:val="14"/>
          <w:szCs w:val="14"/>
          <w:color w:val="auto"/>
        </w:rPr>
        <w:t>Investments in equity securities of approximately 40 to 60 companies benchmarked to the Russell 3000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LargeCap Value: </w:t>
      </w:r>
      <w:r>
        <w:rPr>
          <w:rFonts w:ascii="Times New Roman" w:cs="Times New Roman" w:eastAsia="Times New Roman" w:hAnsi="Times New Roman"/>
          <w:sz w:val="14"/>
          <w:szCs w:val="14"/>
          <w:color w:val="auto"/>
        </w:rPr>
        <w:t>Investments in equity securities of approximately 40 to 60 companies benchmarked to the Russell 1000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MidCap Value: </w:t>
      </w:r>
      <w:r>
        <w:rPr>
          <w:rFonts w:ascii="Times New Roman" w:cs="Times New Roman" w:eastAsia="Times New Roman" w:hAnsi="Times New Roman"/>
          <w:sz w:val="14"/>
          <w:szCs w:val="14"/>
          <w:color w:val="auto"/>
        </w:rPr>
        <w:t>Investments in equity securities of approximately 50 to 80 companies benchmarked to the Russell Midcap Value Index.</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 w:name="page5"/>
    <w:bookmarkEnd w:id="4"/>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SmallCap Value: </w:t>
      </w:r>
      <w:r>
        <w:rPr>
          <w:rFonts w:ascii="Times New Roman" w:cs="Times New Roman" w:eastAsia="Times New Roman" w:hAnsi="Times New Roman"/>
          <w:sz w:val="14"/>
          <w:szCs w:val="14"/>
          <w:color w:val="auto"/>
        </w:rPr>
        <w:t>Investments in equity securities of approximately 50 to 70 companies benchmarked to the Russell 2000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SMidCap Value: </w:t>
      </w:r>
      <w:r>
        <w:rPr>
          <w:rFonts w:ascii="Times New Roman" w:cs="Times New Roman" w:eastAsia="Times New Roman" w:hAnsi="Times New Roman"/>
          <w:sz w:val="14"/>
          <w:szCs w:val="14"/>
          <w:color w:val="auto"/>
        </w:rPr>
        <w:t>Investments in equity securities of approximately 50 to 70 companies benchmarked to the Russell 2500 Value Index.</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Multi-Asset</w:t>
      </w:r>
    </w:p>
    <w:p>
      <w:pPr>
        <w:spacing w:after="0" w:line="94"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The Multi-Asset team employs an investment process that applies top-down views across asset classes along with bottom-up security selection, utilizing quantitative and fundamental tools to evaluate macro, micro and technical conditions across a range of asset classes. Our outcome-oriented solutions utilize strategic and tactical allocations as well as a disciplined focus on managing downside risks.</w:t>
      </w:r>
    </w:p>
    <w:p>
      <w:pPr>
        <w:spacing w:after="0" w:line="51"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team draws on the proprietary fundamental research of Westwood’s experienced investment team members to identify securities with attractive risk-adjusted return profiles across a broad spectrum of income-producing securities. The principal investment strategies managed by the Multi-Asset team are as follows:</w:t>
      </w:r>
    </w:p>
    <w:p>
      <w:pPr>
        <w:spacing w:after="0" w:line="37"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Opportunity: </w:t>
      </w:r>
      <w:r>
        <w:rPr>
          <w:rFonts w:ascii="Times New Roman" w:cs="Times New Roman" w:eastAsia="Times New Roman" w:hAnsi="Times New Roman"/>
          <w:sz w:val="14"/>
          <w:szCs w:val="14"/>
          <w:color w:val="auto"/>
        </w:rPr>
        <w:t>Tactical asset allocation strategy that invests across multiple fixed income sectors, convertibles and equity securities with an income generation bias. Typically invests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range of asset types with an overall moderate risk profile.</w:t>
      </w:r>
    </w:p>
    <w:p>
      <w:pPr>
        <w:spacing w:after="0" w:line="35" w:lineRule="exact"/>
        <w:rPr>
          <w:sz w:val="20"/>
          <w:szCs w:val="20"/>
          <w:color w:val="auto"/>
        </w:rPr>
      </w:pPr>
    </w:p>
    <w:p>
      <w:pPr>
        <w:ind w:right="2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Multi-Asset Income: </w:t>
      </w:r>
      <w:r>
        <w:rPr>
          <w:rFonts w:ascii="Times New Roman" w:cs="Times New Roman" w:eastAsia="Times New Roman" w:hAnsi="Times New Roman"/>
          <w:sz w:val="14"/>
          <w:szCs w:val="14"/>
          <w:color w:val="auto"/>
        </w:rPr>
        <w:t>Tactical asset allocation strategy that invests across multiple fixed income sectors, convertibles and income-producing equity securities. Typically invests in a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types with an overall conservative risk profile.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Energy and Real Assets</w:t>
      </w:r>
    </w:p>
    <w:p>
      <w:pPr>
        <w:spacing w:after="0" w:line="94"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4"/>
          <w:szCs w:val="14"/>
          <w:color w:val="auto"/>
        </w:rPr>
        <w:t>Our Energy and Real Assets team employs an investment approach designed to provide access to a broad universe of energy companies with an emphasis on energy infrastructure. Energy infrastructure companies include Master Limited Partnerships ("MLPs") and midstream corporations as well as other companies involved with infrastructure connected to the production, transportation or distribution of energy. The team has the potential to take advantage of a range of energy opportunities. Our portfolio managers consider primary risk factors for midstream energy infrastructure companies to be economic conditions, equity markets, high yield spreads, volume throughput, energy demand, commodity prices and interest rates. The team monitors and discusses changes in these risk factors on a daily basis. In addition to fundamental analyses, the team utilizes quantitative models to measure valuations, momentum and other risk attributes. The investment team monitors key risk factors for each company and the overall market and positions portfolios accordingly to align with their portfolio management philosophy. The principal investment strategy currently managed by the Energy and Real Asset team is:</w:t>
      </w:r>
    </w:p>
    <w:p>
      <w:pPr>
        <w:spacing w:after="0" w:line="60"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MLP &amp; Energy Infrastructure: </w:t>
      </w:r>
      <w:r>
        <w:rPr>
          <w:rFonts w:ascii="Times New Roman" w:cs="Times New Roman" w:eastAsia="Times New Roman" w:hAnsi="Times New Roman"/>
          <w:sz w:val="14"/>
          <w:szCs w:val="14"/>
          <w:color w:val="auto"/>
        </w:rPr>
        <w:t>Provides access to a universe of energy infrastructure, MLPs and MLP-related companies with the potential to diversify a traditional stock/bond portfolio along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income and inflation protection.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Tactical Absolute Return</w:t>
      </w:r>
    </w:p>
    <w:p>
      <w:pPr>
        <w:spacing w:after="0" w:line="94"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Our Tactical Absolute Return strategies are subadvised by Broadmark. These strategies seek to deliver positive absolute returns through market cycles. We believe that tactical portfolio allocation can actively manage market exposure by adapting to economic conditions and internal market momentum. These strategies appeal to clients who consider it unwise to be fully invested in equities during periods of intense speculation and monetary tightening within an overvalued market. We also look for market environments in which we believe investors should be fully invested or should even overweight higher beta sectors and indices. Our goal is to be in concert with the overall economic/business cycle.</w:t>
      </w:r>
    </w:p>
    <w:p>
      <w:pPr>
        <w:spacing w:after="0" w:line="60" w:lineRule="exact"/>
        <w:rPr>
          <w:sz w:val="20"/>
          <w:szCs w:val="20"/>
          <w:color w:val="auto"/>
        </w:rPr>
      </w:pPr>
    </w:p>
    <w:p>
      <w:pPr>
        <w:ind w:right="20" w:firstLine="382"/>
        <w:spacing w:after="0" w:line="262" w:lineRule="auto"/>
        <w:rPr>
          <w:sz w:val="20"/>
          <w:szCs w:val="20"/>
          <w:color w:val="auto"/>
        </w:rPr>
      </w:pPr>
      <w:r>
        <w:rPr>
          <w:rFonts w:ascii="Times New Roman" w:cs="Times New Roman" w:eastAsia="Times New Roman" w:hAnsi="Times New Roman"/>
          <w:sz w:val="14"/>
          <w:szCs w:val="14"/>
          <w:color w:val="auto"/>
        </w:rPr>
        <w:t>Broadmark’s investment process is grounded in four pillars. The first three pillars – valuation</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 monetary policy and investor sentiment — are mostly qualitative in nature. The fourth pillar is a quantitative assessment of market volume and breadth-based momentum. Using a combination of these qualitative and quantitative metrics, Broadmark seeks to manage risk and enhance alpha by tactically phasing into and out of major equity cycles. Broadmark invests primarily in a diversified portfolio of ETFs and instruments providing exposure to indices, sectors and industries based on its four-pillar process. The investment team may tactically deploy leveraged investment techniques as well as short positions that allow a net exposure ranging from net long to net short depending on the strategy.</w:t>
      </w:r>
    </w:p>
    <w:p>
      <w:pPr>
        <w:spacing w:after="0" w:line="55" w:lineRule="exact"/>
        <w:rPr>
          <w:sz w:val="20"/>
          <w:szCs w:val="20"/>
          <w:color w:val="auto"/>
        </w:rPr>
      </w:pPr>
    </w:p>
    <w:p>
      <w:pPr>
        <w:ind w:right="100" w:firstLine="382"/>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Tactical Growth: </w:t>
      </w:r>
      <w:r>
        <w:rPr>
          <w:rFonts w:ascii="Times New Roman" w:cs="Times New Roman" w:eastAsia="Times New Roman" w:hAnsi="Times New Roman"/>
          <w:sz w:val="14"/>
          <w:szCs w:val="14"/>
          <w:color w:val="auto"/>
        </w:rPr>
        <w:t>Strategy that actively manages equity market exposure via the use of ETFs and other index-based instruments. Seeks to produce above-average, risk-adjusted returns in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environments, while exhibiting less downside volatility than the S&amp;P 500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Index. Designed to help investors sidestep market downturns while attempting to participate in market upsides via continuous active management of portfolio market exposure.</w:t>
      </w:r>
    </w:p>
    <w:p>
      <w:pPr>
        <w:spacing w:after="0" w:line="70" w:lineRule="exact"/>
        <w:rPr>
          <w:sz w:val="20"/>
          <w:szCs w:val="20"/>
          <w:color w:val="auto"/>
        </w:rPr>
      </w:pPr>
    </w:p>
    <w:p>
      <w:pPr>
        <w:ind w:firstLine="382"/>
        <w:spacing w:after="0" w:line="299" w:lineRule="auto"/>
        <w:rPr>
          <w:sz w:val="20"/>
          <w:szCs w:val="20"/>
          <w:color w:val="auto"/>
        </w:rPr>
      </w:pPr>
      <w:r>
        <w:rPr>
          <w:rFonts w:ascii="Times New Roman" w:cs="Times New Roman" w:eastAsia="Times New Roman" w:hAnsi="Times New Roman"/>
          <w:sz w:val="14"/>
          <w:szCs w:val="14"/>
          <w:i w:val="1"/>
          <w:iCs w:val="1"/>
          <w:color w:val="auto"/>
        </w:rPr>
        <w:t xml:space="preserve">Tactical Plus: </w:t>
      </w:r>
      <w:r>
        <w:rPr>
          <w:rFonts w:ascii="Times New Roman" w:cs="Times New Roman" w:eastAsia="Times New Roman" w:hAnsi="Times New Roman"/>
          <w:sz w:val="14"/>
          <w:szCs w:val="14"/>
          <w:color w:val="auto"/>
        </w:rPr>
        <w:t>Strategy that actively manages equity market exposure primarily by investing in equity-based futures, ETFs and options. Seeks to produce above-average, risk-adjusted returns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market environment while exhibiting less downside volatility than the S&amp;P 500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Index by investing mainly in a diversified portfolio of instruments with exposure to U.S.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5" w:name="page6"/>
    <w:bookmarkEnd w:id="5"/>
    <w:p>
      <w:pPr>
        <w:ind w:right="500"/>
        <w:spacing w:after="0" w:line="287" w:lineRule="auto"/>
        <w:rPr>
          <w:sz w:val="20"/>
          <w:szCs w:val="20"/>
          <w:color w:val="auto"/>
        </w:rPr>
      </w:pPr>
      <w:r>
        <w:rPr>
          <w:rFonts w:ascii="Times New Roman" w:cs="Times New Roman" w:eastAsia="Times New Roman" w:hAnsi="Times New Roman"/>
          <w:sz w:val="14"/>
          <w:szCs w:val="14"/>
          <w:color w:val="auto"/>
        </w:rPr>
        <w:t>and non-U.S. equity securities. Designed to help investors sidestep market downturns while attempting to participate in market upsides via continuous active management of portfolio market exposure.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Alternatives</w:t>
      </w:r>
    </w:p>
    <w:p>
      <w:pPr>
        <w:spacing w:after="0" w:line="94"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Our Multi-Asset team manages our Alternative Income strategy, and our Real Estate team manages our Real Estate Income strategy. We believe alternative approaches to income investing can provide diversified sources of risk and return and potentially reduce volatility. Absolute return-oriented and yield-focused strategies for investing in securities not typically found in traditional fixed income portfolios can help investors produce returns from non-traditional sources with low correlation and enhanced portfolio diversification.</w:t>
      </w:r>
    </w:p>
    <w:p>
      <w:pPr>
        <w:spacing w:after="0" w:line="49" w:lineRule="exact"/>
        <w:rPr>
          <w:sz w:val="20"/>
          <w:szCs w:val="20"/>
          <w:color w:val="auto"/>
        </w:rPr>
      </w:pPr>
    </w:p>
    <w:p>
      <w:pPr>
        <w:ind w:right="1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Alternative Income: </w:t>
      </w:r>
      <w:r>
        <w:rPr>
          <w:rFonts w:ascii="Times New Roman" w:cs="Times New Roman" w:eastAsia="Times New Roman" w:hAnsi="Times New Roman"/>
          <w:sz w:val="14"/>
          <w:szCs w:val="14"/>
          <w:color w:val="auto"/>
        </w:rPr>
        <w:t>We believe that a market-neutral approach utilizing convertible arbitrage and opportunistic fixed income can serve as a complement to bond allocations. Our framework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consists of three primary sources of return that aim to neutralize systematic risk. We employ a multi-strategy process seeking to generate positive absolute returns through a short duration yield portfolio of global fixed income securities, convertible arbitrage and macro-hedging, with a focus on convertible arbitrage for reduced correlation and market exposure.</w:t>
      </w:r>
    </w:p>
    <w:p>
      <w:pPr>
        <w:spacing w:after="0" w:line="49" w:lineRule="exact"/>
        <w:rPr>
          <w:sz w:val="20"/>
          <w:szCs w:val="20"/>
          <w:color w:val="auto"/>
        </w:rPr>
      </w:pPr>
    </w:p>
    <w:p>
      <w:pPr>
        <w:jc w:val="both"/>
        <w:ind w:right="6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 Estate Income: </w:t>
      </w:r>
      <w:r>
        <w:rPr>
          <w:rFonts w:ascii="Times New Roman" w:cs="Times New Roman" w:eastAsia="Times New Roman" w:hAnsi="Times New Roman"/>
          <w:sz w:val="14"/>
          <w:szCs w:val="14"/>
          <w:color w:val="auto"/>
        </w:rPr>
        <w:t>A sector-based approach that seeks to produce a substantial income profile and attractive risk-adjusted total returns by investing across the capital stack of publicly traded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real estate investment trusts ("REITs") and other real estate-related companies. Our differentiated strategy has historically emphasized a significant exposure to preferred securities issued by REITs, however our portfolio construction routinely includes high dividend paying REIT common stocks as well as debt securities issued by REITs.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Managed Investment Solutions</w:t>
      </w:r>
    </w:p>
    <w:p>
      <w:pPr>
        <w:spacing w:after="0" w:line="96" w:lineRule="exact"/>
        <w:rPr>
          <w:sz w:val="20"/>
          <w:szCs w:val="20"/>
          <w:color w:val="auto"/>
        </w:rPr>
      </w:pPr>
    </w:p>
    <w:p>
      <w:pPr>
        <w:jc w:val="both"/>
        <w:ind w:right="140" w:firstLine="382"/>
        <w:spacing w:after="0" w:line="270" w:lineRule="auto"/>
        <w:rPr>
          <w:sz w:val="20"/>
          <w:szCs w:val="20"/>
          <w:color w:val="auto"/>
        </w:rPr>
      </w:pPr>
      <w:r>
        <w:rPr>
          <w:rFonts w:ascii="Times New Roman" w:cs="Times New Roman" w:eastAsia="Times New Roman" w:hAnsi="Times New Roman"/>
          <w:sz w:val="14"/>
          <w:szCs w:val="14"/>
          <w:color w:val="auto"/>
        </w:rPr>
        <w:t>Our MIS team joined us in late 2023 and focuses on tailoring investment solutions to a diverse array of individual institutional risk/reward tolerances and investment approaches. We believe that creating customized investment portfolios for clients, using a consultative approach to identify their unique needs, goals and investment objectives, can potentially lead to better outcomes over the long term. The MIS approach combines the following attributes:</w:t>
      </w:r>
    </w:p>
    <w:p>
      <w:pPr>
        <w:spacing w:after="0" w:line="51"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Design – Design, construct and implement index methodologies in consultation with clients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Rules-Based – Systematic approach to achieving client objectives, targeting intended exposures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Transparent – End-to-end transparency across methodology, construction and implementation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Outcome-Oriented – Create custom portfolio solutions based on specific client goals, beliefs and objectives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Adaptive – Implementation and construction that evolves with changing client beliefs and objectives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 Freedom to choose tools and data sources that are best-suited to help clients achieve their outcomes</w:t>
      </w:r>
    </w:p>
    <w:p>
      <w:pPr>
        <w:spacing w:after="0" w:line="94"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Prospective clients for MIS include public plans, sovereign wealth funds, corporate pension plans, defined contribution plans, endowments, foundations, consultant groups and wealth investors.</w:t>
      </w:r>
    </w:p>
    <w:p>
      <w:pPr>
        <w:spacing w:after="0" w:line="39"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Our ability to grow AUM is primarily dependent on our competitive investment performance and success in building strong relationships with clients, investment consulting firms, financial intermediaries and RIAs. We continually seek to expand AUM by organically growing our current investment strategies and by adding new products like our Salient Acquisition in 2022, the acquisition of a controlling interest in Broadmark in 2023, the addition of our Managed Investment Solutions team in 2023, and the launch of our first two actively-managed ETFs in 2024. We will continue to focus on organic product initiatives to grow our investment strategies while considering new investment strategies via acquisitions or from third parties, as discussed under "Growth Strategy" below. Our growth strategy provides clients with more investment opportunities and diversifies our AUM and revenue sources, thereby reducing risk in any one area of investment and increasing our ability to attract new clients Our ten largest clients accounted for approximately 20% of our fee revenues for the year ended December 31, 2024. The loss of some or all of these large clients could have a material adverse effect on our business and our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Exchange-Traded Funds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launched two ETFs in 2024 - Westwood Salient Enhanced Midstream Income ETF (MDST) and Westwood Salient Enhanced Energy Income ETF (WEEI). MDST seeks to provide current income and capital appreciation by investing in securities of midstream U.S. and Canadian corporations, and U.S. master limited partnerships. WEEI seeks to provide current income and capital appreciation by investing in securities of North American energy companies primarily involved in: oil, gas and consumable fuels as well as energy equipment and services. Both ETFs employ a disciplined options overlay that sells out-of-the money individual stock call options to generate distributable monthly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Advisory and Sub-advisory Agreements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6" w:name="page7"/>
    <w:bookmarkEnd w:id="6"/>
    <w:p>
      <w:pPr>
        <w:ind w:firstLine="382"/>
        <w:spacing w:after="0" w:line="258" w:lineRule="auto"/>
        <w:rPr>
          <w:sz w:val="20"/>
          <w:szCs w:val="20"/>
          <w:color w:val="auto"/>
        </w:rPr>
      </w:pPr>
      <w:r>
        <w:rPr>
          <w:rFonts w:ascii="Times New Roman" w:cs="Times New Roman" w:eastAsia="Times New Roman" w:hAnsi="Times New Roman"/>
          <w:sz w:val="14"/>
          <w:szCs w:val="14"/>
          <w:color w:val="auto"/>
        </w:rPr>
        <w:t>Westwood Management manages client accounts under investment advisory and sub-advisory agreements. Typical of the asset management industry, these agreements are usually terminable upon short notice and provide for revenues based on the market value of client AUM. Advisory fees are paid quarterly in advance based on AUM on the last day of the preceding quarter, quarterly in arrears based on AUM on the last day of the quarter just ended or based on a daily or monthly average of AUM for the stated period. Some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62"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Management provides investment advisory services to the Westwood Funds® family of mutual funds:</w:t>
      </w:r>
    </w:p>
    <w:p>
      <w:pPr>
        <w:sectPr>
          <w:pgSz w:w="11900" w:h="16838" w:orient="portrait"/>
          <w:cols w:equalWidth="0" w:num="1">
            <w:col w:w="11220"/>
          </w:cols>
          <w:pgMar w:left="300" w:top="814" w:right="379" w:bottom="1440" w:gutter="0" w:footer="0" w:header="0"/>
        </w:sectPr>
      </w:pPr>
    </w:p>
    <w:p>
      <w:pPr>
        <w:spacing w:after="0" w:line="41"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Alternative Income (WMNIX)</w:t>
      </w:r>
    </w:p>
    <w:p>
      <w:pPr>
        <w:spacing w:after="0" w:line="23"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Broadmark Tactical Plus (SBTIX)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Broadmark Tactical Growth (FTGWX)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Multi-Asset Income (WHGHX)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Income Opportunity (WHGIX)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Quality AllCap (WQAIX)</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MidCap (WWMCX)</w:t>
      </w:r>
    </w:p>
    <w:p>
      <w:pPr>
        <w:spacing w:after="0" w:line="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SmallCap (WHGSX)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SMidCap (WHGMX)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Value (WHGLX)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MLP &amp; Energy Infrastructure (SMLPX)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Real Estate Income (KIFYX)</w:t>
      </w:r>
    </w:p>
    <w:p>
      <w:pPr>
        <w:spacing w:after="0" w:line="164" w:lineRule="exact"/>
        <w:rPr>
          <w:sz w:val="20"/>
          <w:szCs w:val="20"/>
          <w:color w:val="auto"/>
        </w:rPr>
      </w:pPr>
    </w:p>
    <w:p>
      <w:pPr>
        <w:sectPr>
          <w:pgSz w:w="11900" w:h="16838" w:orient="portrait"/>
          <w:cols w:equalWidth="0" w:num="2">
            <w:col w:w="4760" w:space="720"/>
            <w:col w:w="5740"/>
          </w:cols>
          <w:pgMar w:left="300" w:top="814" w:right="37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color w:val="auto"/>
        </w:rPr>
        <w:t>Westwood Management provides investment advisory services to the Westwood ETFs:</w:t>
      </w:r>
    </w:p>
    <w:p>
      <w:pPr>
        <w:sectPr>
          <w:pgSz w:w="11900" w:h="16838" w:orient="portrait"/>
          <w:cols w:equalWidth="0" w:num="1">
            <w:col w:w="11220"/>
          </w:cols>
          <w:pgMar w:left="300" w:top="814" w:right="379" w:bottom="1440" w:gutter="0" w:footer="0" w:header="0"/>
          <w:type w:val="continuous"/>
        </w:sectPr>
      </w:pPr>
    </w:p>
    <w:p>
      <w:pPr>
        <w:spacing w:after="0" w:line="125"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Salient Enhanced Midstream Income ETF (MDST)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Salient Enhanced Energy Income ETF (WEEI)</w:t>
      </w:r>
    </w:p>
    <w:p>
      <w:pPr>
        <w:spacing w:after="0" w:line="200" w:lineRule="exact"/>
        <w:rPr>
          <w:sz w:val="20"/>
          <w:szCs w:val="20"/>
          <w:color w:val="auto"/>
        </w:rPr>
      </w:pPr>
    </w:p>
    <w:p>
      <w:pPr>
        <w:sectPr>
          <w:pgSz w:w="11900" w:h="16838" w:orient="portrait"/>
          <w:cols w:equalWidth="0" w:num="2">
            <w:col w:w="4760" w:space="720"/>
            <w:col w:w="5740"/>
          </w:cols>
          <w:pgMar w:left="300" w:top="814" w:right="379" w:bottom="1440" w:gutter="0" w:footer="0" w:header="0"/>
          <w:type w:val="continuous"/>
        </w:sectPr>
      </w:pPr>
    </w:p>
    <w:p>
      <w:pPr>
        <w:spacing w:after="0" w:line="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2024, AUM in the Westwood Funds® totaled $3.9 billion.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Trust</w:t>
      </w:r>
    </w:p>
    <w:p>
      <w:pPr>
        <w:sectPr>
          <w:pgSz w:w="11900" w:h="16838" w:orient="portrait"/>
          <w:cols w:equalWidth="0" w:num="1">
            <w:col w:w="11220"/>
          </w:cols>
          <w:pgMar w:left="300" w:top="814" w:right="37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Trust provides fiduciary and investment services to high net worth individuals and families, non-profit endowments and foundations, public and private retirement plans and individual retirement accounts.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Fiduciary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Trust’s fiduciary services include but are not limited to: financial planning, wealth transfer planning, customizable trust services, trust administration and estate settlement.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Trust also provides custodial services, tax reporting, accounting of trust income and principal, beneficiary and retiree distributions and safekeeping of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Services</w:t>
      </w:r>
    </w:p>
    <w:p>
      <w:pPr>
        <w:spacing w:after="0" w:line="9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Westwood Trust utilizes a consultative approach in developing a portfolio asset allocation for individual clients.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the risk/return profiles of client investment portfolios by offering a comprehensive investment solution or by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our internal investment teams. Fixed income portfolios consist of targeted "laddered" portfolios of primarily high-quality municipal securities, corporate securities and Treasury bills.</w:t>
      </w:r>
    </w:p>
    <w:p>
      <w:pPr>
        <w:spacing w:after="0" w:line="61"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several of the investment strategies managed by Westwood Management.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Trust also develops asset allocation models for certain clients utilizing its commingled funds, mutual funds managed by Westwood Management and non-affiliated mutual funds.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Enhanced Balanced® Portfolios</w:t>
      </w:r>
    </w:p>
    <w:p>
      <w:pPr>
        <w:spacing w:after="0" w:line="96" w:lineRule="exact"/>
        <w:rPr>
          <w:sz w:val="20"/>
          <w:szCs w:val="20"/>
          <w:color w:val="auto"/>
        </w:rPr>
      </w:pPr>
    </w:p>
    <w:p>
      <w:pPr>
        <w:ind w:right="320" w:firstLine="382"/>
        <w:spacing w:after="0" w:line="270" w:lineRule="auto"/>
        <w:rPr>
          <w:sz w:val="20"/>
          <w:szCs w:val="20"/>
          <w:color w:val="auto"/>
        </w:rPr>
      </w:pPr>
      <w:r>
        <w:rPr>
          <w:rFonts w:ascii="Times New Roman" w:cs="Times New Roman" w:eastAsia="Times New Roman" w:hAnsi="Times New Roman"/>
          <w:sz w:val="14"/>
          <w:szCs w:val="14"/>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Select Equity Strategy</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The Westwood Select Equity strategy aims to provide low-frequency turnover and tax efficiency to high net worth individuals. The offering allows individuals to own a diversified portfolio of best ideas from across Westwood's investment teams. These portfolios include value and growth stocks, along with small-, mid- and large-cap stocks. Westwood Select Equity is also available without the tax efficiency overlay.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Select Strategy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Westwood Dividend Select strategy aims to provide dividend income to investors. The offering allows investors to own a diversified portfolio of dividend-producing equity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portfolios primarily include value stocks, along with mid- and large-cap stocks.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High Alpha Strategy</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Westwood High Alpha strategy aims to provide long-term appreciation to investors. The offering allows investors to own a concentrated portfolio of securities to provide higher returns commensurate with higher volatility. These portfolios primarily include growth stocks in the mid- to large-capitalization range.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 Channels</w:t>
      </w:r>
    </w:p>
    <w:p>
      <w:pPr>
        <w:spacing w:after="0" w:line="96"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Westwood Management investment funds and advisory services are distributed through two primary market channels - Institutional and Intermediary. Our Distribution sales and support infrastructure supports dedicated marketing and client service in both channels. Westwood Wealth Management provides wealth and investment management solutions primarily to individuals and utilizes both Westwood Management and external investment management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Institutional</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The institutional team markets Westwood mutual funds, collective investment trusts, separate accounts and managed investment solutions, as well as advisory and sub-advisory services to defined benefit and defined contribution corporate and public plan sponsors, foundations and endowments, financial institutions and investment consultants. We maintain strong relationships with many global, national and regional investment consulting firms, which have contributed to our being considered and hired by their clients. By leveraging these relationships, we can offer our investment strategies within select defined contribution and other retirement plans in which clients utilize mutual fund and collective investment trusts vehicles. Sub-advising funds of other financial institutions allows us to extend our marketing reach via other firms' distribution systems.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Intermediary and Retail</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In the intermediary and retail channel, our team directly markets our investment services, including the Westwood Funds®, to financial intermediaries, RIAs, broker-dealers, turnkey asset management programs and select mutual fund platforms. We also focus on expanding our relationships with financial intermediaries that manage discretionary mutual fund models. Our Intermediary sales team markets our mutual funds, ETFs and separately managed accounts directly to select broker-dealers and RIAs.</w:t>
      </w:r>
    </w:p>
    <w:p>
      <w:pPr>
        <w:spacing w:after="0" w:line="51"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Managed accounts are similar to mutual fund relationships in that a third-party financial institution, such as a broker-dealer or RIA, trades securities using our model. The typical managed account client is a high net worth individual or small institution that prefers to own shares directly, rather than in a mutual fund. In these arrangements, the third-party financial institution is responsible to the end client for client service, operations and accounting.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Wealth Management</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Strategy</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2" w:right="379" w:bottom="1440" w:gutter="0" w:footer="0" w:header="0"/>
        </w:sectPr>
      </w:pPr>
    </w:p>
    <w:bookmarkStart w:id="8" w:name="page9"/>
    <w:bookmarkEnd w:id="8"/>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We believe we have established a strong platform to support future growth, deriving strength from the experience and capabilities of our management team and our skilled investment, distribution and client service professionals. We believe opportunities for future growth will come from our ability to:</w:t>
      </w:r>
    </w:p>
    <w:p>
      <w:pPr>
        <w:spacing w:after="0" w:line="39"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 growth in our investment management platform from new and existing clients and consultant relationships;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key employees;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assets in our existing investment strategies;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foster continued growth of the wealth management platform and distribution channel;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intermediary distribution;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innovate to bring newly developed investment capabilities and vehicles to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strategic corporate development opportunities;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strengthen our brand name;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or acquire new investment strategies.</w:t>
      </w:r>
    </w:p>
    <w:p>
      <w:pPr>
        <w:spacing w:after="0" w:line="92"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i w:val="1"/>
          <w:iCs w:val="1"/>
          <w:color w:val="auto"/>
        </w:rPr>
        <w:t>Generate growth from new and existing clients and consultant relationships</w:t>
      </w:r>
      <w:r>
        <w:rPr>
          <w:rFonts w:ascii="Times New Roman" w:cs="Times New Roman" w:eastAsia="Times New Roman" w:hAnsi="Times New Roman"/>
          <w:sz w:val="14"/>
          <w:szCs w:val="14"/>
          <w:color w:val="auto"/>
        </w:rPr>
        <w:t>. A primary business objective is to maintain and enhance existing relationships with clients, investment consultants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intermediaries by providing value-added investment opportunities, performance and excellent client service. Over the last few years, we have expanded and restructured our distribution team to improve our proactive sales and client engagement strategy. We are pursuing growth via targeted sales and marketing efforts that showcase our boutique, innovative offerings across our product platform. New institutional client accounts are sourced from investment consultants or from our direct sales efforts. The Salient Acquisition, the addition of our Managed Investment Solutions team, and the launch of our first two ETFs have significantly expanded our product range and distribution capabilities. We plan to leverage our increased scale and broader product availability to enhance offerings to institutional, intermediary and wealth management clients. We believe a key factor for our being considered for new client mandates and platform placements is our firm’s in-depth knowledge, our people, our processes and our agility to innovate to meet our client needs with new products and services.</w:t>
      </w:r>
    </w:p>
    <w:p>
      <w:pPr>
        <w:spacing w:after="0" w:line="57" w:lineRule="exact"/>
        <w:rPr>
          <w:sz w:val="20"/>
          <w:szCs w:val="20"/>
          <w:color w:val="auto"/>
        </w:rPr>
      </w:pPr>
    </w:p>
    <w:p>
      <w:pPr>
        <w:jc w:val="both"/>
        <w:ind w:right="6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Attract and retain key employees</w:t>
      </w:r>
      <w:r>
        <w:rPr>
          <w:rFonts w:ascii="Times New Roman" w:cs="Times New Roman" w:eastAsia="Times New Roman" w:hAnsi="Times New Roman"/>
          <w:sz w:val="14"/>
          <w:szCs w:val="14"/>
          <w:color w:val="auto"/>
        </w:rPr>
        <w:t>. We have created a workplace environment in which motivated, performance-driven and client-oriented individuals can thrive. As a public company, we offer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employees a compensation program that includes strong equity incentives to align their success with that of our clients and stockholders. We believe these factors are critical to maintaining a stable, client-focused environment to support future growth.</w:t>
      </w:r>
    </w:p>
    <w:p>
      <w:pPr>
        <w:spacing w:after="0" w:line="49" w:lineRule="exact"/>
        <w:rPr>
          <w:sz w:val="20"/>
          <w:szCs w:val="20"/>
          <w:color w:val="auto"/>
        </w:rPr>
      </w:pPr>
    </w:p>
    <w:p>
      <w:pPr>
        <w:ind w:right="16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Grow assets in our existing investment strategies</w:t>
      </w:r>
      <w:r>
        <w:rPr>
          <w:rFonts w:ascii="Times New Roman" w:cs="Times New Roman" w:eastAsia="Times New Roman" w:hAnsi="Times New Roman"/>
          <w:sz w:val="14"/>
          <w:szCs w:val="14"/>
          <w:color w:val="auto"/>
        </w:rPr>
        <w:t>. We have significant capacity to manage additional assets across our investment management platform. We have considerably expanded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range of investment strategies and capabilities through the Salient Acquisition and the addition of Managed Investment Solutions, further enhancing our growth opportunities.</w:t>
      </w:r>
    </w:p>
    <w:p>
      <w:pPr>
        <w:spacing w:after="0" w:line="35" w:lineRule="exact"/>
        <w:rPr>
          <w:sz w:val="20"/>
          <w:szCs w:val="20"/>
          <w:color w:val="auto"/>
        </w:rPr>
      </w:pPr>
    </w:p>
    <w:p>
      <w:pPr>
        <w:ind w:right="40" w:firstLine="382"/>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Foster continued growth of the wealth management platform and distribution channel. </w:t>
      </w:r>
      <w:r>
        <w:rPr>
          <w:rFonts w:ascii="Times New Roman" w:cs="Times New Roman" w:eastAsia="Times New Roman" w:hAnsi="Times New Roman"/>
          <w:sz w:val="14"/>
          <w:szCs w:val="14"/>
          <w:color w:val="auto"/>
        </w:rPr>
        <w:t>Westwood Trust serves high net worth and ultra-high net worth individuals and families as well as small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medium-sized institutions. Our location within the Texas Triangle, comprised of Dallas-Fort Worth, Houston, San Antonio, and Austin, provides significant opportunities for future growth. The Texas Triangle is experiencing rapid growth in population and jobs and, in aggregate, represents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economy in the world. We anticipate continued interest from clients and prospective clients in our holistic wealth management approach, which leverages our long history and deep experience as a trust company and investment management firm. A significant percentage of Westwood Trust’s asset inflows stems from referrals along with gathering additional assets from existing clients, trends we see continuing.</w:t>
      </w:r>
    </w:p>
    <w:p>
      <w:pPr>
        <w:spacing w:after="0" w:line="69" w:lineRule="exact"/>
        <w:rPr>
          <w:sz w:val="20"/>
          <w:szCs w:val="20"/>
          <w:color w:val="auto"/>
        </w:rPr>
      </w:pPr>
    </w:p>
    <w:p>
      <w:pPr>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Expand intermediary distribution</w:t>
      </w:r>
      <w:r>
        <w:rPr>
          <w:rFonts w:ascii="Times New Roman" w:cs="Times New Roman" w:eastAsia="Times New Roman" w:hAnsi="Times New Roman"/>
          <w:sz w:val="14"/>
          <w:szCs w:val="14"/>
          <w:color w:val="auto"/>
        </w:rPr>
        <w:t>. For the past several years, we have expanded our geographic approach and focused coverage for intermediary distribution, building up our intermediary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team to extend our reach and accelerate growth in top markets. As a result of the Salient Acquisition, we have again expanded our sales and marketing resources to accelerate growth geographically and across market segments via third-party platforms. We believe that providing investors with access to our mutual funds, separately managed accounts, and ETFs is a key component to achieving asset growth in the defined contribution and retirement marketplaces as well as with RIAs and select broker-dealers.</w:t>
      </w:r>
    </w:p>
    <w:p>
      <w:pPr>
        <w:spacing w:after="0" w:line="53" w:lineRule="exact"/>
        <w:rPr>
          <w:sz w:val="20"/>
          <w:szCs w:val="20"/>
          <w:color w:val="auto"/>
        </w:rPr>
      </w:pPr>
    </w:p>
    <w:p>
      <w:pPr>
        <w:jc w:val="both"/>
        <w:ind w:right="20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Innovate to bring newly developed investment capabilities and vehicles to market. </w:t>
      </w:r>
      <w:r>
        <w:rPr>
          <w:rFonts w:ascii="Times New Roman" w:cs="Times New Roman" w:eastAsia="Times New Roman" w:hAnsi="Times New Roman"/>
          <w:sz w:val="14"/>
          <w:szCs w:val="14"/>
          <w:color w:val="auto"/>
        </w:rPr>
        <w:t>Being a small, boutique investment manager, we have the agility to bring innovative investment strategies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products to all of our target markets. We have recently expanded our range of investment strategies, capabilities, and vehicles through the following strategic initiatives that will provide future growth opportunities:</w:t>
      </w:r>
    </w:p>
    <w:p>
      <w:pPr>
        <w:spacing w:after="0" w:line="51" w:lineRule="exact"/>
        <w:rPr>
          <w:sz w:val="20"/>
          <w:szCs w:val="20"/>
          <w:color w:val="auto"/>
        </w:rPr>
      </w:pPr>
    </w:p>
    <w:p>
      <w:pPr>
        <w:ind w:left="520" w:right="30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 of our MIS team in the fourth quarter of 2023 – our MIS team focuses on tailoring investment solutions to a diverse array of institutional risk/reward tolerances and investment approaches. We have built a proprietary portfolio</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9" w:name="page10"/>
    <w:bookmarkEnd w:id="9"/>
    <w:p>
      <w:pPr>
        <w:ind w:left="520" w:right="620"/>
        <w:spacing w:after="0" w:line="287" w:lineRule="auto"/>
        <w:rPr>
          <w:sz w:val="20"/>
          <w:szCs w:val="20"/>
          <w:color w:val="auto"/>
        </w:rPr>
      </w:pPr>
      <w:r>
        <w:rPr>
          <w:rFonts w:ascii="Times New Roman" w:cs="Times New Roman" w:eastAsia="Times New Roman" w:hAnsi="Times New Roman"/>
          <w:sz w:val="14"/>
          <w:szCs w:val="14"/>
          <w:color w:val="auto"/>
        </w:rPr>
        <w:t>management system to take the team’s custom solutions capabilities to market. We increased our proactive sales efforts throughout 2024 with well-received road shows focused on consultants and institutional plan sponsors.</w:t>
      </w:r>
    </w:p>
    <w:p>
      <w:pPr>
        <w:spacing w:after="0" w:line="39" w:lineRule="exact"/>
        <w:rPr>
          <w:sz w:val="20"/>
          <w:szCs w:val="20"/>
          <w:color w:val="auto"/>
        </w:rPr>
      </w:pPr>
    </w:p>
    <w:p>
      <w:pPr>
        <w:ind w:left="520" w:right="20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Secondaries private investment funds – we see attractive opportunities to acquire limited partnership interests in seasoned energy private equity funds. Many institutional investors are divesting energy holdings for environmental, social and governance ("ESG") and other non-fundamental reasons thereby creating a large supply and demand imbalance that allows secondary investors to acquire limited partnership interests at discounts to net asset value ranging from 20% to 40%, approximately.</w:t>
      </w:r>
    </w:p>
    <w:p>
      <w:pPr>
        <w:spacing w:after="0" w:line="50" w:lineRule="exact"/>
        <w:rPr>
          <w:rFonts w:ascii="Times New Roman" w:cs="Times New Roman" w:eastAsia="Times New Roman" w:hAnsi="Times New Roman"/>
          <w:sz w:val="14"/>
          <w:szCs w:val="14"/>
          <w:color w:val="auto"/>
        </w:rPr>
      </w:pPr>
    </w:p>
    <w:p>
      <w:pPr>
        <w:ind w:left="520" w:hanging="260"/>
        <w:spacing w:after="0" w:line="26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ETF platform launch – we launched our first two actively-managed ETFs in 2024: Westwood Salient Enhanced Midstream Income (MDST) and Westwood Salient Enhanced Energy Income (WEEI). These funds are designed to provide advisors and investors with a robust solution for generating high distributable monthly income, combining dividend yield and options premiums from covered calls, while offering the potential for equity appreciation within the midstream energy and broad energy sectors, respectively. We have developed a world-class ETF vendor ecosystem to support future ETF launches.</w:t>
      </w:r>
    </w:p>
    <w:p>
      <w:pPr>
        <w:spacing w:after="0" w:line="55" w:lineRule="exact"/>
        <w:rPr>
          <w:rFonts w:ascii="Times New Roman" w:cs="Times New Roman" w:eastAsia="Times New Roman" w:hAnsi="Times New Roman"/>
          <w:sz w:val="14"/>
          <w:szCs w:val="14"/>
          <w:color w:val="auto"/>
        </w:rPr>
      </w:pPr>
    </w:p>
    <w:p>
      <w:pPr>
        <w:jc w:val="both"/>
        <w:ind w:left="520" w:right="34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 with WEBs Investments Inc. – in the fourth quarter of 2024 we partnered with a newly launched firm, WEBs Investments Inc., to develop and launch innovative investment strategies for investors and advisors. Westwood provided the initial capital to launch WEBs and will provide distribution resources and administrative support, with an option to buy the entity subject to certain growth milestones</w:t>
      </w:r>
    </w:p>
    <w:p>
      <w:pPr>
        <w:spacing w:after="0" w:line="49"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Pursue strategic corporate development opportunities. </w:t>
      </w:r>
      <w:r>
        <w:rPr>
          <w:rFonts w:ascii="Times New Roman" w:cs="Times New Roman" w:eastAsia="Times New Roman" w:hAnsi="Times New Roman"/>
          <w:sz w:val="14"/>
          <w:szCs w:val="14"/>
          <w:color w:val="auto"/>
        </w:rPr>
        <w:t>We continually evaluate strategic corporate development opportunities to augment our organic growth. These may include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asset management firms, investment funds, wealth management firms or other financial institutions, as well as hiring investment professionals or teams. We consider opportunities that can enhance our existing operations, expand our range of investment strategies and services, or further develop our distribution capabilities. Acquiring investment firms or hiring investment professionals or teams with investment strategies outside our current areas of expertise can help us attract new clients and provides existing clients with a broader array of investment strategies. We may consider forging alliances with other financial services or technology firms to leverage our core competency of developing and managing investment strategies and obtain enhanced distribution capabilities or additional service offerings.</w:t>
      </w:r>
    </w:p>
    <w:p>
      <w:pPr>
        <w:spacing w:after="0" w:line="57" w:lineRule="exact"/>
        <w:rPr>
          <w:sz w:val="20"/>
          <w:szCs w:val="20"/>
          <w:color w:val="auto"/>
        </w:rPr>
      </w:pPr>
    </w:p>
    <w:p>
      <w:pPr>
        <w:ind w:right="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Continue to strengthen our brand name. </w:t>
      </w:r>
      <w:r>
        <w:rPr>
          <w:rFonts w:ascii="Times New Roman" w:cs="Times New Roman" w:eastAsia="Times New Roman" w:hAnsi="Times New Roman"/>
          <w:sz w:val="14"/>
          <w:szCs w:val="14"/>
          <w:color w:val="auto"/>
        </w:rPr>
        <w:t>We believe that the strength of our brand name has been a key component to our long-term success in the investment industry and will be instrumental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future success. We have developed a strong brand name largely through our performance, coupled with high-profile coverage in investment publications and electronic media. Many of our investment professionals have been prominent in print and electronic media, and we will continue to use creative ways to strengthen our brand name and reputation in our target markets.</w:t>
      </w:r>
    </w:p>
    <w:p>
      <w:pPr>
        <w:spacing w:after="0" w:line="49" w:lineRule="exact"/>
        <w:rPr>
          <w:sz w:val="20"/>
          <w:szCs w:val="20"/>
          <w:color w:val="auto"/>
        </w:rPr>
      </w:pPr>
    </w:p>
    <w:p>
      <w:pPr>
        <w:ind w:right="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Develop or acquire new investment strategies. </w:t>
      </w:r>
      <w:r>
        <w:rPr>
          <w:rFonts w:ascii="Times New Roman" w:cs="Times New Roman" w:eastAsia="Times New Roman" w:hAnsi="Times New Roman"/>
          <w:sz w:val="14"/>
          <w:szCs w:val="14"/>
          <w:color w:val="auto"/>
        </w:rPr>
        <w:t>We constantly seek opportunities to expand our range of investment strategies available to existing and prospective clients. We consider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internally developed strategies to extend our existing investment process to new markets, asset classes or strategies and we may consider externally acquired investment strategies. An expanded range of investment strategies offers more ways to serve our client base, generating diversified revenue streams and underpinning asset and revenue growth.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9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We are subject to substantial and growing competition in all aspects of our business. Barriers to entry in the asset management business are relatively low and we expect more competitors in the future. Many asset managers are larger, better known and have greater resources than we do.</w:t>
      </w:r>
    </w:p>
    <w:p>
      <w:pPr>
        <w:spacing w:after="0" w:line="39"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compete with other asset management firms on the basis of investment strategies, investment performance in absolute terms and relative to peer groups, quality of service, the levels of fees charged, attractive compensation offered to key employees and the way in which investment strategies are marketed. Many of our competitors offer more investment strategies and services than we do and many have substantially greater AUM.</w:t>
      </w:r>
    </w:p>
    <w:p>
      <w:pPr>
        <w:spacing w:after="0" w:line="5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We compete against numerous investment dealers, banks, insurance companies, mutual fund companies, ETFs, brokerage and investment firms and others that sell equity funds, taxable income funds, tax-free investments and other investment products. The allocation of assets by many investors from active equity investing to index funds, fixed income or similar asset classes has enhanced the ability of firms offering non-equity asset classes and passive equity management to compete more effectively with us. The demand for passive strategies with low-fee structures has rapidly increased and investors frequently demand customized and personalized strategies to fit their investment needs. This shift in the marketplace may benefit competitors offering certain investment vehicles that we do not offer. In summary, our competitive landscape is intense and dynamic, which may affect our ability to compete successfully.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Most prospective clients perform a thorough review of an investment manager’s background, investment policies and performance before committing assets and many prospective clients invite competing firms to make presentations. The process of obtaining a new client typically takes twelve to eighteen months from the time of initial contact. While we have achieved success in competing for clients, we dedicate significant resources to this process over an extended period of time with no certainty of winning client mandates.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Management</w:t>
      </w:r>
    </w:p>
    <w:p>
      <w:pPr>
        <w:spacing w:after="0" w:line="96"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4"/>
          <w:szCs w:val="14"/>
          <w:color w:val="auto"/>
        </w:rPr>
        <w:t>Our business is subject to regulation at federal and state levels by the SEC and other regulatory bodies. Westwood Management Corp. and Westwood Advisors, L.L.C. are registered with the SEC under the Investment Advisers Act of 1940, as amended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as amended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are also required to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63"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receive soft dollar credits from certain broker-dealers that are used to pay for brokerage and research-related products, which reduces certain company operating expenses. We intend to use soft dollars to pay only for brokerage and research related products and services that fall within the safe harbor provisions of the Exchange Act. If our ability to use soft dollars were reduced or eliminated as a result of the implementation of statutory amendments or new regulations, our operating expenses would increase.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Trust</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51" w:lineRule="exact"/>
        <w:rPr>
          <w:sz w:val="20"/>
          <w:szCs w:val="20"/>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capital maintenance requirements;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dividends;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investments of restricted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lending and borrowing limitations;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prohibitions against engaging in certain activities;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fiduciary and information technology examinations by the Texas Department of Banking Commissioner;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1" w:name="page12"/>
    <w:bookmarkEnd w:id="11"/>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furnishing periodic financial statements to the Texas Department of Banking Commissioner;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fiduciary record keeping requirements;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regulatory approval for certain corporate events (mergers, sale or purchase of all or substantially all trust company assets, and transactions transferring control of a trust company).</w:t>
      </w:r>
    </w:p>
    <w:p>
      <w:pPr>
        <w:spacing w:after="0" w:line="94"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The Finance Code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51"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Westwood Trust is limited by the Finance Code in the payment of dividends to undivided profits, which is described as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(the "Board"), Westwood Trust has made quarterly and special dividend payments, and other distributions, to Westwood Holdings Group, Inc. out of undivided profits.</w:t>
      </w:r>
    </w:p>
    <w:p>
      <w:pPr>
        <w:spacing w:after="0" w:line="2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SEC Broker</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Dealer Registration / FINRA Regulation</w:t>
      </w:r>
    </w:p>
    <w:p>
      <w:pPr>
        <w:spacing w:after="0" w:line="12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SCLP is subject to regulation by the SEC, FINRA and various states. In addition, certain of our employees are registered with FINRA and various states and are subject to SEC, state and FINRA regulation. The failure of this company and/or employees to comply with relevant regulation could have a material adverse effect on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Retirement Income Security Act of 1974</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Human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health and safety of our employees is a high priority, consistent with our operating philosophy of focusing on transparency, effective corporate governance, life principles and giving back to the communities in which we live and work.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and Inclusion</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We believe that our culture of diversity and inclusion enables us to develop and fully utilize the strengths of our people. As of December 31, 2024, approximately 41% of our workforce was female and minorities represented approximately 32% of our workforce.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At December 31, 2024, we had 151 full-time employees, all located in the U.S. No employees are represented by a labor union, and we believe our employee relations are favorable. As of December 31, 2024, approximately 15% of our employees held the Chartered Financial Analyst designation.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Social and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ESG Core Principles</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Since inception, we have fostered a corporate culture focused on a set of core values. We have found inspiration in Coach John Wooden’s Pyramid of Success™ which helps us aspire to and maintain a culture of teamwork, integrity and putting client interests ahead of our own.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ESG focus is guided by the following six pillars:</w:t>
      </w:r>
    </w:p>
    <w:p>
      <w:pPr>
        <w:spacing w:after="0" w:line="9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impact;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Diversity, equity and inclusion;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Responsible investing;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2" w:name="page13"/>
    <w:bookmarkEnd w:id="12"/>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include ESG pillars in conducting our business and measure ourselves against them because they make good sense. It improves our ability to create an environment that values true diversity, inclusiveness and transparency and ultimately supports long-term employee growth. Our focus on transparency, corporate governance, life principles, ethical conduct and giving back to the communities in which we operate is central to our values.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96" w:lineRule="exact"/>
        <w:rPr>
          <w:sz w:val="20"/>
          <w:szCs w:val="20"/>
          <w:color w:val="auto"/>
        </w:rPr>
      </w:pPr>
    </w:p>
    <w:p>
      <w:pPr>
        <w:jc w:val="both"/>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is committed to the successful integration and promotion of ESG at the corporate level and the investment level. We have separate governing structures to ensure that we have the necessary leadership to create and sustain a clear corporate strategy across our business. The separation of responsibilities among these governing structures ensures proper accountability across our firm.</w:t>
      </w:r>
    </w:p>
    <w:p>
      <w:pPr>
        <w:spacing w:after="0" w:line="5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Westwood’s Board plays an important role to ensure that the interests of shareholders are represented and that Westwood is fulfilling its fiduciary duties. The Board regularly interacts with management to ensure that stakeholder interests are properly considered. Management regularly updates the Board on our ESG efforts and collaboration between the Board and those responsible for ESG is key to our implementation strategy. Our Board benefits from deep industry experience and a majority of its members are independent which enables strong oversight of our business.</w:t>
      </w:r>
    </w:p>
    <w:p>
      <w:pPr>
        <w:spacing w:after="0" w:line="51"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Westwood’s ESG Steering Committee is responsible for ensuring the effective execution of our overall ESG strategy. Along with our CEO, this group sets the strategic direction for our ESG agenda, oversees implementation, and reviews our ESG strategy with our Board.</w:t>
      </w:r>
    </w:p>
    <w:p>
      <w:pPr>
        <w:spacing w:after="0" w:line="39"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We have established two additional groups, a Responsible Investment Committee and a Corporate Responsibility Committee, to ensure we have the leadership required to create a clear corporate sustainability strategy across our business.</w:t>
      </w:r>
    </w:p>
    <w:p>
      <w:pPr>
        <w:spacing w:after="0" w:line="39"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Responsible Investment Committee was established to consider matters related to the maintenance, development and implementation of our responsible investment practices in support of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Responsible Investment / ESG Integration</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Our responsible investment commitment is evident in our overall investment approach where we take a fundamental approach to identifying high-quality companies and sound businesses around the world. As an active asset manager, ESG issues are directly considered in our bottom-up, fundamental assessment of companies. Our fundamental, financial materiality-based approach to identifying high-quality companies and businesses around the world leads our investment team to consider these issues in their fundamental analyses of the merits of a company's strategy, downside risk and valuation. As ESG integration and evaluation techniques evolve we will adapt to ensure compliance with our fiduciary responsibilities at all times.</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Engagement</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As part of our fundamental investment research process, our analysts conduct meetings with target company management and investor relations to understand strategy, execution and financial strength throughout the life of our investment. Meetings inform our investment analysis and amplify our understanding of a business’s ability to adapt to changing business environments. Meetings can take place in person, during investment conferences or video calls, and they often build on long-standing relationships. Our understanding of material issues affecting the company is shared with the team in our valuation analyses and recommendations made by our research analysts.</w:t>
      </w:r>
    </w:p>
    <w:p>
      <w:pPr>
        <w:spacing w:after="0" w:line="56" w:lineRule="exact"/>
        <w:rPr>
          <w:sz w:val="20"/>
          <w:szCs w:val="20"/>
          <w:color w:val="auto"/>
        </w:rPr>
      </w:pPr>
    </w:p>
    <w:p>
      <w:pPr>
        <w:ind w:right="200" w:firstLine="382"/>
        <w:spacing w:after="0" w:line="270" w:lineRule="auto"/>
        <w:rPr>
          <w:sz w:val="20"/>
          <w:szCs w:val="20"/>
          <w:color w:val="auto"/>
        </w:rPr>
      </w:pPr>
      <w:r>
        <w:rPr>
          <w:rFonts w:ascii="Times New Roman" w:cs="Times New Roman" w:eastAsia="Times New Roman" w:hAnsi="Times New Roman"/>
          <w:sz w:val="14"/>
          <w:szCs w:val="14"/>
          <w:color w:val="auto"/>
        </w:rPr>
        <w:t>Westwood does not set and track engagement objectives. We engage on specific topics on a case-by-case basis and when ESG or other issues are of specific concern, our team seeks to understand how the company plans to address relevant issues and then tracks them over time. Our engagement is generally conducted via direct dialogue between our investment professionals and company managements which is a more constructive approach toward understanding issues and encouraging solutions that provide value to stakeholders.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Proxy Voting</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Westwood views proxy voting rights as valuable portfolio assets. Our overarching principle is to exercise voting responsibilities solely in the best interests of our clients. We use proxy voting as a means of addressing corporate governance issues and identifying corporate actions that enhance shareholder value. Our process benefits from multiple inputs and directly involves our investment professionals.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3" w:name="page14"/>
    <w:bookmarkEnd w:id="13"/>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Westwood uses guidelines from a third-party proxy research service, Glass, Lewis &amp; Co. ("Glass Lewis"), that we believe create value for our clients and cover most proxy issues. The Investment Operations Team, including the head of data governance, oversees the implementation of our proxy voting policy. Westwood’s Corporate Responsibility Committee, together with our investment team’s bi-monthly review of ballots, evaluates the alignment of Glass-Lewis proxy voting guidelines on environmental and social issues with our financial-materiality-based view of ESG integration. The Glass Lewis policy states that it will vote in favor when there is a clear link between the proposal and value enhancement or risk mitigation. Our goal is to vote all proxies and we generally follow the recommendations of our proxy research service however our Research Analysts occasionally recommend a vote that differs from Glass Lewis. We vote against recommendations when we believe that it serves our clients’ best interests. An annual summary of voting is sent to each client for whom proxies are voted.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 Impact and Corporate Giving</w:t>
      </w:r>
    </w:p>
    <w:p>
      <w:pPr>
        <w:spacing w:after="0" w:line="96"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Westwood has a long history of community involvement and support of local charitable causes. This involvement is a cornerstone of our culture, drives employee engagement and makes employees proud to work at Westwood. In honoring Westwood’s history of community involvement and support of local charitable causes, Westwood supports and partners with organizations that embrace activities that align with Westwood’s core values of teamwork, excellence, integrity and placement of client and stakeholder interests above our own. Every year, Westwood supports a number of charitable organizations financially and via employee volunteer efforts focused on issues like education, children’s needs, homelessness, food insecurity and disaster relief.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At Westwood, we embrace caring for our communities and work hard to take care of the world around us. Westwood is committed to the responsible use, and protection of, our natural environment through conservation and sustainable practices that enhance ecosystem resilience, human well-being and ultimately our company’s strength and resiliency. Through our initiative to calculate our travel-related carbon footprint and buy offset carbon credits, we measure and offset greenhouse gas emissions. We are committed to offsetting our carbon emissions generated through air travel which makes up a substantial portion of our carbon emissions.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 ("DEI")</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Diversity is an important part of our culture and identity; approximately 41% of our employees are women — many in senior positions — and approximately 32% of our employees self-identify as members of minority communities.</w:t>
      </w:r>
    </w:p>
    <w:p>
      <w:pPr>
        <w:spacing w:after="0" w:line="39" w:lineRule="exact"/>
        <w:rPr>
          <w:sz w:val="20"/>
          <w:szCs w:val="20"/>
          <w:color w:val="auto"/>
        </w:rPr>
      </w:pPr>
    </w:p>
    <w:p>
      <w:pPr>
        <w:ind w:right="360" w:firstLine="382"/>
        <w:spacing w:after="0" w:line="270" w:lineRule="auto"/>
        <w:rPr>
          <w:sz w:val="20"/>
          <w:szCs w:val="20"/>
          <w:color w:val="auto"/>
        </w:rPr>
      </w:pPr>
      <w:r>
        <w:rPr>
          <w:rFonts w:ascii="Times New Roman" w:cs="Times New Roman" w:eastAsia="Times New Roman" w:hAnsi="Times New Roman"/>
          <w:sz w:val="14"/>
          <w:szCs w:val="14"/>
          <w:color w:val="auto"/>
        </w:rPr>
        <w:t>DEI concepts are an integral part of our history, culture and identity. Westwood was founded by a woman in 1983, when the finance industry had only a small percentage of women in the workforce. We embrace opportunity for individuals from all backgrounds and are committed to fostering unique ideas, perspectives and experiences. We encourage an environment where our employees feel valued, involved and empowered to do their best work, deliver the best possible service to our clients and meet their full potential.</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4" w:lineRule="exact"/>
        <w:rPr>
          <w:sz w:val="20"/>
          <w:szCs w:val="20"/>
          <w:color w:val="auto"/>
        </w:rPr>
      </w:pPr>
    </w:p>
    <w:p>
      <w:pPr>
        <w:jc w:val="both"/>
        <w:ind w:right="1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the Investment Industry</w:t>
      </w:r>
    </w:p>
    <w:p>
      <w:pPr>
        <w:spacing w:after="0" w:line="94" w:lineRule="exact"/>
        <w:rPr>
          <w:sz w:val="20"/>
          <w:szCs w:val="20"/>
          <w:color w:val="auto"/>
        </w:rPr>
      </w:pPr>
    </w:p>
    <w:p>
      <w:pPr>
        <w:ind w:right="20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results of operations depend upon the market value and composition of AUM and AUA, which can fluctuate significantly based on various factors, some of which are beyond our control.</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revenues are primarily generated from fees derived as a percentage of AUM and AUA. The value of our AUM and AUA can be negatively impacted by several factors, including:</w:t>
      </w:r>
    </w:p>
    <w:p>
      <w:pPr>
        <w:spacing w:after="0" w:line="94" w:lineRule="exact"/>
        <w:rPr>
          <w:sz w:val="20"/>
          <w:szCs w:val="20"/>
          <w:color w:val="auto"/>
        </w:rPr>
      </w:pPr>
    </w:p>
    <w:p>
      <w:pPr>
        <w:ind w:left="380" w:right="60" w:hanging="248"/>
        <w:spacing w:after="0" w:line="264" w:lineRule="auto"/>
        <w:tabs>
          <w:tab w:leader="none" w:pos="37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ind w:left="380" w:hanging="248"/>
        <w:spacing w:after="0" w:line="258"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performance: Because we compete with many asset management firms based on our investment strategies, the maintenance and growth of AUM and AUA is largely dependent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generated should not be considered indicative of the future results of these strategies or of any other strategies that we may develop. The investment performance we achieve for our customers varies over time and variances can be wide. Certain of our investment strategies have capacity constraints because there may be a limit to the number of securities available for certain strategies to operate effectively. In those instances, we may choose to limit access to new or existing investors.</w:t>
      </w:r>
    </w:p>
    <w:p>
      <w:pPr>
        <w:spacing w:after="0" w:line="59"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investment management and wealth management industry is highly competitive and innovative.</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The investment management and wealth management industry is highly competitive based on factors such as investment performance, fee rates, continuity of investment professionals and client relationships, the quality of client service, corporate positioning, business reputation and differentiated products. Several factors increase competitive risks, including the following:</w:t>
      </w:r>
    </w:p>
    <w:p>
      <w:pPr>
        <w:spacing w:after="0" w:line="39" w:lineRule="exact"/>
        <w:rPr>
          <w:sz w:val="20"/>
          <w:szCs w:val="20"/>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competitors have a relatively low cost of entering the investment management industry;</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competitors have greater financial, technological, marketing and other resources, more comprehensive name recognition and more personnel;</w:t>
      </w:r>
    </w:p>
    <w:p>
      <w:pPr>
        <w:spacing w:after="0" w:line="93" w:lineRule="exact"/>
        <w:rPr>
          <w:rFonts w:ascii="Times New Roman" w:cs="Times New Roman" w:eastAsia="Times New Roman" w:hAnsi="Times New Roman"/>
          <w:sz w:val="14"/>
          <w:szCs w:val="14"/>
          <w:color w:val="auto"/>
        </w:rPr>
      </w:pPr>
    </w:p>
    <w:p>
      <w:pPr>
        <w:ind w:left="380" w:right="700" w:hanging="248"/>
        <w:spacing w:after="0" w:line="287"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trend toward consolidation in the investment management industry, and the securities business in general, has served to increase the size and strength of some of our competitors;</w:t>
      </w:r>
    </w:p>
    <w:p>
      <w:pPr>
        <w:spacing w:after="0" w:line="39"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changes in consumer demand for technological capabilities, including the enhanced ability for firms to offer lower fees for passive management strategies, have increased competition;</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Shifts in demand for alternative investment styles, asset classes and distribution vehicles may cause our competitors to be perceived as more attractive;</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industry participants, hedge funds and alternative asset managers may seek to recruit our investment professionals;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charge lower fees for their investment management services;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may provide more comprehensive client services, including banking, financial planning and tax planning at levels beyond those we currently provide;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may have more sophisticated, innovative or advanced distribution networks.</w:t>
      </w:r>
    </w:p>
    <w:p>
      <w:pPr>
        <w:spacing w:after="0" w:line="94" w:lineRule="exact"/>
        <w:rPr>
          <w:sz w:val="20"/>
          <w:szCs w:val="20"/>
          <w:color w:val="auto"/>
        </w:rPr>
      </w:pPr>
    </w:p>
    <w:p>
      <w:pPr>
        <w:jc w:val="both"/>
        <w:ind w:right="200" w:firstLine="382"/>
        <w:spacing w:after="0" w:line="270" w:lineRule="auto"/>
        <w:rPr>
          <w:sz w:val="20"/>
          <w:szCs w:val="20"/>
          <w:color w:val="auto"/>
        </w:rPr>
      </w:pPr>
      <w:r>
        <w:rPr>
          <w:rFonts w:ascii="Times New Roman" w:cs="Times New Roman" w:eastAsia="Times New Roman" w:hAnsi="Times New Roman"/>
          <w:sz w:val="14"/>
          <w:szCs w:val="14"/>
          <w:color w:val="auto"/>
        </w:rPr>
        <w:t>We have faced significant competition from competitors with lower fee, passive investment strategies. Investment advisors emphasizing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49" w:lineRule="exact"/>
        <w:rPr>
          <w:sz w:val="20"/>
          <w:szCs w:val="20"/>
          <w:color w:val="auto"/>
        </w:rPr>
      </w:pPr>
    </w:p>
    <w:p>
      <w:pPr>
        <w:ind w:left="380" w:right="460"/>
        <w:spacing w:after="0" w:line="328" w:lineRule="auto"/>
        <w:rPr>
          <w:sz w:val="20"/>
          <w:szCs w:val="20"/>
          <w:color w:val="auto"/>
        </w:rPr>
      </w:pPr>
      <w:r>
        <w:rPr>
          <w:rFonts w:ascii="Times New Roman" w:cs="Times New Roman" w:eastAsia="Times New Roman" w:hAnsi="Times New Roman"/>
          <w:sz w:val="14"/>
          <w:szCs w:val="14"/>
          <w:b w:val="1"/>
          <w:bCs w:val="1"/>
          <w:color w:val="auto"/>
        </w:rPr>
        <w:t xml:space="preserve">Some of our strategies invest in the securities of non-U.S. companies, which involve foreign currency exchange, tax, political, social and economic uncertainties and risks. </w:t>
      </w:r>
      <w:r>
        <w:rPr>
          <w:rFonts w:ascii="Times New Roman" w:cs="Times New Roman" w:eastAsia="Times New Roman" w:hAnsi="Times New Roman"/>
          <w:sz w:val="14"/>
          <w:szCs w:val="14"/>
          <w:color w:val="auto"/>
        </w:rPr>
        <w:t>Some of our strategies offer access to global markets with exposure to non-U.S. companies. Fluctuations in foreign currency exchange rates could negatively affect the returns of clients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invested in these strategies. Investments in non-U.S. issuers may also be affected by tax policies in countries or regions in which we are invested, as well as political, social and economic uncertainty or other diplomatic developments. Many financial markets are less developed or efficient than U.S. financial markets with limited liquidity and higher price volatility and may also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and assets invested in these strategies may experience significant declines in value and our results of operations may be negatively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Legal and Regulatory Risks</w:t>
      </w:r>
    </w:p>
    <w:p>
      <w:pPr>
        <w:spacing w:after="0" w:line="94" w:lineRule="exact"/>
        <w:rPr>
          <w:sz w:val="20"/>
          <w:szCs w:val="20"/>
          <w:color w:val="auto"/>
        </w:rPr>
      </w:pPr>
    </w:p>
    <w:p>
      <w:pPr>
        <w:ind w:right="56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5" w:name="page16"/>
    <w:bookmarkEnd w:id="15"/>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58"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focus on the investment management industry while other, more broadly focused regulations still affect our industry.</w:t>
      </w:r>
    </w:p>
    <w:p>
      <w:pPr>
        <w:spacing w:after="0" w:line="51"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The Dodd-Frank Act of 2010 significantly increased and revised the federal rules and regulations governing the financial services industry and has generally resulted in increased compliance and administrative requirements. For example, the SEC’s adoption of Form PF and revisions to Form ADV impose additional reporting requirements for SEC-registered investment advisors. ERISA Section 408(b)(2) and related regulations require additional information to be provided to ERISA-governed retirement plans. We believe that changes in laws, rules and regulations, including those discussed above, have increased our administrative and compliance costs however we are unable to quantify the increased costs attributable to such changes. See "Item 1. Business — Regulation."</w:t>
      </w:r>
    </w:p>
    <w:p>
      <w:pPr>
        <w:spacing w:after="0" w:line="5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We engage in product offerings and international business activities through our global multi-asset securities product offerings that are available to our international and domestic clients. As of December 31, 2024, approximately 1% of our AUM is managed for clients who are domiciled outside the U. S. As a result, we face increased operational, regulatory, compliance, marketing, client service, reputational and foreign exchange rate risks. Rapid regulatory change is occurring internationally with respect to financial institutions, including, but not limited to, anticipated revisions to the European Communities (Undertakings for Collective Investment in Transferable Securities, or "UCITS") Regulations 2011 and the Markets in Financial Instruments Directive.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61"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37"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b w:val="1"/>
          <w:bCs w:val="1"/>
          <w:color w:val="auto"/>
        </w:rPr>
        <w:t>Our business involves risks of being engaged in litigation and liability that could increase our expenses and reduce our results of operations.</w:t>
      </w:r>
      <w:r>
        <w:rPr>
          <w:rFonts w:ascii="Times New Roman" w:cs="Times New Roman" w:eastAsia="Times New Roman" w:hAnsi="Times New Roman"/>
          <w:sz w:val="14"/>
          <w:szCs w:val="14"/>
          <w:color w:val="auto"/>
        </w:rPr>
        <w:t>Many aspects of our business involve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substantial risks of liability. We could be named as defendants or co-defendants in lawsuits or could be involved in disputes that involve the threat of lawsuits seeking substantial damages. As an SEC-RIA, mutual fund adviser, trustee to certain Trust clients and publicly traded entity, we are subject to governmental and self-regulatory organization examinations, investigations and proceedings. Our investment strategies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recently of litigation and regulatory investigations in the asset management industry, including customer claims and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Business and Operational Risks</w:t>
      </w:r>
    </w:p>
    <w:p>
      <w:pPr>
        <w:spacing w:after="0" w:line="94" w:lineRule="exact"/>
        <w:rPr>
          <w:sz w:val="20"/>
          <w:szCs w:val="20"/>
          <w:color w:val="auto"/>
        </w:rPr>
      </w:pPr>
    </w:p>
    <w:p>
      <w:pPr>
        <w:ind w:right="4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37"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39"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The development of new investment strategies, whether through acquisition or internal development, requires a substantial amount of time and significant financial resources, including expenses related to compensation, sales and marketing,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ind w:right="100"/>
        <w:spacing w:after="0" w:line="259" w:lineRule="auto"/>
        <w:rPr>
          <w:sz w:val="20"/>
          <w:szCs w:val="20"/>
          <w:color w:val="auto"/>
        </w:rPr>
      </w:pPr>
      <w:r>
        <w:rPr>
          <w:rFonts w:ascii="Times New Roman" w:cs="Times New Roman" w:eastAsia="Times New Roman" w:hAnsi="Times New Roman"/>
          <w:sz w:val="14"/>
          <w:szCs w:val="14"/>
          <w:color w:val="auto"/>
        </w:rPr>
        <w:t>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61" w:lineRule="exact"/>
        <w:rPr>
          <w:sz w:val="20"/>
          <w:szCs w:val="20"/>
          <w:color w:val="auto"/>
        </w:rPr>
      </w:pPr>
    </w:p>
    <w:p>
      <w:pPr>
        <w:ind w:right="220" w:firstLine="382"/>
        <w:spacing w:after="0" w:line="261" w:lineRule="auto"/>
        <w:rPr>
          <w:sz w:val="20"/>
          <w:szCs w:val="20"/>
          <w:color w:val="auto"/>
        </w:rPr>
      </w:pPr>
      <w:r>
        <w:rPr>
          <w:rFonts w:ascii="Times New Roman" w:cs="Times New Roman" w:eastAsia="Times New Roman" w:hAnsi="Times New Roman"/>
          <w:sz w:val="14"/>
          <w:szCs w:val="14"/>
          <w:color w:val="auto"/>
        </w:rPr>
        <w:t>To introduce new investment strategies, we may seek to add new investment teams. To the extent we are unable to recruit and retain investment teams to complement our existing business model, we may not be successful in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Damage to our reputation could harm our business and have a material adverse effect on our results of operations.</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54"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on certain key employees and our ability to attract and develop new, talented professionals. Our inability to attract and retain key employees could compromise our future success.</w:t>
      </w:r>
    </w:p>
    <w:p>
      <w:pPr>
        <w:spacing w:after="0" w:line="3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failure to attract, develop, retain and motivate qualified personnel could negatively impact our business, financial condition, results of operations and future prospects.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56" w:lineRule="exact"/>
        <w:rPr>
          <w:sz w:val="20"/>
          <w:szCs w:val="20"/>
          <w:color w:val="auto"/>
        </w:rPr>
      </w:pPr>
    </w:p>
    <w:p>
      <w:pPr>
        <w:ind w:right="3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perform operational tasks or the misrepresentation of products and services could have an adverse effect on our reputation and our business, financial condition and results of operations.</w:t>
      </w:r>
    </w:p>
    <w:p>
      <w:pPr>
        <w:spacing w:after="0" w:line="37"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51" w:lineRule="exact"/>
        <w:rPr>
          <w:sz w:val="20"/>
          <w:szCs w:val="20"/>
          <w:color w:val="auto"/>
        </w:rPr>
      </w:pPr>
    </w:p>
    <w:p>
      <w:pPr>
        <w:jc w:val="both"/>
        <w:ind w:right="40" w:firstLine="382"/>
        <w:spacing w:after="0" w:line="287" w:lineRule="auto"/>
        <w:rPr>
          <w:sz w:val="20"/>
          <w:szCs w:val="20"/>
          <w:color w:val="auto"/>
        </w:rPr>
      </w:pPr>
      <w:r>
        <w:rPr>
          <w:rFonts w:ascii="Times New Roman" w:cs="Times New Roman" w:eastAsia="Times New Roman" w:hAnsi="Times New Roman"/>
          <w:sz w:val="14"/>
          <w:szCs w:val="14"/>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39"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37" w:lineRule="exact"/>
        <w:rPr>
          <w:sz w:val="20"/>
          <w:szCs w:val="20"/>
          <w:color w:val="auto"/>
        </w:rPr>
      </w:pPr>
    </w:p>
    <w:p>
      <w:pPr>
        <w:ind w:right="28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37" w:lineRule="exact"/>
        <w:rPr>
          <w:sz w:val="20"/>
          <w:szCs w:val="20"/>
          <w:color w:val="auto"/>
        </w:rPr>
      </w:pPr>
    </w:p>
    <w:p>
      <w:pPr>
        <w:jc w:val="both"/>
        <w:ind w:right="200" w:firstLine="382"/>
        <w:spacing w:after="0" w:line="270" w:lineRule="auto"/>
        <w:rPr>
          <w:sz w:val="20"/>
          <w:szCs w:val="20"/>
          <w:color w:val="auto"/>
        </w:rPr>
      </w:pPr>
      <w:r>
        <w:rPr>
          <w:rFonts w:ascii="Times New Roman" w:cs="Times New Roman" w:eastAsia="Times New Roman" w:hAnsi="Times New Roman"/>
          <w:sz w:val="14"/>
          <w:szCs w:val="14"/>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ind w:right="60"/>
        <w:spacing w:after="0" w:line="287" w:lineRule="auto"/>
        <w:rPr>
          <w:sz w:val="20"/>
          <w:szCs w:val="20"/>
          <w:color w:val="auto"/>
        </w:rPr>
      </w:pPr>
      <w:r>
        <w:rPr>
          <w:rFonts w:ascii="Times New Roman" w:cs="Times New Roman" w:eastAsia="Times New Roman" w:hAnsi="Times New Roman"/>
          <w:sz w:val="14"/>
          <w:szCs w:val="14"/>
          <w:color w:val="auto"/>
        </w:rPr>
        <w:t>procedures could result in the loss of clients, significant regulatory sanctions, fines, penalties and litigation, which could have a material adverse effect on our business, financial condition and results of operations.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are a holding company dependent on the operations and funds of our subsidiaries.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a holding company, with no revenue-generating operations or assets other than our ownership interests in Westwood Management, Westwood Trust and Broadmark. Accordingly, we are dependent on the cash flow generated by these operating subsidiaries and rely on dividends or other intercompany transfers from our operating subsidiaries to generate the funds necessary to meet our obligations.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Technology and Privacy Risks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Failure to implement and maintain effective cybersecurity controls could disrupt our operations and have a material adverse effect on our results of operations, reputation and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price.</w:t>
      </w:r>
    </w:p>
    <w:p>
      <w:pPr>
        <w:spacing w:after="0" w:line="79" w:lineRule="exact"/>
        <w:rPr>
          <w:sz w:val="20"/>
          <w:szCs w:val="20"/>
          <w:color w:val="auto"/>
        </w:rPr>
      </w:pPr>
    </w:p>
    <w:p>
      <w:pPr>
        <w:ind w:right="160" w:firstLine="382"/>
        <w:spacing w:after="0" w:line="257" w:lineRule="auto"/>
        <w:rPr>
          <w:sz w:val="20"/>
          <w:szCs w:val="20"/>
          <w:color w:val="auto"/>
        </w:rPr>
      </w:pPr>
      <w:r>
        <w:rPr>
          <w:rFonts w:ascii="Times New Roman" w:cs="Times New Roman" w:eastAsia="Times New Roman" w:hAnsi="Times New Roman"/>
          <w:sz w:val="14"/>
          <w:szCs w:val="14"/>
          <w:color w:val="auto"/>
        </w:rPr>
        <w:t>Our business is dependent on information technology systems and the cybersecurity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controls or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64"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We, as a public company, have controls and procedures that relate to cybersecurity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Our business is vulnerable to systems failures that could have a material adverse effect on our business, financial condition and results of operations.</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54"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Misuse of assets and information in the possession of our employees and third-party vendors could damage our reputation and result in costly litigation and liability for our clients and us.</w:t>
      </w:r>
    </w:p>
    <w:p>
      <w:pPr>
        <w:spacing w:after="0" w:line="3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56" w:lineRule="exact"/>
        <w:rPr>
          <w:sz w:val="20"/>
          <w:szCs w:val="20"/>
          <w:color w:val="auto"/>
        </w:rPr>
      </w:pPr>
    </w:p>
    <w:p>
      <w:pPr>
        <w:jc w:val="right"/>
        <w:ind w:right="73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Ownership of Stock and Corporate Governance</w:t>
      </w:r>
    </w:p>
    <w:p>
      <w:pPr>
        <w:spacing w:after="0" w:line="94" w:lineRule="exact"/>
        <w:rPr>
          <w:sz w:val="20"/>
          <w:szCs w:val="20"/>
          <w:color w:val="auto"/>
        </w:rPr>
      </w:pPr>
    </w:p>
    <w:p>
      <w:pPr>
        <w:jc w:val="right"/>
        <w:ind w:right="7380"/>
        <w:spacing w:after="0"/>
        <w:rPr>
          <w:sz w:val="20"/>
          <w:szCs w:val="20"/>
          <w:color w:val="auto"/>
        </w:rPr>
      </w:pPr>
      <w:r>
        <w:rPr>
          <w:rFonts w:ascii="Times New Roman" w:cs="Times New Roman" w:eastAsia="Times New Roman" w:hAnsi="Times New Roman"/>
          <w:sz w:val="14"/>
          <w:szCs w:val="14"/>
          <w:b w:val="1"/>
          <w:bCs w:val="1"/>
          <w:color w:val="auto"/>
        </w:rPr>
        <w:t>Our stock is thinly traded and may be subject to volatility.</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Although our common stock is traded on the New York Stock Exchange, it may be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any such limited trading in our stock continues, it may be difficult for holders to sell their shares in the public market at any given time at prevailing prices.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8" w:name="page19"/>
    <w:bookmarkEnd w:id="18"/>
    <w:p>
      <w:pPr>
        <w:ind w:right="260" w:firstLine="382"/>
        <w:spacing w:after="0" w:line="270" w:lineRule="auto"/>
        <w:rPr>
          <w:sz w:val="20"/>
          <w:szCs w:val="20"/>
          <w:color w:val="auto"/>
        </w:rPr>
      </w:pPr>
      <w:r>
        <w:rPr>
          <w:rFonts w:ascii="Times New Roman" w:cs="Times New Roman" w:eastAsia="Times New Roman" w:hAnsi="Times New Roman"/>
          <w:sz w:val="14"/>
          <w:szCs w:val="14"/>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Distributions to our common stockholders have included and may in the future include a return of capital.</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 capital reduce our asset base and could result in future needs for debt or capital infusions, which could have a material adverse impact on our business.</w:t>
      </w:r>
    </w:p>
    <w:p>
      <w:pPr>
        <w:spacing w:after="0" w:line="56" w:lineRule="exact"/>
        <w:rPr>
          <w:sz w:val="20"/>
          <w:szCs w:val="20"/>
          <w:color w:val="auto"/>
        </w:rPr>
      </w:pPr>
    </w:p>
    <w:p>
      <w:pPr>
        <w:ind w:right="30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37"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Clients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Competitive fee pressures could reduce revenues and profit margins.</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have performance fee agreements with certain clients who pay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can fluctuate significantly between measurement periods, depending on how we perform relative to the indexes specified in these agreements. For example, we earned performance fees of $1.9 million in 2024, $1.6 million in 2023 and $1.0 million in 2022.</w:t>
      </w:r>
    </w:p>
    <w:p>
      <w:pPr>
        <w:spacing w:after="0" w:line="54" w:lineRule="exact"/>
        <w:rPr>
          <w:sz w:val="20"/>
          <w:szCs w:val="20"/>
          <w:color w:val="auto"/>
        </w:rPr>
      </w:pPr>
    </w:p>
    <w:p>
      <w:pPr>
        <w:ind w:right="42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37"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4"/>
          <w:szCs w:val="14"/>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56"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37"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 are dependent to a significant degree on our ability to maintain our relationships with clients, consultants, managed account platforms and other intermediaries. Our ten largest clients accounted for approximately 20%, 21% and 22% of our fee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9" w:name="page20"/>
    <w:bookmarkEnd w:id="19"/>
    <w:p>
      <w:pPr>
        <w:jc w:val="both"/>
        <w:ind w:right="420"/>
        <w:spacing w:after="0" w:line="270" w:lineRule="auto"/>
        <w:rPr>
          <w:sz w:val="20"/>
          <w:szCs w:val="20"/>
          <w:color w:val="auto"/>
        </w:rPr>
      </w:pPr>
      <w:r>
        <w:rPr>
          <w:rFonts w:ascii="Times New Roman" w:cs="Times New Roman" w:eastAsia="Times New Roman" w:hAnsi="Times New Roman"/>
          <w:sz w:val="14"/>
          <w:szCs w:val="14"/>
          <w:color w:val="auto"/>
        </w:rPr>
        <w:t>revenues for the years ended December 31, 2024, 2023 and 2022, respectively.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have made and may continue to make business combinations as a part of our business strategy, which may present risks and uncertainties.</w:t>
      </w:r>
    </w:p>
    <w:p>
      <w:pPr>
        <w:spacing w:after="0" w:line="96" w:lineRule="exact"/>
        <w:rPr>
          <w:sz w:val="20"/>
          <w:szCs w:val="20"/>
          <w:color w:val="auto"/>
        </w:rPr>
      </w:pPr>
    </w:p>
    <w:p>
      <w:pPr>
        <w:ind w:right="280" w:firstLine="382"/>
        <w:spacing w:after="0" w:line="270" w:lineRule="auto"/>
        <w:rPr>
          <w:sz w:val="20"/>
          <w:szCs w:val="20"/>
          <w:color w:val="auto"/>
        </w:rPr>
      </w:pPr>
      <w:r>
        <w:rPr>
          <w:rFonts w:ascii="Times New Roman" w:cs="Times New Roman" w:eastAsia="Times New Roman" w:hAnsi="Times New Roman"/>
          <w:sz w:val="14"/>
          <w:szCs w:val="14"/>
          <w:color w:val="auto"/>
        </w:rPr>
        <w:t>We may continue to seek business acquisitions as a means of broadening our offerings and capturing additional opportunities. However, there is no guarantee that we will be successful in identifying target companies that meet our criteria for acquisition. Additionally, future acquisitions may require us to obtain additional equity or debt financing, which may not be available on attractive terms, if at all.</w:t>
      </w:r>
    </w:p>
    <w:p>
      <w:pPr>
        <w:spacing w:after="0" w:line="51"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success of our historical and future business combinations also depends on our ability to integrate the operations of the acquired businesses efficiently and effectively with our existing operations and realize the anticipated benefits from them. The potential risks associated with successful integration and realization of benefits include, but are not limited to the following:</w:t>
      </w:r>
    </w:p>
    <w:p>
      <w:pPr>
        <w:spacing w:after="0" w:line="3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due diligence may not identify or fully assess valuation issues, potential liabilities or other acquisition risks;</w:t>
      </w:r>
    </w:p>
    <w:p>
      <w:pPr>
        <w:spacing w:after="0" w:line="93"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entities may not achieve anticipated revenue targets, cost savings or other synergies or benefits, or acquisitions may not result in improved operating performance, which could adversely affect our earnings, and we may be unable to recover investments in any such acquisitions;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acquired businesses, resulting in unforeseen difficulties and greater expenses than expected;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entering into new markets in which we are not experienced in an efficient and cost-effective manner while maintaining adequate standards, controls and procedures;</w:t>
      </w:r>
    </w:p>
    <w:p>
      <w:pPr>
        <w:spacing w:after="0" w:line="93"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personnel within an acquired organization may resign from their related positions resulting in a significant loss to our strategic and operational efficiency associated with the acquired company;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daily operations may be reduced by the redirection of employees and other resources to acquisition and integration activities;</w:t>
      </w:r>
    </w:p>
    <w:p>
      <w:pPr>
        <w:spacing w:after="0" w:line="9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liabilities of an acquired business (including litigation, tax liabilities, and other contingent liabilities), including liabilities that were unknown at the time of the acquisition, that pose future risks to our working capital needs, cash flows and the profitability of related operations;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unprofitable projects that pose future risks to our working capital needs, cash flows and the profitability of related operations;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acquisitions may include substantial transactional costs to complete the acquisition that exceed the estimated financial and operational benefit.</w:t>
      </w:r>
    </w:p>
    <w:p>
      <w:pPr>
        <w:spacing w:after="0" w:line="92" w:lineRule="exact"/>
        <w:rPr>
          <w:sz w:val="20"/>
          <w:szCs w:val="20"/>
          <w:color w:val="auto"/>
        </w:rPr>
      </w:pPr>
    </w:p>
    <w:p>
      <w:pPr>
        <w:ind w:right="16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effectively execute our strategic growth plan could result in damage to our reputation and could have a material adverse effect on our business, financial condition and results of operations.</w:t>
      </w:r>
    </w:p>
    <w:p>
      <w:pPr>
        <w:spacing w:after="0" w:line="37"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39"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4" w:right="399" w:bottom="1440" w:gutter="0" w:footer="0" w:header="0"/>
        </w:sectPr>
      </w:pPr>
    </w:p>
    <w:bookmarkStart w:id="20" w:name="page21"/>
    <w:bookmarkEnd w:id="20"/>
    <w:p>
      <w:pPr>
        <w:ind w:right="80"/>
        <w:spacing w:after="0" w:line="264" w:lineRule="auto"/>
        <w:rPr>
          <w:sz w:val="20"/>
          <w:szCs w:val="20"/>
          <w:color w:val="auto"/>
        </w:rPr>
      </w:pPr>
      <w:r>
        <w:rPr>
          <w:rFonts w:ascii="Times New Roman" w:cs="Times New Roman" w:eastAsia="Times New Roman" w:hAnsi="Times New Roman"/>
          <w:sz w:val="14"/>
          <w:szCs w:val="14"/>
          <w:color w:val="auto"/>
        </w:rPr>
        <w:t>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5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51"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56"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Various factors may hinder the declaration and payment of dividends.</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have historically paid a quarterly dividend; however, payment of future dividends is subject to the discretion of our Board, and various factors may impact our ability to maintain the current dividend or pay dividends at all. Such factors include our financial position, capital requirements and liquidity, tax regulations, stock repurchase plans, state corporate and banking law restrictions, results of operations and other factors that our Board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and compliance with applicable laws, including the provisions of the Finance Code applicable to Westwood Trust. See “Item 7. Management’s Discussion and Analysis of Financial Condition and Results of Operations.”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may not be able to fund future capital requirements on favorable terms, if at all.</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54"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properly identify and address conflicts of interest could harm our reputation or cause clients to withdraw funds, which could adversely affect our business and results of operations.</w:t>
      </w:r>
    </w:p>
    <w:p>
      <w:pPr>
        <w:spacing w:after="0" w:line="37"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51"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4"/>
          <w:szCs w:val="14"/>
          <w:b w:val="1"/>
          <w:bCs w:val="1"/>
          <w:color w:val="auto"/>
        </w:rPr>
        <w:t>Insurance coverage may be inadequate to cover legal and regulatory proceedings.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maintain insurance coverage in amounts and on terms we believe appropriate to cover legal and regulatory matters and potential cybersecurity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Failure to maintain effective internal controls could have a material adverse effect on our business and stock price.</w:t>
      </w:r>
    </w:p>
    <w:p>
      <w:pPr>
        <w:spacing w:after="0" w:line="96" w:lineRule="exact"/>
        <w:rPr>
          <w:sz w:val="20"/>
          <w:szCs w:val="20"/>
          <w:color w:val="auto"/>
        </w:rPr>
      </w:pPr>
    </w:p>
    <w:p>
      <w:pPr>
        <w:ind w:right="400" w:firstLine="382"/>
        <w:spacing w:after="0" w:line="270" w:lineRule="auto"/>
        <w:rPr>
          <w:sz w:val="20"/>
          <w:szCs w:val="20"/>
          <w:color w:val="auto"/>
        </w:rPr>
      </w:pPr>
      <w:r>
        <w:rPr>
          <w:rFonts w:ascii="Times New Roman" w:cs="Times New Roman" w:eastAsia="Times New Roman" w:hAnsi="Times New Roman"/>
          <w:sz w:val="14"/>
          <w:szCs w:val="14"/>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have invested significantly over the past several years to enhance our cybersecurity governance. We have expanded our control access to data and systems, invested in firewalls and security systems, elevated internal awareness through trainings and exercises, and upgraded our systems, programs and intrusion monitoring.</w:t>
      </w:r>
    </w:p>
    <w:p>
      <w:pPr>
        <w:spacing w:after="0" w:line="39"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 conduct periodic vulnerability assessments based on our use of technology, third party vendor relationships and reported changes in cybercrime methodologies, and in response to any attempted cyber incident, among other circumstances.</w:t>
      </w:r>
    </w:p>
    <w:p>
      <w:pPr>
        <w:spacing w:after="0" w:line="39"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Our goal is to protect all the assets of our clients and safeguard the proprietary and confidential information of Westwood and its employees, which is a fundamental responsibility of every Westwood employee. Westwood is responsible for distributing our policies and procedures to employees and conducting appropriate employee training to ensure employees’ adherence to our policies and procedures. Repeated or serious violations of our policies by employees or independent contractors may result in disciplinary action against such persons, which may include restricted permissions or prohibitions and/or termination.</w:t>
      </w:r>
    </w:p>
    <w:p>
      <w:pPr>
        <w:spacing w:after="0" w:line="5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Our President and Chief Operating Officer is responsible for reviewing, maintaining and enforcing our policies and procedures to ensure we meet our overall cybersecurity goals and objectives, while at a minimum, ensuring compliance with applicable federal and state laws and regulations.</w:t>
      </w:r>
    </w:p>
    <w:p>
      <w:pPr>
        <w:spacing w:after="0" w:line="39"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 have designed procedures to implement our cybersecurity policy, minimize cybersecurity threats to our clients and conduct reviews to monitor and ensure our policy is observed, properly implemented and amended or updated as necessary, including cybersecurity oversight, periodic risk assessments and external consultant reviews, access restrictions, ongoing training, governance policies and procedures, authentication protocols, secure access measures, and policies for elevating suspicious activities.</w:t>
      </w:r>
    </w:p>
    <w:p>
      <w:pPr>
        <w:spacing w:after="0" w:line="51" w:lineRule="exact"/>
        <w:rPr>
          <w:sz w:val="20"/>
          <w:szCs w:val="20"/>
          <w:color w:val="auto"/>
        </w:rPr>
      </w:pPr>
    </w:p>
    <w:p>
      <w:pPr>
        <w:ind w:right="400" w:firstLine="382"/>
        <w:spacing w:after="0" w:line="270" w:lineRule="auto"/>
        <w:rPr>
          <w:sz w:val="20"/>
          <w:szCs w:val="20"/>
          <w:color w:val="auto"/>
        </w:rPr>
      </w:pPr>
      <w:r>
        <w:rPr>
          <w:rFonts w:ascii="Times New Roman" w:cs="Times New Roman" w:eastAsia="Times New Roman" w:hAnsi="Times New Roman"/>
          <w:sz w:val="14"/>
          <w:szCs w:val="14"/>
          <w:color w:val="auto"/>
        </w:rPr>
        <w:t>Westwood has an established vendor management policy, which considers risks related to new or existing vendors, defines new vendor selection, vendor renewal, vendor monitoring and vendor risk assessment. The review of vendors is led by our Chief Compliance Officer and each vendor relationship owner, and involves reviewing System and Organization Controls reports, Statement on Standards for Attestation Engagements number 18 reports, and other reviews of internal controls.</w:t>
      </w:r>
    </w:p>
    <w:p>
      <w:pPr>
        <w:spacing w:after="0" w:line="51"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Westwood’s Board is responsible for overseeing the effective execution of our overall cybersecurity programs. Along with management, our Board reviews our cybersecurity efforts and programs and is informed of cybersecurity risks primarily through discussions with management, educational sessions and exercises.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Board’s responsibilities include, but are not limited to:</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2" w:name="page23"/>
    <w:bookmarkEnd w:id="22"/>
    <w:p>
      <w:pPr>
        <w:ind w:left="900"/>
        <w:spacing w:after="0"/>
        <w:rPr>
          <w:sz w:val="20"/>
          <w:szCs w:val="20"/>
          <w:color w:val="auto"/>
        </w:rPr>
      </w:pPr>
      <w:r>
        <w:rPr>
          <w:rFonts w:ascii="Times New Roman" w:cs="Times New Roman" w:eastAsia="Times New Roman" w:hAnsi="Times New Roman"/>
          <w:sz w:val="14"/>
          <w:szCs w:val="14"/>
          <w:color w:val="auto"/>
        </w:rPr>
        <w:t>a. Overseeing effective implementation of cybersecurity initiatives and alignment with our policies and strategies;</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 Oversight of the continued and consistent implementation of our cybersecurity policies and procedures; and</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Promoting overall corporate commitment to cybersecurity.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management is responsible for the execution of the framework for the management of our information security. These responsibilities include, but are not limited to:</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Designing, implementing and executing our framework for information security management;</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 Reviewing and updating our policies and procedures annually;</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Assigning all data within Westwood to an appropriate owner, and ensuring data owners have knowledge of such data and have an information classification selected for that data;</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d. Ensuring annual compliance with our information security management policies and procedures;</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 Application and execution of our risk management framework in the event of a potential issue; and</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f. Development and execution of an action plan for each potential issue to address risks via remediating, mitigating, accepting or closing the issue.</w:t>
      </w:r>
    </w:p>
    <w:p>
      <w:pPr>
        <w:spacing w:after="0" w:line="94"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Our management members, specifically our Chief Executive Officer, Chief Financial Officer, President and Chief Operating Officer, Information Security Officer and Chief Compliance Officer, have cybersecurity expertise gained through years of training, internal and external discussions, numerous learning exercises, and development, execution and evaluation of our cybersecurity policies.</w:t>
      </w:r>
    </w:p>
    <w:p>
      <w:pPr>
        <w:spacing w:after="0" w:line="51" w:lineRule="exact"/>
        <w:rPr>
          <w:sz w:val="20"/>
          <w:szCs w:val="20"/>
          <w:color w:val="auto"/>
        </w:rPr>
      </w:pPr>
    </w:p>
    <w:p>
      <w:pPr>
        <w:jc w:val="both"/>
        <w:ind w:right="360" w:firstLine="382"/>
        <w:spacing w:after="0" w:line="270" w:lineRule="auto"/>
        <w:rPr>
          <w:sz w:val="20"/>
          <w:szCs w:val="20"/>
          <w:color w:val="auto"/>
        </w:rPr>
      </w:pPr>
      <w:r>
        <w:rPr>
          <w:rFonts w:ascii="Times New Roman" w:cs="Times New Roman" w:eastAsia="Times New Roman" w:hAnsi="Times New Roman"/>
          <w:sz w:val="14"/>
          <w:szCs w:val="14"/>
          <w:color w:val="auto"/>
        </w:rPr>
        <w:t>If a potential cybersecurity breach were to be identified, management would implement its incident response plan. This plan, which provides for a quick, effective and orderly response to information security incidents relies on our Incident Response Team (“IRT”) to report findings to management and the appropriate authorities as necessary. The IRT, comprised of various cross-functional subject matter experts, is also responsible for:</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detecting and analyzing suspicious events that might indicate a breach has occurred; and</w:t>
      </w:r>
    </w:p>
    <w:p>
      <w:pPr>
        <w:spacing w:after="0" w:line="94" w:lineRule="exact"/>
        <w:rPr>
          <w:sz w:val="20"/>
          <w:szCs w:val="20"/>
          <w:color w:val="auto"/>
        </w:rPr>
      </w:pPr>
    </w:p>
    <w:p>
      <w:pPr>
        <w:ind w:left="520" w:right="460" w:firstLine="382"/>
        <w:spacing w:after="0" w:line="264" w:lineRule="auto"/>
        <w:rPr>
          <w:sz w:val="20"/>
          <w:szCs w:val="20"/>
          <w:color w:val="auto"/>
        </w:rPr>
      </w:pPr>
      <w:r>
        <w:rPr>
          <w:rFonts w:ascii="Times New Roman" w:cs="Times New Roman" w:eastAsia="Times New Roman" w:hAnsi="Times New Roman"/>
          <w:sz w:val="14"/>
          <w:szCs w:val="14"/>
          <w:color w:val="auto"/>
        </w:rPr>
        <w:t>b. containing, eradicating and restoring normal operations through quick responses, isolating and preserving evidence to aid in remediation and assisting investigators, isolating additional systems from being impacted by the situation being remediated, tracking issues, communicating a strategy and protocol to follow to maintain control of information and confidentiality and to ensure members of the IRT and Westwood management are kept informed of issues as the incident develops and is resolved, and developing and implementing strategies for ensuring the integrity of impacted information systems and critical information hosted on those systems.</w:t>
      </w:r>
    </w:p>
    <w:p>
      <w:pPr>
        <w:spacing w:after="0" w:line="56"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In the event of a cybersecurity breach Westwood management notifies our Board as soon as practicable, along with other affected parties including clients, regulatory bodies, third parties and employees, as necessary and required by applicable laws and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Westwood, Westwood Management and Westwood Trust conduct their principal operations using approximately 38,000 square feet of leased office space in Dallas, Texas pursuant to a lease with an initial term that expires in March 2026. In addition, we lease approximately 11,000 square feet of office space in Houston, Texas pursuant to a lease that expires in September 2029. We lease a limited amount of office space in San Francisco, California and Chicago, Illinois.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monitor these facilities to ensure their adequacy to serve our anticipated business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subject from time to time to certain claims and legal proceedings arising in the ordinary course of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common stock trades on the New York Stock Exchange under the symbol "WHG." At December 31, 2024, there were approximately 130 record holders of our common stock, although we believe that the number of beneficial owners of our common stock is substantially greater.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Declarations of cash dividends is at the discretion of the Board of Directors and is subject to limitations under the Delaware General Corporation Law.</w:t>
      </w:r>
    </w:p>
    <w:p>
      <w:pPr>
        <w:spacing w:after="0" w:line="94"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is the sole stockholder of Westwood Management and Westwood Trust. Westwood Trust is limited in the payment of dividends under applicable Texas law to the amount of undivided profits, which is defined as that part of equity capital equal to the balance of net profits, income, gains and losses since formation minus subsequent distributions to stockholders and transfers to surplus or capital under share dividends or appropriate Board resolutions.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On July 20, 2012, our Board of Directors authorized management to repurchase up to $10.0 million of our outstanding common stock on the open market or in privately negotiated transactions. The Board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93"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4"/>
          <w:szCs w:val="14"/>
          <w:color w:val="auto"/>
        </w:rPr>
        <w:t>Between January 1, 2024 and December 31, 2024, under the share repurchase program, the Company repurchased 108,225 shares of our common stock at an average price of $12.46 per share, including commissions, for an aggregate purchase price of $1.3 million. The following table displays information with respect to the treasury shares we purchased during the year ended December 31, 2024:</w:t>
      </w:r>
    </w:p>
    <w:tbl>
      <w:tblPr>
        <w:tblLayout w:type="fixed"/>
        <w:tblInd w:w="0" w:type="dxa"/>
        <w:tblCellMar>
          <w:top w:w="0" w:type="dxa"/>
          <w:left w:w="0" w:type="dxa"/>
          <w:bottom w:w="0" w:type="dxa"/>
          <w:right w:w="0" w:type="dxa"/>
        </w:tblCellMar>
      </w:tblPr>
      <w:tr>
        <w:trPr>
          <w:trHeight w:val="118"/>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Total number</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tcPr>
          <w:p>
            <w:pPr>
              <w:jc w:val="center"/>
              <w:ind w:right="221"/>
              <w:spacing w:after="0" w:line="118" w:lineRule="exact"/>
              <w:rPr>
                <w:sz w:val="20"/>
                <w:szCs w:val="20"/>
                <w:color w:val="auto"/>
              </w:rPr>
            </w:pPr>
            <w:r>
              <w:rPr>
                <w:rFonts w:ascii="Times New Roman" w:cs="Times New Roman" w:eastAsia="Times New Roman" w:hAnsi="Times New Roman"/>
                <w:sz w:val="11"/>
                <w:szCs w:val="11"/>
                <w:b w:val="1"/>
                <w:bCs w:val="1"/>
                <w:color w:val="auto"/>
              </w:rPr>
              <w:t>Maximum number (or</w:t>
            </w:r>
          </w:p>
        </w:tc>
        <w:tc>
          <w:tcPr>
            <w:tcW w:w="0" w:type="dxa"/>
            <w:vAlign w:val="bottom"/>
          </w:tcPr>
          <w:p>
            <w:pPr>
              <w:spacing w:after="0"/>
              <w:rPr>
                <w:sz w:val="1"/>
                <w:szCs w:val="1"/>
                <w:color w:val="auto"/>
              </w:rPr>
            </w:pPr>
          </w:p>
        </w:tc>
      </w:tr>
      <w:tr>
        <w:trPr>
          <w:trHeight w:val="115"/>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8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100" w:type="dxa"/>
            <w:vAlign w:val="bottom"/>
          </w:tcPr>
          <w:p>
            <w:pPr>
              <w:spacing w:after="0"/>
              <w:rPr>
                <w:sz w:val="9"/>
                <w:szCs w:val="9"/>
                <w:color w:val="auto"/>
              </w:rPr>
            </w:pPr>
          </w:p>
        </w:tc>
        <w:tc>
          <w:tcPr>
            <w:tcW w:w="20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06"/>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jc w:val="center"/>
              <w:ind w:right="221"/>
              <w:spacing w:after="0" w:line="106" w:lineRule="exact"/>
              <w:rPr>
                <w:sz w:val="20"/>
                <w:szCs w:val="20"/>
                <w:color w:val="auto"/>
              </w:rPr>
            </w:pPr>
            <w:r>
              <w:rPr>
                <w:rFonts w:ascii="Times New Roman" w:cs="Times New Roman" w:eastAsia="Times New Roman" w:hAnsi="Times New Roman"/>
                <w:sz w:val="11"/>
                <w:szCs w:val="11"/>
                <w:b w:val="1"/>
                <w:bCs w:val="1"/>
                <w:color w:val="auto"/>
              </w:rPr>
              <w:t>may yet be purchased</w:t>
            </w:r>
          </w:p>
        </w:tc>
        <w:tc>
          <w:tcPr>
            <w:tcW w:w="0" w:type="dxa"/>
            <w:vAlign w:val="bottom"/>
          </w:tcPr>
          <w:p>
            <w:pPr>
              <w:spacing w:after="0"/>
              <w:rPr>
                <w:sz w:val="1"/>
                <w:szCs w:val="1"/>
                <w:color w:val="auto"/>
              </w:rPr>
            </w:pPr>
          </w:p>
        </w:tc>
      </w:tr>
      <w:tr>
        <w:trPr>
          <w:trHeight w:val="117"/>
        </w:trPr>
        <w:tc>
          <w:tcPr>
            <w:tcW w:w="4900" w:type="dxa"/>
            <w:vAlign w:val="bottom"/>
            <w:gridSpan w:val="2"/>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price paid</w:t>
            </w:r>
          </w:p>
        </w:tc>
        <w:tc>
          <w:tcPr>
            <w:tcW w:w="1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announced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tcPr>
          <w:p>
            <w:pPr>
              <w:jc w:val="center"/>
              <w:ind w:right="221"/>
              <w:spacing w:after="0" w:line="117" w:lineRule="exact"/>
              <w:rPr>
                <w:sz w:val="20"/>
                <w:szCs w:val="20"/>
                <w:color w:val="auto"/>
              </w:rPr>
            </w:pPr>
            <w:r>
              <w:rPr>
                <w:rFonts w:ascii="Times New Roman" w:cs="Times New Roman" w:eastAsia="Times New Roman" w:hAnsi="Times New Roman"/>
                <w:sz w:val="11"/>
                <w:szCs w:val="11"/>
                <w:b w:val="1"/>
                <w:bCs w:val="1"/>
                <w:color w:val="auto"/>
              </w:rPr>
              <w:t>under the plans or</w:t>
            </w:r>
          </w:p>
        </w:tc>
        <w:tc>
          <w:tcPr>
            <w:tcW w:w="0" w:type="dxa"/>
            <w:vAlign w:val="bottom"/>
          </w:tcPr>
          <w:p>
            <w:pPr>
              <w:spacing w:after="0"/>
              <w:rPr>
                <w:sz w:val="1"/>
                <w:szCs w:val="1"/>
                <w:color w:val="auto"/>
              </w:rPr>
            </w:pPr>
          </w:p>
        </w:tc>
      </w:tr>
      <w:tr>
        <w:trPr>
          <w:trHeight w:val="157"/>
        </w:trPr>
        <w:tc>
          <w:tcPr>
            <w:tcW w:w="490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2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plans or programs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ind w:right="221"/>
              <w:spacing w:after="0"/>
              <w:rPr>
                <w:sz w:val="20"/>
                <w:szCs w:val="20"/>
                <w:color w:val="auto"/>
              </w:rPr>
            </w:pPr>
            <w:r>
              <w:rPr>
                <w:rFonts w:ascii="Times New Roman" w:cs="Times New Roman" w:eastAsia="Times New Roman" w:hAnsi="Times New Roman"/>
                <w:sz w:val="11"/>
                <w:szCs w:val="11"/>
                <w:b w:val="1"/>
                <w:bCs w:val="1"/>
                <w:color w:val="auto"/>
              </w:rPr>
              <w:t>programs (1)</w:t>
            </w:r>
          </w:p>
        </w:tc>
        <w:tc>
          <w:tcPr>
            <w:tcW w:w="0" w:type="dxa"/>
            <w:vAlign w:val="bottom"/>
          </w:tcPr>
          <w:p>
            <w:pPr>
              <w:spacing w:after="0"/>
              <w:rPr>
                <w:sz w:val="1"/>
                <w:szCs w:val="1"/>
                <w:color w:val="auto"/>
              </w:rPr>
            </w:pPr>
          </w:p>
        </w:tc>
      </w:tr>
      <w:tr>
        <w:trPr>
          <w:trHeight w:val="173"/>
        </w:trPr>
        <w:tc>
          <w:tcPr>
            <w:tcW w:w="480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Repurchase program</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8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April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June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July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August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September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108,225</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These purchases relate to the share repurchase program and were authorized in April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81"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following graph compares total stockholder returns of Westwood since December 31, 2019 with the total return of the Russell 2000 Index and the S&amp;P U.S. BMI Asset Management &amp; Custody Banks Index, a composite of various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4608195" cy="2950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08195" cy="295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Period ended December 31,</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Cumulative Five-Year Total</w:t>
            </w:r>
          </w:p>
        </w:tc>
        <w:tc>
          <w:tcPr>
            <w:tcW w:w="0" w:type="dxa"/>
            <w:vAlign w:val="bottom"/>
          </w:tcPr>
          <w:p>
            <w:pPr>
              <w:spacing w:after="0"/>
              <w:rPr>
                <w:sz w:val="1"/>
                <w:szCs w:val="1"/>
                <w:color w:val="auto"/>
              </w:rPr>
            </w:pPr>
          </w:p>
        </w:tc>
      </w:tr>
      <w:tr>
        <w:trPr>
          <w:trHeight w:val="32"/>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Index</w:t>
            </w:r>
          </w:p>
        </w:tc>
        <w:tc>
          <w:tcPr>
            <w:tcW w:w="220" w:type="dxa"/>
            <w:vAlign w:val="bottom"/>
          </w:tcPr>
          <w:p>
            <w:pPr>
              <w:spacing w:after="0"/>
              <w:rPr>
                <w:sz w:val="2"/>
                <w:szCs w:val="2"/>
                <w:color w:val="auto"/>
              </w:rPr>
            </w:pP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Return</w:t>
            </w:r>
          </w:p>
        </w:tc>
        <w:tc>
          <w:tcPr>
            <w:tcW w:w="0" w:type="dxa"/>
            <w:vAlign w:val="bottom"/>
          </w:tcPr>
          <w:p>
            <w:pPr>
              <w:spacing w:after="0"/>
              <w:rPr>
                <w:sz w:val="1"/>
                <w:szCs w:val="1"/>
                <w:color w:val="auto"/>
              </w:rPr>
            </w:pPr>
          </w:p>
        </w:tc>
      </w:tr>
      <w:tr>
        <w:trPr>
          <w:trHeight w:val="166"/>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Westwood Holdings Group, Inc.</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64.90</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Russell 2000 Index</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42.93 %</w:t>
            </w:r>
          </w:p>
        </w:tc>
        <w:tc>
          <w:tcPr>
            <w:tcW w:w="0" w:type="dxa"/>
            <w:vAlign w:val="bottom"/>
          </w:tcPr>
          <w:p>
            <w:pPr>
              <w:spacing w:after="0"/>
              <w:rPr>
                <w:sz w:val="1"/>
                <w:szCs w:val="1"/>
                <w:color w:val="auto"/>
              </w:rPr>
            </w:pPr>
          </w:p>
        </w:tc>
      </w:tr>
      <w:tr>
        <w:trPr>
          <w:trHeight w:val="17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S&amp;P U.S. BMI Asset Management &amp; Custody Banks Index</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total return for our stock and for each index assumes $100 invested on December 31, 2019 in our common stock, the Russell 2000 Index, and the S&amp;P U.S. BMI Asset Management &amp; Custody Banks Index, including reinvestment of dividends.</w:t>
      </w:r>
    </w:p>
    <w:p>
      <w:pPr>
        <w:spacing w:after="0" w:line="39"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closing price of our common stock on the last trading day of the year ended December 31, 2024 was $14.51 per share. Historical stock price performance is not necessarily indicative of future price performance.</w:t>
      </w:r>
    </w:p>
    <w:p>
      <w:pPr>
        <w:spacing w:after="0" w:line="16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5" w:name="page26"/>
    <w:bookmarkEnd w:id="2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in conjunction with our Consolidated Financial Statements and related notes thereto appearing elsewhere in this Report.</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Forward-Looking Statements</w:t>
      </w:r>
    </w:p>
    <w:p>
      <w:pPr>
        <w:spacing w:after="0" w:line="96"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62" w:lineRule="exact"/>
        <w:rPr>
          <w:sz w:val="20"/>
          <w:szCs w:val="20"/>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composition and market value of our AUM and AUA;</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fee structure in light of competitive fee pressures;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actions of activist stockholders;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our common stockholders have included and may in the future include a return of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inclusion of foreign company investments in our AUM;</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adversely affecting the financial services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cybersecurity;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risks;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market new investment strategies successfully;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our relationships with current and potential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personnel;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perform operational tasks;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 and oversee third-party vendors;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operations and funds of our subsidiaries;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information systems;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misuse of assets and information in the possession of our employees and third-party vendors, which could damage our reputation and result in costly litigation and liability for our clients and us;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is thinly traded and may be subject to volatility;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investment management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termination of client agreements and the related investment redemptions;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concentration of our revenues in a small number of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made and may continue to make business combinations as a part of our business strategy, which may present certain risks and uncertainties;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investment consulting firms;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execute on our strategic initiatives;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declare and pay dividends;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future capital requirements on favorable terms;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properly address conflicts of interest;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insurance coverage; and</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40" w:right="419" w:bottom="1440" w:gutter="0" w:footer="0" w:header="0"/>
        </w:sectPr>
      </w:pPr>
    </w:p>
    <w:bookmarkStart w:id="26" w:name="page27"/>
    <w:bookmarkEnd w:id="26"/>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w:t>
      </w:r>
    </w:p>
    <w:p>
      <w:pPr>
        <w:spacing w:after="0" w:line="94"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51"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to institutions and high net worth individuals. Our revenues are generally derived from fees based on a percentage of AUM.</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SCLP serves as a sub-placement agent for private placements.</w:t>
      </w:r>
    </w:p>
    <w:p>
      <w:pPr>
        <w:spacing w:after="0" w:line="94"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Our revenues are generally derived from fees based on a percentage of AUM and AUA, and Westwood Management and Westwood Trust collectively had AUM of approximately $16.6 billion and AUA of approximately $1.0 billion at December 31, 2024. We have established a track record of delivering competitive, risk-adjusted returns for our clients.</w:t>
      </w:r>
    </w:p>
    <w:p>
      <w:pPr>
        <w:spacing w:after="0" w:line="39"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average investment experience of over twenty years.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Highlights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items were reported for the year ended December 31, 2024:</w:t>
      </w:r>
    </w:p>
    <w:p>
      <w:pPr>
        <w:spacing w:after="0" w:line="94" w:lineRule="exact"/>
        <w:rPr>
          <w:sz w:val="20"/>
          <w:szCs w:val="20"/>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Launched two new ETFs: Westwood Salient Enhanced Midstream Income ETF (MDST) and Westwood Salient Enhanced Energy Income ETF (WEEI).</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a partnership with WEBs Investments Inc., a new firm to develop and launch innovative investment strategies for investors and advisors.</w:t>
      </w:r>
    </w:p>
    <w:p>
      <w:pPr>
        <w:spacing w:after="0" w:line="93" w:lineRule="exact"/>
        <w:rPr>
          <w:rFonts w:ascii="Times New Roman" w:cs="Times New Roman" w:eastAsia="Times New Roman" w:hAnsi="Times New Roman"/>
          <w:sz w:val="14"/>
          <w:szCs w:val="14"/>
          <w:color w:val="auto"/>
        </w:rPr>
      </w:pPr>
    </w:p>
    <w:p>
      <w:pPr>
        <w:ind w:left="760" w:right="20" w:hanging="373"/>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as of December 31, 2024 was $16.6 billion, 7% higher than December 31, 2023. Quarterly average AUM increased 9% to $16.3 billion for 2024 versus 2023, which contributed to a 6% increase in total revenue from 2023.</w:t>
      </w:r>
    </w:p>
    <w:p>
      <w:pPr>
        <w:spacing w:after="0" w:line="39" w:lineRule="exact"/>
        <w:rPr>
          <w:rFonts w:ascii="Times New Roman" w:cs="Times New Roman" w:eastAsia="Times New Roman" w:hAnsi="Times New Roman"/>
          <w:sz w:val="14"/>
          <w:szCs w:val="14"/>
          <w:color w:val="auto"/>
        </w:rPr>
      </w:pPr>
    </w:p>
    <w:p>
      <w:pPr>
        <w:ind w:left="760" w:right="340" w:hanging="373"/>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SMidCap Value, Multi-Asset, Credit Opportunities, Real Estate Income, MLP SMA, MLP High Conviction and MLP &amp; Energy Infrastructure strategies performed strongly by beating their primary benchmarks for the year.</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paid $5.4 million of dividends to our common stockholders.</w:t>
      </w:r>
    </w:p>
    <w:p>
      <w:pPr>
        <w:spacing w:after="0" w:line="9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position remains strong with liquid cash and investments of $44.6 million and no debt as of December 31, 2024</w:t>
      </w:r>
      <w:r>
        <w:rPr>
          <w:rFonts w:ascii="Times New Roman" w:cs="Times New Roman" w:eastAsia="Times New Roman" w:hAnsi="Times New Roman"/>
          <w:sz w:val="14"/>
          <w:szCs w:val="14"/>
          <w:i w:val="1"/>
          <w:iCs w:val="1"/>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7" w:name="page28"/>
    <w:bookmarkEnd w:id="27"/>
    <w:p>
      <w:pPr>
        <w:ind w:right="20"/>
        <w:spacing w:after="0" w:line="264" w:lineRule="auto"/>
        <w:rPr>
          <w:sz w:val="20"/>
          <w:szCs w:val="20"/>
          <w:color w:val="auto"/>
        </w:rPr>
      </w:pPr>
      <w:r>
        <w:rPr>
          <w:rFonts w:ascii="Times New Roman" w:cs="Times New Roman" w:eastAsia="Times New Roman" w:hAnsi="Times New Roman"/>
          <w:sz w:val="14"/>
          <w:szCs w:val="14"/>
          <w:color w:val="auto"/>
        </w:rPr>
        <w:t>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other revenues primarily consist of investment income from seed money investments into new investment strategies.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Compensation and Benefits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compensation and benefits costs generally consist of salaries, sales commissions, incentive compensation, stock-based compensation expense and benefits.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Sales and marketing costs relate to our marketing efforts, including travel and entertainment, direct marketing and advertising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Mutual Funds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Expenses for Westwood mutual funds relate to our marketing, distribution and administration of the Westwood Funds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Technology</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Information technology expenses include costs associated with proprietary investment research tools, maintenance and support, computing hardware, software licenses, telecommunications and other related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Professional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Professional services expenses generally consist of costs associated with sub-advisory fees, audit, legal and other professional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loss from change in fair value of contingent consideration</w:t>
      </w:r>
    </w:p>
    <w:p>
      <w:pPr>
        <w:spacing w:after="0" w:line="96"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(Gain) loss from change in fair value of contingent consideration consists of fair value adjustments related to contingent consideration from our 2022 acquisition of Salient, with gains representing reductions in value and losses representing increases in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Acquisition expenses consist of costs related to the Salient Acquisition.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Change in Unrealized Appreciation (Depreciation) on Private 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 includes changes in the value of our private equity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Investment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investment income primarily includes interest and dividend income on fixed income securities and money market funds.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primarily consists of income from the sublease of a portion of our corporate offices and the receipt of life insurance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Firm-wide Assets Under Management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4"/>
          <w:szCs w:val="14"/>
          <w:color w:val="auto"/>
        </w:rPr>
        <w:t>Firm-wide assets under management of $17.6 billion at December 31, 2024 consisted of $16.6 billion of AUM and $1.0 billion of AUA.</w:t>
      </w:r>
    </w:p>
    <w:p>
      <w:pPr>
        <w:spacing w:after="0" w:line="13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AUM increased $1.1 billion, or 7%, to $16.6 billion at December 31, 2024 compared to $15.5 billion at December 31, 2023. Quarterly average AUM increased $1.4 billion, up 9%, to $16.3 billion compared with $15.0 billion for 2023. The increase in average AUM was primarily due to $1.9 billion of market appreciation in 2024.</w:t>
      </w:r>
    </w:p>
    <w:p>
      <w:pPr>
        <w:spacing w:after="0" w:line="82"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AUM increased $0.7 billion, or 5%, to $15.5 billion at December 31, 2023 compared to $14.8 billion at December 31, 2022. Quarterly average AUM increased $1.9 billion, up 15%, to $15.0 billion compared with $13.1 billion for 2022. The increase in average AUM was primarily due to $2.0 billion of market appreciation in 2023.</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AUM (in millions,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1"/>
        </w:trPr>
        <w:tc>
          <w:tcPr>
            <w:tcW w:w="4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6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492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Institutional</w:t>
            </w:r>
            <w:r>
              <w:rPr>
                <w:rFonts w:ascii="Times New Roman" w:cs="Times New Roman" w:eastAsia="Times New Roman" w:hAnsi="Times New Roman"/>
                <w:sz w:val="18"/>
                <w:szCs w:val="18"/>
                <w:color w:val="auto"/>
                <w:vertAlign w:val="superscript"/>
              </w:rPr>
              <w:t>(1)</w:t>
            </w: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r>
      <w:tr>
        <w:trPr>
          <w:trHeight w:val="180"/>
        </w:trPr>
        <w:tc>
          <w:tcPr>
            <w:tcW w:w="49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Wealth Management</w:t>
            </w:r>
            <w:r>
              <w:rPr>
                <w:rFonts w:ascii="Times New Roman" w:cs="Times New Roman" w:eastAsia="Times New Roman" w:hAnsi="Times New Roman"/>
                <w:sz w:val="18"/>
                <w:szCs w:val="18"/>
                <w:color w:val="auto"/>
                <w:vertAlign w:val="superscript"/>
              </w:rPr>
              <w:t>(2)</w:t>
            </w:r>
          </w:p>
        </w:tc>
        <w:tc>
          <w:tcPr>
            <w:tcW w:w="7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w:t>
            </w:r>
          </w:p>
        </w:tc>
      </w:tr>
      <w:tr>
        <w:trPr>
          <w:trHeight w:val="180"/>
        </w:trPr>
        <w:tc>
          <w:tcPr>
            <w:tcW w:w="4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Mutual Funds</w:t>
            </w:r>
            <w:r>
              <w:rPr>
                <w:rFonts w:ascii="Times New Roman" w:cs="Times New Roman" w:eastAsia="Times New Roman" w:hAnsi="Times New Roman"/>
                <w:sz w:val="18"/>
                <w:szCs w:val="18"/>
                <w:color w:val="auto"/>
                <w:vertAlign w:val="superscript"/>
              </w:rPr>
              <w:t>(3)</w:t>
            </w:r>
          </w:p>
        </w:tc>
        <w:tc>
          <w:tcPr>
            <w:tcW w:w="7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4,328</w:t>
            </w: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AUM</w:t>
            </w:r>
          </w:p>
        </w:tc>
        <w:tc>
          <w:tcPr>
            <w:tcW w:w="7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14,779</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380" w:right="260" w:hanging="248"/>
        <w:spacing w:after="0" w:line="249"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ind w:left="380" w:hanging="248"/>
        <w:spacing w:after="0" w:line="248"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For certain assets in this category Westwood Trust provides limited custodial services for a minimal or no fee, viewing these assets as potentially converting to fee-generating managed assets in the future.</w:t>
      </w:r>
    </w:p>
    <w:p>
      <w:pPr>
        <w:ind w:left="380" w:right="540" w:hanging="248"/>
        <w:spacing w:after="0" w:line="277"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Mutual Funds include the Westwood Funds®, a family of mutual funds for which Westwood Management or Salient Advisors serves as advisor. These funds are available to individual investors, institutional investors and wealth management accounts.</w:t>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Roll-Forward of Assets Under Management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260" w:type="dxa"/>
            <w:vAlign w:val="bottom"/>
          </w:tcPr>
          <w:p>
            <w:pPr>
              <w:spacing w:after="0"/>
              <w:rPr>
                <w:sz w:val="10"/>
                <w:szCs w:val="10"/>
                <w:color w:val="auto"/>
              </w:rPr>
            </w:pPr>
          </w:p>
        </w:tc>
        <w:tc>
          <w:tcPr>
            <w:tcW w:w="112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Mutual</w:t>
            </w:r>
          </w:p>
        </w:tc>
        <w:tc>
          <w:tcPr>
            <w:tcW w:w="300" w:type="dxa"/>
            <w:vAlign w:val="bottom"/>
          </w:tcPr>
          <w:p>
            <w:pPr>
              <w:spacing w:after="0"/>
              <w:rPr>
                <w:sz w:val="10"/>
                <w:szCs w:val="10"/>
                <w:color w:val="auto"/>
              </w:rPr>
            </w:pPr>
          </w:p>
        </w:tc>
        <w:tc>
          <w:tcPr>
            <w:tcW w:w="1000" w:type="dxa"/>
            <w:vAlign w:val="bottom"/>
            <w:vMerge w:val="restart"/>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Funds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The increase in AUM for the year ended December 31, 2024 was due to market appreciation of $1.9 billion offset by net outflows of $0.8 billion. Net outflows were primarily related to our LargeCap Value and SmallCap Value strategies.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7"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rPr>
              <w:t>Mutual</w:t>
            </w:r>
          </w:p>
        </w:tc>
        <w:tc>
          <w:tcPr>
            <w:tcW w:w="300" w:type="dxa"/>
            <w:vAlign w:val="bottom"/>
          </w:tcPr>
          <w:p>
            <w:pPr>
              <w:spacing w:after="0"/>
              <w:rPr>
                <w:sz w:val="10"/>
                <w:szCs w:val="10"/>
                <w:color w:val="auto"/>
              </w:rPr>
            </w:pPr>
          </w:p>
        </w:tc>
        <w:tc>
          <w:tcPr>
            <w:tcW w:w="1000" w:type="dxa"/>
            <w:vAlign w:val="bottom"/>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Funds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14,779</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(2,898)</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Certain assets under management acquired from Salient were reclassified from Mutual Funds to Institutional as of December 31, 2022 to be consistent with the classification of existing assets.</w:t>
      </w:r>
    </w:p>
    <w:p>
      <w:pPr>
        <w:spacing w:after="0" w:line="122"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increase in AUM for the year ended December 31, 2023 was due to market appreciation of $2.0 billion offset by net outflows of $1.3 billion. Net outflows were primarily related to our Income Opportunity, MLP &amp; Energy Infrastructure, LargeCap Value and SmallCap Value strategies.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rPr>
              <w:t>Mutual</w:t>
            </w:r>
          </w:p>
        </w:tc>
        <w:tc>
          <w:tcPr>
            <w:tcW w:w="300" w:type="dxa"/>
            <w:vAlign w:val="bottom"/>
          </w:tcPr>
          <w:p>
            <w:pPr>
              <w:spacing w:after="0"/>
              <w:rPr>
                <w:sz w:val="10"/>
                <w:szCs w:val="10"/>
                <w:color w:val="auto"/>
              </w:rPr>
            </w:pPr>
          </w:p>
        </w:tc>
        <w:tc>
          <w:tcPr>
            <w:tcW w:w="1000" w:type="dxa"/>
            <w:vAlign w:val="bottom"/>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Funds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(2,441)</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Salient acquisition</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2,661</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The increase in AUM for the year ended December 31, 2022 was due to $2.7 billion of AUM from the Salient Acquisition partially offset by market depreciation of $1.5 billion and net outflows of $0.9 billion. Net outflows were primarily related to our LargeCap Value, Income Opportunity and Enhanced Balanced strategies.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Roll-Forward of Assets Under Advisement</w:t>
      </w:r>
    </w:p>
    <w:p>
      <w:pPr>
        <w:spacing w:after="0" w:line="96"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AUA has historically been disclosed in aggregate due to its relative insignificance to our business. Following our November 2022 acquisition of Salient's asset management business, AUA becane a more meaningful component of our business and accordingly, we will present AUA details from the year ended December 31, 2023 going forward: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200" w:type="dxa"/>
            <w:vAlign w:val="bottom"/>
            <w:tcBorders>
              <w:bottom w:val="single" w:sz="8" w:color="auto"/>
            </w:tcBorders>
          </w:tcPr>
          <w:p>
            <w:pPr>
              <w:spacing w:after="0"/>
              <w:rPr>
                <w:sz w:val="14"/>
                <w:szCs w:val="14"/>
                <w:color w:val="auto"/>
              </w:rPr>
            </w:pPr>
          </w:p>
        </w:tc>
      </w:tr>
      <w:tr>
        <w:trPr>
          <w:trHeight w:val="16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AUA (in millions)</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68"/>
        </w:trPr>
        <w:tc>
          <w:tcPr>
            <w:tcW w:w="7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Inflows</w:t>
            </w:r>
          </w:p>
        </w:tc>
        <w:tc>
          <w:tcPr>
            <w:tcW w:w="4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Outflows</w:t>
            </w: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5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client flows</w:t>
            </w:r>
          </w:p>
        </w:tc>
        <w:tc>
          <w:tcPr>
            <w:tcW w:w="4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72"/>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8"/>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change</w:t>
            </w: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8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 of period assets</w:t>
            </w:r>
          </w:p>
        </w:tc>
        <w:tc>
          <w:tcPr>
            <w:tcW w:w="46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30" w:name="page31"/>
    <w:bookmarkEnd w:id="30"/>
    <w:p>
      <w:pPr>
        <w:ind w:right="6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and discussion of our results of operations is based upon data derived from our Consolidated Statements of Operations contained in our Consolidated Financial Statements and should be read in conjunction with these statements included elsewhere in this Report.</w:t>
      </w: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7"/>
              </w:rPr>
              <w:t>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7"/>
              </w:rPr>
              <w:t>(in thousands, except percentages)</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8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Advisory fees: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Asset-based</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46,685</w:t>
            </w:r>
          </w:p>
        </w:tc>
        <w:tc>
          <w:tcPr>
            <w:tcW w:w="0" w:type="dxa"/>
            <w:vAlign w:val="bottom"/>
          </w:tcPr>
          <w:p>
            <w:pPr>
              <w:spacing w:after="0"/>
              <w:rPr>
                <w:sz w:val="1"/>
                <w:szCs w:val="1"/>
                <w:color w:val="auto"/>
              </w:rPr>
            </w:pPr>
          </w:p>
        </w:tc>
      </w:tr>
      <w:tr>
        <w:trPr>
          <w:trHeight w:val="180"/>
        </w:trPr>
        <w:tc>
          <w:tcPr>
            <w:tcW w:w="4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Performance-based</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Trust fees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 performance-based fees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NM</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revenues, net</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0" w:type="dxa"/>
            <w:vAlign w:val="bottom"/>
          </w:tcPr>
          <w:p>
            <w:pPr>
              <w:spacing w:after="0"/>
              <w:rPr>
                <w:sz w:val="1"/>
                <w:szCs w:val="1"/>
                <w:color w:val="auto"/>
              </w:rPr>
            </w:pPr>
          </w:p>
        </w:tc>
      </w:tr>
      <w:tr>
        <w:trPr>
          <w:trHeight w:val="168"/>
        </w:trPr>
        <w:tc>
          <w:tcPr>
            <w:tcW w:w="4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68,681</w:t>
            </w: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40,124</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Westwood mutual funds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Information technology</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7,719</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Professional services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9,057</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9"/>
              </w:rPr>
              <w:t>(276)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NM</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expenses</w:t>
            </w:r>
          </w:p>
        </w:tc>
        <w:tc>
          <w:tcPr>
            <w:tcW w:w="7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NM</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c>
          <w:tcPr>
            <w:tcW w:w="0" w:type="dxa"/>
            <w:vAlign w:val="bottom"/>
          </w:tcPr>
          <w:p>
            <w:pPr>
              <w:spacing w:after="0"/>
              <w:rPr>
                <w:sz w:val="1"/>
                <w:szCs w:val="1"/>
                <w:color w:val="auto"/>
              </w:rPr>
            </w:pPr>
          </w:p>
        </w:tc>
      </w:tr>
      <w:tr>
        <w:trPr>
          <w:trHeight w:val="168"/>
        </w:trPr>
        <w:tc>
          <w:tcPr>
            <w:tcW w:w="4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Total expenses</w:t>
            </w:r>
          </w:p>
        </w:tc>
        <w:tc>
          <w:tcPr>
            <w:tcW w:w="7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93,891</w:t>
            </w: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83,776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73,554</w:t>
            </w: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 (loss)</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(4,873)</w:t>
            </w:r>
          </w:p>
        </w:tc>
        <w:tc>
          <w:tcPr>
            <w:tcW w:w="0" w:type="dxa"/>
            <w:vAlign w:val="bottom"/>
          </w:tcPr>
          <w:p>
            <w:pPr>
              <w:spacing w:after="0"/>
              <w:rPr>
                <w:sz w:val="1"/>
                <w:szCs w:val="1"/>
                <w:color w:val="auto"/>
              </w:rPr>
            </w:pPr>
          </w:p>
        </w:tc>
      </w:tr>
      <w:tr>
        <w:trPr>
          <w:trHeight w:val="168"/>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5"/>
              </w:rPr>
              <w:t>NM</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investment income</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Income (loss) attributable to noncontrolling interest</w:t>
            </w:r>
          </w:p>
        </w:tc>
        <w:tc>
          <w:tcPr>
            <w:tcW w:w="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920" w:type="dxa"/>
            <w:vAlign w:val="bottom"/>
            <w:tcBorders>
              <w:top w:val="single" w:sz="8" w:color="CCEEFF"/>
              <w:bottom w:val="single" w:sz="8" w:color="CCEEFF"/>
            </w:tcBorders>
            <w:vMerge w:val="continue"/>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7"/>
              </w:rPr>
              <w:t>(100)%</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680"/>
              <w:spacing w:after="0" w:line="139" w:lineRule="exact"/>
              <w:rPr>
                <w:sz w:val="20"/>
                <w:szCs w:val="20"/>
                <w:color w:val="auto"/>
              </w:rPr>
            </w:pPr>
            <w:r>
              <w:rPr>
                <w:rFonts w:ascii="Times New Roman" w:cs="Times New Roman" w:eastAsia="Times New Roman" w:hAnsi="Times New Roman"/>
                <w:sz w:val="13"/>
                <w:szCs w:val="13"/>
                <w:color w:val="auto"/>
                <w:w w:val="95"/>
              </w:rPr>
              <w:t>NM</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attributable to Westwood Holdings Group, Inc.</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-94615</wp:posOffset>
            </wp:positionV>
            <wp:extent cx="40220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2090" cy="6985"/>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Year Ended December 31, 2024 Compared to Year Ended December 31, 2023</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Total Revenues. </w:t>
      </w:r>
      <w:r>
        <w:rPr>
          <w:rFonts w:ascii="Times New Roman" w:cs="Times New Roman" w:eastAsia="Times New Roman" w:hAnsi="Times New Roman"/>
          <w:sz w:val="14"/>
          <w:szCs w:val="14"/>
          <w:color w:val="auto"/>
        </w:rPr>
        <w:t>Total revenues increased $4.9 million, or 6%, to $94.7 million compared to $89.8 million for 2023. The increase was attributable to higher average assets under management.</w:t>
      </w:r>
    </w:p>
    <w:p>
      <w:pPr>
        <w:spacing w:after="0" w:line="9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Employee Compensation and Benefits. </w:t>
      </w:r>
      <w:r>
        <w:rPr>
          <w:rFonts w:ascii="Times New Roman" w:cs="Times New Roman" w:eastAsia="Times New Roman" w:hAnsi="Times New Roman"/>
          <w:sz w:val="14"/>
          <w:szCs w:val="14"/>
          <w:color w:val="auto"/>
        </w:rPr>
        <w:t>Employee compensation and benefits expenses increased primarily due to higher performance-related incentive compensation following increased AUM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and additional headcount.</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(Gain) loss from change in fair value of contingent consideration. </w:t>
      </w:r>
      <w:r>
        <w:rPr>
          <w:rFonts w:ascii="Times New Roman" w:cs="Times New Roman" w:eastAsia="Times New Roman" w:hAnsi="Times New Roman"/>
          <w:sz w:val="14"/>
          <w:szCs w:val="14"/>
          <w:color w:val="auto"/>
        </w:rPr>
        <w:t>We recorded a loss of $4.9 million upon the</w:t>
      </w:r>
    </w:p>
    <w:p>
      <w:pPr>
        <w:spacing w:after="0" w:line="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remeasurement of contingent consideration, payable in the first quarter of 2025 for the Salient Acquisition primarily, due to positive changes in growth projections following asset appreciation and asset flows in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1" w:name="page32"/>
    <w:bookmarkEnd w:id="31"/>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effective tax rate was 44.9% for 2024 compared to 23.2% for 2023. Our income tax rate differed from the 21% statutory tax rate due to permanent differences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book and tax restricted stock expense based on a decrease in our stock price between the restricted stock grant and vesting date, along with the impact of state and local taxes.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Year Ended December 31, 2023 Compared to Year Ended December 31, 2022</w:t>
      </w:r>
    </w:p>
    <w:p>
      <w:pPr>
        <w:spacing w:after="0" w:line="94" w:lineRule="exact"/>
        <w:rPr>
          <w:sz w:val="20"/>
          <w:szCs w:val="20"/>
          <w:color w:val="auto"/>
        </w:rPr>
      </w:pPr>
    </w:p>
    <w:p>
      <w:pPr>
        <w:ind w:right="1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Total Revenues. </w:t>
      </w:r>
      <w:r>
        <w:rPr>
          <w:rFonts w:ascii="Times New Roman" w:cs="Times New Roman" w:eastAsia="Times New Roman" w:hAnsi="Times New Roman"/>
          <w:sz w:val="14"/>
          <w:szCs w:val="14"/>
          <w:color w:val="auto"/>
        </w:rPr>
        <w:t>Total revenues increased $21.1 million, or 31%, to $89.8 million compared with $68.7 million for 2022. The increase was attributable to higher average assets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following our acquisition of Salient Partners' asset management business during the fourth quarter of 2022, partially offset by a $1.4 million decrease in Trust fees due to lower average AUM.</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Employee Compensation and Benefits. </w:t>
      </w:r>
      <w:r>
        <w:rPr>
          <w:rFonts w:ascii="Times New Roman" w:cs="Times New Roman" w:eastAsia="Times New Roman" w:hAnsi="Times New Roman"/>
          <w:sz w:val="14"/>
          <w:szCs w:val="14"/>
          <w:color w:val="auto"/>
        </w:rPr>
        <w:t>Employee compensation and benefits expenses increased due to additional headcount resulting from the Salient Acquisition.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Sales and marketing expenses increased due to higher product placement fees for certain Salient funds.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Westwood Mutual Funds. </w:t>
      </w:r>
      <w:r>
        <w:rPr>
          <w:rFonts w:ascii="Times New Roman" w:cs="Times New Roman" w:eastAsia="Times New Roman" w:hAnsi="Times New Roman"/>
          <w:sz w:val="14"/>
          <w:szCs w:val="14"/>
          <w:color w:val="auto"/>
        </w:rPr>
        <w:t>Westwood mutual funds expenses increased primarily due to an increase in mutual fund placement fees for certain mutual funds acquired in the Salient Acquisition.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Information Technology. </w:t>
      </w:r>
      <w:r>
        <w:rPr>
          <w:rFonts w:ascii="Times New Roman" w:cs="Times New Roman" w:eastAsia="Times New Roman" w:hAnsi="Times New Roman"/>
          <w:sz w:val="14"/>
          <w:szCs w:val="14"/>
          <w:color w:val="auto"/>
        </w:rPr>
        <w:t>Information technology costs increased primarily due to additional software licenses and investment research expenses.</w:t>
      </w:r>
    </w:p>
    <w:p>
      <w:pPr>
        <w:spacing w:after="0" w:line="94" w:lineRule="exact"/>
        <w:rPr>
          <w:sz w:val="20"/>
          <w:szCs w:val="20"/>
          <w:color w:val="auto"/>
        </w:rPr>
      </w:pPr>
    </w:p>
    <w:p>
      <w:pPr>
        <w:ind w:right="2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increased 38% to $12.5 million compared to $9.1 million in 2022 primarily due to increased intangible asset amortization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the Salient Acquisition.</w:t>
      </w:r>
    </w:p>
    <w:p>
      <w:pPr>
        <w:spacing w:after="0" w:line="35" w:lineRule="exact"/>
        <w:rPr>
          <w:sz w:val="20"/>
          <w:szCs w:val="20"/>
          <w:color w:val="auto"/>
        </w:rPr>
      </w:pPr>
    </w:p>
    <w:p>
      <w:pPr>
        <w:ind w:right="10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(Gain) loss from change in fair value of contingent consideration. </w:t>
      </w:r>
      <w:r>
        <w:rPr>
          <w:rFonts w:ascii="Times New Roman" w:cs="Times New Roman" w:eastAsia="Times New Roman" w:hAnsi="Times New Roman"/>
          <w:sz w:val="14"/>
          <w:szCs w:val="14"/>
          <w:color w:val="auto"/>
        </w:rPr>
        <w:t>We recorded a gain of $2.8 million upon the remeasurement of contingent consideration of the Salient Acquisition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changes in growth projections and volatility assumptions.</w:t>
      </w:r>
    </w:p>
    <w:p>
      <w:pPr>
        <w:spacing w:after="0" w:line="35"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change in unrealized appreciation (depreciation) on private investments. </w:t>
      </w:r>
      <w:r>
        <w:rPr>
          <w:rFonts w:ascii="Times New Roman" w:cs="Times New Roman" w:eastAsia="Times New Roman" w:hAnsi="Times New Roman"/>
          <w:sz w:val="14"/>
          <w:szCs w:val="14"/>
          <w:color w:val="auto"/>
        </w:rPr>
        <w:t>In 2022 we recorded a $1.6 million net change in unrealized depreciation to reflect a market transaction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previous investment in Charis.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We recorded life insurance proceeds of $5.0 million in 2023.</w:t>
      </w:r>
    </w:p>
    <w:p>
      <w:pPr>
        <w:spacing w:after="0" w:line="94"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effective tax rate was 23.2% for 2023 compared to 10.9% for 2022. Our income tax rate differed from the 21% statutory tax rate due to permanent differences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book and tax restricted stock expense based on a decrease in our stock price between the restricted stock grant and vesting date, along with the impact of state and local taxes.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Financial Information</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As supplemental information, we are providing non-GAAP performance measures that we refer to as Economic Earnings and Economic EPS. We provide these measures in addition to, not as a substitute for, Income (loss) attributable to Westwood Holdings Group, Inc. and earnings (loss) per share, which are reported on a GAAP basis. Our management and Board review Economic Earnings and Economic EPS to evaluate our ongoing performance, allocate resources, and review our dividend policy. We believe that these non-GAAP performance measures, while not substitutes for GAAP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define Economic Earnings as Income (loss) attributable to Westwood Holdings Group, Inc.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61"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our Economic Earnings decreased by 62% to $7.0 million compared with $18.3 million for the year ended December 31, 2023. 2024 Economic Earnings was impacted by higher revenues offset by losses from changes in the fair value of contingent consideration.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2" w:name="page33"/>
    <w:bookmarkEnd w:id="32"/>
    <w:p>
      <w:pPr>
        <w:ind w:left="380"/>
        <w:spacing w:after="0"/>
        <w:rPr>
          <w:sz w:val="20"/>
          <w:szCs w:val="20"/>
          <w:color w:val="auto"/>
        </w:rPr>
      </w:pPr>
      <w:r>
        <w:rPr>
          <w:rFonts w:ascii="Times New Roman" w:cs="Times New Roman" w:eastAsia="Times New Roman" w:hAnsi="Times New Roman"/>
          <w:sz w:val="14"/>
          <w:szCs w:val="14"/>
          <w:color w:val="auto"/>
        </w:rPr>
        <w:t>The following table provides a reconciliation of Income (loss) attributable to Westwood Holdings Group, Inc. to Economic Earnings:</w:t>
      </w:r>
    </w:p>
    <w:p>
      <w:pPr>
        <w:sectPr>
          <w:pgSz w:w="11900" w:h="16838" w:orient="portrait"/>
          <w:cols w:equalWidth="0" w:num="1">
            <w:col w:w="11280"/>
          </w:cols>
          <w:pgMar w:left="300" w:top="814" w:right="319" w:bottom="1440" w:gutter="0" w:footer="0" w:header="0"/>
        </w:sect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(loss) attributable to Westwood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Holdings Group, Inc.</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Impairment expense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Intangible amortization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reclassification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Tax benefit from goodwill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spacing w:after="0" w:line="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 except percentages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10795</wp:posOffset>
            </wp:positionV>
            <wp:extent cx="59220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2201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6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233"/>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2,215</w:t>
            </w:r>
          </w:p>
        </w:tc>
        <w:tc>
          <w:tcPr>
            <w:tcW w:w="1260" w:type="dxa"/>
            <w:vAlign w:val="bottom"/>
            <w:gridSpan w:val="3"/>
          </w:tcPr>
          <w:p>
            <w:pPr>
              <w:ind w:left="640"/>
              <w:spacing w:after="0" w:line="233" w:lineRule="exact"/>
              <w:rPr>
                <w:sz w:val="20"/>
                <w:szCs w:val="20"/>
                <w:color w:val="auto"/>
              </w:rPr>
            </w:pPr>
            <w:r>
              <w:rPr>
                <w:rFonts w:ascii="Times New Roman" w:cs="Times New Roman" w:eastAsia="Times New Roman" w:hAnsi="Times New Roman"/>
                <w:sz w:val="11"/>
                <w:szCs w:val="11"/>
                <w:color w:val="auto"/>
              </w:rPr>
              <w:t xml:space="preserve">(77)%  </w:t>
            </w:r>
            <w:r>
              <w:rPr>
                <w:rFonts w:ascii="Times New Roman" w:cs="Times New Roman" w:eastAsia="Times New Roman" w:hAnsi="Times New Roman"/>
                <w:sz w:val="22"/>
                <w:szCs w:val="22"/>
                <w:color w:val="auto"/>
                <w:vertAlign w:val="super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9,520</w:t>
            </w:r>
          </w:p>
        </w:tc>
        <w:tc>
          <w:tcPr>
            <w:tcW w:w="1340" w:type="dxa"/>
            <w:vAlign w:val="bottom"/>
            <w:gridSpan w:val="4"/>
          </w:tcPr>
          <w:p>
            <w:pPr>
              <w:jc w:val="right"/>
              <w:ind w:right="140"/>
              <w:spacing w:after="0" w:line="233" w:lineRule="exact"/>
              <w:rPr>
                <w:sz w:val="20"/>
                <w:szCs w:val="20"/>
                <w:color w:val="auto"/>
              </w:rPr>
            </w:pPr>
            <w:r>
              <w:rPr>
                <w:rFonts w:ascii="Times New Roman" w:cs="Times New Roman" w:eastAsia="Times New Roman" w:hAnsi="Times New Roman"/>
                <w:sz w:val="11"/>
                <w:szCs w:val="11"/>
                <w:color w:val="auto"/>
              </w:rPr>
              <w:t xml:space="preserve">(306)%  </w:t>
            </w:r>
            <w:r>
              <w:rPr>
                <w:rFonts w:ascii="Times New Roman" w:cs="Times New Roman" w:eastAsia="Times New Roman" w:hAnsi="Times New Roman"/>
                <w:sz w:val="22"/>
                <w:szCs w:val="22"/>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1340" w:type="dxa"/>
            <w:vAlign w:val="bottom"/>
            <w:gridSpan w:val="4"/>
          </w:tcPr>
          <w:p>
            <w:pPr>
              <w:jc w:val="right"/>
              <w:ind w:right="160"/>
              <w:spacing w:after="0" w:line="233" w:lineRule="exact"/>
              <w:rPr>
                <w:sz w:val="20"/>
                <w:szCs w:val="20"/>
                <w:color w:val="auto"/>
              </w:rPr>
            </w:pPr>
            <w:r>
              <w:rPr>
                <w:rFonts w:ascii="Times New Roman" w:cs="Times New Roman" w:eastAsia="Times New Roman" w:hAnsi="Times New Roman"/>
                <w:sz w:val="11"/>
                <w:szCs w:val="11"/>
                <w:color w:val="auto"/>
              </w:rPr>
              <w:t xml:space="preserve">(147)%  </w:t>
            </w:r>
            <w:r>
              <w:rPr>
                <w:rFonts w:ascii="Times New Roman" w:cs="Times New Roman" w:eastAsia="Times New Roman" w:hAnsi="Times New Roman"/>
                <w:sz w:val="22"/>
                <w:szCs w:val="22"/>
                <w:color w:val="auto"/>
                <w:vertAlign w:val="super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9,763</w:t>
            </w:r>
          </w:p>
        </w:tc>
        <w:tc>
          <w:tcPr>
            <w:tcW w:w="1340" w:type="dxa"/>
            <w:vAlign w:val="bottom"/>
            <w:gridSpan w:val="4"/>
          </w:tcPr>
          <w:p>
            <w:pPr>
              <w:jc w:val="right"/>
              <w:ind w:right="140"/>
              <w:spacing w:after="0" w:line="233" w:lineRule="exact"/>
              <w:rPr>
                <w:sz w:val="20"/>
                <w:szCs w:val="20"/>
                <w:color w:val="auto"/>
              </w:rPr>
            </w:pPr>
            <w:r>
              <w:rPr>
                <w:rFonts w:ascii="Times New Roman" w:cs="Times New Roman" w:eastAsia="Times New Roman" w:hAnsi="Times New Roman"/>
                <w:sz w:val="11"/>
                <w:szCs w:val="11"/>
                <w:color w:val="auto"/>
              </w:rPr>
              <w:t xml:space="preserve">(209)%  </w:t>
            </w:r>
            <w:r>
              <w:rPr>
                <w:rFonts w:ascii="Times New Roman" w:cs="Times New Roman" w:eastAsia="Times New Roman" w:hAnsi="Times New Roman"/>
                <w:sz w:val="22"/>
                <w:szCs w:val="22"/>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(8,947)</w:t>
            </w: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5,537</w:t>
            </w:r>
          </w:p>
        </w:tc>
        <w:tc>
          <w:tcPr>
            <w:tcW w:w="940" w:type="dxa"/>
            <w:vAlign w:val="bottom"/>
            <w:vMerge w:val="restart"/>
          </w:tcPr>
          <w:p>
            <w:pPr>
              <w:ind w:left="640"/>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6,001</w:t>
            </w: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5,834</w:t>
            </w: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6,701</w:t>
            </w:r>
          </w:p>
        </w:tc>
        <w:tc>
          <w:tcPr>
            <w:tcW w:w="0" w:type="dxa"/>
            <w:vAlign w:val="bottom"/>
          </w:tcPr>
          <w:p>
            <w:pPr>
              <w:spacing w:after="0"/>
              <w:rPr>
                <w:sz w:val="1"/>
                <w:szCs w:val="1"/>
                <w:color w:val="auto"/>
              </w:rPr>
            </w:pPr>
          </w:p>
        </w:tc>
      </w:tr>
      <w:tr>
        <w:trPr>
          <w:trHeight w:val="152"/>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3"/>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color w:val="auto"/>
              </w:rPr>
              <w:t>NM</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NM</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NM</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0" w:type="dxa"/>
            <w:vAlign w:val="bottom"/>
          </w:tcPr>
          <w:p>
            <w:pPr>
              <w:spacing w:after="0"/>
              <w:rPr>
                <w:sz w:val="1"/>
                <w:szCs w:val="1"/>
                <w:color w:val="auto"/>
              </w:rPr>
            </w:pPr>
          </w:p>
        </w:tc>
      </w:tr>
      <w:tr>
        <w:trPr>
          <w:trHeight w:val="159"/>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4,148</w:t>
            </w: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4,149</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1,889</w:t>
            </w:r>
          </w:p>
        </w:tc>
        <w:tc>
          <w:tcPr>
            <w:tcW w:w="10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0" w:type="dxa"/>
            <w:vAlign w:val="bottom"/>
          </w:tcPr>
          <w:p>
            <w:pPr>
              <w:spacing w:after="0"/>
              <w:rPr>
                <w:sz w:val="1"/>
                <w:szCs w:val="1"/>
                <w:color w:val="auto"/>
              </w:rPr>
            </w:pPr>
          </w:p>
        </w:tc>
      </w:tr>
      <w:tr>
        <w:trPr>
          <w:trHeight w:val="265"/>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3"/>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3"/>
                <w:szCs w:val="23"/>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color w:val="auto"/>
              </w:rPr>
              <w:t>NM</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NM</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3"/>
                <w:szCs w:val="23"/>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NM</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4,169</w:t>
            </w:r>
          </w:p>
        </w:tc>
        <w:tc>
          <w:tcPr>
            <w:tcW w:w="0" w:type="dxa"/>
            <w:vAlign w:val="bottom"/>
          </w:tcPr>
          <w:p>
            <w:pPr>
              <w:spacing w:after="0"/>
              <w:rPr>
                <w:sz w:val="1"/>
                <w:szCs w:val="1"/>
                <w:color w:val="auto"/>
              </w:rPr>
            </w:pPr>
          </w:p>
        </w:tc>
      </w:tr>
      <w:tr>
        <w:trPr>
          <w:trHeight w:val="265"/>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340</w:t>
            </w:r>
          </w:p>
        </w:tc>
        <w:tc>
          <w:tcPr>
            <w:tcW w:w="94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10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23"/>
                <w:szCs w:val="23"/>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0" w:type="dxa"/>
            <w:vAlign w:val="bottom"/>
          </w:tcPr>
          <w:p>
            <w:pPr>
              <w:spacing w:after="0"/>
              <w:rPr>
                <w:sz w:val="1"/>
                <w:szCs w:val="1"/>
                <w:color w:val="auto"/>
              </w:rPr>
            </w:pPr>
          </w:p>
        </w:tc>
      </w:tr>
      <w:tr>
        <w:trPr>
          <w:trHeight w:val="265"/>
        </w:trPr>
        <w:tc>
          <w:tcPr>
            <w:tcW w:w="6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(5,275)</w:t>
            </w: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2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-694690</wp:posOffset>
            </wp:positionV>
            <wp:extent cx="7161530" cy="100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-492760</wp:posOffset>
            </wp:positionV>
            <wp:extent cx="716153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-155575</wp:posOffset>
            </wp:positionV>
            <wp:extent cx="7161530" cy="168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-977900</wp:posOffset>
            </wp:positionV>
            <wp:extent cx="7161530" cy="181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2020" w:space="300"/>
            <w:col w:w="8960"/>
          </w:cols>
          <w:pgMar w:left="30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6,965</w:t>
            </w: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(62)%</w:t>
            </w: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18,342</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589 %</w:t>
            </w: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2,663</w:t>
            </w: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(82)%</w:t>
            </w: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15,149</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48 %</w:t>
            </w: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10,206</w:t>
            </w: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2"/>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 per Share</w:t>
            </w: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0.82</w:t>
            </w:r>
          </w:p>
        </w:tc>
        <w:tc>
          <w:tcPr>
            <w:tcW w:w="11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(64)%</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402 %</w:t>
            </w: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0.45</w:t>
            </w:r>
          </w:p>
        </w:tc>
        <w:tc>
          <w:tcPr>
            <w:tcW w:w="11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(80)%</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142 %</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0.91</w:t>
            </w:r>
          </w:p>
        </w:tc>
      </w:tr>
    </w:tbl>
    <w:p>
      <w:pPr>
        <w:spacing w:after="0" w:line="3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provide Economic Earnings by segment:</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ind w:left="5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6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Advisory net income</w:t>
            </w:r>
          </w:p>
        </w:tc>
        <w:tc>
          <w:tcPr>
            <w:tcW w:w="58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17,653</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30 %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11,010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781 %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3,762</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4,456</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3,847</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3,347</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3,199</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expense</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0" w:type="dxa"/>
            <w:vAlign w:val="bottom"/>
          </w:tcPr>
          <w:p>
            <w:pPr>
              <w:spacing w:after="0"/>
              <w:rPr>
                <w:sz w:val="1"/>
                <w:szCs w:val="1"/>
                <w:color w:val="auto"/>
              </w:rPr>
            </w:pPr>
          </w:p>
        </w:tc>
      </w:tr>
      <w:tr>
        <w:trPr>
          <w:trHeight w:val="153"/>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58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2,665</w:t>
            </w:r>
          </w:p>
        </w:tc>
        <w:tc>
          <w:tcPr>
            <w:tcW w:w="80" w:type="dxa"/>
            <w:vAlign w:val="bottom"/>
          </w:tcPr>
          <w:p>
            <w:pPr>
              <w:spacing w:after="0"/>
              <w:rPr>
                <w:sz w:val="13"/>
                <w:szCs w:val="13"/>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2,674</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633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365</w:t>
            </w:r>
          </w:p>
        </w:tc>
        <w:tc>
          <w:tcPr>
            <w:tcW w:w="10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Tax benefit from goodwill</w:t>
            </w:r>
          </w:p>
        </w:tc>
        <w:tc>
          <w:tcPr>
            <w:tcW w:w="5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58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9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5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(3,865)</w:t>
            </w:r>
          </w:p>
        </w:tc>
        <w:tc>
          <w:tcPr>
            <w:tcW w:w="10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10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3,495</w:t>
            </w:r>
          </w:p>
        </w:tc>
        <w:tc>
          <w:tcPr>
            <w:tcW w:w="0" w:type="dxa"/>
            <w:vAlign w:val="bottom"/>
          </w:tcPr>
          <w:p>
            <w:pPr>
              <w:spacing w:after="0"/>
              <w:rPr>
                <w:sz w:val="1"/>
                <w:szCs w:val="1"/>
                <w:color w:val="auto"/>
              </w:rPr>
            </w:pPr>
          </w:p>
        </w:tc>
      </w:tr>
      <w:tr>
        <w:trPr>
          <w:trHeight w:val="153"/>
        </w:trPr>
        <w:tc>
          <w:tcPr>
            <w:tcW w:w="1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CCEEFF"/>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CCEEFF"/>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58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20,684</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18,573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11,423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33" w:name="page34"/>
    <w:bookmarkEnd w:id="33"/>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Trust net income</w:t>
            </w:r>
          </w:p>
        </w:tc>
        <w:tc>
          <w:tcPr>
            <w:tcW w:w="62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2,756</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89 %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ind w:left="720"/>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74</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326</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471</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743</w:t>
            </w: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1,027</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0" w:type="dxa"/>
            <w:vAlign w:val="bottom"/>
          </w:tcPr>
          <w:p>
            <w:pPr>
              <w:spacing w:after="0"/>
              <w:rPr>
                <w:sz w:val="1"/>
                <w:szCs w:val="1"/>
                <w:color w:val="auto"/>
              </w:rPr>
            </w:pPr>
          </w:p>
        </w:tc>
      </w:tr>
      <w:tr>
        <w:trPr>
          <w:trHeight w:val="110"/>
        </w:trPr>
        <w:tc>
          <w:tcPr>
            <w:tcW w:w="196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Tax benefit from goodwill</w:t>
            </w:r>
          </w:p>
        </w:tc>
        <w:tc>
          <w:tcPr>
            <w:tcW w:w="620" w:type="dxa"/>
            <w:vAlign w:val="bottom"/>
          </w:tcPr>
          <w:p>
            <w:pPr>
              <w:spacing w:after="0"/>
              <w:rPr>
                <w:sz w:val="9"/>
                <w:szCs w:val="9"/>
                <w:color w:val="auto"/>
              </w:rPr>
            </w:pP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236</w:t>
            </w:r>
          </w:p>
        </w:tc>
        <w:tc>
          <w:tcPr>
            <w:tcW w:w="1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Pr>
          <w:p>
            <w:pPr>
              <w:spacing w:after="0"/>
              <w:rPr>
                <w:sz w:val="9"/>
                <w:szCs w:val="9"/>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9"/>
                <w:szCs w:val="9"/>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0" w:type="dxa"/>
            <w:vAlign w:val="bottom"/>
          </w:tcPr>
          <w:p>
            <w:pPr>
              <w:spacing w:after="0"/>
              <w:rPr>
                <w:sz w:val="1"/>
                <w:szCs w:val="1"/>
                <w:color w:val="auto"/>
              </w:rPr>
            </w:pPr>
          </w:p>
        </w:tc>
      </w:tr>
      <w:tr>
        <w:trPr>
          <w:trHeight w:val="151"/>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6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960" w:type="dxa"/>
            <w:vAlign w:val="bottom"/>
            <w:shd w:val="clear" w:color="auto" w:fill="CCEEFF"/>
          </w:tcPr>
          <w:p>
            <w:pPr>
              <w:ind w:left="180"/>
              <w:spacing w:after="0" w:line="114"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6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0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10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2,274</w:t>
            </w:r>
          </w:p>
        </w:tc>
        <w:tc>
          <w:tcPr>
            <w:tcW w:w="0" w:type="dxa"/>
            <w:vAlign w:val="bottom"/>
          </w:tcPr>
          <w:p>
            <w:pPr>
              <w:spacing w:after="0"/>
              <w:rPr>
                <w:sz w:val="1"/>
                <w:szCs w:val="1"/>
                <w:color w:val="auto"/>
              </w:rPr>
            </w:pPr>
          </w:p>
        </w:tc>
      </w:tr>
      <w:tr>
        <w:trPr>
          <w:trHeight w:val="15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3,645</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2,307</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ind w:left="5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6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Westwood Holdings net income (loss)</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(18,194)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1020" w:type="dxa"/>
            <w:vAlign w:val="bottom"/>
            <w:tcBorders>
              <w:bottom w:val="single" w:sz="8" w:color="CCEEFF"/>
            </w:tcBorders>
            <w:gridSpan w:val="2"/>
            <w:shd w:val="clear" w:color="auto" w:fill="CCEEFF"/>
          </w:tcPr>
          <w:p>
            <w:pPr>
              <w:jc w:val="center"/>
              <w:ind w:left="64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center"/>
              <w:ind w:left="62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1,701</w:t>
            </w: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1,736</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1,683</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1,744</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2,475</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10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1020" w:type="dxa"/>
            <w:vAlign w:val="bottom"/>
            <w:gridSpan w:val="2"/>
            <w:shd w:val="clear" w:color="auto" w:fill="CCEEFF"/>
          </w:tcPr>
          <w:p>
            <w:pPr>
              <w:jc w:val="center"/>
              <w:ind w:left="62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06"/>
        </w:trPr>
        <w:tc>
          <w:tcPr>
            <w:tcW w:w="19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Currency translation adjustment</w:t>
            </w:r>
          </w:p>
        </w:tc>
        <w:tc>
          <w:tcPr>
            <w:tcW w:w="22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4,169</w:t>
            </w:r>
          </w:p>
        </w:tc>
        <w:tc>
          <w:tcPr>
            <w:tcW w:w="0" w:type="dxa"/>
            <w:vAlign w:val="bottom"/>
          </w:tcPr>
          <w:p>
            <w:pPr>
              <w:spacing w:after="0"/>
              <w:rPr>
                <w:sz w:val="1"/>
                <w:szCs w:val="1"/>
                <w:color w:val="auto"/>
              </w:rPr>
            </w:pPr>
          </w:p>
        </w:tc>
      </w:tr>
      <w:tr>
        <w:trPr>
          <w:trHeight w:val="153"/>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453</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3,743</w:t>
            </w:r>
          </w:p>
        </w:tc>
        <w:tc>
          <w:tcPr>
            <w:tcW w:w="1040" w:type="dxa"/>
            <w:vAlign w:val="bottom"/>
            <w:gridSpan w:val="2"/>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1,430</w:t>
            </w:r>
          </w:p>
        </w:tc>
        <w:tc>
          <w:tcPr>
            <w:tcW w:w="10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(2,847)</w:t>
            </w: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395 %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(3,507)</w:t>
            </w:r>
          </w:p>
        </w:tc>
        <w:tc>
          <w:tcPr>
            <w:tcW w:w="1020" w:type="dxa"/>
            <w:vAlign w:val="bottom"/>
            <w:gridSpan w:val="2"/>
          </w:tcPr>
          <w:p>
            <w:pPr>
              <w:jc w:val="center"/>
              <w:ind w:left="643"/>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(9,944)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4"/>
                <w:szCs w:val="14"/>
                <w:color w:val="auto"/>
              </w:rPr>
            </w:pPr>
          </w:p>
        </w:tc>
      </w:tr>
      <w:tr>
        <w:trPr>
          <w:trHeight w:val="16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Balance Sheet Data (in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7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20,422</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14,394</w:t>
            </w:r>
          </w:p>
        </w:tc>
      </w:tr>
      <w:tr>
        <w:trPr>
          <w:trHeight w:val="171"/>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liquid assets</w:t>
            </w: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34,816</w:t>
            </w:r>
          </w:p>
        </w:tc>
      </w:tr>
      <w:tr>
        <w:trPr>
          <w:trHeight w:val="184"/>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25,748</w:t>
            </w:r>
          </w:p>
        </w:tc>
        <w:tc>
          <w:tcPr>
            <w:tcW w:w="100" w:type="dxa"/>
            <w:vAlign w:val="bottom"/>
          </w:tcPr>
          <w:p>
            <w:pPr>
              <w:spacing w:after="0"/>
              <w:rPr>
                <w:sz w:val="16"/>
                <w:szCs w:val="16"/>
                <w:color w:val="auto"/>
              </w:rPr>
            </w:pP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32,674</w:t>
            </w:r>
          </w:p>
        </w:tc>
      </w:tr>
    </w:tbl>
    <w:p>
      <w:pPr>
        <w:spacing w:after="0" w:line="14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December 31, 2024 and 2023.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had cash and liquid investments of $44.6 million and $53.1 million as of December 31, 2024 and 2023, respectively.</w:t>
      </w:r>
    </w:p>
    <w:p>
      <w:pPr>
        <w:spacing w:after="0" w:line="94" w:lineRule="exact"/>
        <w:rPr>
          <w:sz w:val="20"/>
          <w:szCs w:val="20"/>
          <w:color w:val="auto"/>
        </w:rPr>
      </w:pPr>
    </w:p>
    <w:p>
      <w:pPr>
        <w:ind w:right="20" w:firstLine="382"/>
        <w:spacing w:after="0" w:line="286" w:lineRule="auto"/>
        <w:rPr>
          <w:sz w:val="20"/>
          <w:szCs w:val="20"/>
          <w:color w:val="auto"/>
        </w:rPr>
      </w:pPr>
      <w:r>
        <w:rPr>
          <w:rFonts w:ascii="Times New Roman" w:cs="Times New Roman" w:eastAsia="Times New Roman" w:hAnsi="Times New Roman"/>
          <w:sz w:val="14"/>
          <w:szCs w:val="14"/>
          <w:color w:val="auto"/>
        </w:rPr>
        <w:t>Westwood Trust is required by the Texas Finance Code to maintain cash and investments in an amount equal to the minimum restricted capital of $4.0 million. Restricted capital is included in "Investments at fair value" in the accompanying Consolidated Balance Sheets. At December 31, 2024, Westwood Trust had approximately $11.9 million in excess of its minimum capital requirement.</w:t>
      </w:r>
    </w:p>
    <w:tbl>
      <w:tblPr>
        <w:tblLayout w:type="fixed"/>
        <w:tblInd w:w="0" w:type="dxa"/>
        <w:tblCellMar>
          <w:top w:w="0" w:type="dxa"/>
          <w:left w:w="0" w:type="dxa"/>
          <w:bottom w:w="0" w:type="dxa"/>
          <w:right w:w="0" w:type="dxa"/>
        </w:tblCellMar>
      </w:tblPr>
      <w:tr>
        <w:trPr>
          <w:trHeight w:val="167"/>
        </w:trPr>
        <w:tc>
          <w:tcPr>
            <w:tcW w:w="7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920" w:type="dxa"/>
            <w:vAlign w:val="bottom"/>
            <w:tcBorders>
              <w:bottom w:val="single" w:sz="8" w:color="auto"/>
            </w:tcBorders>
          </w:tcPr>
          <w:p>
            <w:pPr>
              <w:spacing w:after="0"/>
              <w:rPr>
                <w:sz w:val="14"/>
                <w:szCs w:val="14"/>
                <w:color w:val="auto"/>
              </w:rPr>
            </w:pPr>
          </w:p>
        </w:tc>
      </w:tr>
      <w:tr>
        <w:trPr>
          <w:trHeight w:val="16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Cash Flow Data (in thousands)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51,490</w:t>
            </w: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cash flows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left="474"/>
              <w:spacing w:after="0"/>
              <w:rPr>
                <w:sz w:val="20"/>
                <w:szCs w:val="20"/>
                <w:color w:val="auto"/>
              </w:rPr>
            </w:pPr>
            <w:r>
              <w:rPr>
                <w:rFonts w:ascii="Times New Roman" w:cs="Times New Roman" w:eastAsia="Times New Roman" w:hAnsi="Times New Roman"/>
                <w:sz w:val="13"/>
                <w:szCs w:val="13"/>
                <w:color w:val="auto"/>
              </w:rPr>
              <w:t>4,112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(33,739)</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cash flows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3"/>
                <w:szCs w:val="13"/>
                <w:color w:val="auto"/>
              </w:rPr>
              <w:t>(6,364)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(9,103)</w:t>
            </w:r>
          </w:p>
        </w:tc>
      </w:tr>
    </w:tbl>
    <w:p>
      <w:pPr>
        <w:spacing w:after="0" w:line="134"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During 2024, cash flow provided by operating activities was $21.1 million, compared to cash used in operating activities of $1.2 million during 2023 and cash provided by operating activities of $51.5 million during 2022. The increase of $22.3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34" w:name="page35"/>
    <w:bookmarkEnd w:id="34"/>
    <w:p>
      <w:pPr>
        <w:ind w:right="340"/>
        <w:spacing w:after="0" w:line="287" w:lineRule="auto"/>
        <w:rPr>
          <w:sz w:val="20"/>
          <w:szCs w:val="20"/>
          <w:color w:val="auto"/>
        </w:rPr>
      </w:pPr>
      <w:r>
        <w:rPr>
          <w:rFonts w:ascii="Times New Roman" w:cs="Times New Roman" w:eastAsia="Times New Roman" w:hAnsi="Times New Roman"/>
          <w:sz w:val="14"/>
          <w:szCs w:val="14"/>
          <w:color w:val="auto"/>
        </w:rPr>
        <w:t>million from 2023 to 2024 primarily reflected the net sales of investments in 2024 compared to net purchases of investments in 2023. The decrease of $52.7 million from 2022 to 2023 primarily reflected net sales of investments in 2022 to fund the Salient Acquisition.</w:t>
      </w:r>
    </w:p>
    <w:p>
      <w:pPr>
        <w:spacing w:after="0" w:line="39"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Cash flow used in investing activities in 2024 primarily related to the purchases of strategic investments, compared to cash flow provided by investing activities in 2023 related to the receipt of life insurance proceeds offset by the Broadmark Acquisition. Cash flow used in investing activities in 2022 was primarily related to the Salient Acquisition.</w:t>
      </w:r>
    </w:p>
    <w:p>
      <w:pPr>
        <w:spacing w:after="0" w:line="39"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Cash used in financing activities was $18.1 million in 2024 compared to $6.4 million and $9.1 million in 2023 and 2022, respectively. The change from 2023 to 2024 related to payments for contingent consideration for the Salient Acquisition and treasury stock purchases in 2024. The change from 2022 to 2023 primarily related to treasury stock purchases in 2022.</w:t>
      </w:r>
    </w:p>
    <w:p>
      <w:pPr>
        <w:spacing w:after="0" w:line="3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liquid investment balances plus cash generated from operations will be sufficient to meet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dividends declared during 2024 and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Dividends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Paid Date</w:t>
            </w:r>
          </w:p>
        </w:tc>
        <w:tc>
          <w:tcPr>
            <w:tcW w:w="23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73"/>
        </w:trPr>
        <w:tc>
          <w:tcPr>
            <w:tcW w:w="288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4"/>
                <w:szCs w:val="14"/>
                <w:color w:val="auto"/>
                <w:w w:val="97"/>
              </w:rPr>
              <w:t xml:space="preserve">February 14, 2024 </w:t>
            </w:r>
            <w:r>
              <w:rPr>
                <w:rFonts w:ascii="Times New Roman" w:cs="Times New Roman" w:eastAsia="Times New Roman" w:hAnsi="Times New Roman"/>
                <w:sz w:val="18"/>
                <w:szCs w:val="18"/>
                <w:color w:val="auto"/>
                <w:w w:val="97"/>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 2024</w:t>
            </w:r>
          </w:p>
        </w:tc>
        <w:tc>
          <w:tcPr>
            <w:tcW w:w="8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3, 2024</w:t>
            </w:r>
          </w:p>
        </w:tc>
        <w:tc>
          <w:tcPr>
            <w:tcW w:w="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4"/>
                <w:szCs w:val="14"/>
                <w:color w:val="auto"/>
                <w:w w:val="96"/>
              </w:rPr>
              <w:t xml:space="preserve">May 1, 2024 </w:t>
            </w:r>
            <w:r>
              <w:rPr>
                <w:rFonts w:ascii="Times New Roman" w:cs="Times New Roman" w:eastAsia="Times New Roman" w:hAnsi="Times New Roman"/>
                <w:sz w:val="18"/>
                <w:szCs w:val="18"/>
                <w:color w:val="auto"/>
                <w:w w:val="96"/>
                <w:vertAlign w:val="superscript"/>
              </w:rPr>
              <w:t>(1)</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3, 2024</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1, 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8"/>
              </w:rPr>
              <w:t xml:space="preserve">July 31, 2024 </w:t>
            </w:r>
            <w:r>
              <w:rPr>
                <w:rFonts w:ascii="Times New Roman" w:cs="Times New Roman" w:eastAsia="Times New Roman" w:hAnsi="Times New Roman"/>
                <w:sz w:val="18"/>
                <w:szCs w:val="18"/>
                <w:color w:val="auto"/>
                <w:w w:val="98"/>
                <w:vertAlign w:val="superscript"/>
              </w:rPr>
              <w:t>(1)</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2, 2024</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October 1, 2024</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CCEEFF"/>
            </w:tcBorders>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7"/>
              </w:rPr>
              <w:t xml:space="preserve">October 30, 2024 </w:t>
            </w:r>
            <w:r>
              <w:rPr>
                <w:rFonts w:ascii="Times New Roman" w:cs="Times New Roman" w:eastAsia="Times New Roman" w:hAnsi="Times New Roman"/>
                <w:sz w:val="18"/>
                <w:szCs w:val="18"/>
                <w:color w:val="auto"/>
                <w:w w:val="97"/>
                <w:vertAlign w:val="superscript"/>
              </w:rPr>
              <w:t>(1)</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 2024</w:t>
            </w:r>
          </w:p>
        </w:tc>
        <w:tc>
          <w:tcPr>
            <w:tcW w:w="2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3, 2025</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2023 Dividends</w:t>
            </w: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980" w:type="dxa"/>
            <w:vAlign w:val="bottom"/>
            <w:gridSpan w:val="2"/>
            <w:vMerge w:val="continue"/>
          </w:tcPr>
          <w:p>
            <w:pPr>
              <w:spacing w:after="0"/>
              <w:rPr>
                <w:sz w:val="21"/>
                <w:szCs w:val="21"/>
                <w:color w:val="auto"/>
              </w:rPr>
            </w:pP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Paid Date</w:t>
            </w:r>
          </w:p>
        </w:tc>
        <w:tc>
          <w:tcPr>
            <w:tcW w:w="23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73"/>
        </w:trPr>
        <w:tc>
          <w:tcPr>
            <w:tcW w:w="288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4"/>
                <w:szCs w:val="14"/>
                <w:color w:val="auto"/>
                <w:w w:val="97"/>
              </w:rPr>
              <w:t xml:space="preserve">February 15, 2023 </w:t>
            </w:r>
            <w:r>
              <w:rPr>
                <w:rFonts w:ascii="Times New Roman" w:cs="Times New Roman" w:eastAsia="Times New Roman" w:hAnsi="Times New Roman"/>
                <w:sz w:val="18"/>
                <w:szCs w:val="18"/>
                <w:color w:val="auto"/>
                <w:w w:val="97"/>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 2023</w:t>
            </w:r>
          </w:p>
        </w:tc>
        <w:tc>
          <w:tcPr>
            <w:tcW w:w="8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3, 2023</w:t>
            </w:r>
          </w:p>
        </w:tc>
        <w:tc>
          <w:tcPr>
            <w:tcW w:w="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6"/>
              </w:rPr>
              <w:t xml:space="preserve">April 26, 2023 </w:t>
            </w:r>
            <w:r>
              <w:rPr>
                <w:rFonts w:ascii="Times New Roman" w:cs="Times New Roman" w:eastAsia="Times New Roman" w:hAnsi="Times New Roman"/>
                <w:sz w:val="18"/>
                <w:szCs w:val="18"/>
                <w:color w:val="auto"/>
                <w:w w:val="96"/>
                <w:vertAlign w:val="superscript"/>
              </w:rPr>
              <w:t>(1)</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 2023</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 2023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6"/>
              </w:rPr>
              <w:t xml:space="preserve">August 2, 2023 </w:t>
            </w:r>
            <w:r>
              <w:rPr>
                <w:rFonts w:ascii="Times New Roman" w:cs="Times New Roman" w:eastAsia="Times New Roman" w:hAnsi="Times New Roman"/>
                <w:sz w:val="18"/>
                <w:szCs w:val="18"/>
                <w:color w:val="auto"/>
                <w:w w:val="96"/>
                <w:vertAlign w:val="superscript"/>
              </w:rPr>
              <w:t>(1)</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1, 2023</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October 2, 2023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CCEEFF"/>
            </w:tcBorders>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7"/>
              </w:rPr>
              <w:t xml:space="preserve">October 31, 2023 </w:t>
            </w:r>
            <w:r>
              <w:rPr>
                <w:rFonts w:ascii="Times New Roman" w:cs="Times New Roman" w:eastAsia="Times New Roman" w:hAnsi="Times New Roman"/>
                <w:sz w:val="18"/>
                <w:szCs w:val="18"/>
                <w:color w:val="auto"/>
                <w:w w:val="97"/>
                <w:vertAlign w:val="superscript"/>
              </w:rPr>
              <w:t>(1)</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1, 2023</w:t>
            </w:r>
          </w:p>
        </w:tc>
        <w:tc>
          <w:tcPr>
            <w:tcW w:w="2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3, 2024</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This dividend was treated for accounting purposes as a return of capital.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commitments</w:t>
      </w:r>
    </w:p>
    <w:p>
      <w:pPr>
        <w:spacing w:after="0" w:line="94" w:lineRule="exact"/>
        <w:rPr>
          <w:sz w:val="20"/>
          <w:szCs w:val="20"/>
          <w:color w:val="auto"/>
        </w:rPr>
      </w:pPr>
    </w:p>
    <w:p>
      <w:pPr>
        <w:ind w:right="260" w:firstLine="382"/>
        <w:spacing w:after="0" w:line="286" w:lineRule="auto"/>
        <w:rPr>
          <w:sz w:val="20"/>
          <w:szCs w:val="20"/>
          <w:color w:val="auto"/>
        </w:rPr>
      </w:pPr>
      <w:r>
        <w:rPr>
          <w:rFonts w:ascii="Times New Roman" w:cs="Times New Roman" w:eastAsia="Times New Roman" w:hAnsi="Times New Roman"/>
          <w:sz w:val="14"/>
          <w:szCs w:val="14"/>
          <w:color w:val="auto"/>
        </w:rPr>
        <w:t>Our purchase commitments primarily consist of outsourced information technology services, software licenses and commitments for financial research tools. As of December 31, 2024, our purchase commitments for the next five years and thereafter were as follows (in thousands):</w:t>
      </w: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Payments due in:</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2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72"/>
        </w:trPr>
        <w:tc>
          <w:tcPr>
            <w:tcW w:w="340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Purchase commitments</w:t>
            </w:r>
            <w:r>
              <w:rPr>
                <w:rFonts w:ascii="Times New Roman" w:cs="Times New Roman" w:eastAsia="Times New Roman" w:hAnsi="Times New Roman"/>
                <w:sz w:val="18"/>
                <w:szCs w:val="18"/>
                <w:color w:val="auto"/>
                <w:vertAlign w:val="superscript"/>
              </w:rPr>
              <w:t>(1)</w:t>
            </w: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bl>
    <w:p>
      <w:pPr>
        <w:spacing w:after="0" w:line="244" w:lineRule="exact"/>
        <w:rPr>
          <w:sz w:val="20"/>
          <w:szCs w:val="20"/>
          <w:color w:val="auto"/>
        </w:rPr>
      </w:pPr>
    </w:p>
    <w:p>
      <w:pPr>
        <w:ind w:left="60" w:right="240" w:firstLine="9"/>
        <w:spacing w:after="0" w:line="324" w:lineRule="auto"/>
        <w:tabs>
          <w:tab w:leader="none" w:pos="329"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“purchase commitment”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The above purchase commitments exclude agreements that are cancelable without significant penalty.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5" w:name="page36"/>
    <w:bookmarkEnd w:id="35"/>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estimates critical.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especially at the acquisition date with respect to tangible and intangible assets acquired and liabilities assumed. In a business combination, we allocate the purchase price to the acquired business’ identifiable assets and liabilities at their acquisition date fair values. The excess of the purchase price over the amount allocated to the identifiable assets and liabilities, if any, is recorded as goodwill.</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The assets acquired and liabilities assumed in our business combinations consist of acquired working capital and finite-lived and indefinite-lived intangible assets. The carrying value of acquired working capital approximates its fair value, given the short-term nature of these assets and liabilities. We estimated the fair value of finite-lived and indefinite-lived intangible assets acquired using a discounted cash flow approach, which included an analysis of the future cash flows expected to be generated by such assets and the risk associated with achieving such cash flows. The key assumptions used in the discounted cash flow model include the discount rate that is applied to the discretely forecasted future cash flows to calculate the present value of those cash flows and the estimate of future cash flows attributable to the acquired intangible assets, which include revenues, operating expenses and taxes. Our estimates are inherently uncertain and subject to refinement. As a result, during the measurement period, which may be up to one year from the acquisition date, we may record adjustments to the fair value of assets acquired and liabilities assumed, with the corresponding offset to goodwill.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Operations. For the years ended December 31, 2024 and 2023, changes in growth projections, due to increases in AUM and AUA values, and volatility assumptions were the primary drivers of changes in our fair value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96" w:lineRule="exact"/>
        <w:rPr>
          <w:sz w:val="20"/>
          <w:szCs w:val="20"/>
          <w:color w:val="auto"/>
        </w:rPr>
      </w:pPr>
    </w:p>
    <w:p>
      <w:pPr>
        <w:ind w:right="320" w:firstLine="382"/>
        <w:spacing w:after="0" w:line="270" w:lineRule="auto"/>
        <w:rPr>
          <w:sz w:val="20"/>
          <w:szCs w:val="20"/>
          <w:color w:val="auto"/>
        </w:rPr>
      </w:pPr>
      <w:r>
        <w:rPr>
          <w:rFonts w:ascii="Times New Roman" w:cs="Times New Roman" w:eastAsia="Times New Roman" w:hAnsi="Times New Roman"/>
          <w:sz w:val="14"/>
          <w:szCs w:val="14"/>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51"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w:t>
      </w:r>
    </w:p>
    <w:p>
      <w:pPr>
        <w:spacing w:after="0" w:line="51"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qualitative goodwill impairment assessment requires evaluating factors, based on the weight of evidence, to determine whether a reporting unit's carrying value would more likely than not exceed its fair value. As part of our goodwill qualitative testing process, we evaluate various factors that are specific to the reporting unit as well as industry and macroeconomic factors in order to determine whether they are reasonably likely to have a material impact on the fair value of our reporting units. Based on the qualitative analyses performed in 2024, we concluded that there were no changes that were reasonably likely to cause the fair value of the Advisory and Trust reporting units to be less than those reporting unit's carrying values, and determined that there was no impairment of our goodwill. In the event we were to determine that a reporting unit's carrying value would more likely than not exceed its fair value, quantitative testing would be performed comparing carrying values to estimated fair values.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6" w:name="page37"/>
    <w:bookmarkEnd w:id="36"/>
    <w:p>
      <w:pPr>
        <w:ind w:firstLine="382"/>
        <w:spacing w:after="0" w:line="287" w:lineRule="auto"/>
        <w:rPr>
          <w:sz w:val="20"/>
          <w:szCs w:val="20"/>
          <w:color w:val="auto"/>
        </w:rPr>
      </w:pPr>
      <w:r>
        <w:rPr>
          <w:rFonts w:ascii="Times New Roman" w:cs="Times New Roman" w:eastAsia="Times New Roman" w:hAnsi="Times New Roman"/>
          <w:sz w:val="14"/>
          <w:szCs w:val="14"/>
          <w:color w:val="auto"/>
        </w:rPr>
        <w:t>The quantitative analysis requires a comparison of each reporting unit’s carrying value to the fair value of the respective unit. If the carrying value exceeds the fair value, an impairment charge is recorded based on that difference.</w:t>
      </w:r>
    </w:p>
    <w:p>
      <w:pPr>
        <w:spacing w:after="0" w:line="39"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completed our most recent annual goodwill impairment assessment during the third quarter of 2024 and determined that no goodwill impairment related to the Advisory or Trust segment was required. There was no goodwill impairment for either segment during the years ended December 31, 2024, 2023 or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Income Taxes</w:t>
      </w:r>
    </w:p>
    <w:p>
      <w:pPr>
        <w:spacing w:after="0" w:line="94" w:lineRule="exact"/>
        <w:rPr>
          <w:sz w:val="20"/>
          <w:szCs w:val="20"/>
          <w:color w:val="auto"/>
        </w:rPr>
      </w:pPr>
    </w:p>
    <w:p>
      <w:pPr>
        <w:jc w:val="both"/>
        <w:ind w:right="80" w:firstLine="382"/>
        <w:spacing w:after="0" w:line="271" w:lineRule="auto"/>
        <w:rPr>
          <w:sz w:val="20"/>
          <w:szCs w:val="20"/>
          <w:color w:val="auto"/>
        </w:rPr>
      </w:pPr>
      <w:r>
        <w:rPr>
          <w:rFonts w:ascii="Times New Roman" w:cs="Times New Roman" w:eastAsia="Times New Roman" w:hAnsi="Times New Roman"/>
          <w:sz w:val="14"/>
          <w:szCs w:val="14"/>
          <w:color w:val="auto"/>
        </w:rPr>
        <w:t xml:space="preserve">We account for income taxes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which requires recognition of the amount of taxes payable or refundable for the current year, as well as deferred tax assets and liabilities for temporary differences between the tax basis of assets and liabilities and the reported amounts on the Consolidated Financial Statements. We include penalties and interest on income-based taxes, if any, in the “General and administrative” line on our Consolidated Statements of Operations.</w:t>
      </w:r>
    </w:p>
    <w:p>
      <w:pPr>
        <w:spacing w:after="0" w:line="51"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Significant judgment is required in determining the provision for income taxes and, in particular, factors considered when assessing whether a valuation allowance should be established and our estimated uncertain tax positions.</w:t>
      </w:r>
    </w:p>
    <w:p>
      <w:pPr>
        <w:spacing w:after="0" w:line="39"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We are required to assess whether a valuation allowance should be established against our deferred tax assets based on consideration of all available evidence, using a more-likely-than-not standard. Evidence considered includes, but is not limited to, consideration of taxable income in prior carryback year(s), estimates of future taxable income from operations, and the expiration dates and amounts of carryforwards related to net operating losses and capital losses. A valuation allowance against deferred tax assets is recorded if, based on the weight of the available evidence it is more likely than not that some or all the deferred tax assets will not be realized.</w:t>
      </w:r>
    </w:p>
    <w:p>
      <w:pPr>
        <w:spacing w:after="0" w:line="56" w:lineRule="exact"/>
        <w:rPr>
          <w:sz w:val="20"/>
          <w:szCs w:val="20"/>
          <w:color w:val="auto"/>
        </w:rPr>
      </w:pPr>
    </w:p>
    <w:p>
      <w:pPr>
        <w:jc w:val="both"/>
        <w:ind w:right="220" w:firstLine="382"/>
        <w:spacing w:after="0" w:line="270" w:lineRule="auto"/>
        <w:rPr>
          <w:sz w:val="20"/>
          <w:szCs w:val="20"/>
          <w:color w:val="auto"/>
        </w:rPr>
      </w:pPr>
      <w:r>
        <w:rPr>
          <w:rFonts w:ascii="Times New Roman" w:cs="Times New Roman" w:eastAsia="Times New Roman" w:hAnsi="Times New Roman"/>
          <w:sz w:val="14"/>
          <w:szCs w:val="14"/>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Developments</w:t>
      </w:r>
    </w:p>
    <w:p>
      <w:pPr>
        <w:spacing w:after="0" w:line="96" w:lineRule="exact"/>
        <w:rPr>
          <w:sz w:val="20"/>
          <w:szCs w:val="20"/>
          <w:color w:val="auto"/>
        </w:rPr>
      </w:pPr>
    </w:p>
    <w:p>
      <w:pPr>
        <w:ind w:right="540" w:firstLine="382"/>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to our Consolidated Financial Statements included in Part II, Item 8, “Financial Statements and Supplementary Data” for a description of any new accounting standards and their anticipated effects on our Consolidated Financial Statements.</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85"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Our revenues are primarily generated from fees derived as a percentage of our AUM and AUA,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key aspects of certain financial instruments that involve market risks.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Markets and Interest Rates</w:t>
      </w:r>
    </w:p>
    <w:p>
      <w:pPr>
        <w:spacing w:after="0" w:line="96"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The value of AUM and AUA is affected by fluctuations in securities markets and changes in interest rates. Since we derive a substantial portion of our revenues from investment advisory and trust fees based on the value of AUM and AUA, our revenues may be adversely affected by a decline in the prices of securities or changing interest rates. A hypothetical 10% decrease in our average AUM and AUA during the year ended December 31, 2024 would have reduced our reported consolidated total revenue by approximately $9 million.</w:t>
      </w:r>
    </w:p>
    <w:p>
      <w:pPr>
        <w:spacing w:after="0" w:line="51"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96"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independent registered public accounting firm's report and our Consolidated Financial Statements listed in the accompanying index are included in Item 15 of this Report. See “Index to Financial Statements” on page F-1.</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8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2024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58"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quarterly period ended December 31, 2024, there has been no change in our internal control over financial reporting that has materially affected, or is reasonably likely to materially affect, our internal control over financial reporting.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REPORT OF WESTWOOD HOLDINGS GROUP, INC.’S MANAGEMENT ASSESSMENT OF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The management of Westwood assessed the effectiveness of Westwood’s internal control over financial reporting as of December 31, 2024. In making this assessment, it used the criteria set forth by the Committee of Sponsoring Organizations of the Treadway Commission (COSO) in the 2013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Based on our assessment, we believe that, as of December 31, 2024, Westwood’s internal control over financial reporting is effective based on those criteria.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is not required to, nor did it, engage an independent registered public accounting firm to issue an audit report on our assessment of Westwood's internal control over financial reporting.</w:t>
      </w:r>
    </w:p>
    <w:p>
      <w:pPr>
        <w:spacing w:after="0" w:line="242"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376618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Brian O. Casey, Chief Executive Officer</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376618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Murray Forbes III, Chief Financial Officer &amp; Treasurer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9" w:name="page40"/>
    <w:bookmarkEnd w:id="3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96"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none of our directors or officers (as defined in Rule 16a-1(f) of the Exchange Act) adopted, terminated or modified a Rule 10b5-1 trading arrangement or non-Rule 10b5-1 trading arrangement (as such terms are defined in Item 408 of Regulation S-K).</w:t>
      </w:r>
    </w:p>
    <w:p>
      <w:pPr>
        <w:spacing w:after="0" w:line="16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definitive proxy statement relating to the 2025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5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has adopted an insider trading policy governing the purchase, sale and other disposition of the Company’s securities by its directors, officers and employees, and by the Company itself. The Company believes this policy is reasonably designed to promote compliance with insider trading laws, rules and regulations, and New York Stock Exchange listing standards. A copy of the Westwood Holdings Group, Inc. Amended and Restated Insider Trading Policy is filed as Exhibit 19 to this Report.</w:t>
      </w:r>
    </w:p>
    <w:p>
      <w:pPr>
        <w:spacing w:after="0" w:line="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following table gives information as of December 31, 2024 about shares of our common stock that may be issued upon the exercise of options, warrants and rights under our Tenth Amended and Restated Westwood Holdings Group, Inc. Stock Incentive Plan, which is our only equity compensation plan in effect at that time. The material terms of this plan were approved by our stockholders and are discussed in Note 8 “Employee Benefits” to our Consolidated Financial Statements included in </w:t>
      </w:r>
      <w:r>
        <w:rPr>
          <w:rFonts w:ascii="Times New Roman" w:cs="Times New Roman" w:eastAsia="Times New Roman" w:hAnsi="Times New Roman"/>
          <w:sz w:val="14"/>
          <w:szCs w:val="14"/>
          <w:color w:val="222222"/>
        </w:rPr>
        <w:t>Part II. Item 8</w:t>
      </w:r>
      <w:r>
        <w:rPr>
          <w:rFonts w:ascii="Times New Roman" w:cs="Times New Roman" w:eastAsia="Times New Roman" w:hAnsi="Times New Roman"/>
          <w:sz w:val="14"/>
          <w:szCs w:val="14"/>
          <w:color w:val="auto"/>
        </w:rPr>
        <w:t xml:space="preserve"> “Financial Statements and Supplementary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Number of securities remaining</w:t>
            </w:r>
          </w:p>
        </w:tc>
        <w:tc>
          <w:tcPr>
            <w:tcW w:w="0" w:type="dxa"/>
            <w:vAlign w:val="bottom"/>
          </w:tcPr>
          <w:p>
            <w:pPr>
              <w:spacing w:after="0"/>
              <w:rPr>
                <w:sz w:val="1"/>
                <w:szCs w:val="1"/>
                <w:color w:val="auto"/>
              </w:rPr>
            </w:pPr>
          </w:p>
        </w:tc>
      </w:tr>
      <w:tr>
        <w:trPr>
          <w:trHeight w:val="115"/>
        </w:trPr>
        <w:tc>
          <w:tcPr>
            <w:tcW w:w="5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 exercise price</w:t>
            </w:r>
          </w:p>
        </w:tc>
        <w:tc>
          <w:tcPr>
            <w:tcW w:w="2120" w:type="dxa"/>
            <w:vAlign w:val="bottom"/>
            <w:gridSpan w:val="2"/>
          </w:tcPr>
          <w:p>
            <w:pPr>
              <w:jc w:val="center"/>
              <w:ind w:right="239"/>
              <w:spacing w:after="0" w:line="115" w:lineRule="exact"/>
              <w:rPr>
                <w:sz w:val="20"/>
                <w:szCs w:val="20"/>
                <w:color w:val="auto"/>
              </w:rPr>
            </w:pPr>
            <w:r>
              <w:rPr>
                <w:rFonts w:ascii="Times New Roman" w:cs="Times New Roman" w:eastAsia="Times New Roman" w:hAnsi="Times New Roman"/>
                <w:sz w:val="11"/>
                <w:szCs w:val="11"/>
                <w:b w:val="1"/>
                <w:bCs w:val="1"/>
                <w:color w:val="auto"/>
              </w:rPr>
              <w:t>available for future issuance under</w:t>
            </w: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2120" w:type="dxa"/>
            <w:vAlign w:val="bottom"/>
            <w:gridSpan w:val="2"/>
          </w:tcPr>
          <w:p>
            <w:pPr>
              <w:jc w:val="center"/>
              <w:ind w:right="239"/>
              <w:spacing w:after="0" w:line="108" w:lineRule="exact"/>
              <w:rPr>
                <w:sz w:val="20"/>
                <w:szCs w:val="20"/>
                <w:color w:val="auto"/>
              </w:rPr>
            </w:pPr>
            <w:r>
              <w:rPr>
                <w:rFonts w:ascii="Times New Roman" w:cs="Times New Roman" w:eastAsia="Times New Roman" w:hAnsi="Times New Roman"/>
                <w:sz w:val="11"/>
                <w:szCs w:val="11"/>
                <w:b w:val="1"/>
                <w:bCs w:val="1"/>
                <w:color w:val="auto"/>
              </w:rPr>
              <w:t>equity compensation plans</w:t>
            </w:r>
          </w:p>
        </w:tc>
        <w:tc>
          <w:tcPr>
            <w:tcW w:w="0" w:type="dxa"/>
            <w:vAlign w:val="bottom"/>
          </w:tcPr>
          <w:p>
            <w:pPr>
              <w:spacing w:after="0"/>
              <w:rPr>
                <w:sz w:val="1"/>
                <w:szCs w:val="1"/>
                <w:color w:val="auto"/>
              </w:rPr>
            </w:pPr>
          </w:p>
        </w:tc>
      </w:tr>
      <w:tr>
        <w:trPr>
          <w:trHeight w:val="115"/>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7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upon exercise of outstanding</w:t>
            </w:r>
          </w:p>
        </w:tc>
        <w:tc>
          <w:tcPr>
            <w:tcW w:w="180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of outstanding options, warrants</w:t>
            </w:r>
          </w:p>
        </w:tc>
        <w:tc>
          <w:tcPr>
            <w:tcW w:w="2120" w:type="dxa"/>
            <w:vAlign w:val="bottom"/>
            <w:gridSpan w:val="2"/>
          </w:tcPr>
          <w:p>
            <w:pPr>
              <w:jc w:val="center"/>
              <w:ind w:right="259"/>
              <w:spacing w:after="0" w:line="115" w:lineRule="exact"/>
              <w:rPr>
                <w:sz w:val="20"/>
                <w:szCs w:val="20"/>
                <w:color w:val="auto"/>
              </w:rPr>
            </w:pPr>
            <w:r>
              <w:rPr>
                <w:rFonts w:ascii="Times New Roman" w:cs="Times New Roman" w:eastAsia="Times New Roman" w:hAnsi="Times New Roman"/>
                <w:sz w:val="11"/>
                <w:szCs w:val="11"/>
                <w:b w:val="1"/>
                <w:bCs w:val="1"/>
                <w:color w:val="auto"/>
              </w:rPr>
              <w:t>(excluding securities reflected in</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 warrants and rights (a)</w:t>
            </w:r>
          </w:p>
        </w:tc>
        <w:tc>
          <w:tcPr>
            <w:tcW w:w="30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and rights (b)</w:t>
            </w:r>
          </w:p>
        </w:tc>
        <w:tc>
          <w:tcPr>
            <w:tcW w:w="2120" w:type="dxa"/>
            <w:vAlign w:val="bottom"/>
            <w:gridSpan w:val="2"/>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column (a)) (c)</w:t>
            </w:r>
          </w:p>
        </w:tc>
        <w:tc>
          <w:tcPr>
            <w:tcW w:w="0" w:type="dxa"/>
            <w:vAlign w:val="bottom"/>
          </w:tcPr>
          <w:p>
            <w:pPr>
              <w:spacing w:after="0"/>
              <w:rPr>
                <w:sz w:val="1"/>
                <w:szCs w:val="1"/>
                <w:color w:val="auto"/>
              </w:rPr>
            </w:pPr>
          </w:p>
        </w:tc>
      </w:tr>
      <w:tr>
        <w:trPr>
          <w:trHeight w:val="17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829,000</w:t>
            </w:r>
          </w:p>
        </w:tc>
        <w:tc>
          <w:tcPr>
            <w:tcW w:w="30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829,000 shares are available under our Tenth Amended and Restated Stock Incentive Plan.</w:t>
      </w:r>
    </w:p>
    <w:p>
      <w:pPr>
        <w:spacing w:after="0" w:line="88"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Accounting Fees and Services.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40" w:name="page41"/>
    <w:bookmarkEnd w:id="40"/>
    <w:p>
      <w:pPr>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3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814" w:right="739" w:bottom="1440" w:gutter="0" w:footer="0" w:header="0"/>
        </w:sectPr>
      </w:pPr>
    </w:p>
    <w:bookmarkStart w:id="41" w:name="page42"/>
    <w:bookmarkEnd w:id="41"/>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Exhibits,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97" w:right="599" w:bottom="1440" w:gutter="0" w:footer="0" w:header="0"/>
        </w:sectPr>
      </w:pPr>
    </w:p>
    <w:bookmarkStart w:id="42" w:name="page43"/>
    <w:bookmarkEnd w:id="4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60" w:firstLine="382"/>
        <w:spacing w:after="0" w:line="300"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232" w:lineRule="exact"/>
        <w:rPr>
          <w:sz w:val="20"/>
          <w:szCs w:val="20"/>
          <w:color w:val="auto"/>
        </w:rPr>
      </w:pPr>
    </w:p>
    <w:p>
      <w:pPr>
        <w:ind w:left="6020"/>
        <w:spacing w:after="0"/>
        <w:tabs>
          <w:tab w:leader="none" w:pos="65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300482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Brian O. Casey</w:t>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5, 2025</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61" w:lineRule="exact"/>
        <w:rPr>
          <w:sz w:val="20"/>
          <w:szCs w:val="20"/>
          <w:color w:val="auto"/>
        </w:rPr>
      </w:pPr>
    </w:p>
    <w:p>
      <w:pPr>
        <w:ind w:right="160" w:firstLine="38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2220"/>
        <w:spacing w:after="0"/>
        <w:tabs>
          <w:tab w:leader="none" w:pos="8200" w:val="left"/>
        </w:tabs>
        <w:rPr>
          <w:sz w:val="20"/>
          <w:szCs w:val="20"/>
          <w:color w:val="auto"/>
        </w:rPr>
      </w:pPr>
      <w:r>
        <w:rPr>
          <w:rFonts w:ascii="Times New Roman" w:cs="Times New Roman" w:eastAsia="Times New Roman" w:hAnsi="Times New Roman"/>
          <w:sz w:val="11"/>
          <w:szCs w:val="11"/>
          <w:b w:val="1"/>
          <w:bCs w:val="1"/>
          <w:color w:val="auto"/>
        </w:rPr>
        <w:t>Signatures</w:t>
      </w:r>
      <w:r>
        <w:rPr>
          <w:sz w:val="20"/>
          <w:szCs w:val="20"/>
          <w:color w:val="auto"/>
        </w:rPr>
        <w:tab/>
      </w: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481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140"/>
          </w:cols>
          <w:pgMar w:left="300" w:top="728" w:right="459" w:bottom="1440" w:gutter="0" w:footer="0" w:header="0"/>
        </w:sectPr>
      </w:pPr>
    </w:p>
    <w:p>
      <w:pPr>
        <w:spacing w:after="0" w:line="17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Brian O. Casey</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Richard M. Frank</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Susan M. Byrne</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Ellen H. Masterson</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Geoffrey R. Norman</w:t>
      </w:r>
    </w:p>
    <w:p>
      <w:pPr>
        <w:spacing w:after="0" w:line="14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/s/ Randy A.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Randy A. Bowman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4700" w:space="720"/>
            <w:col w:w="5720"/>
          </w:cols>
          <w:pgMar w:left="300" w:top="728" w:right="45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28" w:right="45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1"/>
                <w:szCs w:val="11"/>
                <w:color w:val="auto"/>
              </w:rPr>
              <w:t>Page</w:t>
            </w:r>
          </w:p>
        </w:tc>
      </w:tr>
      <w:tr>
        <w:trPr>
          <w:trHeight w:val="168"/>
        </w:trPr>
        <w:tc>
          <w:tcPr>
            <w:tcW w:w="20" w:type="dxa"/>
            <w:vAlign w:val="bottom"/>
          </w:tcPr>
          <w:p>
            <w:pPr>
              <w:spacing w:after="0"/>
              <w:rPr>
                <w:sz w:val="14"/>
                <w:szCs w:val="14"/>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140" w:type="dxa"/>
            <w:vAlign w:val="bottom"/>
          </w:tcPr>
          <w:p>
            <w:pPr>
              <w:spacing w:after="0"/>
              <w:rPr>
                <w:sz w:val="14"/>
                <w:szCs w:val="14"/>
                <w:color w:val="auto"/>
              </w:rPr>
            </w:pPr>
          </w:p>
        </w:tc>
        <w:tc>
          <w:tcPr>
            <w:tcW w:w="444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BDO USA, P.C.; Dallas, TX USA;</w:t>
            </w:r>
          </w:p>
        </w:tc>
        <w:tc>
          <w:tcPr>
            <w:tcW w:w="1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PCAOB ID: 243</w:t>
            </w: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2</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4</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2240" w:type="dxa"/>
            <w:vAlign w:val="bottom"/>
            <w:gridSpan w:val="5"/>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5</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6</w:t>
            </w: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168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6</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8</w:t>
            </w:r>
          </w:p>
        </w:tc>
      </w:tr>
      <w:tr>
        <w:trPr>
          <w:trHeight w:val="881"/>
        </w:trPr>
        <w:tc>
          <w:tcPr>
            <w:tcW w:w="2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tcPr>
          <w:p>
            <w:pPr>
              <w:jc w:val="right"/>
              <w:ind w:right="3173"/>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Westwood Holdings Group, Inc. (the "Company") as of December 31, 2024 and 2023, the related consolidated statements of operations,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conformity with accounting principles generally accepted in the United States of America.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audits provide a reasonable basis for our opinion.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for advisory and trust revenues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described in Note 4 to the consolidated financial statements, during the year ended December 31, 2024, the Company recognized $69.8 million and $21.4 million of advisory and trust revenues, respectively, excluding performance-based fees. Advisory and trust fees are typically calculated based on a percentage of assets under management ("AUM") and assets under advisement ("AUA") and are recognized as services are rendered. Advisory fees are paid quarterly in advance based on AUM on the last day of the preceding quarter, quarterly in arrears based on AUM on the last day of the quarter just ended or are based on a daily or monthly analysis of AUM for the stated period. Trust fees for most of the Company’s trust clients are calculated quarterly in arrears, based on a daily average of AUM for the quarter, or monthly, based on the month-end value of AUM, and are paid monthly and quarterly in arrears.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identified the auditing of the recognition of advisory and trust revenues as a critical audit matter. Auditing advisory and trust revenues involved especially challenging auditor judgment due to the nature and extent of audit effort required to address this matter.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 primary procedures we performed to address this critical audit matter included:</w:t>
      </w:r>
    </w:p>
    <w:p>
      <w:pPr>
        <w:spacing w:after="0" w:line="94" w:lineRule="exact"/>
        <w:rPr>
          <w:sz w:val="20"/>
          <w:szCs w:val="20"/>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amount of advisory and trust revenues recognized by performing substantive analytical procedures, which includes developing expectations of advisory and trust revenues based on the Company’s advisory and trust rates, by quarter, and the average AUM and AUA balances, and comparing the expectations to the amount of revenues recorded by the Company.</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completeness and accuracy of the data used to calculate the Company’s advisory and trust rates, by quarter, and the average AUM and AUA balances, by selecting a sample of advisory and trust accounts, and (i) obtaining the investment advisory agreements and agreeing the rates used in the calculations to the respective agreements, (ii) testing the completeness of AUM and AUA data by reconciling the priced securities positions to third party statements, (iii) testing the accuracy of AUM and AUA data by comparing the pricing of the securities positions within the AUM and AUA to market data.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338"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4"/>
          <w:szCs w:val="14"/>
          <w:color w:val="auto"/>
        </w:rPr>
        <w:t>BDO USA, P.C.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Dallas, Texas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5,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6" w:name="page47"/>
    <w:bookmarkEnd w:id="46"/>
    <w:p>
      <w:pPr>
        <w:ind w:left="436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par values and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840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20,422</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14,394</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 (amortized cost of $26,788 and $32,982)</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32,915</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under measurement alternative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Equity method investments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receivable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5,553</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3,673</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24,803</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$8,424 and $10,078</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0" w:type="dxa"/>
            <w:vAlign w:val="bottom"/>
          </w:tcPr>
          <w:p>
            <w:pPr>
              <w:spacing w:after="0"/>
              <w:rPr>
                <w:sz w:val="1"/>
                <w:szCs w:val="1"/>
                <w:color w:val="auto"/>
              </w:rPr>
            </w:pPr>
          </w:p>
        </w:tc>
      </w:tr>
      <w:tr>
        <w:trPr>
          <w:trHeight w:val="139"/>
        </w:trPr>
        <w:tc>
          <w:tcPr>
            <w:tcW w:w="8400" w:type="dxa"/>
            <w:vAlign w:val="bottom"/>
          </w:tcPr>
          <w:p>
            <w:pPr>
              <w:ind w:left="620"/>
              <w:spacing w:after="0" w:line="13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60" w:type="dxa"/>
            <w:vAlign w:val="bottom"/>
            <w:tcBorders>
              <w:bottom w:val="single" w:sz="8" w:color="auto"/>
            </w:tcBorders>
          </w:tcPr>
          <w:p>
            <w:pPr>
              <w:jc w:val="right"/>
              <w:ind w:right="7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149,989</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29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155,167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00" w:type="dxa"/>
            <w:vAlign w:val="bottom"/>
            <w:shd w:val="clear" w:color="auto" w:fill="CCEEFF"/>
          </w:tcPr>
          <w:p>
            <w:pPr>
              <w:ind w:left="276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w:t>
            </w:r>
          </w:p>
        </w:tc>
        <w:tc>
          <w:tcPr>
            <w:tcW w:w="0" w:type="dxa"/>
            <w:vAlign w:val="bottom"/>
          </w:tcPr>
          <w:p>
            <w:pPr>
              <w:spacing w:after="0"/>
              <w:rPr>
                <w:sz w:val="1"/>
                <w:szCs w:val="1"/>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payable</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and benefits payable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9,539</w:t>
            </w:r>
          </w:p>
        </w:tc>
        <w:tc>
          <w:tcPr>
            <w:tcW w:w="0" w:type="dxa"/>
            <w:vAlign w:val="bottom"/>
          </w:tcPr>
          <w:p>
            <w:pPr>
              <w:spacing w:after="0"/>
              <w:rPr>
                <w:sz w:val="1"/>
                <w:szCs w:val="1"/>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Contingent consideration</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10,133</w:t>
            </w:r>
          </w:p>
        </w:tc>
        <w:tc>
          <w:tcPr>
            <w:tcW w:w="0" w:type="dxa"/>
            <w:vAlign w:val="bottom"/>
          </w:tcPr>
          <w:p>
            <w:pPr>
              <w:spacing w:after="0"/>
              <w:rPr>
                <w:sz w:val="1"/>
                <w:szCs w:val="1"/>
                <w:color w:val="auto"/>
              </w:rPr>
            </w:pPr>
          </w:p>
        </w:tc>
      </w:tr>
      <w:tr>
        <w:trPr>
          <w:trHeight w:val="158"/>
        </w:trPr>
        <w:tc>
          <w:tcPr>
            <w:tcW w:w="8400" w:type="dxa"/>
            <w:vAlign w:val="bottom"/>
            <w:tcBorders>
              <w:bottom w:val="single" w:sz="8" w:color="CCEEFF"/>
            </w:tcBorders>
          </w:tcPr>
          <w:p>
            <w:pPr>
              <w:ind w:left="62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32,721</w:t>
            </w:r>
          </w:p>
        </w:tc>
        <w:tc>
          <w:tcPr>
            <w:tcW w:w="0" w:type="dxa"/>
            <w:vAlign w:val="bottom"/>
          </w:tcPr>
          <w:p>
            <w:pPr>
              <w:spacing w:after="0"/>
              <w:rPr>
                <w:sz w:val="1"/>
                <w:szCs w:val="1"/>
                <w:color w:val="auto"/>
              </w:rPr>
            </w:pPr>
          </w:p>
        </w:tc>
      </w:tr>
      <w:tr>
        <w:trPr>
          <w:trHeight w:val="152"/>
        </w:trPr>
        <w:tc>
          <w:tcPr>
            <w:tcW w:w="84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14)</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0" w:type="dxa"/>
            <w:vAlign w:val="bottom"/>
            <w:shd w:val="clear" w:color="auto" w:fill="CCEEFF"/>
          </w:tcPr>
          <w:p>
            <w:pPr>
              <w:ind w:left="380"/>
              <w:spacing w:after="0" w:line="129" w:lineRule="exact"/>
              <w:rPr>
                <w:sz w:val="20"/>
                <w:szCs w:val="20"/>
                <w:color w:val="auto"/>
              </w:rPr>
            </w:pPr>
            <w:r>
              <w:rPr>
                <w:rFonts w:ascii="Times New Roman" w:cs="Times New Roman" w:eastAsia="Times New Roman" w:hAnsi="Times New Roman"/>
                <w:sz w:val="13"/>
                <w:szCs w:val="13"/>
                <w:color w:val="auto"/>
                <w:w w:val="99"/>
              </w:rPr>
              <w:t>Common stock, $0.01 par value, authorized 25,000,000 shares, issued 12,137,080 and 11,856,737, respectively and outstanding 9,234,575 and 9,140,760,</w:t>
            </w:r>
          </w:p>
        </w:tc>
        <w:tc>
          <w:tcPr>
            <w:tcW w:w="8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respectively</w:t>
            </w:r>
          </w:p>
        </w:tc>
        <w:tc>
          <w:tcPr>
            <w:tcW w:w="8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202,239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201,622</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Treasury stock, at cost – 2,902,505 and 2,715,977, respectively</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(88,277)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(85,990)</w:t>
            </w:r>
          </w:p>
        </w:tc>
        <w:tc>
          <w:tcPr>
            <w:tcW w:w="0" w:type="dxa"/>
            <w:vAlign w:val="bottom"/>
          </w:tcPr>
          <w:p>
            <w:pPr>
              <w:spacing w:after="0"/>
              <w:rPr>
                <w:sz w:val="1"/>
                <w:szCs w:val="1"/>
                <w:color w:val="auto"/>
              </w:rPr>
            </w:pPr>
          </w:p>
        </w:tc>
      </w:tr>
      <w:tr>
        <w:trPr>
          <w:trHeight w:val="168"/>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Retained earnings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0" w:type="dxa"/>
            <w:vAlign w:val="bottom"/>
          </w:tcPr>
          <w:p>
            <w:pPr>
              <w:spacing w:after="0"/>
              <w:rPr>
                <w:sz w:val="1"/>
                <w:szCs w:val="1"/>
                <w:color w:val="auto"/>
              </w:rPr>
            </w:pPr>
          </w:p>
        </w:tc>
      </w:tr>
      <w:tr>
        <w:trPr>
          <w:trHeight w:val="16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Westwood Holdings Group, Inc. stockholders’ equity</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120,291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120,401</w:t>
            </w:r>
          </w:p>
        </w:tc>
        <w:tc>
          <w:tcPr>
            <w:tcW w:w="0" w:type="dxa"/>
            <w:vAlign w:val="bottom"/>
          </w:tcPr>
          <w:p>
            <w:pPr>
              <w:spacing w:after="0"/>
              <w:rPr>
                <w:sz w:val="1"/>
                <w:szCs w:val="1"/>
                <w:color w:val="auto"/>
              </w:rPr>
            </w:pPr>
          </w:p>
        </w:tc>
      </w:tr>
      <w:tr>
        <w:trPr>
          <w:trHeight w:val="16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 in consolidated subsidiary</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0" w:type="dxa"/>
            <w:vAlign w:val="bottom"/>
          </w:tcPr>
          <w:p>
            <w:pPr>
              <w:spacing w:after="0"/>
              <w:rPr>
                <w:sz w:val="1"/>
                <w:szCs w:val="1"/>
                <w:color w:val="auto"/>
              </w:rPr>
            </w:pPr>
          </w:p>
        </w:tc>
      </w:tr>
      <w:tr>
        <w:trPr>
          <w:trHeight w:val="16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122,332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122,446</w:t>
            </w:r>
          </w:p>
        </w:tc>
        <w:tc>
          <w:tcPr>
            <w:tcW w:w="0" w:type="dxa"/>
            <w:vAlign w:val="bottom"/>
          </w:tcPr>
          <w:p>
            <w:pPr>
              <w:spacing w:after="0"/>
              <w:rPr>
                <w:sz w:val="1"/>
                <w:szCs w:val="1"/>
                <w:color w:val="auto"/>
              </w:rPr>
            </w:pPr>
          </w:p>
        </w:tc>
      </w:tr>
      <w:tr>
        <w:trPr>
          <w:trHeight w:val="158"/>
        </w:trPr>
        <w:tc>
          <w:tcPr>
            <w:tcW w:w="840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149,989</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155,167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385" w:right="31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shares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Advisory fees: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Asset-based</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46,685</w:t>
            </w:r>
          </w:p>
        </w:tc>
        <w:tc>
          <w:tcPr>
            <w:tcW w:w="0" w:type="dxa"/>
            <w:vAlign w:val="bottom"/>
          </w:tcPr>
          <w:p>
            <w:pPr>
              <w:spacing w:after="0"/>
              <w:rPr>
                <w:sz w:val="1"/>
                <w:szCs w:val="1"/>
                <w:color w:val="auto"/>
              </w:rPr>
            </w:pPr>
          </w:p>
        </w:tc>
      </w:tr>
      <w:tr>
        <w:trPr>
          <w:trHeight w:val="168"/>
        </w:trPr>
        <w:tc>
          <w:tcPr>
            <w:tcW w:w="7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Performance-based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Trust fees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Trust performance-based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0" w:type="dxa"/>
            <w:vAlign w:val="bottom"/>
          </w:tcPr>
          <w:p>
            <w:pPr>
              <w:spacing w:after="0"/>
              <w:rPr>
                <w:sz w:val="1"/>
                <w:szCs w:val="1"/>
                <w:color w:val="auto"/>
              </w:rPr>
            </w:pPr>
          </w:p>
        </w:tc>
      </w:tr>
      <w:tr>
        <w:trPr>
          <w:trHeight w:val="158"/>
        </w:trPr>
        <w:tc>
          <w:tcPr>
            <w:tcW w:w="7320" w:type="dxa"/>
            <w:vAlign w:val="bottom"/>
            <w:tcBorders>
              <w:bottom w:val="single" w:sz="8" w:color="CCEEFF"/>
            </w:tcBorders>
          </w:tcPr>
          <w:p>
            <w:pPr>
              <w:ind w:left="62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68,681</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40,124</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Westwood mutual funds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Information technology</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7,719</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Professional services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9,057</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(Gain) loss from change in fair value of contingent consideration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Acquisition expense</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c>
          <w:tcPr>
            <w:tcW w:w="0" w:type="dxa"/>
            <w:vAlign w:val="bottom"/>
          </w:tcPr>
          <w:p>
            <w:pPr>
              <w:spacing w:after="0"/>
              <w:rPr>
                <w:sz w:val="1"/>
                <w:szCs w:val="1"/>
                <w:color w:val="auto"/>
              </w:rPr>
            </w:pPr>
          </w:p>
        </w:tc>
      </w:tr>
      <w:tr>
        <w:trPr>
          <w:trHeight w:val="158"/>
        </w:trPr>
        <w:tc>
          <w:tcPr>
            <w:tcW w:w="7320" w:type="dxa"/>
            <w:vAlign w:val="bottom"/>
            <w:tcBorders>
              <w:bottom w:val="single" w:sz="8" w:color="CCEEFF"/>
            </w:tcBorders>
          </w:tcPr>
          <w:p>
            <w:pPr>
              <w:ind w:left="620"/>
              <w:spacing w:after="0" w:line="146" w:lineRule="exact"/>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93,891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83,776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73,554</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income (loss)</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(4,873)</w:t>
            </w:r>
          </w:p>
        </w:tc>
        <w:tc>
          <w:tcPr>
            <w:tcW w:w="0" w:type="dxa"/>
            <w:vAlign w:val="bottom"/>
          </w:tcPr>
          <w:p>
            <w:pPr>
              <w:spacing w:after="0"/>
              <w:rPr>
                <w:sz w:val="1"/>
                <w:szCs w:val="1"/>
                <w:color w:val="auto"/>
              </w:rPr>
            </w:pPr>
          </w:p>
        </w:tc>
      </w:tr>
      <w:tr>
        <w:trPr>
          <w:trHeight w:val="158"/>
        </w:trPr>
        <w:tc>
          <w:tcPr>
            <w:tcW w:w="732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Net change in unrealized appreciation (depreciation) on private investments</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investment income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r>
        <w:trPr>
          <w:trHeight w:val="168"/>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income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w:t>
            </w:r>
          </w:p>
        </w:tc>
        <w:tc>
          <w:tcPr>
            <w:tcW w:w="0" w:type="dxa"/>
            <w:vAlign w:val="bottom"/>
          </w:tcPr>
          <w:p>
            <w:pPr>
              <w:spacing w:after="0"/>
              <w:rPr>
                <w:sz w:val="1"/>
                <w:szCs w:val="1"/>
                <w:color w:val="auto"/>
              </w:rPr>
            </w:pPr>
          </w:p>
        </w:tc>
      </w:tr>
      <w:tr>
        <w:trPr>
          <w:trHeight w:val="168"/>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66"/>
        </w:trPr>
        <w:tc>
          <w:tcPr>
            <w:tcW w:w="732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2,211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10,571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Less: income (loss) attributable to noncontrolling interest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32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1,051</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0" w:type="dxa"/>
            <w:vAlign w:val="bottom"/>
          </w:tcPr>
          <w:p>
            <w:pPr>
              <w:spacing w:after="0"/>
              <w:rPr>
                <w:sz w:val="1"/>
                <w:szCs w:val="1"/>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8,163,465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7,964,423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7,844,363</w:t>
            </w:r>
          </w:p>
        </w:tc>
        <w:tc>
          <w:tcPr>
            <w:tcW w:w="0" w:type="dxa"/>
            <w:vAlign w:val="bottom"/>
          </w:tcPr>
          <w:p>
            <w:pPr>
              <w:spacing w:after="0"/>
              <w:rPr>
                <w:sz w:val="1"/>
                <w:szCs w:val="1"/>
                <w:color w:val="auto"/>
              </w:rPr>
            </w:pPr>
          </w:p>
        </w:tc>
      </w:tr>
      <w:tr>
        <w:trPr>
          <w:trHeight w:val="165"/>
        </w:trPr>
        <w:tc>
          <w:tcPr>
            <w:tcW w:w="7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8,515,779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8,112,139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7,844,363</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8" w:name="page49"/>
    <w:bookmarkEnd w:id="48"/>
    <w:p>
      <w:pPr>
        <w:ind w:left="436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6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0"/>
          <w:szCs w:val="10"/>
          <w:b w:val="1"/>
          <w:bCs w:val="1"/>
          <w:color w:val="auto"/>
        </w:rPr>
        <w:t>Westwood Holdings</w:t>
      </w:r>
    </w:p>
    <w:p>
      <w:pPr>
        <w:jc w:val="center"/>
        <w:ind w:right="2000"/>
        <w:spacing w:after="0" w:line="221" w:lineRule="auto"/>
        <w:rPr>
          <w:sz w:val="20"/>
          <w:szCs w:val="20"/>
          <w:color w:val="auto"/>
        </w:rPr>
      </w:pPr>
      <w:r>
        <w:rPr>
          <w:rFonts w:ascii="Times New Roman" w:cs="Times New Roman" w:eastAsia="Times New Roman" w:hAnsi="Times New Roman"/>
          <w:sz w:val="10"/>
          <w:szCs w:val="10"/>
          <w:b w:val="1"/>
          <w:bCs w:val="1"/>
          <w:color w:val="auto"/>
        </w:rPr>
        <w:t>Group, Inc.</w:t>
      </w:r>
    </w:p>
    <w:tbl>
      <w:tblPr>
        <w:tblLayout w:type="fixed"/>
        <w:tblInd w:w="0" w:type="dxa"/>
        <w:tblCellMar>
          <w:top w:w="0" w:type="dxa"/>
          <w:left w:w="0" w:type="dxa"/>
          <w:bottom w:w="0" w:type="dxa"/>
          <w:right w:w="0" w:type="dxa"/>
        </w:tblCellMar>
      </w:tblPr>
      <w:tr>
        <w:trPr>
          <w:trHeight w:val="99"/>
        </w:trPr>
        <w:tc>
          <w:tcPr>
            <w:tcW w:w="3620" w:type="dxa"/>
            <w:vAlign w:val="bottom"/>
          </w:tcPr>
          <w:p>
            <w:pPr>
              <w:spacing w:after="0"/>
              <w:rPr>
                <w:sz w:val="8"/>
                <w:szCs w:val="8"/>
                <w:color w:val="auto"/>
              </w:rPr>
            </w:pPr>
          </w:p>
        </w:tc>
        <w:tc>
          <w:tcPr>
            <w:tcW w:w="1760" w:type="dxa"/>
            <w:vAlign w:val="bottom"/>
            <w:gridSpan w:val="3"/>
          </w:tcPr>
          <w:p>
            <w:pPr>
              <w:jc w:val="right"/>
              <w:ind w:right="265"/>
              <w:spacing w:after="0" w:line="99" w:lineRule="exact"/>
              <w:rPr>
                <w:sz w:val="20"/>
                <w:szCs w:val="20"/>
                <w:color w:val="auto"/>
              </w:rPr>
            </w:pPr>
            <w:r>
              <w:rPr>
                <w:rFonts w:ascii="Times New Roman" w:cs="Times New Roman" w:eastAsia="Times New Roman" w:hAnsi="Times New Roman"/>
                <w:sz w:val="10"/>
                <w:szCs w:val="10"/>
                <w:b w:val="1"/>
                <w:bCs w:val="1"/>
                <w:color w:val="auto"/>
              </w:rPr>
              <w:t>Common Stock, Par</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9"/>
              </w:rPr>
              <w:t>Retained</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26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60" w:type="dxa"/>
            <w:vAlign w:val="bottom"/>
          </w:tcPr>
          <w:p>
            <w:pPr>
              <w:spacing w:after="0"/>
              <w:rPr>
                <w:sz w:val="2"/>
                <w:szCs w:val="2"/>
                <w:color w:val="auto"/>
              </w:rPr>
            </w:pPr>
          </w:p>
        </w:tc>
        <w:tc>
          <w:tcPr>
            <w:tcW w:w="800" w:type="dxa"/>
            <w:vAlign w:val="bottom"/>
            <w:gridSpan w:val="2"/>
            <w:vMerge w:val="restart"/>
          </w:tcPr>
          <w:p>
            <w:pPr>
              <w:jc w:val="center"/>
              <w:ind w:right="260"/>
              <w:spacing w:after="0" w:line="96" w:lineRule="exact"/>
              <w:rPr>
                <w:sz w:val="20"/>
                <w:szCs w:val="20"/>
                <w:color w:val="auto"/>
              </w:rPr>
            </w:pPr>
            <w:r>
              <w:rPr>
                <w:rFonts w:ascii="Times New Roman" w:cs="Times New Roman" w:eastAsia="Times New Roman" w:hAnsi="Times New Roman"/>
                <w:sz w:val="10"/>
                <w:szCs w:val="10"/>
                <w:b w:val="1"/>
                <w:bCs w:val="1"/>
                <w:color w:val="auto"/>
                <w:w w:val="96"/>
              </w:rPr>
              <w:t>Treasury</w:t>
            </w:r>
          </w:p>
        </w:tc>
        <w:tc>
          <w:tcPr>
            <w:tcW w:w="1140" w:type="dxa"/>
            <w:vAlign w:val="bottom"/>
            <w:gridSpan w:val="3"/>
            <w:vMerge w:val="restart"/>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Earnings (Accumulated</w:t>
            </w: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200" w:type="dxa"/>
            <w:vAlign w:val="bottom"/>
          </w:tcPr>
          <w:p>
            <w:pPr>
              <w:spacing w:after="0"/>
              <w:rPr>
                <w:sz w:val="12"/>
                <w:szCs w:val="12"/>
                <w:color w:val="auto"/>
              </w:rPr>
            </w:pPr>
          </w:p>
        </w:tc>
        <w:tc>
          <w:tcPr>
            <w:tcW w:w="700" w:type="dxa"/>
            <w:vAlign w:val="bottom"/>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8,253,491</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195,187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4,362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117,906</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868,900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6,001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6,001</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Return of capital ($0.15 per share)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 ($0.45 per share), net of forfeitures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(205,521)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treasury stock under employee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(37,603)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8,881,831</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199,914</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(85,128)</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110,648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9,520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329,194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6,518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Return of capital ($0.60 per share)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 net of forfeitures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(70,265)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9,140,760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201,622</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(85,990)</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4,650</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122,446</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2,215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280,342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Return of capital ($0.60 per share)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 net of forfeitures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(78,302)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9,234,575</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202,239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(88,277)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6,207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122,332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3"/>
          <w:szCs w:val="13"/>
          <w:b w:val="1"/>
          <w:bCs w:val="1"/>
          <w:color w:val="auto"/>
        </w:rPr>
        <w:t>WESTWOOD HOLDINGS GROUP, INC.</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3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7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10,571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(used in) operating activities: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Depreciation</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1,889</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6,001</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Deferred income taxes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Non-cash lease expense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1,110</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Loss on asset disposition</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Gain on remeasurement of lease liabilities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Fair value change of contingent consideration</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Gain on insurance settlement</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Net (purchases) sales of investments – investments at fair value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48,977</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Other assets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(1,842)</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Compensation and benefits payable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Income taxes receivable</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0" w:type="dxa"/>
            <w:vAlign w:val="bottom"/>
          </w:tcPr>
          <w:p>
            <w:pPr>
              <w:spacing w:after="0"/>
              <w:rPr>
                <w:sz w:val="1"/>
                <w:szCs w:val="1"/>
                <w:color w:val="auto"/>
              </w:rPr>
            </w:pPr>
          </w:p>
        </w:tc>
      </w:tr>
      <w:tr>
        <w:trPr>
          <w:trHeight w:val="144"/>
        </w:trPr>
        <w:tc>
          <w:tcPr>
            <w:tcW w:w="76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21,122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51,490</w:t>
            </w:r>
          </w:p>
        </w:tc>
        <w:tc>
          <w:tcPr>
            <w:tcW w:w="0" w:type="dxa"/>
            <w:vAlign w:val="bottom"/>
          </w:tcPr>
          <w:p>
            <w:pPr>
              <w:spacing w:after="0"/>
              <w:rPr>
                <w:sz w:val="1"/>
                <w:szCs w:val="1"/>
                <w:color w:val="auto"/>
              </w:rPr>
            </w:pPr>
          </w:p>
        </w:tc>
      </w:tr>
      <w:tr>
        <w:trPr>
          <w:trHeight w:val="1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7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Acquisition, net of cash acquired</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(33,419)</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Insurance settlement proceeds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Purchases of investments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Additions to internally developed software</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768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4,112</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(33,739)</w:t>
            </w:r>
          </w:p>
        </w:tc>
        <w:tc>
          <w:tcPr>
            <w:tcW w:w="0" w:type="dxa"/>
            <w:vAlign w:val="bottom"/>
          </w:tcPr>
          <w:p>
            <w:pPr>
              <w:spacing w:after="0"/>
              <w:rPr>
                <w:sz w:val="1"/>
                <w:szCs w:val="1"/>
                <w:color w:val="auto"/>
              </w:rPr>
            </w:pPr>
          </w:p>
        </w:tc>
      </w:tr>
      <w:tr>
        <w:trPr>
          <w:trHeight w:val="12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Payment of contingent consideration in acquisition</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Cash dividends</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(5,625)</w:t>
            </w:r>
          </w:p>
        </w:tc>
        <w:tc>
          <w:tcPr>
            <w:tcW w:w="0" w:type="dxa"/>
            <w:vAlign w:val="bottom"/>
          </w:tcPr>
          <w:p>
            <w:pPr>
              <w:spacing w:after="0"/>
              <w:rPr>
                <w:sz w:val="1"/>
                <w:szCs w:val="1"/>
                <w:color w:val="auto"/>
              </w:rPr>
            </w:pPr>
          </w:p>
        </w:tc>
      </w:tr>
      <w:tr>
        <w:trPr>
          <w:trHeight w:val="156"/>
        </w:trPr>
        <w:tc>
          <w:tcPr>
            <w:tcW w:w="7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(18,084)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(9,103)</w:t>
            </w:r>
          </w:p>
        </w:tc>
        <w:tc>
          <w:tcPr>
            <w:tcW w:w="0" w:type="dxa"/>
            <w:vAlign w:val="bottom"/>
          </w:tcPr>
          <w:p>
            <w:pPr>
              <w:spacing w:after="0"/>
              <w:rPr>
                <w:sz w:val="1"/>
                <w:szCs w:val="1"/>
                <w:color w:val="auto"/>
              </w:rPr>
            </w:pPr>
          </w:p>
        </w:tc>
      </w:tr>
      <w:tr>
        <w:trPr>
          <w:trHeight w:val="14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currency rate changes on cash</w:t>
            </w: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(decrease) increase in cash and cash equivalents</w:t>
            </w: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8,653</w:t>
            </w:r>
          </w:p>
        </w:tc>
        <w:tc>
          <w:tcPr>
            <w:tcW w:w="0" w:type="dxa"/>
            <w:vAlign w:val="bottom"/>
          </w:tcPr>
          <w:p>
            <w:pPr>
              <w:spacing w:after="0"/>
              <w:rPr>
                <w:sz w:val="1"/>
                <w:szCs w:val="1"/>
                <w:color w:val="auto"/>
              </w:rPr>
            </w:pPr>
          </w:p>
        </w:tc>
      </w:tr>
      <w:tr>
        <w:trPr>
          <w:trHeight w:val="15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beginning of year</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23,859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0" w:type="dxa"/>
            <w:vAlign w:val="bottom"/>
          </w:tcPr>
          <w:p>
            <w:pPr>
              <w:spacing w:after="0"/>
              <w:rPr>
                <w:sz w:val="1"/>
                <w:szCs w:val="1"/>
                <w:color w:val="auto"/>
              </w:rPr>
            </w:pPr>
          </w:p>
        </w:tc>
      </w:tr>
      <w:tr>
        <w:trPr>
          <w:trHeight w:val="17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end of year</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20,422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Supplemental cash flow information:</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Cash paid during the year for income taxes</w:t>
            </w:r>
          </w:p>
        </w:tc>
        <w:tc>
          <w:tcPr>
            <w:tcW w:w="72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3,431</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Right-of-use assets obtained in exchange for operating lease liabilities</w:t>
            </w:r>
          </w:p>
        </w:tc>
        <w:tc>
          <w:tcPr>
            <w:tcW w:w="72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dividends</w:t>
            </w:r>
          </w:p>
        </w:tc>
        <w:tc>
          <w:tcPr>
            <w:tcW w:w="72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2,466</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2,446</w:t>
            </w:r>
          </w:p>
        </w:tc>
        <w:tc>
          <w:tcPr>
            <w:tcW w:w="0" w:type="dxa"/>
            <w:vAlign w:val="bottom"/>
          </w:tcPr>
          <w:p>
            <w:pPr>
              <w:spacing w:after="0"/>
              <w:rPr>
                <w:sz w:val="1"/>
                <w:szCs w:val="1"/>
                <w:color w:val="auto"/>
              </w:rPr>
            </w:pPr>
          </w:p>
        </w:tc>
      </w:tr>
      <w:tr>
        <w:trPr>
          <w:trHeight w:val="147"/>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Acquired contingent consideration</w:t>
            </w:r>
          </w:p>
        </w:tc>
        <w:tc>
          <w:tcPr>
            <w:tcW w:w="72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96" w:lineRule="exact"/>
        <w:rPr>
          <w:sz w:val="20"/>
          <w:szCs w:val="20"/>
          <w:color w:val="auto"/>
        </w:rPr>
      </w:pPr>
    </w:p>
    <w:p>
      <w:pPr>
        <w:jc w:val="both"/>
        <w:ind w:right="28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spacing w:after="0" w:line="51" w:lineRule="exact"/>
        <w:rPr>
          <w:sz w:val="20"/>
          <w:szCs w:val="20"/>
          <w:color w:val="auto"/>
        </w:rPr>
      </w:pPr>
    </w:p>
    <w:p>
      <w:pPr>
        <w:ind w:right="340" w:firstLine="382"/>
        <w:spacing w:after="0" w:line="264"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Westwood Management is registered with the Securities and Exchange Commission ("SEC") as an investment adviser under the Investment Advisers Act of 1940, as amended. Westwood Trust is chartered and regulated by the Texas Department of Banking.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of Broadmark Asset Management LLC</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We acquired a 48% interest in Broadmark via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RIA managing and/or sub-advising mutual funds, retail and institutional separately-managed accounts.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of Controlling Interest in Asset Management Business of Salient Partners, L.P.</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2022 we completed our acquisition (the "Salient Acquisition") of the asset management business of Salient Partners, L.P., a Delaware limited partnership (“Salient Partners”).</w:t>
      </w:r>
    </w:p>
    <w:p>
      <w:pPr>
        <w:spacing w:after="0" w:line="94"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Salient Partners was a Houston-based real asset and investment firm that offered a suite of strategies focused on energy and infrastructure, real estate and tactical alternative investments. Westwood purchased substantially all of the properties, rights and assets and assumed certain liabilities of Salient Partners. Westwood acquired Salient Partners’ four distinct investment capabilities: Energy Infrastructure, Tactical Absolute Return, Real Estate, and Private Investments.</w:t>
      </w:r>
    </w:p>
    <w:p>
      <w:pPr>
        <w:spacing w:after="0" w:line="51"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As part of the Salient Acquisition, we also acquired SCLP and Salient Advisors. SCLP is an SEC-registered broker-dealer and Financial Industry Regulatory Authority ("FINRA") member and serves as a sub-placement agent for private placements.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Principles of Consolidation</w:t>
      </w:r>
    </w:p>
    <w:p>
      <w:pPr>
        <w:spacing w:after="0" w:line="9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Westwood and its subsidiaries. All intercompany accounts and transactions have been eliminated upon consolidation.</w:t>
      </w:r>
    </w:p>
    <w:p>
      <w:pPr>
        <w:spacing w:after="0" w:line="39"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The Consolidated Balance Sheets have been reclassified to unclassified balance sheets to better reflect the nature of the Company’s operations. Prior year amounts have been reclassified for consistency with the current year presentation.</w:t>
      </w:r>
    </w:p>
    <w:p>
      <w:pPr>
        <w:spacing w:after="0" w:line="39"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4"/>
          <w:szCs w:val="14"/>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investors’ abilities to direct the activities of the entity.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61"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9"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 xml:space="preserve">We evaluated (i) our relationship as sponsor of the Common Trust Funds ("CTFs") and managing member of the private equity funds Westwood Hospitality, Westwood Technology Opportunities Fund I, LP, Westwood Energy Secondaries I and Westwood Energy Secondaries II (collectively the “Private Funds”), (ii) our advisory relationships with the Westwood Funds® and (iii) our investments in InvestCloud Inc. ("InvestCloud"), Vista, Zarvona Energy Fund GP, Zarvona Energy Fund II-A, Westwood Engineered Beta ("WEBs") and the TXSE Group Inc. ("TXSE") as discussed in Note 6 </w:t>
      </w:r>
      <w:r>
        <w:rPr>
          <w:rFonts w:ascii="Times New Roman" w:cs="Times New Roman" w:eastAsia="Times New Roman" w:hAnsi="Times New Roman"/>
          <w:sz w:val="14"/>
          <w:szCs w:val="14"/>
          <w:color w:val="222222"/>
        </w:rPr>
        <w:t>“Investments”</w:t>
      </w:r>
      <w:r>
        <w:rPr>
          <w:rFonts w:ascii="Times New Roman" w:cs="Times New Roman" w:eastAsia="Times New Roman" w:hAnsi="Times New Roman"/>
          <w:sz w:val="14"/>
          <w:szCs w:val="14"/>
          <w:color w:val="auto"/>
        </w:rPr>
        <w:t xml:space="preserve"> to determine whether each of these entities is a variable interest entity ("VIE") or voting ownership entity (“VOE”).</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Based on our analyses, we determined that the CTFs, Private Funds, Zarvona Energy Fund II-A and WEBs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We have not consolidated our investments in those entities for the periods ending December 31, 2024 and 2023.</w:t>
      </w:r>
    </w:p>
    <w:p>
      <w:pPr>
        <w:spacing w:after="0" w:line="5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Based on our analyses, we determined the Westwood Funds®, InvestCloud, Vista, Zarvona Energy Fund GP and TXSE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December 31, 2024 and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liabilities, revenues and expenses in the financial statements. Such estimates include, but are not limited to, the Company's estimates in connection with values of long lived assets, provision for income tax, goodwill, intangible assets, contingent consideration and accrued expenses. Actual results could differ significantly from those estimates.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 which are held at large, well-capitalized financial institutions.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Accounts receivable represents balances arising from services provided to customers and are recorded on an accrual basis, net of any allowance for credit losses. Accounts receivable are written off when they are determined to be uncollectible. Any allowance for credit losses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credit losses, nor provision for credit losses.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Investments that are measured at fair market value are classified as "Investments at fair value"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51"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For an investment without a readily determinable fair value, the Company has elected to apply the measurement alternative of cost minus impairment, if any, adjusted for any observable price changes in orderly transactions for these investments.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94"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 xml:space="preserve">ASC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defines fair value as the price that would be received to sell an asset or paid to transfer a liability in an orderly transaction between market participants at the measurement date. We determined the estimated fair values of our financial instruments using available information. The fair value amounts discussed in Notes 6 “Investments” and 7 “Fair Value Measurements” are not necessarily indicative of either the amounts realizable upon disposition of these instruments or of our intent or ability to dispose of these assets. The estimated fair value of cash and cash equivalents, included in Level 1 of the fair value hierarchy as discussed in Note 7 "Fair Value Measurements", approximates their carrying value due to their short-term maturities. The carrying amount of investments designated as “trading” securities, primarily U.S. Government securities,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59" w:lineRule="exact"/>
        <w:rPr>
          <w:sz w:val="20"/>
          <w:szCs w:val="20"/>
          <w:color w:val="auto"/>
        </w:rPr>
      </w:pPr>
    </w:p>
    <w:p>
      <w:pPr>
        <w:ind w:right="540" w:firstLine="382"/>
        <w:spacing w:after="0" w:line="287" w:lineRule="auto"/>
        <w:rPr>
          <w:sz w:val="20"/>
          <w:szCs w:val="20"/>
          <w:color w:val="auto"/>
        </w:rPr>
      </w:pPr>
      <w:r>
        <w:rPr>
          <w:rFonts w:ascii="Times New Roman" w:cs="Times New Roman" w:eastAsia="Times New Roman" w:hAnsi="Times New Roman"/>
          <w:sz w:val="14"/>
          <w:szCs w:val="14"/>
          <w:color w:val="auto"/>
        </w:rPr>
        <w:t>Our investments in InvestCloud, Vista, WEBs and the TXSE Group Inc. ("TXSE") are measured at cost minus impairment, if any, adjusted for any observable price changes in orderly transactions for these investments.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investments in Westwood Hospitality and Westwood Energy Secondaries are measured at fair value using NAV as a practical expedient.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Intangible Assets</w:t>
      </w:r>
    </w:p>
    <w:p>
      <w:pPr>
        <w:spacing w:after="0" w:line="9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Goodwill represents the excess of the cost of acquired assets over the fair value of the underlying liabilities assumed at the date of acquisition. Goodwill is tested at least annually for impairment.</w:t>
      </w:r>
    </w:p>
    <w:p>
      <w:pPr>
        <w:spacing w:after="0" w:line="39"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 value; however, the loss recognized should not exceed the total amount of goodwill allocated to that reporting unit. The fair value of each reporting unit is estimated using a market multiple approach and an income approach.</w:t>
      </w:r>
    </w:p>
    <w:p>
      <w:pPr>
        <w:spacing w:after="0" w:line="64" w:lineRule="exact"/>
        <w:rPr>
          <w:sz w:val="20"/>
          <w:szCs w:val="20"/>
          <w:color w:val="auto"/>
        </w:rPr>
      </w:pPr>
    </w:p>
    <w:p>
      <w:pPr>
        <w:ind w:right="540" w:firstLine="382"/>
        <w:spacing w:after="0" w:line="287" w:lineRule="auto"/>
        <w:rPr>
          <w:sz w:val="20"/>
          <w:szCs w:val="20"/>
          <w:color w:val="auto"/>
        </w:rPr>
      </w:pPr>
      <w:r>
        <w:rPr>
          <w:rFonts w:ascii="Times New Roman" w:cs="Times New Roman" w:eastAsia="Times New Roman" w:hAnsi="Times New Roman"/>
          <w:sz w:val="14"/>
          <w:szCs w:val="14"/>
          <w:color w:val="auto"/>
        </w:rPr>
        <w:t>We completed our most recent annual goodwill impairment assessment during the third quarter of 2024, and determined that no goodwill impairment related to the Advisory and Trust segments was required. There was no goodwill impairment in either segment during the years ended December 31, 2024, 2023 or 2022.</w:t>
      </w:r>
    </w:p>
    <w:p>
      <w:pPr>
        <w:spacing w:after="0" w:line="39"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Our intangible assets represent the acquisition date fair value of the acquired client relationships, trade names, non-compete agreements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11 “Goodwill and Other Intangible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improvements, furniture and fixtures, computer hardware and most office equipment purchases. We include depreciation in the “General and administrative” line on our Consolidated Statements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net investment strategies. The "Other, net” revenues on our Consolidated Statements of Operations are the unrealized gains and losses on our seed money investments, and our seed money investments are included in "Investments at fair value" on our Consolidated Balance Sheets. Our seed money investments were $3.0 million at December 31, 2024 and 2023, respectively. Advisory and Trust fees are calculated based on a percentage of AUM and AUA, and the performance obligation is realized over the then-current calendar quarter. Once clients receive our investment advisory services we have an enforceable right to payment.</w:t>
      </w:r>
    </w:p>
    <w:p>
      <w:pPr>
        <w:spacing w:after="0" w:line="6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Incremental costs to obtain a contract are eligible to be capitalized if the costs are expected to be recovered over the service period. We incur certain incremental costs in obtaining new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 obtaining a contract as an expense when incurred if the amortization period of the asset that the entity otherwise would have recognized is one year or less.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 have issued restricted stock to certain U.S. employees and members of our Board of Directors (the "Board") in accordance with our Tenth Amended and Restated Westwood Holdings Group, Inc. Stock Incentive Plan (the “Plan”).</w:t>
      </w:r>
    </w:p>
    <w:p>
      <w:pPr>
        <w:spacing w:after="0" w:line="39"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 We account for restricted stock forfeitures as they occur.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We file a U. S. federal income tax return as a consolidated group for Westwood and its U.S.-based subsidiaries. Deferred income tax assets and liabilities are determined based on temporary differences between the financial statements and income tax bases of assets and liabilities as measured at enacted income tax rates.</w:t>
      </w:r>
    </w:p>
    <w:p>
      <w:pPr>
        <w:spacing w:after="0" w:line="39"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4"/>
          <w:szCs w:val="14"/>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58" w:lineRule="exact"/>
        <w:rPr>
          <w:sz w:val="20"/>
          <w:szCs w:val="20"/>
          <w:color w:val="auto"/>
        </w:rPr>
      </w:pPr>
    </w:p>
    <w:p>
      <w:pPr>
        <w:jc w:val="both"/>
        <w:ind w:right="300" w:firstLine="382"/>
        <w:spacing w:after="0" w:line="270" w:lineRule="auto"/>
        <w:rPr>
          <w:sz w:val="20"/>
          <w:szCs w:val="20"/>
          <w:color w:val="auto"/>
        </w:rPr>
      </w:pPr>
      <w:r>
        <w:rPr>
          <w:rFonts w:ascii="Times New Roman" w:cs="Times New Roman" w:eastAsia="Times New Roman" w:hAnsi="Times New Roman"/>
          <w:sz w:val="14"/>
          <w:szCs w:val="14"/>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Operations. See Note 9 “Income Taxes.”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We determine if an arrangement contains a lease at inception, and leases are classified as either operating or finance leases at the lease commencement date. An arrangement contains a lease if it implicitly or explicitly identifies an asset to be used and conveys the right to control the use of the identified asset in exchange for consideration.</w:t>
      </w:r>
    </w:p>
    <w:p>
      <w:pPr>
        <w:spacing w:after="0" w:line="39"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ROU assets and lease liabilities are recognized upon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commencement of the lease based on the present value of the lease payments over the lease term. As most of our leases do not provide an implicit interest rate, we generally use our estimated incremental borrowing rate at commencement date to determine the present value of lease payments. When readily determinable, we use the rate implicit in the lease.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lease terms may include options to extend or terminate the lease when it is reasonably certain that we will exercise that option.</w:t>
      </w:r>
    </w:p>
    <w:p>
      <w:pPr>
        <w:spacing w:after="0" w:line="94"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Lease expense for operating leases and short-term leases is recognized on a straight-line basis over the lease term. Expenses associated with operating leases are recorded in “General and administrative” expenses on our Consolidated Statements of Operations. Short-term leases with a term of 12 months or less are not capitalized.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 allocating the purchase price of a business combination, the Company records all assets acquired and liabilities assumed at fair value, with the excess of the purchase price over the aggregate fair values recorded as goodwill.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6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acquired client relationships, trade names and non-compete agreements are subject to fair value measurements based primarily on significant inputs not observable in the market and thus represent level 3 measurements. The valuation of an acquired client relationship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 from 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differential cash flow method (with-or-without method), which utilizes the probability of certain employees competing with the Company and revenue projections to calculate the valuation of non-competition agreements.</w:t>
      </w:r>
    </w:p>
    <w:p>
      <w:pPr>
        <w:spacing w:after="0" w:line="61"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4"/>
          <w:szCs w:val="14"/>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Operations. Contingent consideration payments, to the extent they relate to the estimated contingent consideration as of the date of acquisition, are classified within financing activities in the Consolidated Statements of Cash Flows. Contingent consideration payments in excess of the acquisition date contingent consideration liability are classified within operating activities.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96" w:lineRule="exact"/>
        <w:rPr>
          <w:sz w:val="20"/>
          <w:szCs w:val="20"/>
          <w:color w:val="auto"/>
        </w:rPr>
      </w:pPr>
    </w:p>
    <w:p>
      <w:pPr>
        <w:ind w:right="360" w:firstLine="382"/>
        <w:spacing w:after="0" w:line="264" w:lineRule="auto"/>
        <w:rPr>
          <w:sz w:val="20"/>
          <w:szCs w:val="20"/>
          <w:color w:val="auto"/>
        </w:rPr>
      </w:pPr>
      <w:r>
        <w:rPr>
          <w:rFonts w:ascii="Times New Roman" w:cs="Times New Roman" w:eastAsia="Times New Roman" w:hAnsi="Times New Roman"/>
          <w:sz w:val="14"/>
          <w:szCs w:val="14"/>
          <w:color w:val="auto"/>
        </w:rPr>
        <w:t>Investments in entities where we have the ability to exercise significant influence, but do not control, are accounted for under the equity method of accounting and are included in "Equity method investments" on our Consolidated Balance Sheets. Significant influence typically exists if we have a 20% to 50% ownership interest in the investee.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w:t>
      </w:r>
    </w:p>
    <w:p>
      <w:pPr>
        <w:spacing w:after="0" w:line="56"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Company’s proportionate share of the net income or loss of equity method investments is included in "Other income" on the Consolidated Statements of Operations, and any dividends received reduce the carrying value of the investment.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Reporting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6"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requires an entity to disclose significant segment expenses and other segment items on an annual and interim basis, and provide in interim periods all disclosures about a reportable segment’s profit or loss and assets that are currently required annually. Additionally, it requires an entity to disclose the title and position of the Chief Operating Decision Maker. This ASU does not change how an entity identifies its operating segments, aggregates them, or applies the quantitative thresholds to determine its reportable segments. We adopted this standard for the fiscal year 2024. See Note 5 "Segment Reporting" for our updated presentation.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w:t>
      </w:r>
    </w:p>
    <w:p>
      <w:pPr>
        <w:spacing w:after="0" w:line="9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focuses on the income tax rate reconciliation and income taxes paid. ASU 2023-09 requires an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impact our disclosures, with no impact to our results of operations, cash flows, or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Statement Reporting</w:t>
      </w:r>
    </w:p>
    <w:p>
      <w:pPr>
        <w:spacing w:after="0" w:line="92"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ASU 2024-03 requires public companies to disclose, in the notes to financial statements, specified information about certain costs and expenses at each interim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annual reporting period. The FASB further clarified the effective date in January 2025 with the issuance of ASU 2025-01,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Clarifying the Effective Date </w:t>
      </w:r>
      <w:r>
        <w:rPr>
          <w:rFonts w:ascii="Times New Roman" w:cs="Times New Roman" w:eastAsia="Times New Roman" w:hAnsi="Times New Roman"/>
          <w:sz w:val="14"/>
          <w:szCs w:val="14"/>
          <w:color w:val="auto"/>
        </w:rPr>
        <w:t>("ASU 2025-01"). ASU 2024-03 is effective for annual periods beginning after December 15, 2026, and interim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within annual reporting periods beginning after December 15, 2027, with early adoption permitted. The requirements should be applied on a prospective basis while retrospective application is permitted. We are in the process of analyzing the impact of this ASU on our consolidated financial statements.</w:t>
      </w:r>
    </w:p>
    <w:p>
      <w:pPr>
        <w:spacing w:after="0" w:line="57" w:lineRule="exact"/>
        <w:rPr>
          <w:sz w:val="20"/>
          <w:szCs w:val="20"/>
          <w:color w:val="auto"/>
        </w:rPr>
      </w:pPr>
    </w:p>
    <w:p>
      <w:pPr>
        <w:ind w:right="9260" w:firstLine="5"/>
        <w:spacing w:after="0" w:line="381" w:lineRule="auto"/>
        <w:tabs>
          <w:tab w:leader="none" w:pos="141"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 Broadmark</w:t>
      </w: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Westwood completed the Broadmark Acquisition in January 2023, increasing the Company's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39" w:lineRule="exact"/>
        <w:rPr>
          <w:sz w:val="20"/>
          <w:szCs w:val="20"/>
          <w:color w:val="auto"/>
        </w:rPr>
      </w:pPr>
    </w:p>
    <w:p>
      <w:pPr>
        <w:jc w:val="both"/>
        <w:ind w:right="180" w:firstLine="382"/>
        <w:spacing w:after="0" w:line="270" w:lineRule="auto"/>
        <w:rPr>
          <w:sz w:val="20"/>
          <w:szCs w:val="20"/>
          <w:color w:val="auto"/>
        </w:rPr>
      </w:pPr>
      <w:r>
        <w:rPr>
          <w:rFonts w:ascii="Times New Roman" w:cs="Times New Roman" w:eastAsia="Times New Roman" w:hAnsi="Times New Roman"/>
          <w:sz w:val="14"/>
          <w:szCs w:val="14"/>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allocation of the Broadmark Acquisition purchase price was as follows (in thousands):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6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consideration</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r>
      <w:tr>
        <w:trPr>
          <w:trHeight w:val="168"/>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acquired</w:t>
            </w: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r>
      <w:tr>
        <w:trPr>
          <w:trHeight w:val="163"/>
        </w:trPr>
        <w:tc>
          <w:tcPr>
            <w:tcW w:w="9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consideration, net of cash acquired</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w:t>
            </w:r>
          </w:p>
        </w:tc>
      </w:tr>
      <w:tr>
        <w:trPr>
          <w:trHeight w:val="202"/>
        </w:trPr>
        <w:tc>
          <w:tcPr>
            <w:tcW w:w="9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7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Westwood's investment in Broadmark before the business combination</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noncontrolling interest in Broadmark</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204"/>
        </w:trPr>
        <w:tc>
          <w:tcPr>
            <w:tcW w:w="9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69"/>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r>
      <w:tr>
        <w:trPr>
          <w:trHeight w:val="172"/>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160"/>
        </w:trPr>
        <w:tc>
          <w:tcPr>
            <w:tcW w:w="9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Identifiable Net Assets</w:t>
            </w: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84"/>
        </w:trPr>
        <w:tc>
          <w:tcPr>
            <w:tcW w:w="9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r>
    </w:tbl>
    <w:p>
      <w:pPr>
        <w:spacing w:after="0" w:line="14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Westwood recognized approximately $1.0 million of a noncontrolling interest in a consolidated subsidiary at the acquisition date. Fair value of this interest was estimated using recent market transactions.</w:t>
      </w:r>
    </w:p>
    <w:p>
      <w:pPr>
        <w:spacing w:after="0" w:line="3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will not be deductible for tax purposes.</w:t>
      </w:r>
    </w:p>
    <w:p>
      <w:pPr>
        <w:spacing w:after="0" w:line="219" w:lineRule="exact"/>
        <w:rPr>
          <w:sz w:val="20"/>
          <w:szCs w:val="20"/>
          <w:color w:val="auto"/>
        </w:rPr>
      </w:pPr>
    </w:p>
    <w:p>
      <w:pPr>
        <w:ind w:right="140" w:firstLine="382"/>
        <w:spacing w:after="0" w:line="379" w:lineRule="auto"/>
        <w:rPr>
          <w:sz w:val="20"/>
          <w:szCs w:val="20"/>
          <w:color w:val="auto"/>
        </w:rPr>
      </w:pPr>
      <w:r>
        <w:rPr>
          <w:rFonts w:ascii="Times New Roman" w:cs="Times New Roman" w:eastAsia="Times New Roman" w:hAnsi="Times New Roman"/>
          <w:sz w:val="14"/>
          <w:szCs w:val="14"/>
          <w:color w:val="auto"/>
        </w:rPr>
        <w:t xml:space="preserve">For the year ended December 31, 2023, the Company has included $4.4 million of revenue and $4.1 million of net income related to Broadmark in its Consolidated Statements of Operations. </w:t>
      </w:r>
      <w:r>
        <w:rPr>
          <w:rFonts w:ascii="Times New Roman" w:cs="Times New Roman" w:eastAsia="Times New Roman" w:hAnsi="Times New Roman"/>
          <w:sz w:val="14"/>
          <w:szCs w:val="14"/>
          <w:b w:val="1"/>
          <w:bCs w:val="1"/>
          <w:color w:val="auto"/>
        </w:rPr>
        <w:t>Pro Forma Financial Information</w:t>
      </w:r>
    </w:p>
    <w:p>
      <w:pPr>
        <w:spacing w:after="0" w:line="1"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results of operations for the years ended December 31, 2023 and 2022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040" w:type="dxa"/>
            <w:vAlign w:val="bottom"/>
            <w:tcBorders>
              <w:bottom w:val="single" w:sz="8" w:color="auto"/>
            </w:tcBorders>
          </w:tcPr>
          <w:p>
            <w:pPr>
              <w:spacing w:after="0"/>
              <w:rPr>
                <w:sz w:val="14"/>
                <w:szCs w:val="14"/>
                <w:color w:val="auto"/>
              </w:rPr>
            </w:pPr>
          </w:p>
        </w:tc>
      </w:tr>
      <w:tr>
        <w:trPr>
          <w:trHeight w:val="16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6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89,781</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73,058</w:t>
            </w:r>
          </w:p>
        </w:tc>
      </w:tr>
      <w:tr>
        <w:trPr>
          <w:trHeight w:val="165"/>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10,571</w:t>
            </w:r>
          </w:p>
        </w:tc>
        <w:tc>
          <w:tcPr>
            <w:tcW w:w="78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Salient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completed the Salient Acquisition on November 18, 2022. The total consideration recorded for accounting purposes consisted of (i) $33.4 million in cash (net of cash acquired) and</w:t>
      </w:r>
    </w:p>
    <w:p>
      <w:pPr>
        <w:spacing w:after="0" w:line="23" w:lineRule="exact"/>
        <w:rPr>
          <w:sz w:val="20"/>
          <w:szCs w:val="20"/>
          <w:color w:val="auto"/>
        </w:rPr>
      </w:pPr>
    </w:p>
    <w:p>
      <w:pPr>
        <w:ind w:right="260" w:firstLine="5"/>
        <w:spacing w:after="0" w:line="266" w:lineRule="auto"/>
        <w:tabs>
          <w:tab w:leader="none" w:pos="2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contingent consideration of $12.9 million. For the year ended December 31, 2022, the Company included $3.1 million of revenue and $0.1 million of net loss related to Salient in its Consolidated Statements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Salient Acquisition Contingent Consideration</w:t>
      </w:r>
    </w:p>
    <w:p>
      <w:pPr>
        <w:spacing w:after="0" w:line="96"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As part of the Salient Acquisition, the Company agreed to pay additional consideration based on specified financial milestones being met in 2024 and 2025. In the year ended December 31, 2024, the Company paid contingent consideration of $10.4 million for the revenue retention earn-out. Additional amounts earned will be paid in 2025 and are recorded as a liability on the Consolidated Balance Sheets.</w:t>
      </w:r>
    </w:p>
    <w:p>
      <w:pPr>
        <w:spacing w:after="0" w:line="51"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contingent consideration liability is classified as Level 3 in the fair value hierarchy and revalued quarterly. See Note 7, "Fair Value Measurements," for additional information related to the fair value measurement of the contingent consideration.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 Forma Financial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The following unaudited pro forma results of operations for the twelve months ended December 31, 2022 assume the Salient Acquisition had occurred on January 1, 2021, after giving effect to acquisition accounting adjustments relating to amortization of the valued intangible assets and to record additional compensation costs related to restricted stock granted as a result of the acquisition. These unaudited pro forma results exclude one-time, non-recurring costs related to the acquisition, including $7.1 million of acquisition expenses in 2022. This unaudited pro forma information should not be relied upon as being necessarily indicative of the historical results that would have been obtained if the Salient Acquisition had actually occurred on that date, nor of the results that may be obtained in the future.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r>
      <w:tr>
        <w:trPr>
          <w:trHeight w:val="16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95,094</w:t>
            </w:r>
          </w:p>
        </w:tc>
      </w:tr>
      <w:tr>
        <w:trPr>
          <w:trHeight w:val="165"/>
        </w:trPr>
        <w:tc>
          <w:tcPr>
            <w:tcW w:w="9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r>
    </w:tbl>
    <w:p>
      <w:pPr>
        <w:spacing w:after="0" w:line="338" w:lineRule="exact"/>
        <w:rPr>
          <w:sz w:val="20"/>
          <w:szCs w:val="20"/>
          <w:color w:val="auto"/>
        </w:rPr>
      </w:pPr>
    </w:p>
    <w:p>
      <w:pPr>
        <w:ind w:right="9860" w:firstLine="5"/>
        <w:spacing w:after="0" w:line="381" w:lineRule="auto"/>
        <w:tabs>
          <w:tab w:leader="none" w:pos="141"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Advisory Fee Revenues</w:t>
      </w: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58" w:lineRule="exact"/>
        <w:rPr>
          <w:sz w:val="20"/>
          <w:szCs w:val="20"/>
          <w:color w:val="auto"/>
        </w:rPr>
      </w:pPr>
    </w:p>
    <w:p>
      <w:pPr>
        <w:ind w:right="280" w:firstLine="382"/>
        <w:spacing w:after="0" w:line="270" w:lineRule="auto"/>
        <w:rPr>
          <w:sz w:val="20"/>
          <w:szCs w:val="20"/>
          <w:color w:val="auto"/>
        </w:rPr>
      </w:pPr>
      <w:r>
        <w:rPr>
          <w:rFonts w:ascii="Times New Roman" w:cs="Times New Roman" w:eastAsia="Times New Roman" w:hAnsi="Times New Roman"/>
          <w:sz w:val="14"/>
          <w:szCs w:val="14"/>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51"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Arrangements with Performance-Based Obligations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51"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 Fee Revenues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Since billing periods for most of Westwood Trust’s clients coincide with the calendar quarter, revenue is fully recognized within the quarter and our Consolidated Financial Statements contain no deferred fee revenues.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Disaggregated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Sales taxes are excluded from revenues. The following table presents our revenue disaggregated by account type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Advisory Fees: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Institutional</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39,967</w:t>
            </w:r>
          </w:p>
        </w:tc>
        <w:tc>
          <w:tcPr>
            <w:tcW w:w="36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Mutual Funds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Wealth Management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Fees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7"/>
            <w:vMerge w:val="restart"/>
          </w:tcPr>
          <w:p>
            <w:pPr>
              <w:ind w:left="380"/>
              <w:spacing w:after="0"/>
              <w:rPr>
                <w:sz w:val="20"/>
                <w:szCs w:val="20"/>
                <w:color w:val="auto"/>
              </w:rPr>
            </w:pPr>
            <w:r>
              <w:rPr>
                <w:rFonts w:ascii="Times New Roman" w:cs="Times New Roman" w:eastAsia="Times New Roman" w:hAnsi="Times New Roman"/>
                <w:sz w:val="14"/>
                <w:szCs w:val="14"/>
                <w:color w:val="auto"/>
              </w:rPr>
              <w:t>The following table presents our revenue disaggregated by our clients' geographical locations (in thousands):</w:t>
            </w: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78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16"/>
                <w:szCs w:val="16"/>
                <w:color w:val="auto"/>
              </w:rPr>
            </w:pPr>
          </w:p>
        </w:tc>
        <w:tc>
          <w:tcPr>
            <w:tcW w:w="162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16"/>
                <w:szCs w:val="16"/>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68,738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93,704</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24"/>
                <w:szCs w:val="24"/>
                <w:color w:val="auto"/>
              </w:rPr>
            </w:pPr>
          </w:p>
        </w:tc>
        <w:tc>
          <w:tcPr>
            <w:tcW w:w="162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66,286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88,676</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24"/>
                <w:szCs w:val="24"/>
                <w:color w:val="auto"/>
              </w:rPr>
            </w:pPr>
          </w:p>
        </w:tc>
        <w:tc>
          <w:tcPr>
            <w:tcW w:w="162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45,514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67,510</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68,681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SEGMENT REPORTING:</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39"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The Company adopted ASU 2023-07 during the year ended December 31, 2024. The Company's Chief Operating Decision Maker ("CODM"), our Chief Executive Officer, evaluates the performance of our segments based primarily on fee revenues.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Advisory</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which are included in our Advisory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that it sponsors to institutions and high net worth individuals. Westwood Trust is included in our Trust segment.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Advisory</w:t>
            </w:r>
          </w:p>
        </w:tc>
        <w:tc>
          <w:tcPr>
            <w:tcW w:w="26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Trust</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Westwood</w:t>
            </w:r>
          </w:p>
        </w:tc>
        <w:tc>
          <w:tcPr>
            <w:tcW w:w="18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60" w:type="dxa"/>
            <w:vAlign w:val="bottom"/>
          </w:tcPr>
          <w:p>
            <w:pPr>
              <w:spacing w:after="0"/>
              <w:rPr>
                <w:sz w:val="11"/>
                <w:szCs w:val="11"/>
                <w:color w:val="auto"/>
              </w:rPr>
            </w:pPr>
          </w:p>
        </w:tc>
        <w:tc>
          <w:tcPr>
            <w:tcW w:w="102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Holdings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93,052</w:t>
            </w:r>
          </w:p>
        </w:tc>
        <w:tc>
          <w:tcPr>
            <w:tcW w:w="0" w:type="dxa"/>
            <w:vAlign w:val="bottom"/>
          </w:tcPr>
          <w:p>
            <w:pPr>
              <w:spacing w:after="0"/>
              <w:rPr>
                <w:sz w:val="1"/>
                <w:szCs w:val="1"/>
                <w:color w:val="auto"/>
              </w:rPr>
            </w:pPr>
          </w:p>
        </w:tc>
      </w:tr>
      <w:tr>
        <w:trPr>
          <w:trHeight w:val="168"/>
        </w:trPr>
        <w:tc>
          <w:tcPr>
            <w:tcW w:w="4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revenue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0" w:type="dxa"/>
            <w:vAlign w:val="bottom"/>
          </w:tcPr>
          <w:p>
            <w:pPr>
              <w:spacing w:after="0"/>
              <w:rPr>
                <w:sz w:val="1"/>
                <w:szCs w:val="1"/>
                <w:color w:val="auto"/>
              </w:rPr>
            </w:pPr>
          </w:p>
        </w:tc>
      </w:tr>
      <w:tr>
        <w:trPr>
          <w:trHeight w:val="158"/>
        </w:trPr>
        <w:tc>
          <w:tcPr>
            <w:tcW w:w="4900" w:type="dxa"/>
            <w:vAlign w:val="bottom"/>
          </w:tcPr>
          <w:p>
            <w:pPr>
              <w:ind w:left="44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78,776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17,605</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(18,124)</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149,989</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goodwill</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1"/>
        </w:trPr>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68,656</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89,247</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revenue</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63"/>
        </w:trPr>
        <w:tc>
          <w:tcPr>
            <w:tcW w:w="4900" w:type="dxa"/>
            <w:vAlign w:val="bottom"/>
            <w:tcBorders>
              <w:top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75,460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10,571</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assets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285,179</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14,256</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(191,022)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155,167</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goodwill</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69,389</w:t>
            </w:r>
          </w:p>
        </w:tc>
        <w:tc>
          <w:tcPr>
            <w:tcW w:w="0" w:type="dxa"/>
            <w:vAlign w:val="bottom"/>
          </w:tcPr>
          <w:p>
            <w:pPr>
              <w:spacing w:after="0"/>
              <w:rPr>
                <w:sz w:val="1"/>
                <w:szCs w:val="1"/>
                <w:color w:val="auto"/>
              </w:rPr>
            </w:pPr>
          </w:p>
        </w:tc>
      </w:tr>
      <w:tr>
        <w:trPr>
          <w:trHeight w:val="168"/>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revenue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0" w:type="dxa"/>
            <w:vAlign w:val="bottom"/>
          </w:tcPr>
          <w:p>
            <w:pPr>
              <w:spacing w:after="0"/>
              <w:rPr>
                <w:sz w:val="1"/>
                <w:szCs w:val="1"/>
                <w:color w:val="auto"/>
              </w:rPr>
            </w:pPr>
          </w:p>
        </w:tc>
      </w:tr>
      <w:tr>
        <w:trPr>
          <w:trHeight w:val="158"/>
        </w:trPr>
        <w:tc>
          <w:tcPr>
            <w:tcW w:w="490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49,075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68,681</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11,062</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(16,695)</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146,427</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goodwill</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19,331</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35,732</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6,574</w:t>
            </w:r>
          </w:p>
        </w:tc>
        <w:tc>
          <w:tcPr>
            <w:tcW w:w="0" w:type="dxa"/>
            <w:vAlign w:val="bottom"/>
          </w:tcPr>
          <w:p>
            <w:pPr>
              <w:spacing w:after="0"/>
              <w:rPr>
                <w:sz w:val="1"/>
                <w:szCs w:val="1"/>
                <w:color w:val="auto"/>
              </w:rPr>
            </w:pPr>
          </w:p>
        </w:tc>
      </w:tr>
      <w:tr>
        <w:trPr>
          <w:trHeight w:val="165"/>
        </w:trPr>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information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Note 4, “Revenue” for our revenue disaggregated by our clients' geographical locations. As of December 31, 2024 and 2023, all of our property and equipment was in the United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States.</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6. 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investments consist of the following (in thousands):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Investments under measurement alternative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Investments at Fair Value</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Investments carried at fair value are presented in the table below (in thousands):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160" w:type="dxa"/>
            <w:vAlign w:val="bottom"/>
          </w:tcPr>
          <w:p>
            <w:pPr>
              <w:spacing w:after="0"/>
              <w:rPr>
                <w:sz w:val="13"/>
                <w:szCs w:val="13"/>
                <w:color w:val="auto"/>
              </w:rPr>
            </w:pPr>
          </w:p>
        </w:tc>
        <w:tc>
          <w:tcPr>
            <w:tcW w:w="500" w:type="dxa"/>
            <w:vAlign w:val="bottom"/>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42,691</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44,446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680" w:type="dxa"/>
            <w:vAlign w:val="bottom"/>
          </w:tcPr>
          <w:p>
            <w:pPr>
              <w:spacing w:after="0"/>
              <w:rPr>
                <w:sz w:val="24"/>
                <w:szCs w:val="24"/>
                <w:color w:val="auto"/>
              </w:rPr>
            </w:pPr>
          </w:p>
        </w:tc>
        <w:tc>
          <w:tcPr>
            <w:tcW w:w="1200" w:type="dxa"/>
            <w:vAlign w:val="bottom"/>
            <w:gridSpan w:val="2"/>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0" w:type="dxa"/>
            <w:vAlign w:val="bottom"/>
            <w:gridSpan w:val="2"/>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500" w:type="dxa"/>
            <w:vAlign w:val="bottom"/>
          </w:tcPr>
          <w:p>
            <w:pPr>
              <w:spacing w:after="0"/>
              <w:rPr>
                <w:sz w:val="24"/>
                <w:szCs w:val="24"/>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0" w:type="dxa"/>
            <w:vAlign w:val="bottom"/>
            <w:gridSpan w:val="2"/>
          </w:tcPr>
          <w:p>
            <w:pPr>
              <w:jc w:val="center"/>
              <w:ind w:left="17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200" w:type="dxa"/>
            <w:vAlign w:val="bottom"/>
            <w:gridSpan w:val="2"/>
          </w:tcPr>
          <w:p>
            <w:pPr>
              <w:jc w:val="center"/>
              <w:ind w:left="29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500" w:type="dxa"/>
            <w:vAlign w:val="bottom"/>
          </w:tcPr>
          <w:p>
            <w:pPr>
              <w:spacing w:after="0"/>
              <w:rPr>
                <w:sz w:val="11"/>
                <w:szCs w:val="11"/>
                <w:color w:val="auto"/>
              </w:rPr>
            </w:pPr>
          </w:p>
        </w:tc>
        <w:tc>
          <w:tcPr>
            <w:tcW w:w="92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7"/>
        </w:trPr>
        <w:tc>
          <w:tcPr>
            <w:tcW w:w="680" w:type="dxa"/>
            <w:vAlign w:val="bottom"/>
            <w:vMerge w:val="continue"/>
          </w:tcPr>
          <w:p>
            <w:pPr>
              <w:spacing w:after="0"/>
              <w:rPr>
                <w:sz w:val="14"/>
                <w:szCs w:val="14"/>
                <w:color w:val="auto"/>
              </w:rPr>
            </w:pPr>
          </w:p>
        </w:tc>
        <w:tc>
          <w:tcPr>
            <w:tcW w:w="1200" w:type="dxa"/>
            <w:vAlign w:val="bottom"/>
            <w:gridSpan w:val="2"/>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200" w:type="dxa"/>
            <w:vAlign w:val="bottom"/>
            <w:gridSpan w:val="2"/>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500" w:type="dxa"/>
            <w:vAlign w:val="bottom"/>
          </w:tcPr>
          <w:p>
            <w:pPr>
              <w:spacing w:after="0"/>
              <w:rPr>
                <w:sz w:val="14"/>
                <w:szCs w:val="14"/>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60" w:space="720"/>
            <w:col w:w="450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1"/>
        </w:trPr>
        <w:tc>
          <w:tcPr>
            <w:tcW w:w="63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trading securities</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w:t>
            </w: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w:t>
            </w:r>
          </w:p>
        </w:tc>
      </w:tr>
      <w:tr>
        <w:trPr>
          <w:trHeight w:val="196"/>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22,461</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71"/>
        </w:trPr>
        <w:tc>
          <w:tcPr>
            <w:tcW w:w="63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trading securities</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32,717</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32,674</w:t>
            </w: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Private investment fund</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96"/>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Investments Under Measurement Alternative</w:t>
      </w:r>
    </w:p>
    <w:p>
      <w:pPr>
        <w:spacing w:after="0" w:line="94"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Our investments in InvestCloud, Vista, WEBs and TXSE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WEBs is allocated using the relative fair value method between preferred stock and a call option. No impairments of these investments were recorded during the years ended December 31, 2024, 2023 or 2022. Balances are shown below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6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InvestCloud</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Vista</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 - preferred stock</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 - call option</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TXSE</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investments under measurement alternative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10,747</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7,247</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Method Investments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These investments represent ownership interests in non-controlled partnerships and are measured based on our share of the net earnings or losses of the investee. Investment balances are included in “Equity method investments” on our Consolidated Balance Sheets and income and expenses are included in our Consolidated Statements of Operations under "Other income." Balances are shown below (in thousands):</w:t>
      </w:r>
    </w:p>
    <w:p>
      <w:pPr>
        <w:sectPr>
          <w:pgSz w:w="11900" w:h="16838" w:orient="portrait"/>
          <w:cols w:equalWidth="0" w:num="1">
            <w:col w:w="11280"/>
          </w:cols>
          <w:pgMar w:left="300" w:top="123" w:right="319" w:bottom="1440" w:gutter="0" w:footer="0" w:header="0"/>
        </w:sectPr>
      </w:pP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13970</wp:posOffset>
            </wp:positionV>
            <wp:extent cx="212915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666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13970</wp:posOffset>
            </wp:positionV>
            <wp:extent cx="212915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38" w:lineRule="exact"/>
        <w:rPr>
          <w:sz w:val="20"/>
          <w:szCs w:val="20"/>
          <w:color w:val="auto"/>
        </w:rPr>
      </w:pPr>
    </w:p>
    <w:p>
      <w:pPr>
        <w:sectPr>
          <w:pgSz w:w="11900" w:h="16838" w:orient="portrait"/>
          <w:cols w:equalWidth="0" w:num="2">
            <w:col w:w="7600" w:space="720"/>
            <w:col w:w="296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55"/>
        </w:trPr>
        <w:tc>
          <w:tcPr>
            <w:tcW w:w="45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Zarvona Energy Fund GP , L.P .</w:t>
            </w:r>
          </w:p>
        </w:tc>
        <w:tc>
          <w:tcPr>
            <w:tcW w:w="660" w:type="dxa"/>
            <w:vAlign w:val="bottom"/>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3,524</w:t>
            </w:r>
          </w:p>
        </w:tc>
        <w:tc>
          <w:tcPr>
            <w:tcW w:w="2500" w:type="dxa"/>
            <w:vAlign w:val="bottom"/>
            <w:gridSpan w:val="3"/>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rPr>
              <w:t>50.0 %  $</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3,565</w:t>
            </w:r>
          </w:p>
        </w:tc>
        <w:tc>
          <w:tcPr>
            <w:tcW w:w="1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50.0 %</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Zarvona Energy Fund II-A, L.P .</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Salient MLP Total Return Fund, L.P.</w:t>
            </w: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5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Salient MLP Total Return TE Fund, L.P.</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6"/>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equity method investments</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35" w:lineRule="exact"/>
        <w:rPr>
          <w:sz w:val="20"/>
          <w:szCs w:val="20"/>
          <w:color w:val="auto"/>
        </w:rPr>
      </w:pPr>
    </w:p>
    <w:p>
      <w:pPr>
        <w:ind w:right="140" w:firstLine="382"/>
        <w:spacing w:after="0" w:line="278" w:lineRule="auto"/>
        <w:rPr>
          <w:sz w:val="20"/>
          <w:szCs w:val="20"/>
          <w:color w:val="auto"/>
        </w:rPr>
      </w:pPr>
      <w:r>
        <w:rPr>
          <w:rFonts w:ascii="Times New Roman" w:cs="Times New Roman" w:eastAsia="Times New Roman" w:hAnsi="Times New Roman"/>
          <w:sz w:val="14"/>
          <w:szCs w:val="14"/>
          <w:color w:val="auto"/>
        </w:rPr>
        <w:t>The following amounts represent income from all investments, except for income tax amounts and equity method investments, and are included in our Consolidated Statements of Operations under the headings “Other revenues, net," "Net change in unrealized appreciation (depreciation) on private investments," or "Net investment income (loss)" (in thousands):</w:t>
      </w: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6"/>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60" w:type="dxa"/>
            <w:vAlign w:val="bottom"/>
          </w:tcPr>
          <w:p>
            <w:pPr>
              <w:spacing w:after="0"/>
              <w:rPr>
                <w:sz w:val="14"/>
                <w:szCs w:val="14"/>
                <w:color w:val="auto"/>
              </w:rPr>
            </w:pPr>
          </w:p>
        </w:tc>
      </w:tr>
      <w:tr>
        <w:trPr>
          <w:trHeight w:val="183"/>
        </w:trPr>
        <w:tc>
          <w:tcPr>
            <w:tcW w:w="76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Realized losses</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from gains (losses)</w:t>
            </w:r>
          </w:p>
        </w:tc>
        <w:tc>
          <w:tcPr>
            <w:tcW w:w="7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 trading</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7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gains/(losses)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9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ASC 820 defines fair value, establishes a framework for measuring fair value and requires additional disclosures regarding certain fair value measurements. ASC 820 establishes a three-tier hierarchy for measuring fair value, as follows:</w:t>
      </w:r>
    </w:p>
    <w:p>
      <w:pPr>
        <w:spacing w:after="0" w:line="82" w:lineRule="exact"/>
        <w:rPr>
          <w:sz w:val="20"/>
          <w:szCs w:val="20"/>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market prices in active markets for identical assets and liabilities</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quoted prices that are directly or indirectly observable</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where there is little or no market activity</w:t>
      </w:r>
    </w:p>
    <w:p>
      <w:pPr>
        <w:spacing w:after="0" w:line="9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Our investments in InvestCloud, Vista, WEBs and TXSE, discussed in Note 6 "Investments" are excluded from the recurring fair value table shown below, as we have elected to apply the measurement alternative for those investments.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assets and liabilities measured at fair value on a recurring basis, as of the dates indicated within the fair value hierarchy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Measured at NAV </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trading securities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71"/>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27,694</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Salient Acquisition contingent consideration</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0" w:type="dxa"/>
            <w:vAlign w:val="bottom"/>
          </w:tcPr>
          <w:p>
            <w:pPr>
              <w:spacing w:after="0"/>
              <w:rPr>
                <w:sz w:val="1"/>
                <w:szCs w:val="1"/>
                <w:color w:val="auto"/>
              </w:rPr>
            </w:pPr>
          </w:p>
        </w:tc>
      </w:tr>
      <w:tr>
        <w:trPr>
          <w:trHeight w:val="171"/>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trading securities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32,674</w:t>
            </w: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investment fund</w:t>
            </w: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Salient Acquisition contingent consideration</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tcBorders>
              <w:top w:val="single" w:sz="8" w:color="CCEEFF"/>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ind w:left="8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10,133</w:t>
            </w:r>
          </w:p>
        </w:tc>
        <w:tc>
          <w:tcPr>
            <w:tcW w:w="1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172"/>
        </w:trPr>
        <w:tc>
          <w:tcPr>
            <w:tcW w:w="4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bl>
    <w:p>
      <w:pPr>
        <w:ind w:left="220" w:right="80" w:hanging="201"/>
        <w:spacing w:after="0" w:line="203" w:lineRule="auto"/>
        <w:tabs>
          <w:tab w:leader="none" w:pos="157"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certain investments measured at fair value using NAV as a practical expedient. The fair value amounts presented in this table are intended to allow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-177800</wp:posOffset>
            </wp:positionV>
            <wp:extent cx="421767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17670" cy="6985"/>
                    </a:xfrm>
                    <a:prstGeom prst="rect">
                      <a:avLst/>
                    </a:prstGeom>
                    <a:noFill/>
                  </pic:spPr>
                </pic:pic>
              </a:graphicData>
            </a:graphic>
          </wp:anchor>
        </w:drawing>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Level 3 liabilities measured at fair value on a recurring basis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61"/>
        </w:trPr>
        <w:tc>
          <w:tcPr>
            <w:tcW w:w="8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(gains) losses included in earnings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r>
      <w:tr>
        <w:trPr>
          <w:trHeight w:val="17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10,133</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December 31, 2024 contingent consideration fair value of $4.7 million was valued based upon updated revenues, revenue growth projections and financial inputs.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contingent consideration related to the revenue retention earn-out is based on a remaining final payment.</w:t>
      </w:r>
    </w:p>
    <w:p>
      <w:pPr>
        <w:spacing w:after="0" w:line="94"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4"/>
          <w:szCs w:val="14"/>
          <w:color w:val="auto"/>
        </w:rPr>
        <w:t>The fair value of contingent consideration related to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 Fluctuations in any of the inputs may result in a significantly lower or higher fair value measurement. The following table represents the range of the unobservable inputs utilized in the December 31, 2024 fair value measurement of the growth earn-out contingent consideration classified as level 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360" w:type="dxa"/>
            <w:vAlign w:val="bottom"/>
          </w:tcPr>
          <w:p>
            <w:pPr>
              <w:spacing w:after="0"/>
              <w:rPr>
                <w:sz w:val="14"/>
                <w:szCs w:val="14"/>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Earn-out</w:t>
            </w:r>
          </w:p>
        </w:tc>
        <w:tc>
          <w:tcPr>
            <w:tcW w:w="246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880" w:type="dxa"/>
            <w:vAlign w:val="bottom"/>
            <w:tcBorders>
              <w:top w:val="single" w:sz="8" w:color="auto"/>
            </w:tcBorders>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High</w:t>
            </w:r>
          </w:p>
        </w:tc>
        <w:tc>
          <w:tcPr>
            <w:tcW w:w="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 Average Rate</w:t>
            </w:r>
          </w:p>
        </w:tc>
      </w:tr>
      <w:tr>
        <w:trPr>
          <w:trHeight w:val="17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Growth earn-out</w:t>
            </w: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4"/>
                <w:szCs w:val="14"/>
                <w:color w:val="auto"/>
                <w:w w:val="95"/>
              </w:rPr>
              <w:t>7.0%</w:t>
            </w: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7.25%</w:t>
            </w:r>
          </w:p>
        </w:tc>
      </w:tr>
      <w:tr>
        <w:trPr>
          <w:trHeight w:val="184"/>
        </w:trPr>
        <w:tc>
          <w:tcPr>
            <w:tcW w:w="394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tcPr>
          <w:p>
            <w:pPr>
              <w:jc w:val="center"/>
              <w:ind w:left="212"/>
              <w:spacing w:after="0"/>
              <w:rPr>
                <w:sz w:val="20"/>
                <w:szCs w:val="20"/>
                <w:color w:val="auto"/>
              </w:rPr>
            </w:pPr>
            <w:r>
              <w:rPr>
                <w:rFonts w:ascii="Times New Roman" w:cs="Times New Roman" w:eastAsia="Times New Roman" w:hAnsi="Times New Roman"/>
                <w:sz w:val="14"/>
                <w:szCs w:val="14"/>
                <w:color w:val="auto"/>
                <w:w w:val="95"/>
              </w:rPr>
              <w:t>1.9%</w:t>
            </w:r>
          </w:p>
        </w:tc>
        <w:tc>
          <w:tcPr>
            <w:tcW w:w="156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6.90%</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6" w:lineRule="exact"/>
        <w:rPr>
          <w:sz w:val="20"/>
          <w:szCs w:val="20"/>
          <w:color w:val="auto"/>
        </w:rPr>
      </w:pPr>
    </w:p>
    <w:p>
      <w:pPr>
        <w:ind w:right="9540" w:firstLine="5"/>
        <w:spacing w:after="0" w:line="381" w:lineRule="auto"/>
        <w:tabs>
          <w:tab w:leader="none" w:pos="141"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BENEFITS: Restricted Stock Awards</w:t>
      </w: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We have issued restricted shares to certain employees and non-employee directors. The Tenth Amended and Restated Westwood Holdings Group, Inc. Stock Incentive Plan ("the Plan") reserves shares of Westwood common stock for issuance to eligible employees, directors and consultants of Westwood or its subsidiaries in the form of restricted stock and stock options. In May 2024, stockholders approved an additional 500,000 shares to be authorized under the Plan, increasing the total number of shares issuable under the Plan (including predecessor plans to the Plan) to 6,748,100 shares. In the event of a change in control of Westwood, the Plan contains provisions providing for the acceleration of the vesting of restricted stock. At December 31, 2024, approximately 829,000 shares remain available for issuance under the Plan.</w:t>
      </w:r>
    </w:p>
    <w:p>
      <w:pPr>
        <w:spacing w:after="0" w:line="58" w:lineRule="exact"/>
        <w:rPr>
          <w:sz w:val="20"/>
          <w:szCs w:val="20"/>
          <w:color w:val="auto"/>
        </w:rPr>
      </w:pPr>
    </w:p>
    <w:p>
      <w:pPr>
        <w:ind w:right="500" w:firstLine="382"/>
        <w:spacing w:after="0" w:line="286" w:lineRule="auto"/>
        <w:rPr>
          <w:sz w:val="20"/>
          <w:szCs w:val="20"/>
          <w:color w:val="auto"/>
        </w:rPr>
      </w:pPr>
      <w:r>
        <w:rPr>
          <w:rFonts w:ascii="Times New Roman" w:cs="Times New Roman" w:eastAsia="Times New Roman" w:hAnsi="Times New Roman"/>
          <w:sz w:val="14"/>
          <w:szCs w:val="14"/>
          <w:color w:val="auto"/>
        </w:rPr>
        <w:t>The following table presents the total stock-based compensation expense recorded and the total income tax benefit recognized for stock-based compensation arrangements for the years indicated (in thousands):</w:t>
      </w: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condition restricted stock expense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w:t>
            </w: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expense</w:t>
            </w:r>
          </w:p>
        </w:tc>
        <w:tc>
          <w:tcPr>
            <w:tcW w:w="7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76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income tax benefit recognized related to stock-based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760" w:type="dxa"/>
            <w:vAlign w:val="bottom"/>
          </w:tcPr>
          <w:p>
            <w:pPr>
              <w:jc w:val="right"/>
              <w:ind w:right="614"/>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2"/>
                <w:szCs w:val="12"/>
                <w:color w:val="auto"/>
              </w:rPr>
            </w:pPr>
          </w:p>
        </w:tc>
        <w:tc>
          <w:tcPr>
            <w:tcW w:w="260" w:type="dxa"/>
            <w:vAlign w:val="bottom"/>
          </w:tcPr>
          <w:p>
            <w:pPr>
              <w:jc w:val="right"/>
              <w:ind w:right="11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2"/>
                <w:szCs w:val="12"/>
                <w:color w:val="auto"/>
              </w:rPr>
            </w:pPr>
          </w:p>
        </w:tc>
        <w:tc>
          <w:tcPr>
            <w:tcW w:w="340" w:type="dxa"/>
            <w:vAlign w:val="bottom"/>
          </w:tcPr>
          <w:p>
            <w:pPr>
              <w:jc w:val="right"/>
              <w:ind w:right="19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672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Under the Plan, we have granted to certain employees and non-employee directors restricted stock subject to service conditions and to certain key employees restricted stock subject to both service and performance conditions. As of December 31, 2024, there was approximately $7.1 million of unrecognized compensation cost for restricted stock grants under the Plan, which we expect to recognize over a weighted-average period of 1.9 years. In order to satisfy tax liabilities that employees will owe on shares that vest, we may withhold a sufficient number of vested shares from employees on the date vesting occurs to cover minimum tax withholding requirements. We withheld 78,302 shares in 2024 for this purpose. Our restricted stock grants subject only to a service condition are discussed below. Restricted stock subject to service and performance conditions are not discussed as the activity in the years ended December 31, 2024, 2023 and 2022 was insignificant.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Subject Only to a Service Condition</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2024, 2023 and 2022, we granted restricted stock to certain employees and non-employee directors. Employee shares generally vest over three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the status and changes in our restricted stock grants that are subject only to a service condition for the 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27"/>
        </w:trPr>
        <w:tc>
          <w:tcPr>
            <w:tcW w:w="7660" w:type="dxa"/>
            <w:vAlign w:val="bottom"/>
          </w:tcPr>
          <w:p>
            <w:pPr>
              <w:spacing w:after="0"/>
              <w:rPr>
                <w:sz w:val="11"/>
                <w:szCs w:val="11"/>
                <w:color w:val="auto"/>
              </w:rPr>
            </w:pP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1"/>
                <w:szCs w:val="11"/>
                <w:color w:val="auto"/>
              </w:rPr>
            </w:pPr>
          </w:p>
        </w:tc>
        <w:tc>
          <w:tcPr>
            <w:tcW w:w="152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2"/>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January 1, 2024</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1,132,861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180"/>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0" w:type="dxa"/>
            <w:vAlign w:val="bottom"/>
          </w:tcPr>
          <w:p>
            <w:pPr>
              <w:spacing w:after="0"/>
              <w:rPr>
                <w:sz w:val="1"/>
                <w:szCs w:val="1"/>
                <w:color w:val="auto"/>
              </w:rPr>
            </w:pPr>
          </w:p>
        </w:tc>
      </w:tr>
      <w:tr>
        <w:trPr>
          <w:trHeight w:val="180"/>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0" w:type="dxa"/>
            <w:vAlign w:val="bottom"/>
          </w:tcPr>
          <w:p>
            <w:pPr>
              <w:spacing w:after="0"/>
              <w:rPr>
                <w:sz w:val="1"/>
                <w:szCs w:val="1"/>
                <w:color w:val="auto"/>
              </w:rPr>
            </w:pPr>
          </w:p>
        </w:tc>
      </w:tr>
      <w:tr>
        <w:trPr>
          <w:trHeight w:val="180"/>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weighted-average grant date fair value for shares granted and the total fair value of shares vested during the years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shares vested (in thousands)</w:t>
            </w:r>
          </w:p>
        </w:tc>
        <w:tc>
          <w:tcPr>
            <w:tcW w:w="76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w:t>
            </w:r>
          </w:p>
        </w:tc>
        <w:tc>
          <w:tcPr>
            <w:tcW w:w="400" w:type="dxa"/>
            <w:vAlign w:val="bottom"/>
            <w:gridSpan w:val="3"/>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100" w:type="dxa"/>
            <w:vAlign w:val="bottom"/>
          </w:tcPr>
          <w:p>
            <w:pPr>
              <w:spacing w:after="0"/>
              <w:rPr>
                <w:sz w:val="16"/>
                <w:szCs w:val="16"/>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Mutual Fund Share Incentive Awards</w:t>
      </w:r>
    </w:p>
    <w:p>
      <w:pPr>
        <w:spacing w:after="0" w:line="96"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We may grant mutual fund incentive awards, which are annual bonus awards based on our mutual funds achieving specific performance goals,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We account for these awards similarly to stock-based compensation awards. As of December 31, 2024 and 2023, approximately $0.8 million and $2.0 million, respectively, of unvested mutual fund awards was included under "Investments at fair value" on our Consolidated Balance Sheets.</w:t>
      </w:r>
    </w:p>
    <w:p>
      <w:pPr>
        <w:spacing w:after="0" w:line="58"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During the year in which the amount of the award is determined, we record expense based on its expected value.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mutual fund share awards adjusted for earnings or losses attributable to the underlying mutual funds. For the years ended December 31, 2024, 2023 and 2022, we recorded expense of $0.5 million, $0.7 million and $0.6 million, respectively, related to mutual fund share incentive awards. As of December 31, 2024 and 2023, approximately $0.6 million and $1.5 million, respectively, of mutual funds award liability was included under "Compensation and benefits payable" on our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 Plans</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Westwood has a defined contribution and profit-sharing plan that was established in July 2002 and covers substantially all employees. Discretionary employer profit-sharing contributions become fully vested after four years of service by the participant. For U.S. employees, Westwood provides a 401(k) match of up to 6% of eligible compensation and contributions vest immediately.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The following table displays our profit-sharing and retirement plan contributions for the periods presented (in thousands):</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8"/>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Profit-sharing contributions, net</w:t>
            </w:r>
          </w:p>
        </w:tc>
        <w:tc>
          <w:tcPr>
            <w:tcW w:w="1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4"/>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plan matching contributions</w:t>
            </w: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1,737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0" w:type="dxa"/>
            <w:vAlign w:val="bottom"/>
          </w:tcPr>
          <w:p>
            <w:pPr>
              <w:spacing w:after="0"/>
              <w:rPr>
                <w:sz w:val="1"/>
                <w:szCs w:val="1"/>
                <w:color w:val="auto"/>
              </w:rPr>
            </w:pPr>
          </w:p>
        </w:tc>
      </w:tr>
      <w:tr>
        <w:trPr>
          <w:trHeight w:val="633"/>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INCOME TAXES:</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Provision</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 by jurisdiction was as follows (in thousands):</w:t>
            </w:r>
          </w:p>
        </w:tc>
        <w:tc>
          <w:tcPr>
            <w:tcW w:w="1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10"/>
          </w:tcPr>
          <w:p>
            <w:pPr>
              <w:jc w:val="center"/>
              <w:ind w:right="389"/>
              <w:spacing w:after="0"/>
              <w:rPr>
                <w:sz w:val="20"/>
                <w:szCs w:val="20"/>
                <w:color w:val="auto"/>
              </w:rPr>
            </w:pPr>
            <w:r>
              <w:rPr>
                <w:rFonts w:ascii="Times New Roman" w:cs="Times New Roman" w:eastAsia="Times New Roman" w:hAnsi="Times New Roman"/>
                <w:sz w:val="13"/>
                <w:szCs w:val="13"/>
                <w:b w:val="1"/>
                <w:bCs w:val="1"/>
                <w:color w:val="auto"/>
                <w:w w:val="97"/>
              </w:rPr>
              <w:t>Years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8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12,419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8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12,392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289"/>
              <w:spacing w:after="0"/>
              <w:rPr>
                <w:sz w:val="20"/>
                <w:szCs w:val="20"/>
                <w:color w:val="auto"/>
              </w:rPr>
            </w:pPr>
            <w:r>
              <w:rPr>
                <w:rFonts w:ascii="Times New Roman" w:cs="Times New Roman" w:eastAsia="Times New Roman" w:hAnsi="Times New Roman"/>
                <w:sz w:val="14"/>
                <w:szCs w:val="14"/>
                <w:color w:val="auto"/>
              </w:rPr>
              <w:t>22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7"/>
        </w:trPr>
        <w:tc>
          <w:tcPr>
            <w:tcW w:w="5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160" w:firstLine="382"/>
        <w:spacing w:after="0" w:line="286" w:lineRule="auto"/>
        <w:rPr>
          <w:sz w:val="20"/>
          <w:szCs w:val="20"/>
          <w:color w:val="auto"/>
        </w:rPr>
      </w:pPr>
      <w:r>
        <w:rPr>
          <w:rFonts w:ascii="Times New Roman" w:cs="Times New Roman" w:eastAsia="Times New Roman" w:hAnsi="Times New Roman"/>
          <w:sz w:val="14"/>
          <w:szCs w:val="14"/>
          <w:color w:val="auto"/>
        </w:rPr>
        <w:t>Income tax expense differs from the amount that would otherwise have been calculated by applying the U.S. Federal corporate tax rate of 21% to income before income taxes. The difference between the Federal corporate tax rate and the effective tax rate is comprised of the following (in thousands).</w:t>
      </w: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 computed at US federal statutory rate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rate differential</w:t>
            </w:r>
          </w:p>
        </w:tc>
        <w:tc>
          <w:tcPr>
            <w:tcW w:w="34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 income taxes, net of federal income taxes</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(6.1)</w:t>
            </w:r>
          </w:p>
        </w:tc>
      </w:tr>
      <w:tr>
        <w:trPr>
          <w:trHeight w:val="17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permanent items</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subject to Section 162(m)</w:t>
            </w:r>
          </w:p>
        </w:tc>
        <w:tc>
          <w:tcPr>
            <w:tcW w:w="34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w:t>
            </w:r>
          </w:p>
        </w:tc>
      </w:tr>
      <w:tr>
        <w:trPr>
          <w:trHeight w:val="158"/>
        </w:trPr>
        <w:tc>
          <w:tcPr>
            <w:tcW w:w="4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Provision for income taxes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2,872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23.2 %</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4"/>
        </w:trPr>
        <w:tc>
          <w:tcPr>
            <w:tcW w:w="45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Effective income tax rate</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right="40" w:firstLine="382"/>
        <w:spacing w:after="0" w:line="287" w:lineRule="auto"/>
        <w:rPr>
          <w:sz w:val="20"/>
          <w:szCs w:val="20"/>
          <w:color w:val="auto"/>
        </w:rPr>
      </w:pPr>
      <w:r>
        <w:rPr>
          <w:rFonts w:ascii="Times New Roman" w:cs="Times New Roman" w:eastAsia="Times New Roman" w:hAnsi="Times New Roman"/>
          <w:sz w:val="14"/>
          <w:szCs w:val="14"/>
          <w:color w:val="auto"/>
        </w:rPr>
        <w:t>We include penalties and interest on income-based taxes in the “General and administrative” line on our Consolidated Statements of Operations. Penalties and interest were insignificant for the years ended December 31, 2024, 2023 and 2022.</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tax provision as set forth in the Consolidated Statements of Operations consisted of the following components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70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taxes: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 Federal</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and local</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63"/>
        </w:trPr>
        <w:tc>
          <w:tcPr>
            <w:tcW w:w="70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current taxes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54"/>
        </w:trPr>
        <w:tc>
          <w:tcPr>
            <w:tcW w:w="70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taxes:</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U.S. Federal</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State and local</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Foreign</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8"/>
        </w:trPr>
        <w:tc>
          <w:tcPr>
            <w:tcW w:w="70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deferred taxes</w:t>
            </w:r>
          </w:p>
        </w:tc>
        <w:tc>
          <w:tcPr>
            <w:tcW w:w="8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w:t>
            </w:r>
          </w:p>
        </w:tc>
      </w:tr>
      <w:tr>
        <w:trPr>
          <w:trHeight w:val="18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provision</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the deferred tax assets and deferred tax liabilities are presented below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8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0" w:type="dxa"/>
            <w:vAlign w:val="bottom"/>
            <w:tcBorders>
              <w:bottom w:val="single" w:sz="8" w:color="auto"/>
            </w:tcBorders>
          </w:tcPr>
          <w:p>
            <w:pPr>
              <w:spacing w:after="0"/>
              <w:rPr>
                <w:sz w:val="14"/>
                <w:szCs w:val="14"/>
                <w:color w:val="auto"/>
              </w:rPr>
            </w:pPr>
          </w:p>
        </w:tc>
      </w:tr>
      <w:tr>
        <w:trPr>
          <w:trHeight w:val="161"/>
        </w:trPr>
        <w:tc>
          <w:tcPr>
            <w:tcW w:w="89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r>
      <w:tr>
        <w:trPr>
          <w:trHeight w:val="16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Compensation and benefits payable</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contingent consideration</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compensation</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Acquisition expenses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r>
      <w:tr>
        <w:trPr>
          <w:trHeight w:val="168"/>
        </w:trPr>
        <w:tc>
          <w:tcPr>
            <w:tcW w:w="8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9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deferred tax assets</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5,692</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5,004</w:t>
            </w:r>
          </w:p>
        </w:tc>
      </w:tr>
      <w:tr>
        <w:trPr>
          <w:trHeight w:val="154"/>
        </w:trPr>
        <w:tc>
          <w:tcPr>
            <w:tcW w:w="89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and equipment</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Intangibles</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(2,137)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(1,917)</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Unrealized gains on investments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Contingent consideration</w:t>
            </w:r>
          </w:p>
        </w:tc>
        <w:tc>
          <w:tcPr>
            <w:tcW w:w="7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3"/>
        </w:trPr>
        <w:tc>
          <w:tcPr>
            <w:tcW w:w="89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(3,448)</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(4,278)</w:t>
            </w:r>
          </w:p>
        </w:tc>
      </w:tr>
      <w:tr>
        <w:trPr>
          <w:trHeight w:val="158"/>
        </w:trPr>
        <w:tc>
          <w:tcPr>
            <w:tcW w:w="89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deferred tax assets</w:t>
            </w:r>
          </w:p>
        </w:tc>
        <w:tc>
          <w:tcPr>
            <w:tcW w:w="7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w:t>
            </w:r>
          </w:p>
        </w:tc>
      </w:tr>
      <w:tr>
        <w:trPr>
          <w:trHeight w:val="20"/>
        </w:trPr>
        <w:tc>
          <w:tcPr>
            <w:tcW w:w="8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 S. and various state jurisdictions. As of December 31, 2024, the Company’s 2021, 2022 and 2023 tax years are open for examination by the Internal Revenue Service, and various state and foreign jurisdiction tax years remain open to examination.</w:t>
      </w:r>
    </w:p>
    <w:p>
      <w:pPr>
        <w:spacing w:after="0" w:line="39"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At December 31, 2024 and 2023, the Company's gross liability related to uncertain tax positions was de minimis.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are reversed as a reduction of income tax expense, net of federal tax effects, in the period such determination is made. A reconciliation of the change in recorded uncertain tax positions during the years ended December 31, 2024 and 2023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Reductions for tax positions related to prior years</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EARNINGS (LOSS) PER SHARE:</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Basic earnings (loss) per common share is computed by dividing income (loss) attributable to Westwood Holdings Group, Inc.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using the treasury stock method. There were approximately 7,000, 63,000 and 120,000 anti-dilutive restricted shares as of December 31, 2024, 2023 and 2022, respectively, which were excluded from weighted average shares outstanding.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(loss) per share (in thousands, except per share and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7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r>
      <w:tr>
        <w:trPr>
          <w:trHeight w:val="212"/>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basic</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8,163,465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7,964,423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7,844,363</w:t>
            </w:r>
          </w:p>
        </w:tc>
      </w:tr>
      <w:tr>
        <w:trPr>
          <w:trHeight w:val="168"/>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Dilutive potential shares from unvested restricted shares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352,314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147,716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diluted</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8,515,779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8,112,139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7,844,363</w:t>
            </w: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r>
      <w:tr>
        <w:trPr>
          <w:trHeight w:val="165"/>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r>
    </w:tbl>
    <w:p>
      <w:pPr>
        <w:spacing w:after="0" w:line="338" w:lineRule="exact"/>
        <w:rPr>
          <w:sz w:val="20"/>
          <w:szCs w:val="20"/>
          <w:color w:val="auto"/>
        </w:rPr>
      </w:pPr>
    </w:p>
    <w:p>
      <w:pPr>
        <w:ind w:right="7820" w:firstLine="5"/>
        <w:spacing w:after="0" w:line="381" w:lineRule="auto"/>
        <w:tabs>
          <w:tab w:leader="none" w:pos="204"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 AND OTHER INTANGIBLE ASSETS: Goodwill</w:t>
      </w: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Goodwill represents the excess of the cost of acquired assets over the fair value of the underlying liabilities assumed at the date of acquisition. Changes in goodwill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Trust Segment</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Advisory Segment</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600" w:type="dxa"/>
            <w:vAlign w:val="bottom"/>
            <w:shd w:val="clear" w:color="auto" w:fill="CCEEFF"/>
          </w:tcPr>
          <w:p>
            <w:pPr>
              <w:jc w:val="right"/>
              <w:ind w:right="14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5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35,732</w:t>
            </w:r>
          </w:p>
        </w:tc>
      </w:tr>
      <w:tr>
        <w:trPr>
          <w:trHeight w:val="170"/>
        </w:trPr>
        <w:tc>
          <w:tcPr>
            <w:tcW w:w="46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Salient Acquisition adjustment</w:t>
            </w:r>
            <w:r>
              <w:rPr>
                <w:rFonts w:ascii="Times New Roman" w:cs="Times New Roman" w:eastAsia="Times New Roman" w:hAnsi="Times New Roman"/>
                <w:sz w:val="16"/>
                <w:szCs w:val="16"/>
                <w:color w:val="auto"/>
                <w:vertAlign w:val="superscript"/>
              </w:rPr>
              <w:t>1</w:t>
            </w:r>
          </w:p>
        </w:tc>
        <w:tc>
          <w:tcPr>
            <w:tcW w:w="16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0"/>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Broadmark Acquisition</w:t>
            </w:r>
          </w:p>
        </w:tc>
        <w:tc>
          <w:tcPr>
            <w:tcW w:w="16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r>
      <w:tr>
        <w:trPr>
          <w:trHeight w:val="15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6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tcBorders>
              <w:bottom w:val="single" w:sz="8" w:color="CCEEFF"/>
            </w:tcBorders>
          </w:tcPr>
          <w:p>
            <w:pPr>
              <w:spacing w:after="0"/>
              <w:rPr>
                <w:sz w:val="13"/>
                <w:szCs w:val="13"/>
                <w:color w:val="auto"/>
              </w:rPr>
            </w:pPr>
          </w:p>
        </w:tc>
        <w:tc>
          <w:tcPr>
            <w:tcW w:w="16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600" w:type="dxa"/>
            <w:vAlign w:val="bottom"/>
            <w:tcBorders>
              <w:bottom w:val="single" w:sz="8" w:color="auto"/>
            </w:tcBorders>
            <w:shd w:val="clear" w:color="auto" w:fill="CCEEFF"/>
          </w:tcPr>
          <w:p>
            <w:pPr>
              <w:jc w:val="right"/>
              <w:ind w:right="14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5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80" w:hanging="75"/>
        <w:spacing w:after="0"/>
        <w:tabs>
          <w:tab w:leader="none" w:pos="8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subsequent purchase price adjustments for the Salient Acquisition.</w:t>
      </w:r>
    </w:p>
    <w:p>
      <w:pPr>
        <w:spacing w:after="0" w:line="75"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Goodwill is not amortized but is tested for impairment at least annually. We completed our annual goodwill impairment assessment during the third quarter of 2024 and determined that no impairment loss was required. No impairments were recorded during the years ended December 31, 2024, 2023 or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 Assets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Our intangible assets represent the acquisition date fair value of acquired client relationships, internally-developed software, non-compete agreements and trade names, and are reflected net of amortization. In valuing these assets, we made significant estimates regarding their useful lives, growth rates and potential attrition.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intangible assets at December 31, 2024 and 2023 (in thousands, except years):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960" w:type="dxa"/>
            <w:vAlign w:val="bottom"/>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2"/>
                <w:szCs w:val="12"/>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7"/>
        </w:trPr>
        <w:tc>
          <w:tcPr>
            <w:tcW w:w="5300" w:type="dxa"/>
            <w:vAlign w:val="bottom"/>
          </w:tcPr>
          <w:p>
            <w:pPr>
              <w:spacing w:after="0"/>
              <w:rPr>
                <w:sz w:val="11"/>
                <w:szCs w:val="11"/>
                <w:color w:val="auto"/>
              </w:rPr>
            </w:pPr>
          </w:p>
        </w:tc>
        <w:tc>
          <w:tcPr>
            <w:tcW w:w="16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Amortization</w:t>
            </w:r>
          </w:p>
        </w:tc>
        <w:tc>
          <w:tcPr>
            <w:tcW w:w="960" w:type="dxa"/>
            <w:vAlign w:val="bottom"/>
          </w:tcPr>
          <w:p>
            <w:pPr>
              <w:jc w:val="center"/>
              <w:ind w:left="362"/>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Period (years)</w:t>
            </w:r>
          </w:p>
        </w:tc>
        <w:tc>
          <w:tcPr>
            <w:tcW w:w="960" w:type="dxa"/>
            <w:vAlign w:val="bottom"/>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62"/>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15.0</w:t>
            </w:r>
          </w:p>
        </w:tc>
        <w:tc>
          <w:tcPr>
            <w:tcW w:w="100" w:type="dxa"/>
            <w:vAlign w:val="bottom"/>
          </w:tcPr>
          <w:p>
            <w:pPr>
              <w:spacing w:after="0"/>
              <w:rPr>
                <w:sz w:val="14"/>
                <w:szCs w:val="14"/>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19,198</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41,749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15.0</w:t>
            </w:r>
          </w:p>
        </w:tc>
        <w:tc>
          <w:tcPr>
            <w:tcW w:w="100" w:type="dxa"/>
            <w:vAlign w:val="bottom"/>
          </w:tcPr>
          <w:p>
            <w:pPr>
              <w:spacing w:after="0"/>
              <w:rPr>
                <w:sz w:val="14"/>
                <w:szCs w:val="14"/>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40,736</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(15,933)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Amortization expense, which is included in “General and administrative” expense on our Consolidated Statements of Operations, was $4.1 million, $4.1 million and $1.9 million for the years ended December 31, 2024, 2023 and 2022,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Estimated amortization expense for intangible assets over the next five years, and thereafter, is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For the year ending December 31,</w:t>
            </w:r>
          </w:p>
        </w:tc>
        <w:tc>
          <w:tcPr>
            <w:tcW w:w="100" w:type="dxa"/>
            <w:vAlign w:val="bottom"/>
          </w:tcPr>
          <w:p>
            <w:pPr>
              <w:spacing w:after="0"/>
              <w:rPr>
                <w:sz w:val="12"/>
                <w:szCs w:val="12"/>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69"/>
        </w:trPr>
        <w:tc>
          <w:tcPr>
            <w:tcW w:w="98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8"/>
              </w:rPr>
              <w:t>Amortization Expense</w:t>
            </w:r>
          </w:p>
        </w:tc>
        <w:tc>
          <w:tcPr>
            <w:tcW w:w="0" w:type="dxa"/>
            <w:vAlign w:val="bottom"/>
          </w:tcPr>
          <w:p>
            <w:pPr>
              <w:spacing w:after="0"/>
              <w:rPr>
                <w:sz w:val="1"/>
                <w:szCs w:val="1"/>
                <w:color w:val="auto"/>
              </w:rPr>
            </w:pPr>
          </w:p>
        </w:tc>
      </w:tr>
      <w:tr>
        <w:trPr>
          <w:trHeight w:val="162"/>
        </w:trPr>
        <w:tc>
          <w:tcPr>
            <w:tcW w:w="9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4,003</w:t>
            </w:r>
          </w:p>
        </w:tc>
        <w:tc>
          <w:tcPr>
            <w:tcW w:w="0" w:type="dxa"/>
            <w:vAlign w:val="bottom"/>
          </w:tcPr>
          <w:p>
            <w:pPr>
              <w:spacing w:after="0"/>
              <w:rPr>
                <w:sz w:val="1"/>
                <w:szCs w:val="1"/>
                <w:color w:val="auto"/>
              </w:rPr>
            </w:pPr>
          </w:p>
        </w:tc>
      </w:tr>
      <w:tr>
        <w:trPr>
          <w:trHeight w:val="168"/>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0" w:type="dxa"/>
            <w:vAlign w:val="bottom"/>
          </w:tcPr>
          <w:p>
            <w:pPr>
              <w:spacing w:after="0"/>
              <w:rPr>
                <w:sz w:val="1"/>
                <w:szCs w:val="1"/>
                <w:color w:val="auto"/>
              </w:rPr>
            </w:pPr>
          </w:p>
        </w:tc>
      </w:tr>
      <w:tr>
        <w:trPr>
          <w:trHeight w:val="17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0" w:type="dxa"/>
            <w:vAlign w:val="bottom"/>
          </w:tcPr>
          <w:p>
            <w:pPr>
              <w:spacing w:after="0"/>
              <w:rPr>
                <w:sz w:val="1"/>
                <w:szCs w:val="1"/>
                <w:color w:val="auto"/>
              </w:rPr>
            </w:pPr>
          </w:p>
        </w:tc>
      </w:tr>
      <w:tr>
        <w:trPr>
          <w:trHeight w:val="168"/>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0" w:type="dxa"/>
            <w:vAlign w:val="bottom"/>
          </w:tcPr>
          <w:p>
            <w:pPr>
              <w:spacing w:after="0"/>
              <w:rPr>
                <w:sz w:val="1"/>
                <w:szCs w:val="1"/>
                <w:color w:val="auto"/>
              </w:rPr>
            </w:pPr>
          </w:p>
        </w:tc>
      </w:tr>
      <w:tr>
        <w:trPr>
          <w:trHeight w:val="17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w:t>
            </w:r>
          </w:p>
        </w:tc>
        <w:tc>
          <w:tcPr>
            <w:tcW w:w="0" w:type="dxa"/>
            <w:vAlign w:val="bottom"/>
          </w:tcPr>
          <w:p>
            <w:pPr>
              <w:spacing w:after="0"/>
              <w:rPr>
                <w:sz w:val="1"/>
                <w:szCs w:val="1"/>
                <w:color w:val="auto"/>
              </w:rPr>
            </w:pPr>
          </w:p>
        </w:tc>
      </w:tr>
      <w:tr>
        <w:trPr>
          <w:trHeight w:val="168"/>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7,734</w:t>
            </w:r>
          </w:p>
        </w:tc>
        <w:tc>
          <w:tcPr>
            <w:tcW w:w="0" w:type="dxa"/>
            <w:vAlign w:val="bottom"/>
          </w:tcPr>
          <w:p>
            <w:pPr>
              <w:spacing w:after="0"/>
              <w:rPr>
                <w:sz w:val="1"/>
                <w:szCs w:val="1"/>
                <w:color w:val="auto"/>
              </w:rPr>
            </w:pPr>
          </w:p>
        </w:tc>
      </w:tr>
      <w:tr>
        <w:trPr>
          <w:trHeight w:val="185"/>
        </w:trPr>
        <w:tc>
          <w:tcPr>
            <w:tcW w:w="98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21,668</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96" w:lineRule="exact"/>
        <w:rPr>
          <w:sz w:val="20"/>
          <w:szCs w:val="20"/>
          <w:color w:val="auto"/>
        </w:rPr>
      </w:pPr>
    </w:p>
    <w:p>
      <w:pPr>
        <w:ind w:right="200" w:firstLine="382"/>
        <w:spacing w:after="0" w:line="270" w:lineRule="auto"/>
        <w:rPr>
          <w:sz w:val="20"/>
          <w:szCs w:val="20"/>
          <w:color w:val="auto"/>
        </w:rPr>
      </w:pPr>
      <w:r>
        <w:rPr>
          <w:rFonts w:ascii="Times New Roman" w:cs="Times New Roman" w:eastAsia="Times New Roman" w:hAnsi="Times New Roman"/>
          <w:sz w:val="14"/>
          <w:szCs w:val="14"/>
          <w:color w:val="auto"/>
        </w:rPr>
        <w:t>We have operating leases for corporate offices and certain office equipment. The lease terms of our corporate offices vary and have remaining lease terms ranging from one to six years. The corporate office lease payments are fixed and are based upon contractual monthly rates. The majority of our corporate office leases do not include options to extend or terminate the leases. We generally lease office equipment for a period of two years.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components of lease costs related to our leases (amounts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r>
      <w:tr>
        <w:trPr>
          <w:trHeight w:val="165"/>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76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42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r>
    </w:tbl>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Sublease income relates to subleasing a portion of our corporate offices.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supplemental cash flow information related to our leases (amounts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r>
    </w:tbl>
    <w:p>
      <w:pPr>
        <w:spacing w:after="0" w:line="200" w:lineRule="exact"/>
        <w:rPr>
          <w:sz w:val="20"/>
          <w:szCs w:val="20"/>
          <w:color w:val="auto"/>
        </w:rPr>
      </w:pPr>
    </w:p>
    <w:p>
      <w:pPr>
        <w:spacing w:after="0" w:line="217"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Operating lease costs are included in "General and administrative" expense on our Consolidated Statements of Operations. We lease our offices under non-cancelable operating lease agreements with expiration dates that run through 2029.</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information regarding our operating leases (in thousands, except years and rates):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61"/>
        </w:trPr>
        <w:tc>
          <w:tcPr>
            <w:tcW w:w="8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5"/>
              </w:rPr>
              <w:t>2,559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3,673</w:t>
            </w:r>
          </w:p>
        </w:tc>
      </w:tr>
      <w:tr>
        <w:trPr>
          <w:trHeight w:val="168"/>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5"/>
              </w:rPr>
              <w:t>3,197</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4,552</w:t>
            </w:r>
          </w:p>
        </w:tc>
      </w:tr>
      <w:tr>
        <w:trPr>
          <w:trHeight w:val="17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5"/>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r>
    </w:tbl>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maturities of lease liabilities are as follows (in thousands):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6"/>
        </w:trPr>
        <w:tc>
          <w:tcPr>
            <w:tcW w:w="8560" w:type="dxa"/>
            <w:vAlign w:val="bottom"/>
          </w:tcPr>
          <w:p>
            <w:pPr>
              <w:ind w:left="436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6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7"/>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0" w:type="dxa"/>
            <w:vAlign w:val="bottom"/>
          </w:tcPr>
          <w:p>
            <w:pPr>
              <w:spacing w:after="0"/>
              <w:rPr>
                <w:sz w:val="1"/>
                <w:szCs w:val="1"/>
                <w:color w:val="auto"/>
              </w:rPr>
            </w:pPr>
          </w:p>
        </w:tc>
      </w:tr>
      <w:tr>
        <w:trPr>
          <w:trHeight w:val="165"/>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17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65"/>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0" w:type="dxa"/>
            <w:vAlign w:val="bottom"/>
          </w:tcPr>
          <w:p>
            <w:pPr>
              <w:spacing w:after="0"/>
              <w:rPr>
                <w:sz w:val="1"/>
                <w:szCs w:val="1"/>
                <w:color w:val="auto"/>
              </w:rPr>
            </w:pPr>
          </w:p>
        </w:tc>
      </w:tr>
      <w:tr>
        <w:trPr>
          <w:trHeight w:val="17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6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undiscounted lease payments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0" w:type="dxa"/>
            <w:vAlign w:val="bottom"/>
          </w:tcPr>
          <w:p>
            <w:pPr>
              <w:spacing w:after="0"/>
              <w:rPr>
                <w:sz w:val="1"/>
                <w:szCs w:val="1"/>
                <w:color w:val="auto"/>
              </w:rPr>
            </w:pPr>
          </w:p>
        </w:tc>
      </w:tr>
      <w:tr>
        <w:trPr>
          <w:trHeight w:val="16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188"/>
        </w:trPr>
        <w:tc>
          <w:tcPr>
            <w:tcW w:w="8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lease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PROPERTY AND EQUIPMENT:</w:t>
            </w: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8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reflects information about our property and equipment as of December 31, 2024 and 2023 (in thousands):</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Leasehold improvements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5,136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5,173</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800" w:type="dxa"/>
            <w:vAlign w:val="bottom"/>
          </w:tcPr>
          <w:p>
            <w:pPr>
              <w:spacing w:after="0"/>
              <w:rPr>
                <w:sz w:val="14"/>
                <w:szCs w:val="1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2,844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hardware and office equipment</w:t>
            </w:r>
          </w:p>
        </w:tc>
        <w:tc>
          <w:tcPr>
            <w:tcW w:w="8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1,395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0" w:type="dxa"/>
            <w:vAlign w:val="bottom"/>
          </w:tcPr>
          <w:p>
            <w:pPr>
              <w:spacing w:after="0"/>
              <w:rPr>
                <w:sz w:val="1"/>
                <w:szCs w:val="1"/>
                <w:color w:val="auto"/>
              </w:rPr>
            </w:pPr>
          </w:p>
        </w:tc>
      </w:tr>
      <w:tr>
        <w:trPr>
          <w:trHeight w:val="16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(10,078)</w:t>
            </w:r>
          </w:p>
        </w:tc>
        <w:tc>
          <w:tcPr>
            <w:tcW w:w="0" w:type="dxa"/>
            <w:vAlign w:val="bottom"/>
          </w:tcPr>
          <w:p>
            <w:pPr>
              <w:spacing w:after="0"/>
              <w:rPr>
                <w:sz w:val="1"/>
                <w:szCs w:val="1"/>
                <w:color w:val="auto"/>
              </w:rPr>
            </w:pPr>
          </w:p>
        </w:tc>
      </w:tr>
      <w:tr>
        <w:trPr>
          <w:trHeight w:val="185"/>
        </w:trPr>
        <w:tc>
          <w:tcPr>
            <w:tcW w:w="856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Property and equipment, net</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Depreciation expense, which is included in “General and administrative” expense on our Consolidated Statements of Operations, was $0.6 million, $0.7 million and $0.7 million for the years ended December 31, 2024, 2023 and 2022, respectively.</w:t>
      </w:r>
    </w:p>
    <w:p>
      <w:pPr>
        <w:spacing w:after="0" w:line="313" w:lineRule="exact"/>
        <w:rPr>
          <w:sz w:val="20"/>
          <w:szCs w:val="20"/>
          <w:color w:val="auto"/>
        </w:rPr>
      </w:pPr>
    </w:p>
    <w:p>
      <w:pPr>
        <w:ind w:right="8300" w:firstLine="5"/>
        <w:spacing w:after="0" w:line="381" w:lineRule="auto"/>
        <w:tabs>
          <w:tab w:leader="none" w:pos="212"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Purchase commitments</w:t>
      </w: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Our purchase commitments primarily consist of outsourced information technology services, software licenses and commitments for financial research tools. As of December 31, 2024, our purchase commitments for the next five years and thereafter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Payments due in:</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2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2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obligations</w:t>
            </w: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2024, we did not have any material 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REGULATORY CAPITAL REQUIREMENTS:</w:t>
      </w:r>
    </w:p>
    <w:p>
      <w:pPr>
        <w:spacing w:after="0" w:line="96"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Westwood Trust must maintain cash and investments in an amount equal to the required minimum restricted capital of $4.0 million as required by the Texas Finance Code. Restricted capital is included in "Investments at fair value" in the accompanying Consolidated Balance Sheets. At December 31, 2024, Westwood Trust had approximately $11.9 million in excess of its minimum capital requirement.</w:t>
      </w:r>
    </w:p>
    <w:p>
      <w:pPr>
        <w:spacing w:after="0" w:line="51"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Westwood Trust may make quarterly and special dividend payments, or other distributions, to Westwood out of its undivided profits. No dividend payments were made in 2024, 2023 or 2022.</w:t>
      </w:r>
    </w:p>
    <w:p>
      <w:pPr>
        <w:spacing w:after="0" w:line="51"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SCLP, a broker-dealer of the Company, is registered with the SEC as broker-dealers and members of FINRA. The Company’s broker-dealer subsidiaries are subject to SEC Uniform Net Capital Rule (Rule 15c3-1) which requires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maintenance of minimum net capital and requires that the ratio of aggregate indebtedness to net capital, both as defined, to not exceed 15 to 1. As such, they are subject to the minimum net capital requirements promulgated by the SEC. As of December 31, 2024, SCLP had net capital of $282.2 thousand which was $276.8 thousand in excess of its required minimum net capital of $5.4 thousand. As of December 31, 2023, SCLP had net capital of $558.0 thousand, which was $526.0 thousand in excess of its required minimum net capital of $32.0 thousand.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VARIABLE INTEREST ENTITIES:</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As discussed in Note 2 “Summary of Significant Accounting Policies,” the CTFs, Private Funds, Zarvona Energy Fund II-A and WEBs (together the “Westwood VIEs”) are considered VIEs, and the Westwood Funds®, InvestCloud, Vista, Zarvona Energy Fund GP and TXSE are considered VOEs (together the “Westwood VOEs”). We receive fees for managing assets in these entities commensurate with market rates. As of December 31, 2024 and 2023,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Consolidated Financial Statements for the years ended December 31, 2024 or 2023.</w:t>
      </w:r>
    </w:p>
    <w:p>
      <w:pPr>
        <w:spacing w:after="0" w:line="62"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6 “Investments.”</w:t>
      </w:r>
    </w:p>
    <w:p>
      <w:pPr>
        <w:spacing w:after="0" w:line="5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We recognized fee revenue from the Westwood VIEs and Westwood VOEs of approximately $33.0 million, $32.4 million and $23.2 million for the years ended December 31, 2024, 2023 and 2022, respectively.</w:t>
      </w:r>
    </w:p>
    <w:p>
      <w:pPr>
        <w:spacing w:after="0" w:line="39" w:lineRule="exact"/>
        <w:rPr>
          <w:sz w:val="20"/>
          <w:szCs w:val="20"/>
          <w:color w:val="auto"/>
        </w:rPr>
      </w:pPr>
    </w:p>
    <w:p>
      <w:pPr>
        <w:ind w:right="28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displays the AUM, the amount of our seed investments that are included in “Investments” and “Investments, at fair value” on the Consolidated Balance Sheets, and the financial risk of loss in each vehicle (in millions):</w:t>
      </w: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080" w:type="dxa"/>
            <w:vAlign w:val="bottom"/>
          </w:tcPr>
          <w:p>
            <w:pPr>
              <w:spacing w:after="0"/>
              <w:rPr>
                <w:sz w:val="10"/>
                <w:szCs w:val="10"/>
                <w:color w:val="auto"/>
              </w:rPr>
            </w:pPr>
          </w:p>
        </w:tc>
        <w:tc>
          <w:tcPr>
            <w:tcW w:w="880" w:type="dxa"/>
            <w:vAlign w:val="bottom"/>
          </w:tcPr>
          <w:p>
            <w:pPr>
              <w:jc w:val="center"/>
              <w:ind w:left="3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80" w:type="dxa"/>
            <w:vAlign w:val="bottom"/>
          </w:tcPr>
          <w:p>
            <w:pPr>
              <w:spacing w:after="0"/>
              <w:rPr>
                <w:sz w:val="11"/>
                <w:szCs w:val="11"/>
                <w:color w:val="auto"/>
              </w:rPr>
            </w:pPr>
          </w:p>
        </w:tc>
        <w:tc>
          <w:tcPr>
            <w:tcW w:w="880" w:type="dxa"/>
            <w:vAlign w:val="bottom"/>
          </w:tcPr>
          <w:p>
            <w:pPr>
              <w:jc w:val="center"/>
              <w:ind w:left="396"/>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 at Risk</w:t>
            </w: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VIEs/VOEs:</w:t>
            </w: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Westwood Funds®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Common Trust Funds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Private Funds</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Private Equity</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212"/>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assets: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Wealth Management</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Institutional</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AUM</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RELATED PARTY TRANSACTIONS:</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Some of our directors, executive officers and their affiliates invest personal funds directly in trust accounts that we manage. At both December 31, 2024 and at December 31, 2023, there was approximately $0.1 million in fees due from these accounts. For the years ended December 31, 2024, 2023 and 2022 we recorded trust fees from these accounts of $0.3 million.</w:t>
      </w:r>
    </w:p>
    <w:p>
      <w:pPr>
        <w:spacing w:after="0" w:line="39"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years ended December 31, 2024, 2023 and 2022 the Company earned immaterial fees from the affiliated funds.</w:t>
      </w:r>
    </w:p>
    <w:p>
      <w:pPr>
        <w:spacing w:after="0" w:line="51"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One of our directors served as a consultant to the Company under a consulting agreement that expired on December 31, 2023. We recorded immaterial expenses related to this agreement for the years ended December 31, 2023 and 2022.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CONCENTRATION:</w:t>
      </w:r>
    </w:p>
    <w:p>
      <w:pPr>
        <w:spacing w:after="0" w:line="96" w:lineRule="exact"/>
        <w:rPr>
          <w:sz w:val="20"/>
          <w:szCs w:val="20"/>
          <w:color w:val="auto"/>
        </w:rPr>
      </w:pPr>
    </w:p>
    <w:p>
      <w:pPr>
        <w:ind w:right="540" w:firstLine="382"/>
        <w:spacing w:after="0" w:line="278" w:lineRule="auto"/>
        <w:rPr>
          <w:sz w:val="20"/>
          <w:szCs w:val="20"/>
          <w:color w:val="auto"/>
        </w:rPr>
      </w:pPr>
      <w:r>
        <w:rPr>
          <w:rFonts w:ascii="Times New Roman" w:cs="Times New Roman" w:eastAsia="Times New Roman" w:hAnsi="Times New Roman"/>
          <w:sz w:val="14"/>
          <w:szCs w:val="14"/>
          <w:color w:val="auto"/>
        </w:rPr>
        <w:t>For the years ended December 31, 2024, 2023 and 2022, our ten largest clients accounted for approximately 20%, 21% and 22%, respectively, of our fee revenues. No single customer accounted for 10% or more of our fee revenues in any of these years. The following table presents advisory fee revenue received from our single largest client in each year (in thousands):</w:t>
      </w:r>
    </w:p>
    <w:p>
      <w:pPr>
        <w:ind w:left="856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72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Advisory fees from our largest client:</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Asset-based fees</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2,854</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3,892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2,582</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Percent of fee revenue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SUBSEQUENT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 Declared</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12, 2025, the Board of Directors declared a quarterly cash dividend of $0.15 per share of common stock payable on April 1, 2025 to stockholders of record on March 3,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Grants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21, 2025 we issued approximately $3.7 million of restricted stock to employees, or approximately 226,287 shares based on the closing price of our stock on February 21,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are subject to vesting conditions described in Note 8 “Employee Benefits” of our Consolidated Financial Statements in this Report.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400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10.3.8</w:t>
      </w:r>
    </w:p>
    <w:p>
      <w:pPr>
        <w:spacing w:after="0" w:line="20" w:lineRule="exact"/>
        <w:rPr>
          <w:sz w:val="20"/>
          <w:szCs w:val="20"/>
          <w:color w:val="auto"/>
        </w:rPr>
      </w:pPr>
      <w:r>
        <w:rPr>
          <w:sz w:val="20"/>
          <w:szCs w:val="20"/>
          <w:color w:val="auto"/>
        </w:rPr>
        <w:br w:type="column"/>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542353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23535" cy="6985"/>
                    </a:xfrm>
                    <a:prstGeom prst="rect">
                      <a:avLst/>
                    </a:prstGeom>
                    <a:noFill/>
                  </pic:spPr>
                </pic:pic>
              </a:graphicData>
            </a:graphic>
          </wp:anchor>
        </w:drawing>
      </w:r>
    </w:p>
    <w:p>
      <w:pPr>
        <w:spacing w:after="0" w:line="28" w:lineRule="exact"/>
        <w:rPr>
          <w:sz w:val="20"/>
          <w:szCs w:val="20"/>
          <w:color w:val="auto"/>
        </w:rPr>
      </w:pPr>
    </w:p>
    <w:p>
      <w:pPr>
        <w:ind w:right="619"/>
        <w:spacing w:after="0" w:line="239"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Securities Purchase Agreement by and among Westwood Holdings Group, Inc., McCarthy Group Advisors, LLC, MGA Holdings, LLC, and The</w:t>
        </w:r>
      </w:hyperlink>
      <w:r>
        <w:rPr>
          <w:rFonts w:ascii="Times New Roman" w:cs="Times New Roman" w:eastAsia="Times New Roman" w:hAnsi="Times New Roman"/>
          <w:sz w:val="14"/>
          <w:szCs w:val="14"/>
          <w:u w:val="single" w:color="auto"/>
          <w:color w:val="0000FF"/>
        </w:rPr>
        <w:t xml:space="preserve"> </w:t>
      </w:r>
      <w:hyperlink r:id="rId119">
        <w:r>
          <w:rPr>
            <w:rFonts w:ascii="Times New Roman" w:cs="Times New Roman" w:eastAsia="Times New Roman" w:hAnsi="Times New Roman"/>
            <w:sz w:val="14"/>
            <w:szCs w:val="14"/>
            <w:u w:val="single" w:color="auto"/>
            <w:color w:val="0000FF"/>
          </w:rPr>
          <w:t>Members of MGA Holdings, LLC (incorporated by reference from the Form 10-K filed with the SEC on February 28, 2013)</w:t>
        </w:r>
      </w:hyperlink>
    </w:p>
    <w:p>
      <w:pPr>
        <w:spacing w:after="0" w:line="8" w:lineRule="exact"/>
        <w:rPr>
          <w:sz w:val="20"/>
          <w:szCs w:val="20"/>
          <w:color w:val="auto"/>
        </w:rPr>
      </w:pPr>
    </w:p>
    <w:p>
      <w:pPr>
        <w:ind w:right="899"/>
        <w:spacing w:after="0" w:line="225" w:lineRule="auto"/>
        <w:rPr>
          <w:rFonts w:ascii="Times New Roman" w:cs="Times New Roman" w:eastAsia="Times New Roman" w:hAnsi="Times New Roman"/>
          <w:sz w:val="14"/>
          <w:szCs w:val="14"/>
          <w:u w:val="single" w:color="auto"/>
          <w:color w:val="0000FF"/>
        </w:rPr>
      </w:pPr>
      <w:hyperlink r:id="rId120">
        <w:r>
          <w:rPr>
            <w:rFonts w:ascii="Times New Roman" w:cs="Times New Roman" w:eastAsia="Times New Roman" w:hAnsi="Times New Roman"/>
            <w:sz w:val="14"/>
            <w:szCs w:val="14"/>
            <w:u w:val="single" w:color="auto"/>
            <w:color w:val="0000FF"/>
          </w:rPr>
          <w:t>Reorganization Agreement and Agreement and Plan of Merger dated as of January 15, 2015 by and among Westwood Holdings Group, Inc.,</w:t>
        </w:r>
      </w:hyperlink>
      <w:r>
        <w:rPr>
          <w:rFonts w:ascii="Times New Roman" w:cs="Times New Roman" w:eastAsia="Times New Roman" w:hAnsi="Times New Roman"/>
          <w:sz w:val="14"/>
          <w:szCs w:val="14"/>
          <w:u w:val="single" w:color="auto"/>
          <w:color w:val="0000FF"/>
        </w:rPr>
        <w:t xml:space="preserve"> </w:t>
      </w:r>
      <w:hyperlink r:id="rId120">
        <w:r>
          <w:rPr>
            <w:rFonts w:ascii="Times New Roman" w:cs="Times New Roman" w:eastAsia="Times New Roman" w:hAnsi="Times New Roman"/>
            <w:sz w:val="14"/>
            <w:szCs w:val="14"/>
            <w:u w:val="single" w:color="auto"/>
            <w:color w:val="0000FF"/>
          </w:rPr>
          <w:t>Westwood Trust, Woodway Financial Advisors, A Trust Company and the Shareholders of Woodway Financial Advisors, A Trust Company</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0">
        <w:r>
          <w:rPr>
            <w:rFonts w:ascii="Times New Roman" w:cs="Times New Roman" w:eastAsia="Times New Roman" w:hAnsi="Times New Roman"/>
            <w:sz w:val="14"/>
            <w:szCs w:val="14"/>
            <w:u w:val="single" w:color="auto"/>
            <w:color w:val="0000FF"/>
          </w:rPr>
          <w:t>(incorporated by reference from the Form 8-K filed with the SEC on January 16, 2015)</w:t>
        </w:r>
      </w:hyperlink>
    </w:p>
    <w:p>
      <w:pPr>
        <w:spacing w:after="0" w:line="7" w:lineRule="exact"/>
        <w:rPr>
          <w:sz w:val="20"/>
          <w:szCs w:val="20"/>
          <w:color w:val="auto"/>
        </w:rPr>
      </w:pPr>
    </w:p>
    <w:p>
      <w:pPr>
        <w:ind w:right="459"/>
        <w:spacing w:after="0" w:line="237"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Purchase Agreement, dated May 25, 2022, by and among Westwood Holdings Group, Inc., Salient Capital Management, LLC, Salient Partners, L.P.</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and the other Seller parties identified on Annex I (incorporated by reference from the Form 8-K filed with the SEC on May 26, 2022)</w:t>
        </w:r>
      </w:hyperlink>
    </w:p>
    <w:p>
      <w:pPr>
        <w:spacing w:after="0" w:line="7" w:lineRule="exact"/>
        <w:rPr>
          <w:sz w:val="20"/>
          <w:szCs w:val="20"/>
          <w:color w:val="auto"/>
        </w:rPr>
      </w:pPr>
    </w:p>
    <w:p>
      <w:pPr>
        <w:ind w:right="499"/>
        <w:spacing w:after="0" w:line="239" w:lineRule="auto"/>
        <w:rPr>
          <w:rFonts w:ascii="Times New Roman" w:cs="Times New Roman" w:eastAsia="Times New Roman" w:hAnsi="Times New Roman"/>
          <w:sz w:val="14"/>
          <w:szCs w:val="14"/>
          <w:u w:val="single" w:color="auto"/>
          <w:color w:val="0000FF"/>
        </w:rPr>
      </w:pPr>
      <w:hyperlink r:id="rId122">
        <w:r>
          <w:rPr>
            <w:rFonts w:ascii="Times New Roman" w:cs="Times New Roman" w:eastAsia="Times New Roman" w:hAnsi="Times New Roman"/>
            <w:sz w:val="14"/>
            <w:szCs w:val="14"/>
            <w:u w:val="single" w:color="auto"/>
            <w:color w:val="0000FF"/>
          </w:rPr>
          <w:t>Amended and Restated Certificate of Incorporation of Westwood Holdings Group, Inc. (incorporated by reference from the Form S-8 filed with the</w:t>
        </w:r>
      </w:hyperlink>
      <w:r>
        <w:rPr>
          <w:rFonts w:ascii="Times New Roman" w:cs="Times New Roman" w:eastAsia="Times New Roman" w:hAnsi="Times New Roman"/>
          <w:sz w:val="14"/>
          <w:szCs w:val="14"/>
          <w:u w:val="single" w:color="auto"/>
          <w:color w:val="0000FF"/>
        </w:rPr>
        <w:t xml:space="preserve"> </w:t>
      </w:r>
      <w:hyperlink r:id="rId122">
        <w:r>
          <w:rPr>
            <w:rFonts w:ascii="Times New Roman" w:cs="Times New Roman" w:eastAsia="Times New Roman" w:hAnsi="Times New Roman"/>
            <w:sz w:val="14"/>
            <w:szCs w:val="14"/>
            <w:u w:val="single" w:color="auto"/>
            <w:color w:val="0000FF"/>
          </w:rPr>
          <w:t>SEC on September 28, 2022)</w:t>
        </w:r>
      </w:hyperlink>
    </w:p>
    <w:p>
      <w:pPr>
        <w:spacing w:after="0" w:line="8" w:lineRule="exact"/>
        <w:rPr>
          <w:sz w:val="20"/>
          <w:szCs w:val="20"/>
          <w:color w:val="auto"/>
        </w:rPr>
      </w:pPr>
    </w:p>
    <w:p>
      <w:pPr>
        <w:ind w:right="519"/>
        <w:spacing w:after="0" w:line="239" w:lineRule="auto"/>
        <w:rPr>
          <w:rFonts w:ascii="Times New Roman" w:cs="Times New Roman" w:eastAsia="Times New Roman" w:hAnsi="Times New Roman"/>
          <w:sz w:val="14"/>
          <w:szCs w:val="14"/>
          <w:u w:val="single" w:color="auto"/>
          <w:color w:val="0000FF"/>
        </w:rPr>
      </w:pPr>
      <w:hyperlink r:id="rId123">
        <w:r>
          <w:rPr>
            <w:rFonts w:ascii="Times New Roman" w:cs="Times New Roman" w:eastAsia="Times New Roman" w:hAnsi="Times New Roman"/>
            <w:sz w:val="14"/>
            <w:szCs w:val="14"/>
            <w:u w:val="single" w:color="auto"/>
            <w:color w:val="0000FF"/>
          </w:rPr>
          <w:t>Certificate of Amendment to Certificate of Formation of Westwood Holdings Group, Inc. (incorporated by reference to the Form 8-K filed with the</w:t>
        </w:r>
      </w:hyperlink>
      <w:r>
        <w:rPr>
          <w:rFonts w:ascii="Times New Roman" w:cs="Times New Roman" w:eastAsia="Times New Roman" w:hAnsi="Times New Roman"/>
          <w:sz w:val="14"/>
          <w:szCs w:val="14"/>
          <w:u w:val="single" w:color="auto"/>
          <w:color w:val="0000FF"/>
        </w:rPr>
        <w:t xml:space="preserve"> </w:t>
      </w:r>
      <w:hyperlink r:id="rId123">
        <w:r>
          <w:rPr>
            <w:rFonts w:ascii="Times New Roman" w:cs="Times New Roman" w:eastAsia="Times New Roman" w:hAnsi="Times New Roman"/>
            <w:sz w:val="14"/>
            <w:szCs w:val="14"/>
            <w:u w:val="single" w:color="auto"/>
            <w:color w:val="0000FF"/>
          </w:rPr>
          <w:t>SEC on December 2, 2024)</w:t>
        </w:r>
      </w:hyperlink>
    </w:p>
    <w:p>
      <w:pPr>
        <w:spacing w:after="0" w:line="8" w:lineRule="exact"/>
        <w:rPr>
          <w:sz w:val="20"/>
          <w:szCs w:val="20"/>
          <w:color w:val="auto"/>
        </w:rPr>
      </w:pPr>
    </w:p>
    <w:p>
      <w:pPr>
        <w:ind w:right="379"/>
        <w:spacing w:after="0" w:line="239" w:lineRule="auto"/>
        <w:rPr>
          <w:rFonts w:ascii="Times New Roman" w:cs="Times New Roman" w:eastAsia="Times New Roman" w:hAnsi="Times New Roman"/>
          <w:sz w:val="14"/>
          <w:szCs w:val="14"/>
          <w:u w:val="single" w:color="auto"/>
          <w:color w:val="0000FF"/>
        </w:rPr>
      </w:pPr>
      <w:hyperlink r:id="rId124">
        <w:r>
          <w:rPr>
            <w:rFonts w:ascii="Times New Roman" w:cs="Times New Roman" w:eastAsia="Times New Roman" w:hAnsi="Times New Roman"/>
            <w:sz w:val="14"/>
            <w:szCs w:val="14"/>
            <w:u w:val="single" w:color="auto"/>
            <w:color w:val="0000FF"/>
          </w:rPr>
          <w:t>Amended and Restated Bylaws of Westwood Holdings Group, Inc. (incorporated by reference from the Form 8-K filed with the SEC on November 2,</w:t>
        </w:r>
      </w:hyperlink>
      <w:r>
        <w:rPr>
          <w:rFonts w:ascii="Times New Roman" w:cs="Times New Roman" w:eastAsia="Times New Roman" w:hAnsi="Times New Roman"/>
          <w:sz w:val="14"/>
          <w:szCs w:val="14"/>
          <w:u w:val="single" w:color="auto"/>
          <w:color w:val="0000FF"/>
        </w:rPr>
        <w:t xml:space="preserve"> </w:t>
      </w:r>
      <w:hyperlink r:id="rId124">
        <w:r>
          <w:rPr>
            <w:rFonts w:ascii="Times New Roman" w:cs="Times New Roman" w:eastAsia="Times New Roman" w:hAnsi="Times New Roman"/>
            <w:sz w:val="14"/>
            <w:szCs w:val="14"/>
            <w:u w:val="single" w:color="auto"/>
            <w:color w:val="0000FF"/>
          </w:rPr>
          <w:t>2021)</w:t>
        </w:r>
      </w:hyperlink>
    </w:p>
    <w:p>
      <w:pPr>
        <w:spacing w:after="0" w:line="8"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25">
        <w:r>
          <w:rPr>
            <w:rFonts w:ascii="Times New Roman" w:cs="Times New Roman" w:eastAsia="Times New Roman" w:hAnsi="Times New Roman"/>
            <w:sz w:val="14"/>
            <w:szCs w:val="14"/>
            <w:u w:val="single" w:color="auto"/>
            <w:color w:val="0000FF"/>
          </w:rPr>
          <w:t>Form of Common Stock Certificate of Westwood Holdings Group, Inc. (incorporated by reference from Amendment No. 2 to Registration Statement</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on Form 10/A filed with the SEC on April 30, 2002)</w:t>
        </w:r>
      </w:hyperlink>
    </w:p>
    <w:p>
      <w:pPr>
        <w:spacing w:after="0" w:line="8"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26">
        <w:r>
          <w:rPr>
            <w:rFonts w:ascii="Times New Roman" w:cs="Times New Roman" w:eastAsia="Times New Roman" w:hAnsi="Times New Roman"/>
            <w:sz w:val="14"/>
            <w:szCs w:val="14"/>
            <w:u w:val="single" w:color="auto"/>
            <w:color w:val="0000FF"/>
          </w:rPr>
          <w:t>Tenth Amended and Restated Westwood Holdings Group, Inc. Stock Incentive Plan, as amended (incorporated by reference from the Schedule 14A</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filed with the SEC on March 26, 2024)</w:t>
        </w:r>
      </w:hyperlink>
    </w:p>
    <w:p>
      <w:pPr>
        <w:spacing w:after="0" w:line="8" w:lineRule="exact"/>
        <w:rPr>
          <w:sz w:val="20"/>
          <w:szCs w:val="20"/>
          <w:color w:val="auto"/>
        </w:rPr>
      </w:pPr>
    </w:p>
    <w:p>
      <w:pPr>
        <w:ind w:right="639"/>
        <w:spacing w:after="0" w:line="239" w:lineRule="auto"/>
        <w:rPr>
          <w:rFonts w:ascii="Times New Roman" w:cs="Times New Roman" w:eastAsia="Times New Roman" w:hAnsi="Times New Roman"/>
          <w:sz w:val="14"/>
          <w:szCs w:val="14"/>
          <w:u w:val="single" w:color="auto"/>
          <w:color w:val="0000FF"/>
        </w:rPr>
      </w:pPr>
      <w:hyperlink r:id="rId127">
        <w:r>
          <w:rPr>
            <w:rFonts w:ascii="Times New Roman" w:cs="Times New Roman" w:eastAsia="Times New Roman" w:hAnsi="Times New Roman"/>
            <w:sz w:val="14"/>
            <w:szCs w:val="14"/>
            <w:u w:val="single" w:color="auto"/>
            <w:color w:val="0000FF"/>
          </w:rPr>
          <w:t>Tax Separation Agreement between SWS Group, Inc. and Westwood Holdings Group, Inc. (incorporated by reference from Amendment No. 5 to</w:t>
        </w:r>
      </w:hyperlink>
      <w:r>
        <w:rPr>
          <w:rFonts w:ascii="Times New Roman" w:cs="Times New Roman" w:eastAsia="Times New Roman" w:hAnsi="Times New Roman"/>
          <w:sz w:val="14"/>
          <w:szCs w:val="14"/>
          <w:u w:val="single" w:color="auto"/>
          <w:color w:val="0000FF"/>
        </w:rPr>
        <w:t xml:space="preserve"> </w:t>
      </w:r>
      <w:hyperlink r:id="rId127">
        <w:r>
          <w:rPr>
            <w:rFonts w:ascii="Times New Roman" w:cs="Times New Roman" w:eastAsia="Times New Roman" w:hAnsi="Times New Roman"/>
            <w:sz w:val="14"/>
            <w:szCs w:val="14"/>
            <w:u w:val="single" w:color="auto"/>
            <w:color w:val="0000FF"/>
          </w:rPr>
          <w:t>Registration Statement on Form 10/A filed with the SEC on June 6, 2002)</w:t>
        </w:r>
      </w:hyperlink>
    </w:p>
    <w:p>
      <w:pPr>
        <w:spacing w:after="0" w:line="8" w:lineRule="exact"/>
        <w:rPr>
          <w:sz w:val="20"/>
          <w:szCs w:val="20"/>
          <w:color w:val="auto"/>
        </w:rPr>
      </w:pPr>
    </w:p>
    <w:p>
      <w:pPr>
        <w:ind w:right="659"/>
        <w:spacing w:after="0" w:line="239" w:lineRule="auto"/>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Office Lease between Westwood Management Corp. and Crescent Real Estate Funding I, L.P., dated as of April 4, 1990, and amendment thereto</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(incorporated by reference from the Registration Statement on Form 10 filed with the SEC on February 8, 2002)</w:t>
        </w:r>
      </w:hyperlink>
    </w:p>
    <w:p>
      <w:pPr>
        <w:spacing w:after="0" w:line="8" w:lineRule="exact"/>
        <w:rPr>
          <w:sz w:val="20"/>
          <w:szCs w:val="20"/>
          <w:color w:val="auto"/>
        </w:rPr>
      </w:pPr>
    </w:p>
    <w:p>
      <w:pPr>
        <w:ind w:right="699"/>
        <w:spacing w:after="0" w:line="239" w:lineRule="auto"/>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Ninth Modification of Office Lease between Westwood Management Corp. and Crescent Real Estate Funding I, dated as of November 25, 2003</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(incorporated by reference from the Form 10-K filed with the SEC on February 27, 2004)</w:t>
        </w:r>
      </w:hyperlink>
    </w:p>
    <w:p>
      <w:pPr>
        <w:spacing w:after="0" w:line="8" w:lineRule="exact"/>
        <w:rPr>
          <w:sz w:val="20"/>
          <w:szCs w:val="20"/>
          <w:color w:val="auto"/>
        </w:rPr>
      </w:pPr>
    </w:p>
    <w:p>
      <w:pPr>
        <w:ind w:right="779"/>
        <w:spacing w:after="0" w:line="239" w:lineRule="auto"/>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Tenth Modification of Office Lease between Westwood Management Corp. and Crescent Real Estate Funding I, dated as of February 23, 2004</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(incorporated by reference from the Form 10-K filed with the SEC on February 27, 2004)</w:t>
        </w:r>
      </w:hyperlink>
    </w:p>
    <w:p>
      <w:pPr>
        <w:spacing w:after="0" w:line="8" w:lineRule="exact"/>
        <w:rPr>
          <w:sz w:val="20"/>
          <w:szCs w:val="20"/>
          <w:color w:val="auto"/>
        </w:rPr>
      </w:pPr>
    </w:p>
    <w:p>
      <w:pPr>
        <w:ind w:right="599"/>
        <w:spacing w:after="0" w:line="239" w:lineRule="auto"/>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Eleventh Modification of Office Lease between Westwood Management Corp. and Crescent Real Estate Funding I, dated as of December 9, 2010</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(incorporated by reference from the Form 10-K filed with the SEC on February 25, 2011)</w:t>
        </w:r>
      </w:hyperlink>
    </w:p>
    <w:p>
      <w:pPr>
        <w:spacing w:after="0" w:line="8" w:lineRule="exact"/>
        <w:rPr>
          <w:sz w:val="20"/>
          <w:szCs w:val="20"/>
          <w:color w:val="auto"/>
        </w:rPr>
      </w:pPr>
    </w:p>
    <w:p>
      <w:pPr>
        <w:ind w:right="1079"/>
        <w:spacing w:after="0" w:line="239" w:lineRule="auto"/>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Twelfth Modification of Office Lease between Westwood Management Corp. and Crescent TC Investors LP, dated as of August 17, 2012</w:t>
        </w:r>
      </w:hyperlink>
      <w:r>
        <w:rPr>
          <w:rFonts w:ascii="Times New Roman" w:cs="Times New Roman" w:eastAsia="Times New Roman" w:hAnsi="Times New Roman"/>
          <w:sz w:val="14"/>
          <w:szCs w:val="14"/>
          <w:u w:val="single" w:color="auto"/>
          <w:color w:val="0000FF"/>
        </w:rPr>
        <w:t xml:space="preserve"> </w:t>
      </w:r>
      <w:hyperlink r:id="rId132">
        <w:r>
          <w:rPr>
            <w:rFonts w:ascii="Times New Roman" w:cs="Times New Roman" w:eastAsia="Times New Roman" w:hAnsi="Times New Roman"/>
            <w:sz w:val="14"/>
            <w:szCs w:val="14"/>
            <w:u w:val="single" w:color="auto"/>
            <w:color w:val="0000FF"/>
          </w:rPr>
          <w:t>(incorporated by reference from the Form 10-K filed with the SEC on February 28, 2013)</w:t>
        </w:r>
      </w:hyperlink>
    </w:p>
    <w:p>
      <w:pPr>
        <w:spacing w:after="0" w:line="8" w:lineRule="exact"/>
        <w:rPr>
          <w:sz w:val="20"/>
          <w:szCs w:val="20"/>
          <w:color w:val="auto"/>
        </w:rPr>
      </w:pPr>
    </w:p>
    <w:p>
      <w:pPr>
        <w:ind w:right="959"/>
        <w:spacing w:after="0" w:line="239"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Thirteenth Modification of Office Lease between Westwood Management Corp. and Crescent TC Investors LP, dated as of October 9, 2014</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(incorporated by reference from the Form 10-K filed with the SEC on February 25, 2016)</w:t>
        </w:r>
      </w:hyperlink>
    </w:p>
    <w:p>
      <w:pPr>
        <w:spacing w:after="0" w:line="8" w:lineRule="exact"/>
        <w:rPr>
          <w:sz w:val="20"/>
          <w:szCs w:val="20"/>
          <w:color w:val="auto"/>
        </w:rPr>
      </w:pPr>
    </w:p>
    <w:p>
      <w:pPr>
        <w:ind w:right="879"/>
        <w:spacing w:after="0" w:line="239" w:lineRule="auto"/>
        <w:rPr>
          <w:rFonts w:ascii="Times New Roman" w:cs="Times New Roman" w:eastAsia="Times New Roman" w:hAnsi="Times New Roman"/>
          <w:sz w:val="14"/>
          <w:szCs w:val="14"/>
          <w:u w:val="single" w:color="auto"/>
          <w:color w:val="0000FF"/>
        </w:rPr>
      </w:pPr>
      <w:hyperlink r:id="rId134">
        <w:r>
          <w:rPr>
            <w:rFonts w:ascii="Times New Roman" w:cs="Times New Roman" w:eastAsia="Times New Roman" w:hAnsi="Times New Roman"/>
            <w:sz w:val="14"/>
            <w:szCs w:val="14"/>
            <w:u w:val="single" w:color="auto"/>
            <w:color w:val="0000FF"/>
          </w:rPr>
          <w:t>Fourteenth Modification of Office Lease between Westwood Management Corp. and Crescent TC Investors LP, dated as of February 5, 2015</w:t>
        </w:r>
      </w:hyperlink>
      <w:r>
        <w:rPr>
          <w:rFonts w:ascii="Times New Roman" w:cs="Times New Roman" w:eastAsia="Times New Roman" w:hAnsi="Times New Roman"/>
          <w:sz w:val="14"/>
          <w:szCs w:val="14"/>
          <w:u w:val="single" w:color="auto"/>
          <w:color w:val="0000FF"/>
        </w:rPr>
        <w:t xml:space="preserve"> </w:t>
      </w:r>
      <w:hyperlink r:id="rId134">
        <w:r>
          <w:rPr>
            <w:rFonts w:ascii="Times New Roman" w:cs="Times New Roman" w:eastAsia="Times New Roman" w:hAnsi="Times New Roman"/>
            <w:sz w:val="14"/>
            <w:szCs w:val="14"/>
            <w:u w:val="single" w:color="auto"/>
            <w:color w:val="0000FF"/>
          </w:rPr>
          <w:t>(incorporated by reference from the Form 10-K filed with the SEC on February 25, 2016)</w:t>
        </w:r>
      </w:hyperlink>
    </w:p>
    <w:p>
      <w:pPr>
        <w:spacing w:after="0" w:line="8" w:lineRule="exact"/>
        <w:rPr>
          <w:sz w:val="20"/>
          <w:szCs w:val="20"/>
          <w:color w:val="auto"/>
        </w:rPr>
      </w:pPr>
    </w:p>
    <w:p>
      <w:pPr>
        <w:ind w:right="379"/>
        <w:spacing w:after="0" w:line="239"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Fifteenth Modification of Office Lease between Westwood Management Corp. and Crescent TC Investors LP, dated as of July 30, 2015 (incorporated</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by reference from the Form 10-K filed with the SEC on February 25, 2016)</w:t>
        </w:r>
      </w:hyperlink>
    </w:p>
    <w:p>
      <w:pPr>
        <w:spacing w:after="0" w:line="8"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Sixteenth Modification of Office Lease between Westwood Management Corp. and Crescent TC Investors LP, dated as of July 5, 2018 (incorporated</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by reference from the Form 10-Q filed with the SEC on October 24, 2018)</w:t>
        </w:r>
      </w:hyperlink>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700" w:space="600"/>
            <w:col w:w="8839"/>
          </w:cols>
          <w:pgMar w:left="320" w:top="728"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4008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31.2*</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54235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5423535" cy="6985"/>
                    </a:xfrm>
                    <a:prstGeom prst="rect">
                      <a:avLst/>
                    </a:prstGeom>
                    <a:noFill/>
                  </pic:spPr>
                </pic:pic>
              </a:graphicData>
            </a:graphic>
          </wp:anchor>
        </w:drawing>
      </w:r>
    </w:p>
    <w:p>
      <w:pPr>
        <w:spacing w:after="0" w:line="28" w:lineRule="exact"/>
        <w:rPr>
          <w:sz w:val="20"/>
          <w:szCs w:val="20"/>
          <w:color w:val="auto"/>
        </w:rPr>
      </w:pPr>
    </w:p>
    <w:p>
      <w:pPr>
        <w:ind w:right="859"/>
        <w:spacing w:after="0" w:line="239"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Software License and Support Agreement between Advent Software, Inc. and Westwood Management Corp., dated as of December 30, 1996</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(incorporated by reference from the Registration Statement on Form 10 filed with the SEC on February 8, 2002)</w:t>
        </w:r>
      </w:hyperlink>
    </w:p>
    <w:p>
      <w:pPr>
        <w:spacing w:after="0" w:line="8"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Investment Sub-advisory Agreement between Teton Advisers, LLC and Westwood Management Corp., dated as of October 6, 1994 (incorporated by</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reference from the Form 10-K filed with the SEC on February 28, 2013)</w:t>
        </w:r>
      </w:hyperlink>
    </w:p>
    <w:p>
      <w:pPr>
        <w:spacing w:after="0" w:line="8" w:lineRule="exact"/>
        <w:rPr>
          <w:sz w:val="20"/>
          <w:szCs w:val="20"/>
          <w:color w:val="auto"/>
        </w:rPr>
      </w:pPr>
    </w:p>
    <w:p>
      <w:pPr>
        <w:ind w:right="739"/>
        <w:spacing w:after="0" w:line="239" w:lineRule="auto"/>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Form of Indemnification Agreement for Westwood Holdings Group, Inc. (incorporated by reference from the Form 10-K filed with the SEC on</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February 27, 2004)</w:t>
        </w:r>
      </w:hyperlink>
    </w:p>
    <w:p>
      <w:pPr>
        <w:spacing w:after="0" w:line="8" w:lineRule="exact"/>
        <w:rPr>
          <w:sz w:val="20"/>
          <w:szCs w:val="20"/>
          <w:color w:val="auto"/>
        </w:rPr>
      </w:pPr>
    </w:p>
    <w:p>
      <w:pPr>
        <w:ind w:right="839"/>
        <w:spacing w:after="0" w:line="239" w:lineRule="auto"/>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Form of Indemnification Agreement for Westwood Management Corp. (incorporated by reference from the Form 10-K filed with the SEC on</w:t>
        </w:r>
      </w:hyperlink>
      <w:r>
        <w:rPr>
          <w:rFonts w:ascii="Times New Roman" w:cs="Times New Roman" w:eastAsia="Times New Roman" w:hAnsi="Times New Roman"/>
          <w:sz w:val="14"/>
          <w:szCs w:val="14"/>
          <w:u w:val="single" w:color="auto"/>
          <w:color w:val="0000FF"/>
        </w:rPr>
        <w:t xml:space="preserve"> </w:t>
      </w:r>
      <w:hyperlink r:id="rId143">
        <w:r>
          <w:rPr>
            <w:rFonts w:ascii="Times New Roman" w:cs="Times New Roman" w:eastAsia="Times New Roman" w:hAnsi="Times New Roman"/>
            <w:sz w:val="14"/>
            <w:szCs w:val="14"/>
            <w:u w:val="single" w:color="auto"/>
            <w:color w:val="0000FF"/>
          </w:rPr>
          <w:t>February 27, 2004)</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4">
        <w:r>
          <w:rPr>
            <w:rFonts w:ascii="Times New Roman" w:cs="Times New Roman" w:eastAsia="Times New Roman" w:hAnsi="Times New Roman"/>
            <w:sz w:val="14"/>
            <w:szCs w:val="14"/>
            <w:u w:val="single" w:color="auto"/>
            <w:color w:val="0000FF"/>
          </w:rPr>
          <w:t>Form of Indemnification Agreement for Westwood Trust (incorporated by reference from the Form 10-K filed with the SEC on February 27, 2004)</w:t>
        </w:r>
      </w:hyperlink>
    </w:p>
    <w:p>
      <w:pPr>
        <w:spacing w:after="0" w:line="23" w:lineRule="exact"/>
        <w:rPr>
          <w:sz w:val="20"/>
          <w:szCs w:val="20"/>
          <w:color w:val="auto"/>
        </w:rPr>
      </w:pPr>
    </w:p>
    <w:p>
      <w:pPr>
        <w:ind w:right="399"/>
        <w:spacing w:after="0" w:line="237" w:lineRule="auto"/>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Executive Employment Agreement between Westwood Holdings Group, Inc. and Brian O. Casey (incorporated by reference from the Form 8-K filed</w:t>
        </w:r>
      </w:hyperlink>
      <w:r>
        <w:rPr>
          <w:rFonts w:ascii="Times New Roman" w:cs="Times New Roman" w:eastAsia="Times New Roman" w:hAnsi="Times New Roman"/>
          <w:sz w:val="14"/>
          <w:szCs w:val="14"/>
          <w:u w:val="single" w:color="auto"/>
          <w:color w:val="0000FF"/>
        </w:rPr>
        <w:t xml:space="preserve"> </w:t>
      </w:r>
      <w:hyperlink r:id="rId145">
        <w:r>
          <w:rPr>
            <w:rFonts w:ascii="Times New Roman" w:cs="Times New Roman" w:eastAsia="Times New Roman" w:hAnsi="Times New Roman"/>
            <w:sz w:val="14"/>
            <w:szCs w:val="14"/>
            <w:u w:val="single" w:color="auto"/>
            <w:color w:val="0000FF"/>
          </w:rPr>
          <w:t>with the SEC on December 18, 2015)</w:t>
        </w:r>
      </w:hyperlink>
    </w:p>
    <w:p>
      <w:pPr>
        <w:spacing w:after="0" w:line="7" w:lineRule="exact"/>
        <w:rPr>
          <w:sz w:val="20"/>
          <w:szCs w:val="20"/>
          <w:color w:val="auto"/>
        </w:rPr>
      </w:pPr>
    </w:p>
    <w:p>
      <w:pPr>
        <w:ind w:right="439"/>
        <w:spacing w:after="0" w:line="239"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Form of Performance Share Agreement between Westwood Holdings Group, Inc. and Brian O. Casey (incorporated by reference from the Form 8-K</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filed with the SEC on March 14, 2016)</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One-Time Performance Share Agreement, dated as of March 10, 2016, between Westwood Holdings Group, Inc. and Brian O. Casey (incorporated by</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reference from the Form 8-K filed with the SEC on March 14, 2016)</w:t>
        </w:r>
      </w:hyperlink>
    </w:p>
    <w:p>
      <w:pPr>
        <w:spacing w:after="0" w:line="8"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Waiver of Certain Performance Shares Under the Performance Share Agreement, dated as of February 22, 2017 (incorporated by reference from the</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Form 8-K filed with the SEC on February 28, 2017)</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Form of Performance Share Agreement (incorporated by reference from the Form 8-K filed with the SEC on March 10, 2017)</w:t>
        </w:r>
      </w:hyperlink>
    </w:p>
    <w:p>
      <w:pPr>
        <w:spacing w:after="0" w:line="23" w:lineRule="exact"/>
        <w:rPr>
          <w:sz w:val="20"/>
          <w:szCs w:val="20"/>
          <w:color w:val="auto"/>
        </w:rPr>
      </w:pPr>
    </w:p>
    <w:p>
      <w:pPr>
        <w:ind w:right="899"/>
        <w:spacing w:after="0" w:line="237" w:lineRule="auto"/>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Share Award Plan of Westwood Holdings Group, Inc. for Service Provided in Canada to its Subsidiaries (incorporated by reference from the</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Registration Statement on Form S-8 filed with the SEC on April 18, 2013)</w:t>
        </w:r>
      </w:hyperlink>
    </w:p>
    <w:p>
      <w:pPr>
        <w:spacing w:after="0" w:line="7"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Consulting Agreement, dated as of March 17, 2015, between Westwood Holdings Group, Inc. and Susan Byrne (incorporated by reference from the</w:t>
        </w:r>
      </w:hyperlink>
      <w:r>
        <w:rPr>
          <w:rFonts w:ascii="Times New Roman" w:cs="Times New Roman" w:eastAsia="Times New Roman" w:hAnsi="Times New Roman"/>
          <w:sz w:val="14"/>
          <w:szCs w:val="14"/>
          <w:u w:val="single" w:color="auto"/>
          <w:color w:val="0000FF"/>
        </w:rPr>
        <w:t xml:space="preserve"> </w:t>
      </w:r>
      <w:hyperlink r:id="rId151">
        <w:r>
          <w:rPr>
            <w:rFonts w:ascii="Times New Roman" w:cs="Times New Roman" w:eastAsia="Times New Roman" w:hAnsi="Times New Roman"/>
            <w:sz w:val="14"/>
            <w:szCs w:val="14"/>
            <w:u w:val="single" w:color="auto"/>
            <w:color w:val="0000FF"/>
          </w:rPr>
          <w:t>Form 10-Q filed with the SEC on July 29, 2015)</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Severance Agreement, dated as of February 9, 2018, between Westwood Holdings Group, Inc. and Fabian Gomez (incorporated by reference from the</w:t>
        </w:r>
      </w:hyperlink>
      <w:r>
        <w:rPr>
          <w:rFonts w:ascii="Times New Roman" w:cs="Times New Roman" w:eastAsia="Times New Roman" w:hAnsi="Times New Roman"/>
          <w:sz w:val="14"/>
          <w:szCs w:val="14"/>
          <w:u w:val="single" w:color="auto"/>
          <w:color w:val="0000FF"/>
        </w:rPr>
        <w:t xml:space="preserve"> </w:t>
      </w:r>
      <w:hyperlink r:id="rId152">
        <w:r>
          <w:rPr>
            <w:rFonts w:ascii="Times New Roman" w:cs="Times New Roman" w:eastAsia="Times New Roman" w:hAnsi="Times New Roman"/>
            <w:sz w:val="14"/>
            <w:szCs w:val="14"/>
            <w:u w:val="single" w:color="auto"/>
            <w:color w:val="0000FF"/>
          </w:rPr>
          <w:t>Form 8-K filed with the SEC on February 3, 2018)</w:t>
        </w:r>
      </w:hyperlink>
    </w:p>
    <w:p>
      <w:pPr>
        <w:spacing w:after="0" w:line="8" w:lineRule="exact"/>
        <w:rPr>
          <w:sz w:val="20"/>
          <w:szCs w:val="20"/>
          <w:color w:val="auto"/>
        </w:rPr>
      </w:pPr>
    </w:p>
    <w:p>
      <w:pPr>
        <w:ind w:right="459"/>
        <w:spacing w:after="0" w:line="239" w:lineRule="auto"/>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Employee Confidentiality and Non-compete Agreement, effective November 1, 2018, between Westwood Holdings Group, Inc. and Murray "Terry"</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Forbes III (incorporated by reference from the Form 8-K/A filed with the SEC on October 29, 2018)</w:t>
        </w:r>
      </w:hyperlink>
    </w:p>
    <w:p>
      <w:pPr>
        <w:spacing w:after="0" w:line="8" w:lineRule="exact"/>
        <w:rPr>
          <w:sz w:val="20"/>
          <w:szCs w:val="20"/>
          <w:color w:val="auto"/>
        </w:rPr>
      </w:pPr>
    </w:p>
    <w:p>
      <w:pPr>
        <w:ind w:right="519"/>
        <w:spacing w:after="0" w:line="239"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Employee Confidentiality and Non-Compete Agreement dated as of May 25, 2022 by and between Fabian Gomez and Westwood Holdings Group,</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Inc. (incorporated by reference from the Form 8-K filed with the SEC on May 26, 2022)</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Side Letter Agreement dated as of May 25, 2022 by and between Fabian Gomez and Westwood Holdings Group, Inc. (incorporated by reference from</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the Form 8-K filed with the SEC on May 26, 2022)</w:t>
        </w:r>
      </w:hyperlink>
    </w:p>
    <w:p>
      <w:pPr>
        <w:spacing w:after="0" w:line="8" w:lineRule="exact"/>
        <w:rPr>
          <w:sz w:val="20"/>
          <w:szCs w:val="20"/>
          <w:color w:val="auto"/>
        </w:rPr>
      </w:pPr>
    </w:p>
    <w:p>
      <w:pPr>
        <w:ind w:right="699"/>
        <w:spacing w:after="0" w:line="239"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Employee Confidentiality and Non-Compete Agreement dated as of April 8, 2021 by and between Porter Montgomery and Westwood Holdings</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Group, Inc. (incorporated by reference from the Form 8-K filed with the SEC on May 26, 2022)</w:t>
        </w:r>
      </w:hyperlink>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Westwood Holdings Group, Inc. Amended and Restated Insider Trading Policy</w:t>
      </w:r>
    </w:p>
    <w:p>
      <w:pPr>
        <w:spacing w:after="0" w:line="23"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Subsidiaries (incorporated by reference from the Form 10-K filed with the SEC on February 28, 2013)</w:t>
        </w:r>
      </w:hyperlink>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Consent of BDO USA, P.C.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Power of Attorney (included on first signature page)</w:t>
      </w:r>
    </w:p>
    <w:p>
      <w:pPr>
        <w:spacing w:after="0" w:line="19" w:lineRule="exact"/>
        <w:rPr>
          <w:sz w:val="20"/>
          <w:szCs w:val="20"/>
          <w:color w:val="auto"/>
        </w:rPr>
      </w:pPr>
    </w:p>
    <w:p>
      <w:pPr>
        <w:ind w:right="2199"/>
        <w:spacing w:after="0" w:line="297" w:lineRule="auto"/>
        <w:rPr>
          <w:sz w:val="20"/>
          <w:szCs w:val="20"/>
          <w:color w:val="auto"/>
        </w:rPr>
      </w:pPr>
      <w:r>
        <w:rPr>
          <w:rFonts w:ascii="Times New Roman" w:cs="Times New Roman" w:eastAsia="Times New Roman" w:hAnsi="Times New Roman"/>
          <w:sz w:val="14"/>
          <w:szCs w:val="14"/>
          <w:u w:val="single" w:color="auto"/>
          <w:color w:val="0000FF"/>
        </w:rPr>
        <w:t>Certification of the Chief Executive Officer of Westwood required by Section 302 of the Sarbanes-Oxley Act of 2002 Certification of the Chief Financial Officer of Westwood required by Section 302 of the Sarbanes-Oxley Act of 2002</w:t>
      </w: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700" w:space="600"/>
            <w:col w:w="8839"/>
          </w:cols>
          <w:pgMar w:left="320" w:top="757"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26"/>
        </w:trPr>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8520" w:type="dxa"/>
            <w:vAlign w:val="bottom"/>
            <w:gridSpan w:val="4"/>
            <w:vMerge w:val="restart"/>
          </w:tcPr>
          <w:p>
            <w:pPr>
              <w:ind w:left="370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0" w:type="dxa"/>
            <w:vAlign w:val="bottom"/>
          </w:tcPr>
          <w:p>
            <w:pPr>
              <w:spacing w:after="0"/>
              <w:rPr>
                <w:sz w:val="1"/>
                <w:szCs w:val="1"/>
                <w:color w:val="auto"/>
              </w:rPr>
            </w:pPr>
          </w:p>
        </w:tc>
      </w:tr>
      <w:tr>
        <w:trPr>
          <w:trHeight w:val="153"/>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8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32.1#</w:t>
            </w: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520" w:type="dxa"/>
            <w:vAlign w:val="bottom"/>
            <w:tcBorders>
              <w:top w:val="single" w:sz="8" w:color="auto"/>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bottom w:val="single" w:sz="8" w:color="0000FF"/>
            </w:tcBorders>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 xml:space="preserve">Compensation Recovery Policy (incorporated by reference from the Form 10-K filed with the SEC on March 7, </w:t>
              </w:r>
            </w:hyperlink>
            <w:r>
              <w:rPr>
                <w:rFonts w:ascii="Times New Roman" w:cs="Times New Roman" w:eastAsia="Times New Roman" w:hAnsi="Times New Roman"/>
                <w:sz w:val="14"/>
                <w:szCs w:val="14"/>
                <w:color w:val="0000FF"/>
              </w:rPr>
              <w:t>2024)</w:t>
            </w:r>
          </w:p>
        </w:tc>
        <w:tc>
          <w:tcPr>
            <w:tcW w:w="168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4"/>
          </w:tcPr>
          <w:p>
            <w:pPr>
              <w:spacing w:after="0" w:line="150" w:lineRule="exact"/>
              <w:rPr>
                <w:sz w:val="20"/>
                <w:szCs w:val="20"/>
                <w:color w:val="auto"/>
              </w:rPr>
            </w:pPr>
            <w:r>
              <w:rPr>
                <w:rFonts w:ascii="Times New Roman" w:cs="Times New Roman" w:eastAsia="Times New Roman" w:hAnsi="Times New Roman"/>
                <w:sz w:val="14"/>
                <w:szCs w:val="14"/>
                <w:color w:val="auto"/>
              </w:rPr>
              <w:t>The following financial information from Westwood Holdings Group, Inc.'s Annual Report on Form 10-K for the year ended December 31, 2024,</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rPr>
              <w:t>formatted in Inline eXtensible Business Reporting Language (iXBRL): (i) Consolidated Balance Sheets as of December 31, 2024 and 2023; (ii)</w:t>
            </w:r>
          </w:p>
        </w:tc>
        <w:tc>
          <w:tcPr>
            <w:tcW w:w="0" w:type="dxa"/>
            <w:vAlign w:val="bottom"/>
          </w:tcPr>
          <w:p>
            <w:pPr>
              <w:spacing w:after="0"/>
              <w:rPr>
                <w:sz w:val="1"/>
                <w:szCs w:val="1"/>
                <w:color w:val="auto"/>
              </w:rPr>
            </w:pPr>
          </w:p>
        </w:tc>
      </w:tr>
      <w:tr>
        <w:trPr>
          <w:trHeight w:val="142"/>
        </w:trPr>
        <w:tc>
          <w:tcPr>
            <w:tcW w:w="1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Consolidated Statements of Operations for the years ended December 31, 2024, 2023 and 2022; (iii) Consolidated Statements of Stockholders' Equity</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520" w:type="dxa"/>
            <w:vAlign w:val="bottom"/>
            <w:gridSpan w:val="4"/>
          </w:tcPr>
          <w:p>
            <w:pPr>
              <w:spacing w:after="0" w:line="138" w:lineRule="exact"/>
              <w:rPr>
                <w:sz w:val="20"/>
                <w:szCs w:val="20"/>
                <w:color w:val="auto"/>
              </w:rPr>
            </w:pPr>
            <w:r>
              <w:rPr>
                <w:rFonts w:ascii="Times New Roman" w:cs="Times New Roman" w:eastAsia="Times New Roman" w:hAnsi="Times New Roman"/>
                <w:sz w:val="14"/>
                <w:szCs w:val="14"/>
                <w:color w:val="auto"/>
              </w:rPr>
              <w:t>for the years ended December 31, 2024, 2023 and 2022; (iv) Consolidated Statements of Cash Flows for the years ended December 31, 2024, 2023</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 2022; and (v) Notes to the Consolidated Financial Statements.</w:t>
            </w:r>
          </w:p>
        </w:tc>
        <w:tc>
          <w:tcPr>
            <w:tcW w:w="0" w:type="dxa"/>
            <w:vAlign w:val="bottom"/>
          </w:tcPr>
          <w:p>
            <w:pPr>
              <w:spacing w:after="0"/>
              <w:rPr>
                <w:sz w:val="1"/>
                <w:szCs w:val="1"/>
                <w:color w:val="auto"/>
              </w:rPr>
            </w:pPr>
          </w:p>
        </w:tc>
      </w:tr>
      <w:tr>
        <w:trPr>
          <w:trHeight w:val="18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4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94" w:lineRule="exact"/>
        <w:rPr>
          <w:sz w:val="20"/>
          <w:szCs w:val="20"/>
          <w:color w:val="auto"/>
        </w:rPr>
      </w:pPr>
    </w:p>
    <w:p>
      <w:pPr>
        <w:ind w:left="140"/>
        <w:spacing w:after="0"/>
        <w:tabs>
          <w:tab w:leader="none" w:pos="340" w:val="left"/>
        </w:tabs>
        <w:rPr>
          <w:sz w:val="20"/>
          <w:szCs w:val="20"/>
          <w:color w:val="auto"/>
        </w:rPr>
      </w:pPr>
      <w:r>
        <w:rPr>
          <w:rFonts w:ascii="Times New Roman" w:cs="Times New Roman" w:eastAsia="Times New Roman" w:hAnsi="Times New Roman"/>
          <w:sz w:val="14"/>
          <w:szCs w:val="14"/>
          <w:color w:val="auto"/>
        </w:rPr>
        <w:t>+</w:t>
        <w:tab/>
        <w:t>Indicates management contract or compensation plan, contract or arrangement.</w:t>
      </w:r>
    </w:p>
    <w:p>
      <w:pPr>
        <w:spacing w:after="0" w:line="94" w:lineRule="exact"/>
        <w:rPr>
          <w:sz w:val="20"/>
          <w:szCs w:val="20"/>
          <w:color w:val="auto"/>
        </w:rPr>
      </w:pPr>
    </w:p>
    <w:p>
      <w:pPr>
        <w:ind w:left="5580" w:right="3319" w:hanging="5448"/>
        <w:spacing w:after="0" w:line="935" w:lineRule="auto"/>
        <w:tabs>
          <w:tab w:leader="none" w:pos="35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601(b)(32) of SEC Regulation S-K, these exhibits are furnished rather than filed with this Report. 32</w:t>
      </w:r>
    </w:p>
    <w:p>
      <w:pPr>
        <w:sectPr>
          <w:pgSz w:w="11900" w:h="16838" w:orient="portrait"/>
          <w:cols w:equalWidth="0" w:num="1">
            <w:col w:w="10159"/>
          </w:cols>
          <w:pgMar w:left="300" w:top="747" w:right="1440" w:bottom="1440" w:gutter="0" w:footer="0" w:header="0"/>
        </w:sectPr>
      </w:pPr>
    </w:p>
    <w:bookmarkStart w:id="75" w:name="page76"/>
    <w:bookmarkEnd w:id="75"/>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935" w:lineRule="auto"/>
        <w:tabs>
          <w:tab w:leader="none" w:pos="351" w:val="left"/>
        </w:tabs>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333-285065, 333-277220, 333-269604, 333-267641, 333-258305, 333-238965, 333-232595, 333-228335, 333-224886, 333-218080, 333-203728, 333-188002, 333-187998, 333-175696, 333-160377, 333-133963, and 333-98841) of Westwood Holdings Group, Inc., of our report dated March 5, 2025, relating to the consolidated financial statements which appears in this Annual Report on this Form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ectPr>
          <w:pgSz w:w="11900" w:h="16838" w:orient="portrait"/>
          <w:cols w:equalWidth="0" w:num="1">
            <w:col w:w="11280"/>
          </w:cols>
          <w:pgMar w:left="300" w:top="123"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 AND 15D-14</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Brian O. Casey, certify that:</w:t>
      </w:r>
    </w:p>
    <w:p>
      <w:pPr>
        <w:spacing w:after="0" w:line="200"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Westwood Holdings Group, Inc.;</w:t>
      </w:r>
    </w:p>
    <w:p>
      <w:pPr>
        <w:spacing w:after="0" w:line="23" w:lineRule="exact"/>
        <w:rPr>
          <w:rFonts w:ascii="Times New Roman" w:cs="Times New Roman" w:eastAsia="Times New Roman" w:hAnsi="Times New Roman"/>
          <w:sz w:val="14"/>
          <w:szCs w:val="14"/>
          <w:color w:val="auto"/>
        </w:rPr>
      </w:pPr>
    </w:p>
    <w:p>
      <w:pPr>
        <w:ind w:left="520" w:right="720" w:hanging="260"/>
        <w:spacing w:after="0" w:line="25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00" w:hanging="260"/>
        <w:spacing w:after="0" w:line="25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40" w:hanging="260"/>
        <w:spacing w:after="0" w:line="25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360" w:hanging="251"/>
        <w:spacing w:after="0" w:line="253" w:lineRule="auto"/>
        <w:tabs>
          <w:tab w:leader="none" w:pos="101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20" w:right="560" w:hanging="251"/>
        <w:spacing w:after="0" w:line="253" w:lineRule="auto"/>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180" w:hanging="251"/>
        <w:spacing w:after="0" w:line="253" w:lineRule="auto"/>
        <w:tabs>
          <w:tab w:leader="none" w:pos="101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60" w:hanging="251"/>
        <w:spacing w:after="0" w:line="253" w:lineRule="auto"/>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380" w:hanging="260"/>
        <w:spacing w:after="0" w:line="25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53" w:lineRule="auto"/>
        <w:tabs>
          <w:tab w:leader="none" w:pos="101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5, 2025</w:t>
      </w:r>
    </w:p>
    <w:p>
      <w:pPr>
        <w:spacing w:after="0" w:line="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Brian O. Casey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3"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 AND 15D-14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Murray Forbes III, certify that:</w:t>
      </w:r>
    </w:p>
    <w:p>
      <w:pPr>
        <w:spacing w:after="0" w:line="285"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Westwood Holdings Group, Inc.;</w:t>
      </w:r>
    </w:p>
    <w:p>
      <w:pPr>
        <w:spacing w:after="0" w:line="51" w:lineRule="exact"/>
        <w:rPr>
          <w:rFonts w:ascii="Times New Roman" w:cs="Times New Roman" w:eastAsia="Times New Roman" w:hAnsi="Times New Roman"/>
          <w:sz w:val="14"/>
          <w:szCs w:val="14"/>
          <w:color w:val="auto"/>
        </w:rPr>
      </w:pPr>
    </w:p>
    <w:p>
      <w:pPr>
        <w:ind w:left="520" w:right="720" w:hanging="260"/>
        <w:spacing w:after="0" w:line="284"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00" w:hanging="260"/>
        <w:spacing w:after="0" w:line="284"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40" w:hanging="260"/>
        <w:spacing w:after="0" w:line="284"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360" w:hanging="251"/>
        <w:spacing w:after="0" w:line="270" w:lineRule="auto"/>
        <w:tabs>
          <w:tab w:leader="none" w:pos="10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1020" w:right="180" w:hanging="251"/>
        <w:spacing w:after="0" w:line="284" w:lineRule="auto"/>
        <w:tabs>
          <w:tab w:leader="none" w:pos="10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60" w:hanging="251"/>
        <w:spacing w:after="0" w:line="284" w:lineRule="auto"/>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380" w:hanging="260"/>
        <w:spacing w:after="0" w:line="284"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84" w:lineRule="auto"/>
        <w:tabs>
          <w:tab w:leader="none" w:pos="10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5, 2025</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23"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261"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Westwood Holdings Group, Inc. (the “Company”) on Form 10-K for the year ended December 31, 2024,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1" w:lineRule="exact"/>
        <w:rPr>
          <w:sz w:val="20"/>
          <w:szCs w:val="20"/>
          <w:color w:val="auto"/>
        </w:rPr>
      </w:pPr>
    </w:p>
    <w:p>
      <w:pPr>
        <w:ind w:left="820" w:hanging="306"/>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U.S.C.78m or 78o(d)); and</w:t>
      </w:r>
    </w:p>
    <w:p>
      <w:pPr>
        <w:spacing w:after="0" w:line="93"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5, 2025</w:t>
      </w:r>
    </w:p>
    <w:p>
      <w:pPr>
        <w:spacing w:after="0" w:line="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Brian O. Casey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23" w:right="3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7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Westwood Holdings Group, Inc. (the “Company”) on Form 10-K for the year ended December 31, 2024,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1" w:lineRule="exact"/>
        <w:rPr>
          <w:sz w:val="20"/>
          <w:szCs w:val="20"/>
          <w:color w:val="auto"/>
        </w:rPr>
      </w:pPr>
    </w:p>
    <w:p>
      <w:pPr>
        <w:ind w:left="820" w:hanging="306"/>
        <w:spacing w:after="0"/>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U.S.C.78m or 78o(d)); and</w:t>
      </w:r>
    </w:p>
    <w:p>
      <w:pPr>
        <w:spacing w:after="0" w:line="93" w:lineRule="exact"/>
        <w:rPr>
          <w:rFonts w:ascii="Times New Roman" w:cs="Times New Roman" w:eastAsia="Times New Roman" w:hAnsi="Times New Roman"/>
          <w:sz w:val="14"/>
          <w:szCs w:val="14"/>
          <w:color w:val="auto"/>
        </w:rPr>
      </w:pPr>
    </w:p>
    <w:p>
      <w:pPr>
        <w:ind w:right="2260" w:firstLine="514"/>
        <w:spacing w:after="0" w:line="403" w:lineRule="auto"/>
        <w:tabs>
          <w:tab w:leader="none" w:pos="81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Dated: March 5, 2025</w:t>
      </w:r>
    </w:p>
    <w:p>
      <w:pPr>
        <w:ind w:left="566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lowerRoman"/>
      <w:start w:val="2"/>
    </w:lvl>
  </w:abstractNum>
  <w:abstractNum w:abstractNumId="19">
    <w:nsid w:val="4353D0CD"/>
    <w:multiLevelType w:val="hybridMultilevel"/>
    <w:lvl w:ilvl="0">
      <w:lvlJc w:val="left"/>
      <w:lvlText w:val="%1."/>
      <w:numFmt w:val="decimal"/>
      <w:start w:val="4"/>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8"/>
    </w:lvl>
  </w:abstractNum>
  <w:abstractNum w:abstractNumId="23">
    <w:nsid w:val="71F32454"/>
    <w:multiLevelType w:val="hybridMultilevel"/>
    <w:lvl w:ilvl="0">
      <w:lvlJc w:val="left"/>
      <w:lvlText w:val="%1."/>
      <w:numFmt w:val="decimal"/>
      <w:start w:val="11"/>
    </w:lvl>
  </w:abstractNum>
  <w:abstractNum w:abstractNumId="24">
    <w:nsid w:val="2CA88611"/>
    <w:multiLevelType w:val="hybridMultilevel"/>
    <w:lvl w:ilvl="0">
      <w:lvlJc w:val="left"/>
      <w:lvlText w:val="1"/>
      <w:numFmt w:val="bullet"/>
      <w:start w:val="1"/>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55"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19" Type="http://schemas.openxmlformats.org/officeDocument/2006/relationships/hyperlink" Target="http://www.sec.gov/Archives/edgar/data/1165002/000119312513084081/d444159dex21.htm" TargetMode="External"/><Relationship Id="rId120" Type="http://schemas.openxmlformats.org/officeDocument/2006/relationships/hyperlink" Target="http://www.sec.gov/Archives/edgar/data/1165002/000119312515012458/d853486dex21.htm" TargetMode="External"/><Relationship Id="rId121" Type="http://schemas.openxmlformats.org/officeDocument/2006/relationships/hyperlink" Target="https://www.sec.gov/Archives/edgar/data/1165002/000116500222000079/0001165002-22-000079-index.htm" TargetMode="External"/><Relationship Id="rId122" Type="http://schemas.openxmlformats.org/officeDocument/2006/relationships/hyperlink" Target="https://www.sec.gov/Archives/edgar/data/1165002/000116500222000098/0001165002-22-000098-index.htm" TargetMode="External"/><Relationship Id="rId123" Type="http://schemas.openxmlformats.org/officeDocument/2006/relationships/hyperlink" Target="https://www.sec.gov/ix?doc=/Archives/edgar/data/0001165002/000116500224000087/whg-20241202.htm" TargetMode="External"/><Relationship Id="rId124" Type="http://schemas.openxmlformats.org/officeDocument/2006/relationships/hyperlink" Target="https://www.sec.gov/ix?doc=/Archives/edgar/data/0001165002/000116500221000089/whg-20211027.htm" TargetMode="External"/><Relationship Id="rId125" Type="http://schemas.openxmlformats.org/officeDocument/2006/relationships/hyperlink" Target="https://www.sec.gov/Archives/edgar/data/1165002/000093066102001393/d1012ba.txt" TargetMode="External"/><Relationship Id="rId126" Type="http://schemas.openxmlformats.org/officeDocument/2006/relationships/hyperlink" Target="https://www.sec.gov/Archives/edgar/data/1165002/000116500224000032/a2024proxy.htm" TargetMode="External"/><Relationship Id="rId127" Type="http://schemas.openxmlformats.org/officeDocument/2006/relationships/hyperlink" Target="http://www.sec.gov/Archives/edgar/data/1165002/000093066102001944/dex103.txt" TargetMode="External"/><Relationship Id="rId128" Type="http://schemas.openxmlformats.org/officeDocument/2006/relationships/hyperlink" Target="http://www.sec.gov/Archives/edgar/data/1165002/000093066102000359/dex1010.txt" TargetMode="External"/><Relationship Id="rId129" Type="http://schemas.openxmlformats.org/officeDocument/2006/relationships/hyperlink" Target="http://www.sec.gov/Archives/edgar/data/1165002/000119312504031244/dex106.htm" TargetMode="External"/><Relationship Id="rId130" Type="http://schemas.openxmlformats.org/officeDocument/2006/relationships/hyperlink" Target="http://www.sec.gov/Archives/edgar/data/1165002/000119312504031244/dex107.htm" TargetMode="External"/><Relationship Id="rId131" Type="http://schemas.openxmlformats.org/officeDocument/2006/relationships/hyperlink" Target="http://www.sec.gov/Archives/edgar/data/1165002/000119312511047683/dex107.htm" TargetMode="External"/><Relationship Id="rId132" Type="http://schemas.openxmlformats.org/officeDocument/2006/relationships/hyperlink" Target="http://www.sec.gov/Archives/edgar/data/1165002/000119312513084081/d444159dex108.htm" TargetMode="External"/><Relationship Id="rId133" Type="http://schemas.openxmlformats.org/officeDocument/2006/relationships/hyperlink" Target="http://www.sec.gov/Archives/edgar/data/1165002/000116500216000034/exhibit1035.htm" TargetMode="External"/><Relationship Id="rId134" Type="http://schemas.openxmlformats.org/officeDocument/2006/relationships/hyperlink" Target="http://www.sec.gov/Archives/edgar/data/1165002/000116500216000034/exhibit1036.htm" TargetMode="External"/><Relationship Id="rId135" Type="http://schemas.openxmlformats.org/officeDocument/2006/relationships/hyperlink" Target="http://www.sec.gov/Archives/edgar/data/1165002/000116500216000034/exhibit1037.htm" TargetMode="External"/><Relationship Id="rId136" Type="http://schemas.openxmlformats.org/officeDocument/2006/relationships/hyperlink" Target="http://www.sec.gov/Archives/edgar/data/1165002/000116500218000064/exhibit10crescentamendment.htm" TargetMode="External"/><Relationship Id="rId140" Type="http://schemas.openxmlformats.org/officeDocument/2006/relationships/hyperlink" Target="http://www.sec.gov/Archives/edgar/data/1165002/000093066102000359/dex1012.txt" TargetMode="External"/><Relationship Id="rId141" Type="http://schemas.openxmlformats.org/officeDocument/2006/relationships/hyperlink" Target="http://www.sec.gov/Archives/edgar/data/1165002/000119312513084081/d444159dex1011.htm" TargetMode="External"/><Relationship Id="rId142" Type="http://schemas.openxmlformats.org/officeDocument/2006/relationships/hyperlink" Target="http://www.sec.gov/Archives/edgar/data/1165002/000119312504031244/dex1011.htm" TargetMode="External"/><Relationship Id="rId143" Type="http://schemas.openxmlformats.org/officeDocument/2006/relationships/hyperlink" Target="http://www.sec.gov/Archives/edgar/data/1165002/000119312504031244/dex1012.htm" TargetMode="External"/><Relationship Id="rId144" Type="http://schemas.openxmlformats.org/officeDocument/2006/relationships/hyperlink" Target="http://www.sec.gov/Archives/edgar/data/1165002/000119312504031244/dex1013.htm" TargetMode="External"/><Relationship Id="rId145" Type="http://schemas.openxmlformats.org/officeDocument/2006/relationships/hyperlink" Target="http://www.sec.gov/Archives/edgar/data/1165002/000116500215000026/bocemploymentagreementfinal.htm" TargetMode="External"/><Relationship Id="rId146" Type="http://schemas.openxmlformats.org/officeDocument/2006/relationships/hyperlink" Target="http://www.sec.gov/Archives/edgar/data/1165002/000116500216000041/perfornanceshareagreement.htm" TargetMode="External"/><Relationship Id="rId147" Type="http://schemas.openxmlformats.org/officeDocument/2006/relationships/hyperlink" Target="http://www.sec.gov/Archives/edgar/data/1165002/000116500216000041/performanceshareagreementc.htm" TargetMode="External"/><Relationship Id="rId148" Type="http://schemas.openxmlformats.org/officeDocument/2006/relationships/hyperlink" Target="http://www.sec.gov/Archives/edgar/data/1165002/000116500217000027/exhibit101.htm" TargetMode="External"/><Relationship Id="rId149" Type="http://schemas.openxmlformats.org/officeDocument/2006/relationships/hyperlink" Target="http://www.sec.gov/Archives/edgar/data/1165002/000116500217000033/formofperfornanceshareagre.htm" TargetMode="External"/><Relationship Id="rId150" Type="http://schemas.openxmlformats.org/officeDocument/2006/relationships/hyperlink" Target="http://www.sec.gov/Archives/edgar/data/1165002/000119312513161059/d525354dex44.htm" TargetMode="External"/><Relationship Id="rId151" Type="http://schemas.openxmlformats.org/officeDocument/2006/relationships/hyperlink" Target="http://www.sec.gov/Archives/edgar/data/1165002/000116500215000006/exhibit101.htm" TargetMode="External"/><Relationship Id="rId152" Type="http://schemas.openxmlformats.org/officeDocument/2006/relationships/hyperlink" Target="http://www.sec.gov/Archives/edgar/data/1165002/000116500218000006/final8kexhibitcoo.htm" TargetMode="External"/><Relationship Id="rId153" Type="http://schemas.openxmlformats.org/officeDocument/2006/relationships/hyperlink" Target="http://www.sec.gov/Archives/edgar/data/1165002/000116500218000067/cfoconfidentialityandnon-c.htm" TargetMode="External"/><Relationship Id="rId154" Type="http://schemas.openxmlformats.org/officeDocument/2006/relationships/hyperlink" Target="http://www.sec.gov/Archives/edgar/data/1165002/000119312513084081/d444159dex211.htm" TargetMode="External"/><Relationship Id="rId156" Type="http://schemas.openxmlformats.org/officeDocument/2006/relationships/hyperlink" Target="https://www.sec.gov/ix?doc=/Archives/edgar/data/0001165002/000116500224000022/whg-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2025-03-05T15:54:40Z</dcterms:created>
  <dcterms:modified xsi:type="dcterms:W3CDTF">2025-03-05T15:54:40Z</dcterms:modified>
</cp:coreProperties>
</file>