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7"/>
          <w:szCs w:val="27"/>
          <w:b w:val="1"/>
          <w:bCs w:val="1"/>
          <w:color w:val="auto"/>
        </w:rPr>
        <w:t>UNITED STATES</w:t>
      </w:r>
    </w:p>
    <w:p>
      <w:pPr>
        <w:spacing w:after="0" w:line="41" w:lineRule="exact"/>
        <w:rPr>
          <w:sz w:val="24"/>
          <w:szCs w:val="24"/>
          <w:color w:val="auto"/>
        </w:rPr>
      </w:pPr>
    </w:p>
    <w:p>
      <w:pPr>
        <w:jc w:val="center"/>
        <w:ind w:right="-439"/>
        <w:spacing w:after="0"/>
        <w:rPr>
          <w:sz w:val="20"/>
          <w:szCs w:val="20"/>
          <w:color w:val="auto"/>
        </w:rPr>
      </w:pPr>
      <w:r>
        <w:rPr>
          <w:rFonts w:ascii="Arial" w:cs="Arial" w:eastAsia="Arial" w:hAnsi="Arial"/>
          <w:sz w:val="27"/>
          <w:szCs w:val="27"/>
          <w:b w:val="1"/>
          <w:bCs w:val="1"/>
          <w:color w:val="auto"/>
        </w:rPr>
        <w:t>SECURITIES AND EXCHANGE COMMISSION</w:t>
      </w:r>
    </w:p>
    <w:p>
      <w:pPr>
        <w:spacing w:after="0" w:line="40"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439"/>
        <w:spacing w:after="0"/>
        <w:rPr>
          <w:sz w:val="20"/>
          <w:szCs w:val="20"/>
          <w:color w:val="auto"/>
        </w:rPr>
      </w:pPr>
      <w:r>
        <w:rPr>
          <w:rFonts w:ascii="Arial" w:cs="Arial" w:eastAsia="Arial" w:hAnsi="Arial"/>
          <w:sz w:val="27"/>
          <w:szCs w:val="27"/>
          <w:b w:val="1"/>
          <w:bCs w:val="1"/>
          <w:color w:val="auto"/>
        </w:rPr>
        <w:t>FORM 8-K</w:t>
      </w:r>
    </w:p>
    <w:p>
      <w:pPr>
        <w:spacing w:after="0" w:line="212"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Date of Report (Date of earliest event reported): October 4, 2018 (September 28, 2018)</w:t>
      </w:r>
    </w:p>
    <w:p>
      <w:pPr>
        <w:spacing w:after="0" w:line="165" w:lineRule="exact"/>
        <w:rPr>
          <w:sz w:val="24"/>
          <w:szCs w:val="24"/>
          <w:color w:val="auto"/>
        </w:rPr>
      </w:pPr>
    </w:p>
    <w:p>
      <w:pPr>
        <w:jc w:val="center"/>
        <w:ind w:right="-439"/>
        <w:spacing w:after="0"/>
        <w:rPr>
          <w:sz w:val="20"/>
          <w:szCs w:val="20"/>
          <w:color w:val="auto"/>
        </w:rPr>
      </w:pPr>
      <w:r>
        <w:rPr>
          <w:rFonts w:ascii="Arial" w:cs="Arial" w:eastAsia="Arial" w:hAnsi="Arial"/>
          <w:sz w:val="37"/>
          <w:szCs w:val="37"/>
          <w:b w:val="1"/>
          <w:bCs w:val="1"/>
          <w:color w:val="auto"/>
        </w:rPr>
        <w:t>WESTWOOD HOLDINGS GROUP, INC.</w:t>
      </w:r>
    </w:p>
    <w:p>
      <w:pPr>
        <w:spacing w:after="0" w:line="80"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41"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640" w:type="dxa"/>
            <w:vAlign w:val="bottom"/>
            <w:vMerge w:val="restart"/>
          </w:tcPr>
          <w:p>
            <w:pPr>
              <w:jc w:val="center"/>
              <w:ind w:right="410"/>
              <w:spacing w:after="0"/>
              <w:rPr>
                <w:sz w:val="20"/>
                <w:szCs w:val="20"/>
                <w:color w:val="auto"/>
              </w:rPr>
            </w:pPr>
            <w:r>
              <w:rPr>
                <w:rFonts w:ascii="Arial" w:cs="Arial" w:eastAsia="Arial" w:hAnsi="Arial"/>
                <w:sz w:val="18"/>
                <w:szCs w:val="18"/>
                <w:color w:val="auto"/>
                <w:w w:val="92"/>
              </w:rPr>
              <w:t>Delaware</w:t>
            </w:r>
          </w:p>
        </w:tc>
        <w:tc>
          <w:tcPr>
            <w:tcW w:w="4740" w:type="dxa"/>
            <w:vAlign w:val="bottom"/>
            <w:vMerge w:val="restart"/>
          </w:tcPr>
          <w:p>
            <w:pPr>
              <w:jc w:val="right"/>
              <w:ind w:right="1790"/>
              <w:spacing w:after="0"/>
              <w:rPr>
                <w:sz w:val="20"/>
                <w:szCs w:val="20"/>
                <w:color w:val="auto"/>
              </w:rPr>
            </w:pPr>
            <w:r>
              <w:rPr>
                <w:rFonts w:ascii="Arial" w:cs="Arial" w:eastAsia="Arial" w:hAnsi="Arial"/>
                <w:sz w:val="18"/>
                <w:szCs w:val="18"/>
                <w:color w:val="auto"/>
              </w:rPr>
              <w:t>001-31234</w:t>
            </w:r>
          </w:p>
        </w:tc>
        <w:tc>
          <w:tcPr>
            <w:tcW w:w="2920" w:type="dxa"/>
            <w:vAlign w:val="bottom"/>
          </w:tcPr>
          <w:p>
            <w:pPr>
              <w:jc w:val="right"/>
              <w:ind w:right="710"/>
              <w:spacing w:after="0"/>
              <w:rPr>
                <w:sz w:val="20"/>
                <w:szCs w:val="20"/>
                <w:color w:val="auto"/>
              </w:rPr>
            </w:pPr>
            <w:r>
              <w:rPr>
                <w:rFonts w:ascii="Arial" w:cs="Arial" w:eastAsia="Arial" w:hAnsi="Arial"/>
                <w:sz w:val="18"/>
                <w:szCs w:val="18"/>
                <w:color w:val="auto"/>
              </w:rPr>
              <w:t>75-2969997</w:t>
            </w:r>
          </w:p>
        </w:tc>
        <w:tc>
          <w:tcPr>
            <w:tcW w:w="0" w:type="dxa"/>
            <w:vAlign w:val="bottom"/>
          </w:tcPr>
          <w:p>
            <w:pPr>
              <w:spacing w:after="0"/>
              <w:rPr>
                <w:sz w:val="1"/>
                <w:szCs w:val="1"/>
                <w:color w:val="auto"/>
              </w:rPr>
            </w:pPr>
          </w:p>
        </w:tc>
      </w:tr>
      <w:tr>
        <w:trPr>
          <w:trHeight w:val="216"/>
        </w:trPr>
        <w:tc>
          <w:tcPr>
            <w:tcW w:w="2640" w:type="dxa"/>
            <w:vAlign w:val="bottom"/>
            <w:vMerge w:val="continue"/>
          </w:tcPr>
          <w:p>
            <w:pPr>
              <w:spacing w:after="0"/>
              <w:rPr>
                <w:sz w:val="18"/>
                <w:szCs w:val="18"/>
                <w:color w:val="auto"/>
              </w:rPr>
            </w:pPr>
          </w:p>
        </w:tc>
        <w:tc>
          <w:tcPr>
            <w:tcW w:w="4740" w:type="dxa"/>
            <w:vAlign w:val="bottom"/>
            <w:vMerge w:val="continue"/>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40" w:type="dxa"/>
            <w:vAlign w:val="bottom"/>
          </w:tcPr>
          <w:p>
            <w:pPr>
              <w:jc w:val="center"/>
              <w:ind w:right="410"/>
              <w:spacing w:after="0"/>
              <w:rPr>
                <w:sz w:val="20"/>
                <w:szCs w:val="20"/>
                <w:color w:val="auto"/>
              </w:rPr>
            </w:pPr>
            <w:r>
              <w:rPr>
                <w:rFonts w:ascii="Arial" w:cs="Arial" w:eastAsia="Arial" w:hAnsi="Arial"/>
                <w:sz w:val="18"/>
                <w:szCs w:val="18"/>
                <w:color w:val="auto"/>
                <w:w w:val="92"/>
              </w:rPr>
              <w:t>( State or other jurisdiction of</w:t>
            </w:r>
          </w:p>
        </w:tc>
        <w:tc>
          <w:tcPr>
            <w:tcW w:w="4740" w:type="dxa"/>
            <w:vAlign w:val="bottom"/>
          </w:tcPr>
          <w:p>
            <w:pPr>
              <w:jc w:val="center"/>
              <w:ind w:left="90"/>
              <w:spacing w:after="0"/>
              <w:rPr>
                <w:sz w:val="20"/>
                <w:szCs w:val="20"/>
                <w:color w:val="auto"/>
              </w:rPr>
            </w:pPr>
            <w:r>
              <w:rPr>
                <w:rFonts w:ascii="Arial" w:cs="Arial" w:eastAsia="Arial" w:hAnsi="Arial"/>
                <w:sz w:val="18"/>
                <w:szCs w:val="18"/>
                <w:color w:val="auto"/>
                <w:w w:val="93"/>
              </w:rPr>
              <w:t>(Commission File Number)</w:t>
            </w:r>
          </w:p>
        </w:tc>
        <w:tc>
          <w:tcPr>
            <w:tcW w:w="2920" w:type="dxa"/>
            <w:vAlign w:val="bottom"/>
          </w:tcPr>
          <w:p>
            <w:pPr>
              <w:jc w:val="center"/>
              <w:ind w:left="3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2640" w:type="dxa"/>
            <w:vAlign w:val="bottom"/>
          </w:tcPr>
          <w:p>
            <w:pPr>
              <w:jc w:val="center"/>
              <w:ind w:right="410"/>
              <w:spacing w:after="0"/>
              <w:rPr>
                <w:sz w:val="20"/>
                <w:szCs w:val="20"/>
                <w:color w:val="auto"/>
              </w:rPr>
            </w:pPr>
            <w:r>
              <w:rPr>
                <w:rFonts w:ascii="Arial" w:cs="Arial" w:eastAsia="Arial" w:hAnsi="Arial"/>
                <w:sz w:val="18"/>
                <w:szCs w:val="18"/>
                <w:color w:val="auto"/>
                <w:w w:val="92"/>
              </w:rPr>
              <w:t>incorporation)</w:t>
            </w:r>
          </w:p>
        </w:tc>
        <w:tc>
          <w:tcPr>
            <w:tcW w:w="47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264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89"/>
              </w:rPr>
              <w:t>200 Crescent Court, Suite 1200</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88"/>
              </w:rPr>
              <w:t>Dallas, Texas 75201</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64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90"/>
              </w:rPr>
              <w:t>(214) 756-6900</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474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2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66" w:lineRule="exact"/>
        <w:rPr>
          <w:sz w:val="24"/>
          <w:szCs w:val="24"/>
          <w:color w:val="auto"/>
        </w:rPr>
      </w:pPr>
    </w:p>
    <w:p>
      <w:pPr>
        <w:ind w:right="100" w:firstLine="324"/>
        <w:spacing w:after="0" w:line="34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1111" w:right="679" w:bottom="1440" w:gutter="0" w:footer="0" w:header="0"/>
        </w:sectPr>
      </w:pPr>
    </w:p>
    <w:bookmarkStart w:id="1" w:name="page2"/>
    <w:bookmarkEnd w:id="1"/>
    <w:p>
      <w:pPr>
        <w:ind w:left="880" w:right="340" w:hanging="85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3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On September 28, 2018, Tiffany B. Kice, Senior Vice President, Chief Financial Officer, Treasurer and Principal Accounting Officer of Westwood Holdings Group, Inc. (the “Company”), notified the Company that she will resign from her position to pursue another business opportunity effective October 31, 2018. Ms. Kice’s departure is not related to any disagreement with the Company regarding any financial, accounting or other matters.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October 4, 2018, the Board of Directors of the Company appointed Murray “Terry” Forbes III, the Company’s current Vice President of Finance, to serve as Senior Vice President, Chief Financial Officer, Treasurer and Principal Accounting Officer, effective upon Ms. Kice's departure. Mr. Forbes, age 40, joined the Company in December 2014 as Vice President of Finance and has 18 years of experience across multiple industries in both the public and private sectors, including 12 years in public accounting. His expertise includes financial reporting for Securities and Exchange Commission registrants, capital markets, corporate governance, global tax and treasury matters, mergers and acquisitions and technology solutions. Prior to joining the Company, Mr. Forbes served as Senior Director, Assistant Controller of CEC Entertainment, Inc. (“CEC”), a Dallas-based company that develops, operates and franchises family dining and entertainment centers, from December 2012 to December 2014. CEC was a New York Stock Exchange listed company until February 2014. From September 2000 to December 2012, he worked at KPMG LLP, most recently as an audit senior manager. Mr. Forbes holds a bachelor’s degree in business administration from the University of Richmond and is a certified public accountant. Mr. Forbes’ compensation associated with his new position has not yet been finalized and approved by the Board of Directors. The Company will file an amendment to this Current Report on Form 8-K following the final determination of his compensation.</w:t>
      </w:r>
    </w:p>
    <w:p>
      <w:pPr>
        <w:spacing w:after="0" w:line="1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October 4, 2018, the Company issued a press release announcing certain of the matters set forth herein. A copy of the press release is furnished herewith as Exhibit 99.1 and is incorporated herein by reference. In accordance with General Instruction B.2 of Form 8-K, the information presented herein under Item 7.01 and set forth in the attached Exhibit 99.1 shall not be deemed to be “filed” for purposes of Section 18 of the Securities Exchange Act of 1934, as amended (the “Exchange Act”), or otherwise subject to the liability of that section, and is not to be incorporated by reference into any filing of the Company under the Securities Act of 1933 or the Exchange Act, except as shall be expressly set forth by specific reference in such a filing.</w:t>
      </w:r>
    </w:p>
    <w:p>
      <w:pPr>
        <w:spacing w:after="0" w:line="1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w w:val="89"/>
              </w:rPr>
              <w:t>Press Release of Westwood Holdings Group, Inc. dated October 4, 2018.</w:t>
            </w:r>
          </w:p>
        </w:tc>
      </w:tr>
    </w:tbl>
    <w:p>
      <w:pPr>
        <w:sectPr>
          <w:pgSz w:w="11900" w:h="16838" w:orient="portrait"/>
          <w:cols w:equalWidth="0" w:num="1">
            <w:col w:w="11380"/>
          </w:cols>
          <w:pgMar w:left="240" w:top="1040" w:right="279" w:bottom="1440" w:gutter="0" w:footer="0" w:header="0"/>
        </w:sectPr>
      </w:pPr>
    </w:p>
    <w:bookmarkStart w:id="2" w:name="page3"/>
    <w:bookmarkEnd w:id="2"/>
    <w:p>
      <w:pPr>
        <w:ind w:left="58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WESTWOOD HOLDINGS GROUP, INC</w:t>
      </w:r>
      <w:r>
        <w:rPr>
          <w:rFonts w:ascii="Arial" w:cs="Arial" w:eastAsia="Arial" w:hAnsi="Arial"/>
          <w:sz w:val="18"/>
          <w:szCs w:val="18"/>
          <w:color w:val="auto"/>
        </w:rPr>
        <w:t>.</w:t>
      </w:r>
    </w:p>
    <w:p>
      <w:pPr>
        <w:spacing w:after="0" w:line="67" w:lineRule="exact"/>
        <w:rPr>
          <w:sz w:val="20"/>
          <w:szCs w:val="20"/>
          <w:color w:val="auto"/>
        </w:rPr>
      </w:pPr>
    </w:p>
    <w:p>
      <w:pPr>
        <w:ind w:left="20"/>
        <w:spacing w:after="0"/>
        <w:tabs>
          <w:tab w:leader="none" w:pos="5780" w:val="left"/>
          <w:tab w:leader="none" w:pos="6280" w:val="left"/>
        </w:tabs>
        <w:rPr>
          <w:sz w:val="20"/>
          <w:szCs w:val="20"/>
          <w:color w:val="auto"/>
        </w:rPr>
      </w:pPr>
      <w:r>
        <w:rPr>
          <w:rFonts w:ascii="Arial" w:cs="Arial" w:eastAsia="Arial" w:hAnsi="Arial"/>
          <w:sz w:val="18"/>
          <w:szCs w:val="18"/>
          <w:color w:val="auto"/>
        </w:rPr>
        <w:t>Date: October 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3988435</wp:posOffset>
            </wp:positionH>
            <wp:positionV relativeFrom="paragraph">
              <wp:posOffset>31750</wp:posOffset>
            </wp:positionV>
            <wp:extent cx="2238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00"/>
          </w:cols>
          <w:pgMar w:left="260" w:top="90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340" w:type="dxa"/>
            <w:vAlign w:val="bottom"/>
          </w:tcPr>
          <w:p>
            <w:pPr>
              <w:spacing w:after="0"/>
              <w:rPr>
                <w:sz w:val="17"/>
                <w:szCs w:val="17"/>
                <w:color w:val="auto"/>
              </w:rPr>
            </w:pPr>
          </w:p>
        </w:tc>
      </w:tr>
      <w:tr>
        <w:trPr>
          <w:trHeight w:val="250"/>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1"/>
                <w:szCs w:val="21"/>
                <w:color w:val="auto"/>
              </w:rPr>
            </w:pPr>
          </w:p>
        </w:tc>
        <w:tc>
          <w:tcPr>
            <w:tcW w:w="52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of Westwood Holdings Group, Inc. dated October 4, 2018.</w:t>
              </w:r>
            </w:hyperlink>
          </w:p>
        </w:tc>
      </w:tr>
    </w:tbl>
    <w:p>
      <w:pPr>
        <w:sectPr>
          <w:pgSz w:w="11900" w:h="16838" w:orient="portrait"/>
          <w:cols w:equalWidth="0" w:num="1">
            <w:col w:w="11380"/>
          </w:cols>
          <w:pgMar w:left="280" w:top="904"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517525</wp:posOffset>
            </wp:positionV>
            <wp:extent cx="2744470" cy="1029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Promotes Terry Forbes, CPA to Chief Financial Officer</w:t>
      </w:r>
    </w:p>
    <w:p>
      <w:pPr>
        <w:spacing w:after="0" w:line="172" w:lineRule="exact"/>
        <w:rPr>
          <w:sz w:val="20"/>
          <w:szCs w:val="20"/>
          <w:color w:val="auto"/>
        </w:rPr>
      </w:pPr>
    </w:p>
    <w:p>
      <w:pPr>
        <w:ind w:right="220"/>
        <w:spacing w:after="0" w:line="265" w:lineRule="auto"/>
        <w:rPr>
          <w:sz w:val="20"/>
          <w:szCs w:val="20"/>
          <w:color w:val="auto"/>
        </w:rPr>
      </w:pPr>
      <w:r>
        <w:rPr>
          <w:rFonts w:ascii="Arial" w:cs="Arial" w:eastAsia="Arial" w:hAnsi="Arial"/>
          <w:sz w:val="21"/>
          <w:szCs w:val="21"/>
          <w:color w:val="auto"/>
        </w:rPr>
        <w:t>Dallas, TX October 4, 2018 – Westwood Holdings Group, Inc. (NYSE: WHG) is pleased to announce the promotion of our Vice President of Finance, Murray “Terry” Forbes III, CPA to the position of Chief Financial Officer. Terry takes over from Tiffany Kice, CPA who is resigning to pursue another business opportunity. Tiffany will oversee the filing of our third quarter Form 10-Q and will assist in the transitioning of her responsibilities until her October 31, 2018 departure date.</w:t>
      </w:r>
    </w:p>
    <w:p>
      <w:pPr>
        <w:spacing w:after="0" w:line="122" w:lineRule="exact"/>
        <w:rPr>
          <w:sz w:val="20"/>
          <w:szCs w:val="20"/>
          <w:color w:val="auto"/>
        </w:rPr>
      </w:pPr>
    </w:p>
    <w:p>
      <w:pPr>
        <w:ind w:right="160"/>
        <w:spacing w:after="0" w:line="292" w:lineRule="auto"/>
        <w:rPr>
          <w:sz w:val="20"/>
          <w:szCs w:val="20"/>
          <w:color w:val="auto"/>
        </w:rPr>
      </w:pPr>
      <w:r>
        <w:rPr>
          <w:rFonts w:ascii="Arial" w:cs="Arial" w:eastAsia="Arial" w:hAnsi="Arial"/>
          <w:sz w:val="19"/>
          <w:szCs w:val="19"/>
          <w:color w:val="auto"/>
        </w:rPr>
        <w:t>Terry joined Westwood in December 2014 as Vice President of Finance and has worked closely with Tiffany across all areas of finance, accounting, treasury, tax, internal audit and risk management. He has 18 years of multi-industry experience in the public and private sectors, including 12 years in public accounting. Prior to Westwood, Terry served as Senior Director and Assistant Controller of CEC Entertainment, Inc. (“CEC”), a Dallas-based company that develops, operates and franchises family dining and entertainment centers. CEC was a New York Stock Exchange listed company until February 2014. From September 2000 to December 2012, Terry was at KPMG LLP, most recently as an audit senior manager. He holds a bachelor’s degree in business administration from the University of Richmond and is a certified public accountant.</w:t>
      </w:r>
    </w:p>
    <w:p>
      <w:pPr>
        <w:spacing w:after="0" w:line="97" w:lineRule="exact"/>
        <w:rPr>
          <w:sz w:val="20"/>
          <w:szCs w:val="20"/>
          <w:color w:val="auto"/>
        </w:rPr>
      </w:pPr>
    </w:p>
    <w:p>
      <w:pPr>
        <w:ind w:right="340"/>
        <w:spacing w:after="0" w:line="263" w:lineRule="auto"/>
        <w:rPr>
          <w:sz w:val="20"/>
          <w:szCs w:val="20"/>
          <w:color w:val="auto"/>
        </w:rPr>
      </w:pPr>
      <w:r>
        <w:rPr>
          <w:rFonts w:ascii="Arial" w:cs="Arial" w:eastAsia="Arial" w:hAnsi="Arial"/>
          <w:sz w:val="21"/>
          <w:szCs w:val="21"/>
          <w:color w:val="auto"/>
        </w:rPr>
        <w:t>“I am confident that Terry's multi-faceted experience across a wide range of industries and his tenure as our Vice President of Finance have prepared him well to serve as our Chief Financial Officer,” said Brian O. Casey, President and Chief Executive Officer of Westwood. “We implemented a succession planning process internally a few years ago to provide opportunity for continued career growth and increased responsibility for our talented team members. We have complete confidence in Terry and our accounting and finance team to execute a seamless transition.”</w:t>
      </w:r>
    </w:p>
    <w:p>
      <w:pPr>
        <w:spacing w:after="0" w:line="122" w:lineRule="exact"/>
        <w:rPr>
          <w:sz w:val="20"/>
          <w:szCs w:val="20"/>
          <w:color w:val="auto"/>
        </w:rPr>
      </w:pPr>
    </w:p>
    <w:p>
      <w:pPr>
        <w:jc w:val="both"/>
        <w:ind w:right="100"/>
        <w:spacing w:after="0" w:line="253" w:lineRule="auto"/>
        <w:rPr>
          <w:sz w:val="20"/>
          <w:szCs w:val="20"/>
          <w:color w:val="auto"/>
        </w:rPr>
      </w:pPr>
      <w:r>
        <w:rPr>
          <w:rFonts w:ascii="Arial" w:cs="Arial" w:eastAsia="Arial" w:hAnsi="Arial"/>
          <w:sz w:val="22"/>
          <w:szCs w:val="22"/>
          <w:color w:val="auto"/>
        </w:rPr>
        <w:t>“For the past four years, Tiffany and I have worked together to build an experienced and cohesive group of accounting and finance professionals. This feels like a natural progression for our group, and I am excited for the opportunity to lead our team,” said Terry Forbes.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Westwood Holdings Group, Inc. provides investment management services to institutional investors, private wealth clients and financial intermediaries. The firm has $21.6 billion in assets under management, of which $3.4 billion are in values-based and socially responsible investment mandates as of June 30, 2018. Westwood offers a range of investment strategies including U.S. equities, Multi-Asset, Global and Emerging Markets equities, Global Convertible securities and Master Limited Partnerships (MLPs)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Texas, Westwood also maintains offices in Toronto, Boston and Houston.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ectPr>
          <w:pgSz w:w="11900" w:h="16838" w:orient="portrait"/>
          <w:cols w:equalWidth="0" w:num="1">
            <w:col w:w="11420"/>
          </w:cols>
          <w:pgMar w:left="240" w:top="144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transition of responsibilities from a departing executive to another executive, as well as other statements including without limitation, words such as “execute,” “transitioning,”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includes investments in foreign companies; our ability to develop and market new investment strategies successfully; our reputation and relationships with current and potential customers; our ability to attract and retain qualified personnel; our ability to perform operational tasks; our ability to maintain effective cyber security; our ability to identify and execute on our strategic initiatives; our ability to select and oversee third-party vendors; our ability to maintain effective information systems;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Securities and Exchange Commission filings, including, but not limited to, its annual report on Form 10-K for the year ended December 31, 2017 and its quarterly report on Form 10-Q for the quarters ended March 31, 2018 and June 30, 2018.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Brian O. Casey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President and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2019-12-28T19:29:37Z</dcterms:created>
  <dcterms:modified xsi:type="dcterms:W3CDTF">2019-12-28T19:29:37Z</dcterms:modified>
</cp:coreProperties>
</file>