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4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Date of Report (Date of earliest event reported): July 26, 2017</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43"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15"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ind w:firstLine="324"/>
        <w:spacing w:after="0" w:line="28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27"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690"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July 26, 2017, Westwood Holdings Group, Inc. (“Westwood”) issued a press release entitled “Westwood Holdings Group, Inc. Reports Second Quarter 2017 Results; AUM From Global and Emerging Market Strategies Reaches Record $5.1 Billion”,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$0.62 per common share, payable on October 2, 2017 to stockholders of record on September 8, 2017.</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582" w:right="2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582" w:right="279" w:bottom="1440" w:gutter="0" w:footer="0" w:header="0"/>
          <w:type w:val="continuous"/>
        </w:sectPr>
      </w:pPr>
    </w:p>
    <w:p>
      <w:pPr>
        <w:spacing w:after="0" w:line="52" w:lineRule="exact"/>
        <w:rPr>
          <w:sz w:val="20"/>
          <w:szCs w:val="20"/>
          <w:color w:val="auto"/>
        </w:rPr>
      </w:pPr>
    </w:p>
    <w:p>
      <w:pPr>
        <w:ind w:left="1300" w:right="400" w:hanging="1296"/>
        <w:spacing w:after="0" w:line="260" w:lineRule="auto"/>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20"/>
          <w:szCs w:val="20"/>
          <w:color w:val="auto"/>
        </w:rPr>
        <w:t>Press Release dated July 26, 2017, entitled “Westwood Holdings Group, Inc. Reports Second Quarter 2017 Results; AUM From Global and Emerging Market Strategies Reaches Record $5.1 Billion”.</w:t>
      </w:r>
    </w:p>
    <w:p>
      <w:pPr>
        <w:sectPr>
          <w:pgSz w:w="11900" w:h="16838" w:orient="portrait"/>
          <w:cols w:equalWidth="0" w:num="1">
            <w:col w:w="11380"/>
          </w:cols>
          <w:pgMar w:left="240" w:top="58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July 26, 2017</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Tiffany B. Kice</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520" w:type="dxa"/>
            <w:vAlign w:val="bottom"/>
            <w:gridSpan w:val="3"/>
          </w:tcPr>
          <w:p>
            <w:pPr>
              <w:spacing w:after="0" w:line="20" w:lineRule="exact"/>
              <w:rPr>
                <w:sz w:val="1"/>
                <w:szCs w:val="1"/>
                <w:color w:val="auto"/>
              </w:rPr>
            </w:pPr>
          </w:p>
        </w:tc>
      </w:tr>
      <w:tr>
        <w:trPr>
          <w:trHeight w:val="463"/>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9440" w:type="dxa"/>
            <w:vAlign w:val="bottom"/>
            <w:gridSpan w:val="4"/>
          </w:tcPr>
          <w:p>
            <w:pPr>
              <w:ind w:left="280"/>
              <w:spacing w:after="0"/>
              <w:rPr>
                <w:sz w:val="20"/>
                <w:szCs w:val="20"/>
                <w:color w:val="auto"/>
              </w:rPr>
            </w:pPr>
            <w:r>
              <w:rPr>
                <w:rFonts w:ascii="Arial" w:cs="Arial" w:eastAsia="Arial" w:hAnsi="Arial"/>
                <w:sz w:val="20"/>
                <w:szCs w:val="20"/>
                <w:color w:val="auto"/>
                <w:w w:val="88"/>
              </w:rPr>
              <w:t>Press Release dated July 26, 2017, entitled “Westwood Holdings Group, Inc. Reports Second Quarter 2017 Results;</w:t>
            </w:r>
          </w:p>
        </w:tc>
      </w:tr>
      <w:tr>
        <w:trPr>
          <w:trHeight w:val="250"/>
        </w:trPr>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40" w:type="dxa"/>
            <w:vAlign w:val="bottom"/>
            <w:gridSpan w:val="4"/>
          </w:tcPr>
          <w:p>
            <w:pPr>
              <w:ind w:left="280"/>
              <w:spacing w:after="0"/>
              <w:rPr>
                <w:sz w:val="20"/>
                <w:szCs w:val="20"/>
                <w:color w:val="auto"/>
              </w:rPr>
            </w:pPr>
            <w:r>
              <w:rPr>
                <w:rFonts w:ascii="Arial" w:cs="Arial" w:eastAsia="Arial" w:hAnsi="Arial"/>
                <w:sz w:val="20"/>
                <w:szCs w:val="20"/>
                <w:color w:val="auto"/>
              </w:rPr>
              <w:t>AUM From Global and Emerging Market Strategies Reaches Record $5.1 Billion”.</w:t>
            </w:r>
          </w:p>
        </w:tc>
      </w:tr>
    </w:tbl>
    <w:p>
      <w:pPr>
        <w:sectPr>
          <w:pgSz w:w="11900" w:h="16838" w:orient="portrait"/>
          <w:cols w:equalWidth="0" w:num="1">
            <w:col w:w="11120"/>
          </w:cols>
          <w:pgMar w:left="240" w:top="787" w:right="5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Second Quarter 2017 Results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AUM From Global and Emerging Market Strategies Reaches Record $5.1 Billion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Dallas, TX, July 26, 2017 – Westwood Holdings Group, Inc. (NYSE: WHG) today reported second quarter 2017 revenues of $33.8 million compared to $31.0 million in the second quarter of 2016 and $32.6 million in the first quarter of 2017, primarily related to higher average assets under management ("AUM") due to market appreciation and performance-based fees of $1.0 million earned in the second quarter of 2017.</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AUM as of June 30, 2017 totaled $22.6 billion, up from $21.0 billion and $22.1 billion at June 30, 2016 and March 31, 2017, respectively. Assets under advisement ("AUA") totaled $1.0 billion compared to $322 million and $1.1 billion at June 30, 2016 and March 31, 2017, respectively.</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Compared to the second quarter of 2016, net income increased from $5.7 million to $6.9 million. The increase primarily related to higher revenues as noted above. Diluted earnings per share was $0.83 in the second quarter of 2017 compared to $0.69 in the second quarter of 2016. Non-GAAP Economic Earnings for the quarter increased from $10.4 million, or $1.27 per share, in 2016's second quarter, to $11.7 million, or $1.41 per share, in the second quarter of 2017.</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Second quarter net income totaled $6.9 million compared with $6.1 million in the first quarter of 2017. The increase was driven primarily by higher revenues as noted above, coupled with lower employee compensation costs as a result of seasonal incremental payroll tax and benefit plan matching expenses on cash bonuses paid during the first quarter. Diluted earnings per share of $0.83 compared to $0.73 for the first quarter of 2017. Non-GAAP Economic Earnings for the quarter of $11.7 million, or $1.41 per share, compared to $10.6 million, or $1.28 per share, in the immediately preceding quarter.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second quarter 2017 include:</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AUM in our global and emerging markets strategies reached a record $5.1 Billion.</w:t>
      </w:r>
    </w:p>
    <w:p>
      <w:pPr>
        <w:spacing w:after="0" w:line="165" w:lineRule="exact"/>
        <w:rPr>
          <w:rFonts w:ascii="Arial" w:cs="Arial" w:eastAsia="Arial" w:hAnsi="Arial"/>
          <w:sz w:val="22"/>
          <w:szCs w:val="22"/>
          <w:color w:val="auto"/>
        </w:rPr>
      </w:pPr>
    </w:p>
    <w:p>
      <w:pPr>
        <w:ind w:left="660" w:right="8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$33.8 million increased $2.8 million from the second quarter of 2016 and $1.2 million from the first quarter of 2017.</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All U.S. value strategies provided strong absolute and relative returns, beating their respective benchmarks for the quarter.</w:t>
      </w:r>
    </w:p>
    <w:p>
      <w:pPr>
        <w:spacing w:after="0" w:line="2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Brian Casey, Westwood’s President &amp; CEO, commented, "We are pleased that all our U.S. value strategies beat their benchmarks for the quarter with strong absolute and relative returns, continuing the positive momentum since the end of last year. As announced in early July, we were pleased to be appointed the sole sub-investment manager of Aviva Investors' two convertibles fund offerings, as our relationship with Aviva's Global Convertibles Fund transitioned from advisory to discretionary manager."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22"/>
          <w:szCs w:val="22"/>
          <w:color w:val="auto"/>
        </w:rPr>
        <w:t>Westwood’s Board of Directors declared a quarterly cash dividend of $0.62 per common share, payable on October 2, 2017 to stockholders of record on September 8, 2017. At quarter-end, Westwood had $88.8 million in cash and investments, stockholders’ equity of $151.3 million, and no debt.</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second quarter 2017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August 2, 2017 by dialing 855-859-2056 (domestic and Canada) or 404-537-3406 (international) and then entering the passcode 45238707.</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With $22.6 billion in assets under management (as of June 30, 2017), our firm offers a range of investment strategies including U.S. equities, Master Limited Partnerships (MLPs), Multi-Asset, Global and Emerging Markets equities, and Global Convertible securities portfolios. Access to our strategies is available through separate accounts, commingled funds,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Omaha, and Houston.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www.westwoodgroup.com.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the Westwood Funds®, please visit www.westwoodfunds.com.</w:t>
      </w:r>
    </w:p>
    <w:p>
      <w:pPr>
        <w:sectPr>
          <w:pgSz w:w="11900" w:h="16838" w:orient="portrait"/>
          <w:cols w:equalWidth="0" w:num="1">
            <w:col w:w="11420"/>
          </w:cols>
          <w:pgMar w:left="240" w:top="631"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relationships with current and potential customers; our ability to retain qualified personnel; our ability to maintain effective cyber security; our ability to maintain effective information systems; our ability to pursue and properly integrate acquired businesses;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2016 and its quarterly reports on Form 10-Q for the quarters ended March 31, 2017 and June 30, 2017.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Tiffany B. Kice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360"/>
          </w:cols>
          <w:pgMar w:left="240" w:top="625"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24,496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22,666</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31,023</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15,557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Westwood mutual funds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Information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8,167,277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8,065,825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8,000,214</w:t>
            </w:r>
          </w:p>
        </w:tc>
        <w:tc>
          <w:tcPr>
            <w:tcW w:w="0" w:type="dxa"/>
            <w:vAlign w:val="bottom"/>
          </w:tcPr>
          <w:p>
            <w:pPr>
              <w:spacing w:after="0"/>
              <w:rPr>
                <w:sz w:val="1"/>
                <w:szCs w:val="1"/>
                <w:color w:val="auto"/>
              </w:rPr>
            </w:pPr>
          </w:p>
        </w:tc>
      </w:tr>
      <w:tr>
        <w:trPr>
          <w:trHeight w:val="243"/>
        </w:trPr>
        <w:tc>
          <w:tcPr>
            <w:tcW w:w="67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8,316,508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8,311,382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8,172,923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Economic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155"/>
        </w:trPr>
        <w:tc>
          <w:tcPr>
            <w:tcW w:w="6740" w:type="dxa"/>
            <w:vAlign w:val="bottom"/>
          </w:tcPr>
          <w:p>
            <w:pPr>
              <w:ind w:left="500"/>
              <w:spacing w:after="0" w:line="155" w:lineRule="exact"/>
              <w:rPr>
                <w:sz w:val="20"/>
                <w:szCs w:val="20"/>
                <w:color w:val="auto"/>
              </w:rPr>
            </w:pPr>
            <w:r>
              <w:rPr>
                <w:rFonts w:ascii="Arial" w:cs="Arial" w:eastAsia="Arial" w:hAnsi="Arial"/>
                <w:sz w:val="14"/>
                <w:szCs w:val="14"/>
                <w:color w:val="auto"/>
              </w:rPr>
              <w:t>_____________________</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20" w:right="260" w:hanging="326"/>
        <w:spacing w:after="0" w:line="255"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as adjusted tax rate for the first quarter of 2017 of 22.0% included a $1.0 million discrete tax benefit associated with the adoption of new accounting guidance related to stock– based compensation awards that vested during the first quarter of 2017.</w:t>
      </w:r>
    </w:p>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44,481</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60,152</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Westwood mutual funds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Information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7,931,331</w:t>
            </w:r>
          </w:p>
        </w:tc>
        <w:tc>
          <w:tcPr>
            <w:tcW w:w="0" w:type="dxa"/>
            <w:vAlign w:val="bottom"/>
          </w:tcPr>
          <w:p>
            <w:pPr>
              <w:spacing w:after="0"/>
              <w:rPr>
                <w:sz w:val="1"/>
                <w:szCs w:val="1"/>
                <w:color w:val="auto"/>
              </w:rPr>
            </w:pPr>
          </w:p>
        </w:tc>
      </w:tr>
      <w:tr>
        <w:trPr>
          <w:trHeight w:val="243"/>
        </w:trPr>
        <w:tc>
          <w:tcPr>
            <w:tcW w:w="8120" w:type="dxa"/>
            <w:vAlign w:val="bottom"/>
          </w:tcPr>
          <w:p>
            <w:pPr>
              <w:ind w:left="3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8,315,722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8,132,941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Economic Earnings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EPS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97"/>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55"/>
        </w:trPr>
        <w:tc>
          <w:tcPr>
            <w:tcW w:w="8120" w:type="dxa"/>
            <w:vAlign w:val="bottom"/>
          </w:tcPr>
          <w:p>
            <w:pPr>
              <w:ind w:left="500"/>
              <w:spacing w:after="0" w:line="155" w:lineRule="exact"/>
              <w:rPr>
                <w:sz w:val="20"/>
                <w:szCs w:val="20"/>
                <w:color w:val="auto"/>
              </w:rPr>
            </w:pPr>
            <w:r>
              <w:rPr>
                <w:rFonts w:ascii="Arial" w:cs="Arial" w:eastAsia="Arial" w:hAnsi="Arial"/>
                <w:sz w:val="14"/>
                <w:szCs w:val="14"/>
                <w:color w:val="auto"/>
              </w:rPr>
              <w:t>_____________________</w:t>
            </w: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20" w:right="40" w:hanging="326"/>
        <w:spacing w:after="0" w:line="255"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as adjusted tax rate for the first six months of 2017 of 29.4% included a $1.0 million discrete tax benefit associated with the adoption of new accounting guidance related to stock– based compensation awards that vested during the first quarter of 2017.</w:t>
      </w:r>
    </w:p>
    <w:p>
      <w:pPr>
        <w:sectPr>
          <w:pgSz w:w="11900" w:h="16838" w:orient="portrait"/>
          <w:cols w:equalWidth="0" w:num="1">
            <w:col w:w="11420"/>
          </w:cols>
          <w:pgMar w:left="240" w:top="625" w:right="239" w:bottom="1440" w:gutter="0" w:footer="0" w:header="0"/>
        </w:sectPr>
      </w:pPr>
    </w:p>
    <w:bookmarkStart w:id="9" w:name="page10"/>
    <w:bookmarkEnd w:id="9"/>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23,061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23,429</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2,364</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27,144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21,394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$5,089 and $4,590</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4,280</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175,932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179,678</w:t>
            </w:r>
          </w:p>
        </w:tc>
      </w:tr>
      <w:tr>
        <w:trPr>
          <w:trHeight w:val="67"/>
        </w:trPr>
        <w:tc>
          <w:tcPr>
            <w:tcW w:w="8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78"/>
        </w:trPr>
        <w:tc>
          <w:tcPr>
            <w:tcW w:w="8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Compensation and benefits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17,200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21,227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29,668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2,174</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33,609</w:t>
            </w:r>
          </w:p>
        </w:tc>
      </w:tr>
      <w:tr>
        <w:trPr>
          <w:trHeight w:val="297"/>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380"/>
              <w:spacing w:after="0"/>
              <w:rPr>
                <w:sz w:val="20"/>
                <w:szCs w:val="20"/>
                <w:color w:val="auto"/>
              </w:rPr>
            </w:pPr>
            <w:r>
              <w:rPr>
                <w:rFonts w:ascii="Arial" w:cs="Arial" w:eastAsia="Arial" w:hAnsi="Arial"/>
                <w:sz w:val="18"/>
                <w:szCs w:val="18"/>
                <w:color w:val="auto"/>
                <w:w w:val="98"/>
              </w:rPr>
              <w:t>Common stock, $0.01 par value, authorized 25,000,000 shares, issued 9,994,408 and outstanding</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w w:val="91"/>
              </w:rPr>
              <w:t>8,893,466 shares at June 30, 2017; issued 9,801,938 and outstanding 8,810,375 shares at December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31, 2016</w:t>
            </w:r>
          </w:p>
        </w:tc>
        <w:tc>
          <w:tcPr>
            <w:tcW w:w="2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162,730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w w:val="97"/>
              </w:rPr>
              <w:t>Treasury stock, at cost - 1,100,942 shares at June 30, 2017; 991,563 shares at December 31, 2016</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(44,353)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33,142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31,881</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146,069</w:t>
            </w:r>
          </w:p>
        </w:tc>
      </w:tr>
      <w:tr>
        <w:trPr>
          <w:trHeight w:val="25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175,932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179,678</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38"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60"/>
              <w:spacing w:after="0"/>
              <w:rPr>
                <w:sz w:val="20"/>
                <w:szCs w:val="20"/>
                <w:color w:val="auto"/>
              </w:rPr>
            </w:pPr>
            <w:r>
              <w:rPr>
                <w:rFonts w:ascii="Arial" w:cs="Arial" w:eastAsia="Arial" w:hAnsi="Arial"/>
                <w:sz w:val="15"/>
                <w:szCs w:val="15"/>
                <w:color w:val="auto"/>
              </w:rPr>
              <w:t>Net income</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12,960</w:t>
            </w:r>
          </w:p>
        </w:tc>
        <w:tc>
          <w:tcPr>
            <w:tcW w:w="12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9,183</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Depreciation</w:t>
            </w:r>
          </w:p>
        </w:tc>
        <w:tc>
          <w:tcPr>
            <w:tcW w:w="36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980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Unrealized gains on trading investments</w:t>
            </w:r>
          </w:p>
        </w:tc>
        <w:tc>
          <w:tcPr>
            <w:tcW w:w="360" w:type="dxa"/>
            <w:vAlign w:val="bottom"/>
          </w:tcPr>
          <w:p>
            <w:pPr>
              <w:spacing w:after="0"/>
              <w:rPr>
                <w:sz w:val="18"/>
                <w:szCs w:val="18"/>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(378)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Stock based compensation expense</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8,065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8,083</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Excess tax benefits from stock based compensation</w:t>
            </w:r>
          </w:p>
        </w:tc>
        <w:tc>
          <w:tcPr>
            <w:tcW w:w="3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Other non-cash, net</w:t>
            </w:r>
          </w:p>
        </w:tc>
        <w:tc>
          <w:tcPr>
            <w:tcW w:w="360" w:type="dxa"/>
            <w:vAlign w:val="bottom"/>
          </w:tcPr>
          <w:p>
            <w:pPr>
              <w:spacing w:after="0"/>
              <w:rPr>
                <w:sz w:val="18"/>
                <w:szCs w:val="18"/>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Net sales (purchases) of investments- trading securities</w:t>
            </w:r>
          </w:p>
        </w:tc>
        <w:tc>
          <w:tcPr>
            <w:tcW w:w="36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11,198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27,945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Other current assets</w:t>
            </w:r>
          </w:p>
        </w:tc>
        <w:tc>
          <w:tcPr>
            <w:tcW w:w="36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 and accrued liabilities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Compensation and benefits payable</w:t>
            </w:r>
          </w:p>
        </w:tc>
        <w:tc>
          <w:tcPr>
            <w:tcW w:w="360" w:type="dxa"/>
            <w:vAlign w:val="bottom"/>
          </w:tcPr>
          <w:p>
            <w:pPr>
              <w:spacing w:after="0"/>
              <w:rPr>
                <w:sz w:val="18"/>
                <w:szCs w:val="18"/>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(6,940)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(11,384)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taxes payable</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(3,889)</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360" w:type="dxa"/>
            <w:vAlign w:val="bottom"/>
          </w:tcPr>
          <w:p>
            <w:pPr>
              <w:spacing w:after="0"/>
              <w:rPr>
                <w:sz w:val="18"/>
                <w:szCs w:val="18"/>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26,822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30,610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72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Pr>
          <w:p>
            <w:pPr>
              <w:spacing w:after="0"/>
              <w:rPr>
                <w:sz w:val="16"/>
                <w:szCs w:val="16"/>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(994)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Purchases of treasury stock</w:t>
            </w:r>
          </w:p>
        </w:tc>
        <w:tc>
          <w:tcPr>
            <w:tcW w:w="360" w:type="dxa"/>
            <w:vAlign w:val="bottom"/>
          </w:tcPr>
          <w:p>
            <w:pPr>
              <w:spacing w:after="0"/>
              <w:rPr>
                <w:sz w:val="18"/>
                <w:szCs w:val="18"/>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(4,421)</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(1,326)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360" w:type="dxa"/>
            <w:vAlign w:val="bottom"/>
          </w:tcPr>
          <w:p>
            <w:pPr>
              <w:spacing w:after="0"/>
              <w:rPr>
                <w:sz w:val="18"/>
                <w:szCs w:val="18"/>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(5,189)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(3,696)</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Excess tax benefits from stock based compensation</w:t>
            </w:r>
          </w:p>
        </w:tc>
        <w:tc>
          <w:tcPr>
            <w:tcW w:w="3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Arial" w:cs="Arial" w:eastAsia="Arial" w:hAnsi="Arial"/>
                <w:sz w:val="15"/>
                <w:szCs w:val="15"/>
                <w:color w:val="auto"/>
              </w:rPr>
              <w:t>Payment of contingent consideration in acquisition</w:t>
            </w:r>
          </w:p>
        </w:tc>
        <w:tc>
          <w:tcPr>
            <w:tcW w:w="360" w:type="dxa"/>
            <w:vAlign w:val="bottom"/>
          </w:tcPr>
          <w:p>
            <w:pPr>
              <w:spacing w:after="0"/>
              <w:rPr>
                <w:sz w:val="18"/>
                <w:szCs w:val="18"/>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(5,562)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dividends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(11,674)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(10,282)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720"/>
              <w:spacing w:after="0"/>
              <w:rPr>
                <w:sz w:val="20"/>
                <w:szCs w:val="20"/>
                <w:color w:val="auto"/>
              </w:rPr>
            </w:pPr>
            <w:r>
              <w:rPr>
                <w:rFonts w:ascii="Arial" w:cs="Arial" w:eastAsia="Arial" w:hAnsi="Arial"/>
                <w:sz w:val="15"/>
                <w:szCs w:val="15"/>
                <w:color w:val="auto"/>
              </w:rPr>
              <w:t>Net cash used in financing activities</w:t>
            </w:r>
          </w:p>
        </w:tc>
        <w:tc>
          <w:tcPr>
            <w:tcW w:w="360" w:type="dxa"/>
            <w:vAlign w:val="bottom"/>
          </w:tcPr>
          <w:p>
            <w:pPr>
              <w:spacing w:after="0"/>
              <w:rPr>
                <w:sz w:val="16"/>
                <w:szCs w:val="16"/>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(18,189)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(24,410)</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1,178</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360" w:type="dxa"/>
            <w:vAlign w:val="bottom"/>
          </w:tcPr>
          <w:p>
            <w:pPr>
              <w:spacing w:after="0"/>
              <w:rPr>
                <w:sz w:val="16"/>
                <w:szCs w:val="16"/>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9,464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6,384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33,679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22,740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43,143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29,124</w:t>
            </w:r>
          </w:p>
        </w:tc>
        <w:tc>
          <w:tcPr>
            <w:tcW w:w="0" w:type="dxa"/>
            <w:vAlign w:val="bottom"/>
          </w:tcPr>
          <w:p>
            <w:pPr>
              <w:spacing w:after="0"/>
              <w:rPr>
                <w:sz w:val="1"/>
                <w:szCs w:val="1"/>
                <w:color w:val="auto"/>
              </w:rPr>
            </w:pPr>
          </w:p>
        </w:tc>
      </w:tr>
      <w:tr>
        <w:trPr>
          <w:trHeight w:val="201"/>
        </w:trPr>
        <w:tc>
          <w:tcPr>
            <w:tcW w:w="8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Supplemental cash flow information: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paid during the period for income taxes</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5,539</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8,783</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40"/>
              <w:spacing w:after="0"/>
              <w:rPr>
                <w:sz w:val="20"/>
                <w:szCs w:val="20"/>
                <w:color w:val="auto"/>
              </w:rPr>
            </w:pPr>
            <w:r>
              <w:rPr>
                <w:rFonts w:ascii="Arial" w:cs="Arial" w:eastAsia="Arial" w:hAnsi="Arial"/>
                <w:sz w:val="15"/>
                <w:szCs w:val="15"/>
                <w:color w:val="auto"/>
              </w:rPr>
              <w:t>Common stock issued for acquisition</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3,734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dividends</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7,760</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7,160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40"/>
              <w:spacing w:after="0"/>
              <w:rPr>
                <w:sz w:val="20"/>
                <w:szCs w:val="20"/>
                <w:color w:val="auto"/>
              </w:rPr>
            </w:pPr>
            <w:r>
              <w:rPr>
                <w:rFonts w:ascii="Arial" w:cs="Arial" w:eastAsia="Arial" w:hAnsi="Arial"/>
                <w:sz w:val="15"/>
                <w:szCs w:val="15"/>
                <w:color w:val="auto"/>
              </w:rPr>
              <w:t>Accrued purchase of property and equipment</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Tenant allowance included in Property and equipment</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5" w:right="239" w:bottom="1440" w:gutter="0" w:footer="0" w:header="0"/>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4,080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8,316,508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8,172,923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405"/>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w:t>
            </w:r>
          </w:p>
        </w:tc>
      </w:tr>
      <w:tr>
        <w:trPr>
          <w:trHeight w:val="243"/>
        </w:trPr>
        <w:tc>
          <w:tcPr>
            <w:tcW w:w="7080" w:type="dxa"/>
            <w:vAlign w:val="bottom"/>
          </w:tcPr>
          <w:p>
            <w:pPr>
              <w:ind w:left="60"/>
              <w:spacing w:after="0"/>
              <w:rPr>
                <w:sz w:val="20"/>
                <w:szCs w:val="20"/>
                <w:color w:val="auto"/>
              </w:rPr>
            </w:pPr>
            <w:r>
              <w:rPr>
                <w:rFonts w:ascii="Arial" w:cs="Arial" w:eastAsia="Arial" w:hAnsi="Arial"/>
                <w:sz w:val="18"/>
                <w:szCs w:val="18"/>
                <w:color w:val="auto"/>
              </w:rPr>
              <w:t>Add: Stock based compensation expense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8,083</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 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7080" w:type="dxa"/>
            <w:vAlign w:val="bottom"/>
          </w:tcPr>
          <w:p>
            <w:pPr>
              <w:ind w:left="60"/>
              <w:spacing w:after="0"/>
              <w:rPr>
                <w:sz w:val="20"/>
                <w:szCs w:val="20"/>
                <w:color w:val="auto"/>
              </w:rPr>
            </w:pPr>
            <w:r>
              <w:rPr>
                <w:rFonts w:ascii="Arial" w:cs="Arial" w:eastAsia="Arial" w:hAnsi="Arial"/>
                <w:sz w:val="18"/>
                <w:szCs w:val="18"/>
                <w:color w:val="auto"/>
              </w:rPr>
              <w:t>Add: Tax benefit from goodwill amortization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8,315,722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8,132,941</w:t>
            </w:r>
          </w:p>
        </w:tc>
      </w:tr>
      <w:tr>
        <w:trPr>
          <w:trHeight w:val="243"/>
        </w:trPr>
        <w:tc>
          <w:tcPr>
            <w:tcW w:w="7080" w:type="dxa"/>
            <w:vAlign w:val="bottom"/>
          </w:tcPr>
          <w:p>
            <w:pPr>
              <w:ind w:left="60"/>
              <w:spacing w:after="0"/>
              <w:rPr>
                <w:sz w:val="20"/>
                <w:szCs w:val="20"/>
                <w:color w:val="auto"/>
              </w:rPr>
            </w:pPr>
            <w:r>
              <w:rPr>
                <w:rFonts w:ascii="Arial" w:cs="Arial" w:eastAsia="Arial" w:hAnsi="Arial"/>
                <w:sz w:val="18"/>
                <w:szCs w:val="18"/>
                <w:b w:val="1"/>
                <w:bCs w:val="1"/>
                <w:color w:val="auto"/>
              </w:rPr>
              <w:t>Economic EPS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2.27</w:t>
            </w:r>
          </w:p>
        </w:tc>
      </w:tr>
    </w:tbl>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2019-12-06T17:47:42Z</dcterms:created>
  <dcterms:modified xsi:type="dcterms:W3CDTF">2019-12-06T17:47:42Z</dcterms:modified>
</cp:coreProperties>
</file>