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1"/>
          <w:szCs w:val="21"/>
          <w:b w:val="1"/>
          <w:bCs w:val="1"/>
          <w:color w:val="auto"/>
        </w:rPr>
        <w:t>UNITED STATES</w:t>
      </w:r>
    </w:p>
    <w:p>
      <w:pPr>
        <w:spacing w:after="0" w:line="35" w:lineRule="exact"/>
        <w:rPr>
          <w:sz w:val="24"/>
          <w:szCs w:val="24"/>
          <w:color w:val="auto"/>
        </w:rPr>
      </w:pPr>
    </w:p>
    <w:p>
      <w:pPr>
        <w:jc w:val="center"/>
        <w:ind w:right="-119"/>
        <w:spacing w:after="0"/>
        <w:rPr>
          <w:sz w:val="20"/>
          <w:szCs w:val="20"/>
          <w:color w:val="auto"/>
        </w:rPr>
      </w:pPr>
      <w:r>
        <w:rPr>
          <w:rFonts w:ascii="Arial" w:cs="Arial" w:eastAsia="Arial" w:hAnsi="Arial"/>
          <w:sz w:val="21"/>
          <w:szCs w:val="21"/>
          <w:b w:val="1"/>
          <w:bCs w:val="1"/>
          <w:color w:val="auto"/>
        </w:rPr>
        <w:t>SECURITIES AND EXCHANGE COMMISSION</w:t>
      </w:r>
    </w:p>
    <w:p>
      <w:pPr>
        <w:spacing w:after="0" w:line="2"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33"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SCHEDULE 14A INFORMATION</w:t>
      </w:r>
    </w:p>
    <w:p>
      <w:pPr>
        <w:spacing w:after="0" w:line="248"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Exchange Act of 1934</w:t>
      </w:r>
    </w:p>
    <w:p>
      <w:pPr>
        <w:spacing w:after="0" w:line="334" w:lineRule="exact"/>
        <w:rPr>
          <w:sz w:val="24"/>
          <w:szCs w:val="24"/>
          <w:color w:val="auto"/>
        </w:rPr>
      </w:pPr>
    </w:p>
    <w:p>
      <w:pPr>
        <w:ind w:left="40"/>
        <w:spacing w:after="0" w:line="161" w:lineRule="exact"/>
        <w:tabs>
          <w:tab w:leader="none" w:pos="2440" w:val="left"/>
        </w:tabs>
        <w:rPr>
          <w:sz w:val="20"/>
          <w:szCs w:val="20"/>
          <w:color w:val="auto"/>
        </w:rPr>
      </w:pPr>
      <w:r>
        <w:rPr>
          <w:rFonts w:ascii="Arial" w:cs="Arial" w:eastAsia="Arial" w:hAnsi="Arial"/>
          <w:sz w:val="14"/>
          <w:szCs w:val="14"/>
          <w:color w:val="auto"/>
        </w:rPr>
        <w:t>Filed by the Registrant x</w:t>
      </w:r>
      <w:r>
        <w:rPr>
          <w:sz w:val="20"/>
          <w:szCs w:val="20"/>
          <w:color w:val="auto"/>
        </w:rPr>
        <w:tab/>
      </w:r>
      <w:r>
        <w:rPr>
          <w:rFonts w:ascii="Arial" w:cs="Arial" w:eastAsia="Arial" w:hAnsi="Arial"/>
          <w:sz w:val="13"/>
          <w:szCs w:val="13"/>
          <w:color w:val="auto"/>
        </w:rPr>
        <w:t xml:space="preserve">Filed by a Party other than the Registrant </w:t>
      </w:r>
      <w:r>
        <w:rPr>
          <w:rFonts w:ascii="MS PGothic" w:cs="MS PGothic" w:eastAsia="MS PGothic" w:hAnsi="MS PGothic"/>
          <w:sz w:val="13"/>
          <w:szCs w:val="13"/>
          <w:color w:val="auto"/>
        </w:rPr>
        <w:t>☐</w:t>
      </w:r>
    </w:p>
    <w:p>
      <w:pPr>
        <w:spacing w:after="0" w:line="196" w:lineRule="exact"/>
        <w:rPr>
          <w:sz w:val="24"/>
          <w:szCs w:val="24"/>
          <w:color w:val="auto"/>
        </w:rPr>
      </w:pPr>
    </w:p>
    <w:p>
      <w:pPr>
        <w:ind w:left="40"/>
        <w:spacing w:after="0"/>
        <w:rPr>
          <w:sz w:val="20"/>
          <w:szCs w:val="20"/>
          <w:color w:val="auto"/>
        </w:rPr>
      </w:pPr>
      <w:r>
        <w:rPr>
          <w:rFonts w:ascii="Arial" w:cs="Arial" w:eastAsia="Arial" w:hAnsi="Arial"/>
          <w:sz w:val="14"/>
          <w:szCs w:val="14"/>
          <w:color w:val="auto"/>
        </w:rPr>
        <w:t>Check the appropriate box:</w:t>
      </w:r>
    </w:p>
    <w:p>
      <w:pPr>
        <w:spacing w:after="0" w:line="224" w:lineRule="exact"/>
        <w:rPr>
          <w:sz w:val="24"/>
          <w:szCs w:val="24"/>
          <w:color w:val="auto"/>
        </w:rPr>
      </w:pPr>
    </w:p>
    <w:p>
      <w:pPr>
        <w:ind w:left="500" w:hanging="436"/>
        <w:spacing w:after="0"/>
        <w:tabs>
          <w:tab w:leader="none" w:pos="500" w:val="left"/>
        </w:tabs>
        <w:numPr>
          <w:ilvl w:val="1"/>
          <w:numId w:val="1"/>
        </w:numPr>
        <w:rPr>
          <w:rFonts w:ascii="MS PGothic" w:cs="MS PGothic" w:eastAsia="MS PGothic" w:hAnsi="MS PGothic"/>
          <w:sz w:val="14"/>
          <w:szCs w:val="14"/>
          <w:color w:val="auto"/>
        </w:rPr>
      </w:pPr>
      <w:r>
        <w:rPr>
          <w:rFonts w:ascii="Arial" w:cs="Arial" w:eastAsia="Arial" w:hAnsi="Arial"/>
          <w:sz w:val="14"/>
          <w:szCs w:val="14"/>
          <w:color w:val="auto"/>
        </w:rPr>
        <w:t>Preliminary Proxy Statement</w:t>
      </w:r>
    </w:p>
    <w:p>
      <w:pPr>
        <w:spacing w:after="0" w:line="130" w:lineRule="exact"/>
        <w:rPr>
          <w:rFonts w:ascii="MS PGothic" w:cs="MS PGothic" w:eastAsia="MS PGothic" w:hAnsi="MS PGothic"/>
          <w:sz w:val="14"/>
          <w:szCs w:val="14"/>
          <w:color w:val="auto"/>
        </w:rPr>
      </w:pPr>
    </w:p>
    <w:p>
      <w:pPr>
        <w:ind w:left="520" w:hanging="456"/>
        <w:spacing w:after="0"/>
        <w:tabs>
          <w:tab w:leader="none" w:pos="520" w:val="left"/>
        </w:tabs>
        <w:numPr>
          <w:ilvl w:val="1"/>
          <w:numId w:val="1"/>
        </w:numPr>
        <w:rPr>
          <w:rFonts w:ascii="MS PGothic" w:cs="MS PGothic" w:eastAsia="MS PGothic" w:hAnsi="MS PGothic"/>
          <w:sz w:val="14"/>
          <w:szCs w:val="14"/>
          <w:color w:val="auto"/>
        </w:rPr>
      </w:pPr>
      <w:r>
        <w:rPr>
          <w:rFonts w:ascii="Arial" w:cs="Arial" w:eastAsia="Arial" w:hAnsi="Arial"/>
          <w:sz w:val="14"/>
          <w:szCs w:val="14"/>
          <w:color w:val="auto"/>
        </w:rPr>
        <w:t>Confidential, for Use of the Commission Only (as permitted by Rule 14a-6(e)(2))</w:t>
      </w:r>
    </w:p>
    <w:p>
      <w:pPr>
        <w:spacing w:after="0" w:line="144" w:lineRule="exact"/>
        <w:rPr>
          <w:rFonts w:ascii="MS PGothic" w:cs="MS PGothic" w:eastAsia="MS PGothic" w:hAnsi="MS PGothic"/>
          <w:sz w:val="14"/>
          <w:szCs w:val="14"/>
          <w:color w:val="auto"/>
        </w:rPr>
      </w:pPr>
    </w:p>
    <w:p>
      <w:pPr>
        <w:ind w:left="40"/>
        <w:spacing w:after="0"/>
        <w:rPr>
          <w:rFonts w:ascii="MS PGothic" w:cs="MS PGothic" w:eastAsia="MS PGothic" w:hAnsi="MS PGothic"/>
          <w:sz w:val="14"/>
          <w:szCs w:val="14"/>
          <w:color w:val="auto"/>
        </w:rPr>
      </w:pPr>
      <w:r>
        <w:rPr>
          <w:rFonts w:ascii="Arial" w:cs="Arial" w:eastAsia="Arial" w:hAnsi="Arial"/>
          <w:sz w:val="14"/>
          <w:szCs w:val="14"/>
          <w:color w:val="auto"/>
        </w:rPr>
        <w:t>x</w:t>
      </w:r>
      <w:r>
        <w:rPr>
          <w:rFonts w:ascii="Arial" w:cs="Arial" w:eastAsia="Arial" w:hAnsi="Arial"/>
          <w:sz w:val="13"/>
          <w:szCs w:val="13"/>
          <w:color w:val="auto"/>
        </w:rPr>
        <w:t>Definitive Proxy Statement</w:t>
      </w:r>
    </w:p>
    <w:p>
      <w:pPr>
        <w:spacing w:after="0" w:line="144" w:lineRule="exact"/>
        <w:rPr>
          <w:sz w:val="24"/>
          <w:szCs w:val="24"/>
          <w:color w:val="auto"/>
        </w:rPr>
      </w:pPr>
    </w:p>
    <w:p>
      <w:pPr>
        <w:ind w:left="500" w:hanging="456"/>
        <w:spacing w:after="0"/>
        <w:tabs>
          <w:tab w:leader="none" w:pos="500" w:val="left"/>
        </w:tabs>
        <w:numPr>
          <w:ilvl w:val="0"/>
          <w:numId w:val="2"/>
        </w:numPr>
        <w:rPr>
          <w:rFonts w:ascii="MS PGothic" w:cs="MS PGothic" w:eastAsia="MS PGothic" w:hAnsi="MS PGothic"/>
          <w:sz w:val="14"/>
          <w:szCs w:val="14"/>
          <w:color w:val="auto"/>
        </w:rPr>
      </w:pPr>
      <w:r>
        <w:rPr>
          <w:rFonts w:ascii="Arial" w:cs="Arial" w:eastAsia="Arial" w:hAnsi="Arial"/>
          <w:sz w:val="14"/>
          <w:szCs w:val="14"/>
          <w:color w:val="auto"/>
        </w:rPr>
        <w:t>Definitive Additional Materials</w:t>
      </w:r>
    </w:p>
    <w:p>
      <w:pPr>
        <w:spacing w:after="0" w:line="144" w:lineRule="exact"/>
        <w:rPr>
          <w:rFonts w:ascii="MS PGothic" w:cs="MS PGothic" w:eastAsia="MS PGothic" w:hAnsi="MS PGothic"/>
          <w:sz w:val="14"/>
          <w:szCs w:val="14"/>
          <w:color w:val="auto"/>
        </w:rPr>
      </w:pPr>
    </w:p>
    <w:p>
      <w:pPr>
        <w:ind w:left="500" w:hanging="456"/>
        <w:spacing w:after="0"/>
        <w:tabs>
          <w:tab w:leader="none" w:pos="500" w:val="left"/>
        </w:tabs>
        <w:numPr>
          <w:ilvl w:val="0"/>
          <w:numId w:val="2"/>
        </w:numPr>
        <w:rPr>
          <w:rFonts w:ascii="MS PGothic" w:cs="MS PGothic" w:eastAsia="MS PGothic" w:hAnsi="MS PGothic"/>
          <w:sz w:val="14"/>
          <w:szCs w:val="14"/>
          <w:color w:val="auto"/>
        </w:rPr>
      </w:pPr>
      <w:r>
        <w:rPr>
          <w:rFonts w:ascii="Arial" w:cs="Arial" w:eastAsia="Arial" w:hAnsi="Arial"/>
          <w:sz w:val="14"/>
          <w:szCs w:val="14"/>
          <w:color w:val="auto"/>
        </w:rPr>
        <w:t>Soliciting Material Pursuant to §240.14a-12</w:t>
      </w:r>
    </w:p>
    <w:p>
      <w:pPr>
        <w:spacing w:after="0" w:line="29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Westwood Holdings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82550</wp:posOffset>
            </wp:positionV>
            <wp:extent cx="713486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pacing w:after="0" w:line="221" w:lineRule="exact"/>
        <w:rPr>
          <w:sz w:val="24"/>
          <w:szCs w:val="24"/>
          <w:color w:val="auto"/>
        </w:rPr>
      </w:pPr>
    </w:p>
    <w:p>
      <w:pPr>
        <w:jc w:val="center"/>
        <w:ind w:right="-119"/>
        <w:spacing w:after="0"/>
        <w:rPr>
          <w:sz w:val="20"/>
          <w:szCs w:val="20"/>
          <w:color w:val="auto"/>
        </w:rPr>
      </w:pPr>
      <w:r>
        <w:rPr>
          <w:rFonts w:ascii="Arial" w:cs="Arial" w:eastAsia="Arial" w:hAnsi="Arial"/>
          <w:sz w:val="11"/>
          <w:szCs w:val="11"/>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328930</wp:posOffset>
            </wp:positionV>
            <wp:extent cx="713486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jc w:val="center"/>
        <w:ind w:right="-119"/>
        <w:spacing w:after="0"/>
        <w:rPr>
          <w:sz w:val="20"/>
          <w:szCs w:val="20"/>
          <w:color w:val="auto"/>
        </w:rPr>
      </w:pPr>
      <w:r>
        <w:rPr>
          <w:rFonts w:ascii="Arial" w:cs="Arial" w:eastAsia="Arial" w:hAnsi="Arial"/>
          <w:sz w:val="11"/>
          <w:szCs w:val="11"/>
          <w:b w:val="1"/>
          <w:bCs w:val="1"/>
          <w:color w:val="auto"/>
        </w:rPr>
        <w:t>(Name of Person(s) Filing Proxy Statement, if other than the Registrant)</w:t>
      </w:r>
    </w:p>
    <w:p>
      <w:pPr>
        <w:spacing w:after="0" w:line="352" w:lineRule="exact"/>
        <w:rPr>
          <w:sz w:val="24"/>
          <w:szCs w:val="24"/>
          <w:color w:val="auto"/>
        </w:rPr>
      </w:pPr>
    </w:p>
    <w:p>
      <w:pPr>
        <w:spacing w:after="0"/>
        <w:tabs>
          <w:tab w:leader="none" w:pos="3380" w:val="left"/>
        </w:tabs>
        <w:rPr>
          <w:sz w:val="20"/>
          <w:szCs w:val="20"/>
          <w:color w:val="auto"/>
        </w:rPr>
      </w:pPr>
      <w:r>
        <w:rPr>
          <w:rFonts w:ascii="Arial" w:cs="Arial" w:eastAsia="Arial" w:hAnsi="Arial"/>
          <w:sz w:val="14"/>
          <w:szCs w:val="14"/>
          <w:color w:val="auto"/>
        </w:rPr>
        <w:t xml:space="preserve">Payment of Filing Fee (Check the appropriate box): </w:t>
      </w:r>
      <w:r>
        <w:rPr>
          <w:rFonts w:ascii="Arial" w:cs="Arial" w:eastAsia="Arial" w:hAnsi="Arial"/>
          <w:sz w:val="28"/>
          <w:szCs w:val="28"/>
          <w:color w:val="auto"/>
          <w:vertAlign w:val="superscript"/>
        </w:rPr>
        <w:t>x</w:t>
      </w:r>
      <w:r>
        <w:rPr>
          <w:sz w:val="20"/>
          <w:szCs w:val="20"/>
          <w:color w:val="auto"/>
        </w:rPr>
        <w:tab/>
      </w:r>
      <w:r>
        <w:rPr>
          <w:rFonts w:ascii="Arial" w:cs="Arial" w:eastAsia="Arial" w:hAnsi="Arial"/>
          <w:sz w:val="19"/>
          <w:szCs w:val="19"/>
          <w:color w:val="auto"/>
          <w:vertAlign w:val="superscript"/>
        </w:rPr>
        <w:t>No fee required</w:t>
      </w:r>
    </w:p>
    <w:p>
      <w:pPr>
        <w:spacing w:after="0" w:line="23" w:lineRule="exact"/>
        <w:rPr>
          <w:sz w:val="24"/>
          <w:szCs w:val="24"/>
          <w:color w:val="auto"/>
        </w:rPr>
      </w:pPr>
    </w:p>
    <w:p>
      <w:pPr>
        <w:ind w:left="480" w:hanging="456"/>
        <w:spacing w:after="0"/>
        <w:tabs>
          <w:tab w:leader="none" w:pos="480" w:val="left"/>
        </w:tabs>
        <w:numPr>
          <w:ilvl w:val="0"/>
          <w:numId w:val="3"/>
        </w:numPr>
        <w:rPr>
          <w:rFonts w:ascii="MS PGothic" w:cs="MS PGothic" w:eastAsia="MS PGothic" w:hAnsi="MS PGothic"/>
          <w:sz w:val="14"/>
          <w:szCs w:val="14"/>
          <w:color w:val="auto"/>
        </w:rPr>
      </w:pPr>
      <w:r>
        <w:rPr>
          <w:rFonts w:ascii="Arial" w:cs="Arial" w:eastAsia="Arial" w:hAnsi="Arial"/>
          <w:sz w:val="14"/>
          <w:szCs w:val="14"/>
          <w:color w:val="auto"/>
        </w:rPr>
        <w:t>Fee computed on table below per Exchange Act Rules 14a-6(i)(1) and 0-11</w:t>
      </w:r>
    </w:p>
    <w:p>
      <w:pPr>
        <w:spacing w:after="0" w:line="145" w:lineRule="exact"/>
        <w:rPr>
          <w:rFonts w:ascii="MS PGothic" w:cs="MS PGothic" w:eastAsia="MS PGothic" w:hAnsi="MS PGothic"/>
          <w:sz w:val="14"/>
          <w:szCs w:val="14"/>
          <w:color w:val="auto"/>
        </w:rPr>
      </w:pPr>
    </w:p>
    <w:p>
      <w:pPr>
        <w:ind w:left="980" w:hanging="465"/>
        <w:spacing w:after="0"/>
        <w:tabs>
          <w:tab w:leader="none" w:pos="980" w:val="left"/>
        </w:tabs>
        <w:numPr>
          <w:ilvl w:val="3"/>
          <w:numId w:val="3"/>
        </w:numPr>
        <w:rPr>
          <w:rFonts w:ascii="Arial" w:cs="Arial" w:eastAsia="Arial" w:hAnsi="Arial"/>
          <w:sz w:val="14"/>
          <w:szCs w:val="14"/>
          <w:color w:val="auto"/>
        </w:rPr>
      </w:pPr>
      <w:r>
        <w:rPr>
          <w:rFonts w:ascii="Arial" w:cs="Arial" w:eastAsia="Arial" w:hAnsi="Arial"/>
          <w:sz w:val="14"/>
          <w:szCs w:val="14"/>
          <w:color w:val="auto"/>
        </w:rPr>
        <w:t>Title of each class of securities to which transaction applies:</w:t>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394" w:lineRule="exact"/>
        <w:rPr>
          <w:rFonts w:ascii="Arial" w:cs="Arial" w:eastAsia="Arial" w:hAnsi="Arial"/>
          <w:sz w:val="14"/>
          <w:szCs w:val="14"/>
          <w:color w:val="auto"/>
        </w:rPr>
      </w:pPr>
    </w:p>
    <w:p>
      <w:pPr>
        <w:ind w:left="920" w:hanging="445"/>
        <w:spacing w:after="0"/>
        <w:tabs>
          <w:tab w:leader="none" w:pos="920" w:val="left"/>
        </w:tabs>
        <w:numPr>
          <w:ilvl w:val="2"/>
          <w:numId w:val="4"/>
        </w:numPr>
        <w:rPr>
          <w:rFonts w:ascii="Arial" w:cs="Arial" w:eastAsia="Arial" w:hAnsi="Arial"/>
          <w:sz w:val="14"/>
          <w:szCs w:val="14"/>
          <w:color w:val="auto"/>
        </w:rPr>
      </w:pPr>
      <w:r>
        <w:rPr>
          <w:rFonts w:ascii="Arial" w:cs="Arial" w:eastAsia="Arial" w:hAnsi="Arial"/>
          <w:sz w:val="14"/>
          <w:szCs w:val="14"/>
          <w:color w:val="auto"/>
        </w:rPr>
        <w:t>Aggregate number of securities to which transaction applies:</w:t>
      </w:r>
    </w:p>
    <w:p>
      <w:pPr>
        <w:spacing w:after="0" w:line="200" w:lineRule="exact"/>
        <w:rPr>
          <w:rFonts w:ascii="Arial" w:cs="Arial" w:eastAsia="Arial" w:hAnsi="Arial"/>
          <w:sz w:val="14"/>
          <w:szCs w:val="14"/>
          <w:color w:val="auto"/>
        </w:rPr>
      </w:pPr>
    </w:p>
    <w:p>
      <w:pPr>
        <w:spacing w:after="0" w:line="368" w:lineRule="exact"/>
        <w:rPr>
          <w:rFonts w:ascii="Arial" w:cs="Arial" w:eastAsia="Arial" w:hAnsi="Arial"/>
          <w:sz w:val="14"/>
          <w:szCs w:val="14"/>
          <w:color w:val="auto"/>
        </w:rPr>
      </w:pPr>
    </w:p>
    <w:p>
      <w:pPr>
        <w:ind w:left="920" w:right="20" w:hanging="445"/>
        <w:spacing w:after="0" w:line="233" w:lineRule="auto"/>
        <w:tabs>
          <w:tab w:leader="none" w:pos="920" w:val="left"/>
        </w:tabs>
        <w:numPr>
          <w:ilvl w:val="2"/>
          <w:numId w:val="4"/>
        </w:numPr>
        <w:rPr>
          <w:rFonts w:ascii="Arial" w:cs="Arial" w:eastAsia="Arial" w:hAnsi="Arial"/>
          <w:sz w:val="14"/>
          <w:szCs w:val="14"/>
          <w:color w:val="auto"/>
        </w:rPr>
      </w:pPr>
      <w:r>
        <w:rPr>
          <w:rFonts w:ascii="Arial" w:cs="Arial" w:eastAsia="Arial" w:hAnsi="Arial"/>
          <w:sz w:val="14"/>
          <w:szCs w:val="14"/>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4"/>
          <w:szCs w:val="14"/>
          <w:color w:val="auto"/>
        </w:rPr>
      </w:pPr>
    </w:p>
    <w:p>
      <w:pPr>
        <w:spacing w:after="0" w:line="362" w:lineRule="exact"/>
        <w:rPr>
          <w:rFonts w:ascii="Arial" w:cs="Arial" w:eastAsia="Arial" w:hAnsi="Arial"/>
          <w:sz w:val="14"/>
          <w:szCs w:val="14"/>
          <w:color w:val="auto"/>
        </w:rPr>
      </w:pPr>
    </w:p>
    <w:p>
      <w:pPr>
        <w:ind w:left="920" w:hanging="445"/>
        <w:spacing w:after="0"/>
        <w:tabs>
          <w:tab w:leader="none" w:pos="920" w:val="left"/>
        </w:tabs>
        <w:numPr>
          <w:ilvl w:val="2"/>
          <w:numId w:val="4"/>
        </w:numPr>
        <w:rPr>
          <w:rFonts w:ascii="Arial" w:cs="Arial" w:eastAsia="Arial" w:hAnsi="Arial"/>
          <w:sz w:val="14"/>
          <w:szCs w:val="14"/>
          <w:color w:val="auto"/>
        </w:rPr>
      </w:pPr>
      <w:r>
        <w:rPr>
          <w:rFonts w:ascii="Arial" w:cs="Arial" w:eastAsia="Arial" w:hAnsi="Arial"/>
          <w:sz w:val="14"/>
          <w:szCs w:val="14"/>
          <w:color w:val="auto"/>
        </w:rPr>
        <w:t>Proposed maximum aggregate value of transaction:</w:t>
      </w:r>
    </w:p>
    <w:p>
      <w:pPr>
        <w:spacing w:after="0" w:line="200" w:lineRule="exact"/>
        <w:rPr>
          <w:rFonts w:ascii="Arial" w:cs="Arial" w:eastAsia="Arial" w:hAnsi="Arial"/>
          <w:sz w:val="14"/>
          <w:szCs w:val="14"/>
          <w:color w:val="auto"/>
        </w:rPr>
      </w:pPr>
    </w:p>
    <w:p>
      <w:pPr>
        <w:spacing w:after="0" w:line="368" w:lineRule="exact"/>
        <w:rPr>
          <w:rFonts w:ascii="Arial" w:cs="Arial" w:eastAsia="Arial" w:hAnsi="Arial"/>
          <w:sz w:val="14"/>
          <w:szCs w:val="14"/>
          <w:color w:val="auto"/>
        </w:rPr>
      </w:pPr>
    </w:p>
    <w:p>
      <w:pPr>
        <w:ind w:left="960" w:hanging="485"/>
        <w:spacing w:after="0"/>
        <w:tabs>
          <w:tab w:leader="none" w:pos="960" w:val="left"/>
        </w:tabs>
        <w:numPr>
          <w:ilvl w:val="2"/>
          <w:numId w:val="4"/>
        </w:numPr>
        <w:rPr>
          <w:rFonts w:ascii="Arial" w:cs="Arial" w:eastAsia="Arial" w:hAnsi="Arial"/>
          <w:sz w:val="14"/>
          <w:szCs w:val="14"/>
          <w:color w:val="auto"/>
        </w:rPr>
      </w:pPr>
      <w:r>
        <w:rPr>
          <w:rFonts w:ascii="Arial" w:cs="Arial" w:eastAsia="Arial" w:hAnsi="Arial"/>
          <w:sz w:val="14"/>
          <w:szCs w:val="14"/>
          <w:color w:val="auto"/>
        </w:rPr>
        <w:t>Total fee paid:</w:t>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33" w:lineRule="exact"/>
        <w:rPr>
          <w:rFonts w:ascii="Arial" w:cs="Arial" w:eastAsia="Arial" w:hAnsi="Arial"/>
          <w:sz w:val="14"/>
          <w:szCs w:val="14"/>
          <w:color w:val="auto"/>
        </w:rPr>
      </w:pPr>
    </w:p>
    <w:p>
      <w:pPr>
        <w:ind w:left="520" w:hanging="456"/>
        <w:spacing w:after="0"/>
        <w:tabs>
          <w:tab w:leader="none" w:pos="520" w:val="left"/>
        </w:tabs>
        <w:numPr>
          <w:ilvl w:val="1"/>
          <w:numId w:val="4"/>
        </w:numPr>
        <w:rPr>
          <w:rFonts w:ascii="MS PGothic" w:cs="MS PGothic" w:eastAsia="MS PGothic" w:hAnsi="MS PGothic"/>
          <w:sz w:val="14"/>
          <w:szCs w:val="14"/>
          <w:color w:val="auto"/>
        </w:rPr>
      </w:pPr>
      <w:r>
        <w:rPr>
          <w:rFonts w:ascii="Arial" w:cs="Arial" w:eastAsia="Arial" w:hAnsi="Arial"/>
          <w:sz w:val="14"/>
          <w:szCs w:val="14"/>
          <w:color w:val="auto"/>
        </w:rPr>
        <w:t>Fee paid previously with preliminary materials.</w:t>
      </w:r>
    </w:p>
    <w:p>
      <w:pPr>
        <w:spacing w:after="0" w:line="316" w:lineRule="exact"/>
        <w:rPr>
          <w:rFonts w:ascii="MS PGothic" w:cs="MS PGothic" w:eastAsia="MS PGothic" w:hAnsi="MS PGothic"/>
          <w:sz w:val="14"/>
          <w:szCs w:val="14"/>
          <w:color w:val="auto"/>
        </w:rPr>
      </w:pPr>
    </w:p>
    <w:p>
      <w:pPr>
        <w:ind w:left="480" w:hanging="456"/>
        <w:spacing w:after="0" w:line="233" w:lineRule="auto"/>
        <w:tabs>
          <w:tab w:leader="none" w:pos="480" w:val="left"/>
        </w:tabs>
        <w:numPr>
          <w:ilvl w:val="0"/>
          <w:numId w:val="4"/>
        </w:numPr>
        <w:rPr>
          <w:rFonts w:ascii="MS PGothic" w:cs="MS PGothic" w:eastAsia="MS PGothic" w:hAnsi="MS PGothic"/>
          <w:sz w:val="14"/>
          <w:szCs w:val="14"/>
          <w:color w:val="auto"/>
        </w:rPr>
      </w:pPr>
      <w:r>
        <w:rPr>
          <w:rFonts w:ascii="Arial" w:cs="Arial" w:eastAsia="Arial" w:hAnsi="Arial"/>
          <w:sz w:val="14"/>
          <w:szCs w:val="14"/>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25" w:lineRule="exact"/>
        <w:rPr>
          <w:rFonts w:ascii="MS PGothic" w:cs="MS PGothic" w:eastAsia="MS PGothic" w:hAnsi="MS PGothic"/>
          <w:sz w:val="14"/>
          <w:szCs w:val="14"/>
          <w:color w:val="auto"/>
        </w:rPr>
      </w:pPr>
    </w:p>
    <w:p>
      <w:pPr>
        <w:ind w:left="960" w:hanging="445"/>
        <w:spacing w:after="0"/>
        <w:tabs>
          <w:tab w:leader="none" w:pos="960" w:val="left"/>
        </w:tabs>
        <w:numPr>
          <w:ilvl w:val="3"/>
          <w:numId w:val="4"/>
        </w:numPr>
        <w:rPr>
          <w:rFonts w:ascii="Arial" w:cs="Arial" w:eastAsia="Arial" w:hAnsi="Arial"/>
          <w:sz w:val="14"/>
          <w:szCs w:val="14"/>
          <w:color w:val="auto"/>
        </w:rPr>
      </w:pPr>
      <w:r>
        <w:rPr>
          <w:rFonts w:ascii="Arial" w:cs="Arial" w:eastAsia="Arial" w:hAnsi="Arial"/>
          <w:sz w:val="14"/>
          <w:szCs w:val="14"/>
          <w:color w:val="auto"/>
        </w:rPr>
        <w:t>Amount Previously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-2877820</wp:posOffset>
            </wp:positionV>
            <wp:extent cx="713486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4860" cy="171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-2414905</wp:posOffset>
            </wp:positionV>
            <wp:extent cx="713486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4860" cy="171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-1866900</wp:posOffset>
            </wp:positionV>
            <wp:extent cx="713486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4860" cy="171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-1403985</wp:posOffset>
            </wp:positionV>
            <wp:extent cx="713486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4860" cy="17145"/>
                    </a:xfrm>
                    <a:prstGeom prst="rect">
                      <a:avLst/>
                    </a:prstGeom>
                    <a:noFill/>
                  </pic:spPr>
                </pic:pic>
              </a:graphicData>
            </a:graphic>
          </wp:anchor>
        </w:drawing>
        <w:drawing>
          <wp:anchor simplePos="0" relativeHeight="251657728" behindDoc="1" locked="0" layoutInCell="0" allowOverlap="1">
            <wp:simplePos x="0" y="0"/>
            <wp:positionH relativeFrom="column">
              <wp:posOffset>29210</wp:posOffset>
            </wp:positionH>
            <wp:positionV relativeFrom="paragraph">
              <wp:posOffset>-932180</wp:posOffset>
            </wp:positionV>
            <wp:extent cx="710946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09460" cy="171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280035</wp:posOffset>
            </wp:positionV>
            <wp:extent cx="713486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120"/>
          </w:cols>
          <w:pgMar w:left="320" w:top="1027" w:right="459" w:bottom="1440" w:gutter="0" w:footer="0" w:header="0"/>
        </w:sectPr>
      </w:pPr>
    </w:p>
    <w:p>
      <w:pPr>
        <w:spacing w:after="0" w:line="200" w:lineRule="exact"/>
        <w:rPr>
          <w:sz w:val="24"/>
          <w:szCs w:val="24"/>
          <w:color w:val="auto"/>
        </w:rPr>
      </w:pPr>
    </w:p>
    <w:p>
      <w:pPr>
        <w:spacing w:after="0" w:line="369" w:lineRule="exact"/>
        <w:rPr>
          <w:sz w:val="24"/>
          <w:szCs w:val="24"/>
          <w:color w:val="auto"/>
        </w:rPr>
      </w:pPr>
    </w:p>
    <w:p>
      <w:pPr>
        <w:ind w:left="940" w:hanging="465"/>
        <w:spacing w:after="0"/>
        <w:tabs>
          <w:tab w:leader="none" w:pos="940" w:val="left"/>
        </w:tabs>
        <w:numPr>
          <w:ilvl w:val="0"/>
          <w:numId w:val="5"/>
        </w:numPr>
        <w:rPr>
          <w:rFonts w:ascii="Arial" w:cs="Arial" w:eastAsia="Arial" w:hAnsi="Arial"/>
          <w:sz w:val="12"/>
          <w:szCs w:val="12"/>
          <w:color w:val="auto"/>
        </w:rPr>
      </w:pPr>
      <w:r>
        <w:rPr>
          <w:rFonts w:ascii="Arial" w:cs="Arial" w:eastAsia="Arial" w:hAnsi="Arial"/>
          <w:sz w:val="12"/>
          <w:szCs w:val="12"/>
          <w:color w:val="auto"/>
        </w:rPr>
        <w:t>Form, Schedule or Registration Statement No.:</w:t>
      </w:r>
    </w:p>
    <w:p>
      <w:pPr>
        <w:sectPr>
          <w:pgSz w:w="11900" w:h="16838" w:orient="portrait"/>
          <w:cols w:equalWidth="0" w:num="1">
            <w:col w:w="11120"/>
          </w:cols>
          <w:pgMar w:left="320" w:top="1027" w:right="459" w:bottom="1440" w:gutter="0" w:footer="0" w:header="0"/>
          <w:type w:val="continuous"/>
        </w:sectPr>
      </w:pPr>
    </w:p>
    <w:bookmarkStart w:id="1" w:name="page2"/>
    <w:bookmarkEnd w:id="1"/>
    <w:p>
      <w:pPr>
        <w:ind w:left="465" w:hanging="465"/>
        <w:spacing w:after="0"/>
        <w:tabs>
          <w:tab w:leader="none" w:pos="465" w:val="left"/>
        </w:tabs>
        <w:numPr>
          <w:ilvl w:val="0"/>
          <w:numId w:val="6"/>
        </w:numPr>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207010</wp:posOffset>
            </wp:positionH>
            <wp:positionV relativeFrom="page">
              <wp:posOffset>493395</wp:posOffset>
            </wp:positionV>
            <wp:extent cx="713486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4860" cy="17145"/>
                    </a:xfrm>
                    <a:prstGeom prst="rect">
                      <a:avLst/>
                    </a:prstGeom>
                    <a:noFill/>
                  </pic:spPr>
                </pic:pic>
              </a:graphicData>
            </a:graphic>
          </wp:anchor>
        </w:drawing>
        <w:t>Filing Party:</w:t>
      </w:r>
    </w:p>
    <w:p>
      <w:pPr>
        <w:spacing w:after="0" w:line="200" w:lineRule="exact"/>
        <w:rPr>
          <w:rFonts w:ascii="Arial" w:cs="Arial" w:eastAsia="Arial" w:hAnsi="Arial"/>
          <w:sz w:val="13"/>
          <w:szCs w:val="13"/>
          <w:color w:val="auto"/>
        </w:rPr>
      </w:pPr>
    </w:p>
    <w:p>
      <w:pPr>
        <w:spacing w:after="0" w:line="353" w:lineRule="exact"/>
        <w:rPr>
          <w:rFonts w:ascii="Arial" w:cs="Arial" w:eastAsia="Arial" w:hAnsi="Arial"/>
          <w:sz w:val="13"/>
          <w:szCs w:val="13"/>
          <w:color w:val="auto"/>
        </w:rPr>
      </w:pPr>
    </w:p>
    <w:p>
      <w:pPr>
        <w:ind w:left="445" w:hanging="445"/>
        <w:spacing w:after="0"/>
        <w:tabs>
          <w:tab w:leader="none" w:pos="445" w:val="left"/>
        </w:tabs>
        <w:numPr>
          <w:ilvl w:val="0"/>
          <w:numId w:val="6"/>
        </w:numPr>
        <w:rPr>
          <w:rFonts w:ascii="Arial" w:cs="Arial" w:eastAsia="Arial" w:hAnsi="Arial"/>
          <w:sz w:val="14"/>
          <w:szCs w:val="14"/>
          <w:color w:val="auto"/>
        </w:rPr>
      </w:pPr>
      <w:r>
        <w:rPr>
          <w:rFonts w:ascii="Arial" w:cs="Arial" w:eastAsia="Arial" w:hAnsi="Arial"/>
          <w:sz w:val="14"/>
          <w:szCs w:val="14"/>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-297180</wp:posOffset>
            </wp:positionH>
            <wp:positionV relativeFrom="paragraph">
              <wp:posOffset>-191135</wp:posOffset>
            </wp:positionV>
            <wp:extent cx="713486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4860" cy="17145"/>
                    </a:xfrm>
                    <a:prstGeom prst="rect">
                      <a:avLst/>
                    </a:prstGeom>
                    <a:noFill/>
                  </pic:spPr>
                </pic:pic>
              </a:graphicData>
            </a:graphic>
          </wp:anchor>
        </w:drawing>
        <w:drawing>
          <wp:anchor simplePos="0" relativeHeight="251657728" behindDoc="1" locked="0" layoutInCell="0" allowOverlap="1">
            <wp:simplePos x="0" y="0"/>
            <wp:positionH relativeFrom="column">
              <wp:posOffset>-297180</wp:posOffset>
            </wp:positionH>
            <wp:positionV relativeFrom="paragraph">
              <wp:posOffset>263525</wp:posOffset>
            </wp:positionV>
            <wp:extent cx="713486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9664"/>
          </w:cols>
          <w:pgMar w:left="795" w:top="917" w:right="1440" w:bottom="1440" w:gutter="0" w:footer="0" w:header="0"/>
        </w:sectPr>
      </w:pPr>
    </w:p>
    <w:bookmarkStart w:id="2" w:name="page3"/>
    <w:bookmarkEnd w:id="2"/>
    <w:p>
      <w:pPr>
        <w:spacing w:after="0" w:line="35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3079750</wp:posOffset>
            </wp:positionH>
            <wp:positionV relativeFrom="page">
              <wp:posOffset>442595</wp:posOffset>
            </wp:positionV>
            <wp:extent cx="1398270" cy="4464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398270" cy="44640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Dear Stockholder:</w:t>
      </w:r>
    </w:p>
    <w:p>
      <w:pPr>
        <w:spacing w:after="0" w:line="200" w:lineRule="exact"/>
        <w:rPr>
          <w:sz w:val="20"/>
          <w:szCs w:val="20"/>
          <w:color w:val="auto"/>
        </w:rPr>
      </w:pPr>
    </w:p>
    <w:p>
      <w:pPr>
        <w:spacing w:after="0" w:line="362" w:lineRule="exact"/>
        <w:rPr>
          <w:sz w:val="20"/>
          <w:szCs w:val="20"/>
          <w:color w:val="auto"/>
        </w:rPr>
      </w:pPr>
    </w:p>
    <w:p>
      <w:pPr>
        <w:jc w:val="both"/>
        <w:ind w:right="140" w:firstLine="398"/>
        <w:spacing w:after="0"/>
        <w:rPr>
          <w:sz w:val="20"/>
          <w:szCs w:val="20"/>
          <w:color w:val="auto"/>
        </w:rPr>
      </w:pPr>
      <w:r>
        <w:rPr>
          <w:rFonts w:ascii="Arial" w:cs="Arial" w:eastAsia="Arial" w:hAnsi="Arial"/>
          <w:sz w:val="18"/>
          <w:szCs w:val="18"/>
          <w:color w:val="auto"/>
        </w:rPr>
        <w:t xml:space="preserve">You are cordially invited to virtually attend the 2022 Annual Meeting of Stockholders of Westwood Holdings Group, Inc., which will be held online on Wednesday, April 27, 2022, at 10:00 a.m., Central Time, at </w:t>
      </w:r>
      <w:r>
        <w:rPr>
          <w:rFonts w:ascii="Arial" w:cs="Arial" w:eastAsia="Arial" w:hAnsi="Arial"/>
          <w:sz w:val="18"/>
          <w:szCs w:val="18"/>
          <w:i w:val="1"/>
          <w:iCs w:val="1"/>
          <w:u w:val="single" w:color="auto"/>
          <w:color w:val="auto"/>
        </w:rPr>
        <w:t>www.virtualshareholdermeeting.com/WHG2022</w:t>
      </w:r>
      <w:r>
        <w:rPr>
          <w:rFonts w:ascii="Arial" w:cs="Arial" w:eastAsia="Arial" w:hAnsi="Arial"/>
          <w:sz w:val="18"/>
          <w:szCs w:val="18"/>
          <w:color w:val="auto"/>
        </w:rPr>
        <w:t>. The official Notice of Annual Meeting together with a proxy statement and proxy card are enclosed. Please give this information your careful attention.</w:t>
      </w:r>
    </w:p>
    <w:p>
      <w:pPr>
        <w:spacing w:after="0" w:line="82" w:lineRule="exact"/>
        <w:rPr>
          <w:sz w:val="20"/>
          <w:szCs w:val="20"/>
          <w:color w:val="auto"/>
        </w:rPr>
      </w:pPr>
    </w:p>
    <w:p>
      <w:pPr>
        <w:ind w:firstLine="398"/>
        <w:spacing w:after="0" w:line="269" w:lineRule="auto"/>
        <w:rPr>
          <w:sz w:val="20"/>
          <w:szCs w:val="20"/>
          <w:color w:val="auto"/>
        </w:rPr>
      </w:pPr>
      <w:r>
        <w:rPr>
          <w:rFonts w:ascii="Arial" w:cs="Arial" w:eastAsia="Arial" w:hAnsi="Arial"/>
          <w:sz w:val="17"/>
          <w:szCs w:val="17"/>
          <w:color w:val="auto"/>
        </w:rPr>
        <w:t>Westwood invites all stockholders to attend the virtual meeting. Whether or not you expect to virtually attend the annual meeting, we urge you to complete, sign, date and promptly return the accompanying proxy card in the enclosed postage-paid envelope, or vote by Internet by following the instructions in the Notice of Annual Meeting, to ensure your representation at the meeting. You can revoke your proxy at any time before it is voted by delivering written notice to our Corporate Secretary at Westwood’s principal executive office, by signing and mailing to us a proxy card bearing a later date, by changing your vote by Internet (if you voted by Internet) or by virtually attending the meeting and voting then.</w:t>
      </w:r>
    </w:p>
    <w:p>
      <w:pPr>
        <w:spacing w:after="0" w:line="165"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Sincerely,</w:t>
      </w:r>
    </w:p>
    <w:p>
      <w:pPr>
        <w:spacing w:after="0" w:line="72" w:lineRule="exact"/>
        <w:rPr>
          <w:sz w:val="20"/>
          <w:szCs w:val="20"/>
          <w:color w:val="auto"/>
        </w:rPr>
      </w:pPr>
    </w:p>
    <w:p>
      <w:pPr>
        <w:ind w:left="2620"/>
        <w:spacing w:after="0"/>
        <w:rPr>
          <w:sz w:val="20"/>
          <w:szCs w:val="20"/>
          <w:color w:val="auto"/>
        </w:rPr>
      </w:pPr>
      <w:r>
        <w:rPr>
          <w:rFonts w:ascii="Arial" w:cs="Arial" w:eastAsia="Arial" w:hAnsi="Arial"/>
          <w:sz w:val="18"/>
          <w:szCs w:val="18"/>
          <w:color w:val="auto"/>
        </w:rPr>
        <w:t>March 22,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3331210</wp:posOffset>
            </wp:positionH>
            <wp:positionV relativeFrom="paragraph">
              <wp:posOffset>-89535</wp:posOffset>
            </wp:positionV>
            <wp:extent cx="960120" cy="3200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960120" cy="32004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Brian O. Casey</w:t>
      </w:r>
    </w:p>
    <w:p>
      <w:pPr>
        <w:spacing w:after="0" w:line="1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000"/>
        <w:spacing w:after="0"/>
        <w:rPr>
          <w:sz w:val="20"/>
          <w:szCs w:val="20"/>
          <w:color w:val="auto"/>
        </w:rPr>
      </w:pPr>
      <w:r>
        <w:rPr>
          <w:rFonts w:ascii="Arial" w:cs="Arial" w:eastAsia="Arial" w:hAnsi="Arial"/>
          <w:sz w:val="11"/>
          <w:szCs w:val="11"/>
          <w:color w:val="auto"/>
        </w:rPr>
        <w:t>WESTWOOD MANAGEMENT • WESTWOOD TRUST • WESTWOOD ADVISORS</w:t>
      </w:r>
    </w:p>
    <w:p>
      <w:pPr>
        <w:spacing w:after="0" w:line="16" w:lineRule="exact"/>
        <w:rPr>
          <w:sz w:val="20"/>
          <w:szCs w:val="20"/>
          <w:color w:val="auto"/>
        </w:rPr>
      </w:pPr>
    </w:p>
    <w:p>
      <w:pPr>
        <w:jc w:val="center"/>
        <w:ind w:right="1000"/>
        <w:spacing w:after="0"/>
        <w:rPr>
          <w:sz w:val="20"/>
          <w:szCs w:val="20"/>
          <w:color w:val="auto"/>
        </w:rPr>
      </w:pPr>
      <w:r>
        <w:rPr>
          <w:rFonts w:ascii="Arial" w:cs="Arial" w:eastAsia="Arial" w:hAnsi="Arial"/>
          <w:sz w:val="11"/>
          <w:szCs w:val="11"/>
          <w:color w:val="auto"/>
        </w:rPr>
        <w:t>200 CRESCENT COURT, SUITE 1200 • DALLAS, TEXAS 75201 • T.214.756.6900 • F.214.756.6979 • westwoodgroup.com</w:t>
      </w:r>
    </w:p>
    <w:p>
      <w:pPr>
        <w:sectPr>
          <w:pgSz w:w="11900" w:h="16838" w:orient="portrait"/>
          <w:cols w:equalWidth="0" w:num="1">
            <w:col w:w="11240"/>
          </w:cols>
          <w:pgMar w:left="320" w:top="1440"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84"/>
        </w:trPr>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760" w:type="dxa"/>
            <w:vAlign w:val="bottom"/>
            <w:gridSpan w:val="9"/>
          </w:tcPr>
          <w:p>
            <w:pPr>
              <w:ind w:left="140"/>
              <w:spacing w:after="0"/>
              <w:rPr>
                <w:sz w:val="20"/>
                <w:szCs w:val="20"/>
                <w:color w:val="auto"/>
              </w:rPr>
            </w:pPr>
            <w:r>
              <w:rPr>
                <w:rFonts w:ascii="Arial" w:cs="Arial" w:eastAsia="Arial" w:hAnsi="Arial"/>
                <w:sz w:val="14"/>
                <w:szCs w:val="14"/>
                <w:b w:val="1"/>
                <w:bCs w:val="1"/>
                <w:color w:val="auto"/>
              </w:rPr>
              <w:t>TABLE OF CONTENTS</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417"/>
        </w:trPr>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Borders>
              <w:bottom w:val="single" w:sz="8" w:color="auto"/>
            </w:tcBorders>
            <w:gridSpan w:val="3"/>
          </w:tcPr>
          <w:p>
            <w:pPr>
              <w:ind w:left="140"/>
              <w:spacing w:after="0"/>
              <w:rPr>
                <w:sz w:val="20"/>
                <w:szCs w:val="20"/>
                <w:color w:val="auto"/>
              </w:rPr>
            </w:pPr>
            <w:r>
              <w:rPr>
                <w:rFonts w:ascii="Arial" w:cs="Arial" w:eastAsia="Arial" w:hAnsi="Arial"/>
                <w:sz w:val="16"/>
                <w:szCs w:val="16"/>
                <w:b w:val="1"/>
                <w:bCs w:val="1"/>
                <w:color w:val="auto"/>
              </w:rPr>
              <w:t>Page</w:t>
            </w:r>
          </w:p>
        </w:tc>
      </w:tr>
      <w:tr>
        <w:trPr>
          <w:trHeight w:val="158"/>
        </w:trPr>
        <w:tc>
          <w:tcPr>
            <w:tcW w:w="160" w:type="dxa"/>
            <w:vAlign w:val="bottom"/>
          </w:tcPr>
          <w:p>
            <w:pPr>
              <w:spacing w:after="0"/>
              <w:rPr>
                <w:sz w:val="13"/>
                <w:szCs w:val="13"/>
                <w:color w:val="auto"/>
              </w:rPr>
            </w:pPr>
          </w:p>
        </w:tc>
        <w:tc>
          <w:tcPr>
            <w:tcW w:w="3840" w:type="dxa"/>
            <w:vAlign w:val="bottom"/>
            <w:tcBorders>
              <w:bottom w:val="single" w:sz="8" w:color="0000FF"/>
            </w:tcBorders>
            <w:gridSpan w:val="26"/>
          </w:tcPr>
          <w:p>
            <w:pPr>
              <w:spacing w:after="0" w:line="138" w:lineRule="exact"/>
              <w:rPr>
                <w:sz w:val="20"/>
                <w:szCs w:val="20"/>
                <w:color w:val="auto"/>
              </w:rPr>
            </w:pPr>
            <w:r>
              <w:rPr>
                <w:rFonts w:ascii="Arial" w:cs="Arial" w:eastAsia="Arial" w:hAnsi="Arial"/>
                <w:sz w:val="15"/>
                <w:szCs w:val="15"/>
                <w:color w:val="0000FF"/>
              </w:rPr>
              <w:t>NOTICE OF ANNUAL MEETING OF STOCKHOLDERS</w:t>
            </w:r>
          </w:p>
        </w:tc>
        <w:tc>
          <w:tcPr>
            <w:tcW w:w="6460" w:type="dxa"/>
            <w:vAlign w:val="bottom"/>
            <w:gridSpan w:val="13"/>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gridSpan w:val="2"/>
          </w:tcPr>
          <w:p>
            <w:pPr>
              <w:jc w:val="right"/>
              <w:ind w:right="20"/>
              <w:spacing w:after="0" w:line="139" w:lineRule="exact"/>
              <w:rPr>
                <w:rFonts w:ascii="Arial" w:cs="Arial" w:eastAsia="Arial" w:hAnsi="Arial"/>
                <w:sz w:val="16"/>
                <w:szCs w:val="16"/>
                <w:u w:val="single" w:color="auto"/>
                <w:color w:val="0000FF"/>
              </w:rPr>
            </w:pPr>
            <w:hyperlink w:anchor="page5">
              <w:r>
                <w:rPr>
                  <w:rFonts w:ascii="Arial" w:cs="Arial" w:eastAsia="Arial" w:hAnsi="Arial"/>
                  <w:sz w:val="16"/>
                  <w:szCs w:val="16"/>
                  <w:u w:val="single" w:color="auto"/>
                  <w:color w:val="0000FF"/>
                </w:rPr>
                <w:t>i</w:t>
              </w:r>
            </w:hyperlink>
          </w:p>
        </w:tc>
      </w:tr>
      <w:tr>
        <w:trPr>
          <w:trHeight w:val="259"/>
        </w:trPr>
        <w:tc>
          <w:tcPr>
            <w:tcW w:w="160" w:type="dxa"/>
            <w:vAlign w:val="bottom"/>
          </w:tcPr>
          <w:p>
            <w:pPr>
              <w:spacing w:after="0"/>
              <w:rPr>
                <w:sz w:val="22"/>
                <w:szCs w:val="22"/>
                <w:color w:val="auto"/>
              </w:rPr>
            </w:pPr>
          </w:p>
        </w:tc>
        <w:tc>
          <w:tcPr>
            <w:tcW w:w="4540" w:type="dxa"/>
            <w:vAlign w:val="bottom"/>
            <w:gridSpan w:val="30"/>
          </w:tcPr>
          <w:p>
            <w:pPr>
              <w:spacing w:after="0"/>
              <w:rPr>
                <w:rFonts w:ascii="Arial" w:cs="Arial" w:eastAsia="Arial" w:hAnsi="Arial"/>
                <w:sz w:val="16"/>
                <w:szCs w:val="16"/>
                <w:color w:val="0000FF"/>
                <w:w w:val="97"/>
              </w:rPr>
            </w:pPr>
            <w:hyperlink w:anchor="page6">
              <w:r>
                <w:rPr>
                  <w:rFonts w:ascii="Arial" w:cs="Arial" w:eastAsia="Arial" w:hAnsi="Arial"/>
                  <w:sz w:val="16"/>
                  <w:szCs w:val="16"/>
                  <w:color w:val="0000FF"/>
                  <w:w w:val="97"/>
                </w:rPr>
                <w:t>NOTICE OF INTERNET AVAILABILITY OF PROXY MATERIALS</w:t>
              </w:r>
            </w:hyperlink>
          </w:p>
        </w:tc>
        <w:tc>
          <w:tcPr>
            <w:tcW w:w="5760" w:type="dxa"/>
            <w:vAlign w:val="bottom"/>
            <w:gridSpan w:val="9"/>
          </w:tcPr>
          <w:p>
            <w:pPr>
              <w:spacing w:after="0"/>
              <w:rPr>
                <w:sz w:val="22"/>
                <w:szCs w:val="22"/>
                <w:color w:val="auto"/>
              </w:rPr>
            </w:pPr>
          </w:p>
        </w:tc>
        <w:tc>
          <w:tcPr>
            <w:tcW w:w="620" w:type="dxa"/>
            <w:vAlign w:val="bottom"/>
            <w:gridSpan w:val="3"/>
          </w:tcPr>
          <w:p>
            <w:pPr>
              <w:jc w:val="right"/>
              <w:ind w:right="20"/>
              <w:spacing w:after="0"/>
              <w:rPr>
                <w:rFonts w:ascii="Arial" w:cs="Arial" w:eastAsia="Arial" w:hAnsi="Arial"/>
                <w:sz w:val="16"/>
                <w:szCs w:val="16"/>
                <w:color w:val="0000FF"/>
              </w:rPr>
            </w:pPr>
            <w:hyperlink w:anchor="page6">
              <w:r>
                <w:rPr>
                  <w:rFonts w:ascii="Arial" w:cs="Arial" w:eastAsia="Arial" w:hAnsi="Arial"/>
                  <w:sz w:val="16"/>
                  <w:szCs w:val="16"/>
                  <w:color w:val="0000FF"/>
                </w:rPr>
                <w:t>ii</w:t>
              </w:r>
            </w:hyperlink>
          </w:p>
        </w:tc>
      </w:tr>
      <w:tr>
        <w:trPr>
          <w:trHeight w:val="20"/>
        </w:trPr>
        <w:tc>
          <w:tcPr>
            <w:tcW w:w="16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4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5"/>
        </w:trPr>
        <w:tc>
          <w:tcPr>
            <w:tcW w:w="160" w:type="dxa"/>
            <w:vAlign w:val="bottom"/>
          </w:tcPr>
          <w:p>
            <w:pPr>
              <w:spacing w:after="0"/>
              <w:rPr>
                <w:sz w:val="21"/>
                <w:szCs w:val="21"/>
                <w:color w:val="auto"/>
              </w:rPr>
            </w:pPr>
          </w:p>
        </w:tc>
        <w:tc>
          <w:tcPr>
            <w:tcW w:w="2860" w:type="dxa"/>
            <w:vAlign w:val="bottom"/>
            <w:tcBorders>
              <w:bottom w:val="single" w:sz="8" w:color="0000FF"/>
            </w:tcBorders>
            <w:gridSpan w:val="20"/>
          </w:tcPr>
          <w:p>
            <w:pPr>
              <w:spacing w:after="0"/>
              <w:rPr>
                <w:rFonts w:ascii="Arial" w:cs="Arial" w:eastAsia="Arial" w:hAnsi="Arial"/>
                <w:sz w:val="16"/>
                <w:szCs w:val="16"/>
                <w:color w:val="0000FF"/>
                <w:w w:val="95"/>
              </w:rPr>
            </w:pPr>
            <w:hyperlink w:anchor="page7">
              <w:r>
                <w:rPr>
                  <w:rFonts w:ascii="Arial" w:cs="Arial" w:eastAsia="Arial" w:hAnsi="Arial"/>
                  <w:sz w:val="16"/>
                  <w:szCs w:val="16"/>
                  <w:color w:val="0000FF"/>
                  <w:w w:val="95"/>
                </w:rPr>
                <w:t>GENERAL QUESTIONS AND ANSWERS</w:t>
              </w:r>
            </w:hyperlink>
          </w:p>
        </w:tc>
        <w:tc>
          <w:tcPr>
            <w:tcW w:w="1680" w:type="dxa"/>
            <w:vAlign w:val="bottom"/>
            <w:gridSpan w:val="10"/>
          </w:tcPr>
          <w:p>
            <w:pPr>
              <w:spacing w:after="0"/>
              <w:rPr>
                <w:sz w:val="21"/>
                <w:szCs w:val="21"/>
                <w:color w:val="auto"/>
              </w:rPr>
            </w:pPr>
          </w:p>
        </w:tc>
        <w:tc>
          <w:tcPr>
            <w:tcW w:w="5760" w:type="dxa"/>
            <w:vAlign w:val="bottom"/>
            <w:gridSpan w:val="9"/>
          </w:tcPr>
          <w:p>
            <w:pPr>
              <w:spacing w:after="0"/>
              <w:rPr>
                <w:sz w:val="21"/>
                <w:szCs w:val="21"/>
                <w:color w:val="auto"/>
              </w:rPr>
            </w:pPr>
          </w:p>
        </w:tc>
        <w:tc>
          <w:tcPr>
            <w:tcW w:w="620" w:type="dxa"/>
            <w:vAlign w:val="bottom"/>
            <w:gridSpan w:val="3"/>
          </w:tcPr>
          <w:p>
            <w:pPr>
              <w:jc w:val="right"/>
              <w:ind w:right="20"/>
              <w:spacing w:after="0"/>
              <w:rPr>
                <w:rFonts w:ascii="Arial" w:cs="Arial" w:eastAsia="Arial" w:hAnsi="Arial"/>
                <w:sz w:val="16"/>
                <w:szCs w:val="16"/>
                <w:color w:val="0000FF"/>
              </w:rPr>
            </w:pPr>
            <w:hyperlink w:anchor="page7">
              <w:r>
                <w:rPr>
                  <w:rFonts w:ascii="Arial" w:cs="Arial" w:eastAsia="Arial" w:hAnsi="Arial"/>
                  <w:sz w:val="16"/>
                  <w:szCs w:val="16"/>
                  <w:color w:val="0000FF"/>
                </w:rPr>
                <w:t>1</w:t>
              </w:r>
            </w:hyperlink>
          </w:p>
        </w:tc>
      </w:tr>
      <w:tr>
        <w:trPr>
          <w:trHeight w:val="192"/>
        </w:trPr>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40" w:type="dxa"/>
            <w:vAlign w:val="bottom"/>
            <w:tcBorders>
              <w:bottom w:val="single" w:sz="8" w:color="0000FF"/>
            </w:tcBorders>
            <w:gridSpan w:val="7"/>
          </w:tcPr>
          <w:p>
            <w:pPr>
              <w:spacing w:after="0"/>
              <w:rPr>
                <w:rFonts w:ascii="Arial" w:cs="Arial" w:eastAsia="Arial" w:hAnsi="Arial"/>
                <w:sz w:val="16"/>
                <w:szCs w:val="16"/>
                <w:color w:val="0000FF"/>
                <w:w w:val="92"/>
              </w:rPr>
            </w:pPr>
            <w:hyperlink w:anchor="page7">
              <w:r>
                <w:rPr>
                  <w:rFonts w:ascii="Arial" w:cs="Arial" w:eastAsia="Arial" w:hAnsi="Arial"/>
                  <w:sz w:val="16"/>
                  <w:szCs w:val="16"/>
                  <w:color w:val="0000FF"/>
                  <w:w w:val="92"/>
                </w:rPr>
                <w:t>The Annual Meeting</w:t>
              </w:r>
            </w:hyperlink>
          </w:p>
        </w:tc>
        <w:tc>
          <w:tcPr>
            <w:tcW w:w="8600" w:type="dxa"/>
            <w:vAlign w:val="bottom"/>
            <w:gridSpan w:val="31"/>
          </w:tcPr>
          <w:p>
            <w:pPr>
              <w:spacing w:after="0"/>
              <w:rPr>
                <w:sz w:val="16"/>
                <w:szCs w:val="16"/>
                <w:color w:val="auto"/>
              </w:rPr>
            </w:pPr>
          </w:p>
        </w:tc>
        <w:tc>
          <w:tcPr>
            <w:tcW w:w="620" w:type="dxa"/>
            <w:vAlign w:val="bottom"/>
            <w:gridSpan w:val="3"/>
          </w:tcPr>
          <w:p>
            <w:pPr>
              <w:jc w:val="right"/>
              <w:ind w:right="20"/>
              <w:spacing w:after="0"/>
              <w:rPr>
                <w:rFonts w:ascii="Arial" w:cs="Arial" w:eastAsia="Arial" w:hAnsi="Arial"/>
                <w:sz w:val="16"/>
                <w:szCs w:val="16"/>
                <w:color w:val="0000FF"/>
              </w:rPr>
            </w:pPr>
            <w:hyperlink w:anchor="page7">
              <w:r>
                <w:rPr>
                  <w:rFonts w:ascii="Arial" w:cs="Arial" w:eastAsia="Arial" w:hAnsi="Arial"/>
                  <w:sz w:val="16"/>
                  <w:szCs w:val="16"/>
                  <w:color w:val="0000FF"/>
                </w:rPr>
                <w:t>1</w:t>
              </w:r>
            </w:hyperlink>
          </w:p>
        </w:tc>
      </w:tr>
      <w:tr>
        <w:trPr>
          <w:trHeight w:val="192"/>
        </w:trPr>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tcBorders>
              <w:bottom w:val="single" w:sz="8" w:color="0000FF"/>
            </w:tcBorders>
            <w:gridSpan w:val="8"/>
          </w:tcPr>
          <w:p>
            <w:pPr>
              <w:spacing w:after="0"/>
              <w:rPr>
                <w:rFonts w:ascii="Arial" w:cs="Arial" w:eastAsia="Arial" w:hAnsi="Arial"/>
                <w:sz w:val="16"/>
                <w:szCs w:val="16"/>
                <w:color w:val="0000FF"/>
                <w:w w:val="89"/>
              </w:rPr>
            </w:pPr>
            <w:hyperlink w:anchor="page10">
              <w:r>
                <w:rPr>
                  <w:rFonts w:ascii="Arial" w:cs="Arial" w:eastAsia="Arial" w:hAnsi="Arial"/>
                  <w:sz w:val="16"/>
                  <w:szCs w:val="16"/>
                  <w:color w:val="0000FF"/>
                  <w:w w:val="89"/>
                </w:rPr>
                <w:t>Procedures for Voting</w:t>
              </w:r>
            </w:hyperlink>
          </w:p>
        </w:tc>
        <w:tc>
          <w:tcPr>
            <w:tcW w:w="8540" w:type="dxa"/>
            <w:vAlign w:val="bottom"/>
            <w:gridSpan w:val="30"/>
          </w:tcPr>
          <w:p>
            <w:pPr>
              <w:spacing w:after="0"/>
              <w:rPr>
                <w:sz w:val="16"/>
                <w:szCs w:val="16"/>
                <w:color w:val="auto"/>
              </w:rPr>
            </w:pPr>
          </w:p>
        </w:tc>
        <w:tc>
          <w:tcPr>
            <w:tcW w:w="620" w:type="dxa"/>
            <w:vAlign w:val="bottom"/>
            <w:gridSpan w:val="3"/>
          </w:tcPr>
          <w:p>
            <w:pPr>
              <w:jc w:val="right"/>
              <w:ind w:right="20"/>
              <w:spacing w:after="0"/>
              <w:rPr>
                <w:rFonts w:ascii="Arial" w:cs="Arial" w:eastAsia="Arial" w:hAnsi="Arial"/>
                <w:sz w:val="16"/>
                <w:szCs w:val="16"/>
                <w:color w:val="0000FF"/>
              </w:rPr>
            </w:pPr>
            <w:hyperlink w:anchor="page10">
              <w:r>
                <w:rPr>
                  <w:rFonts w:ascii="Arial" w:cs="Arial" w:eastAsia="Arial" w:hAnsi="Arial"/>
                  <w:sz w:val="16"/>
                  <w:szCs w:val="16"/>
                  <w:color w:val="0000FF"/>
                </w:rPr>
                <w:t>3</w:t>
              </w:r>
            </w:hyperlink>
          </w:p>
        </w:tc>
      </w:tr>
      <w:tr>
        <w:trPr>
          <w:trHeight w:val="192"/>
        </w:trPr>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20" w:type="dxa"/>
            <w:vAlign w:val="bottom"/>
            <w:tcBorders>
              <w:bottom w:val="single" w:sz="8" w:color="0000FF"/>
            </w:tcBorders>
            <w:gridSpan w:val="12"/>
          </w:tcPr>
          <w:p>
            <w:pPr>
              <w:spacing w:after="0"/>
              <w:rPr>
                <w:rFonts w:ascii="Arial" w:cs="Arial" w:eastAsia="Arial" w:hAnsi="Arial"/>
                <w:sz w:val="16"/>
                <w:szCs w:val="16"/>
                <w:color w:val="0000FF"/>
                <w:w w:val="90"/>
              </w:rPr>
            </w:pPr>
            <w:hyperlink w:anchor="page10">
              <w:r>
                <w:rPr>
                  <w:rFonts w:ascii="Arial" w:cs="Arial" w:eastAsia="Arial" w:hAnsi="Arial"/>
                  <w:sz w:val="16"/>
                  <w:szCs w:val="16"/>
                  <w:color w:val="0000FF"/>
                  <w:w w:val="90"/>
                </w:rPr>
                <w:t>Our Current Stock Ownership</w:t>
              </w:r>
            </w:hyperlink>
          </w:p>
        </w:tc>
        <w:tc>
          <w:tcPr>
            <w:tcW w:w="8020" w:type="dxa"/>
            <w:vAlign w:val="bottom"/>
            <w:gridSpan w:val="26"/>
          </w:tcPr>
          <w:p>
            <w:pPr>
              <w:spacing w:after="0"/>
              <w:rPr>
                <w:sz w:val="16"/>
                <w:szCs w:val="16"/>
                <w:color w:val="auto"/>
              </w:rPr>
            </w:pPr>
          </w:p>
        </w:tc>
        <w:tc>
          <w:tcPr>
            <w:tcW w:w="620" w:type="dxa"/>
            <w:vAlign w:val="bottom"/>
            <w:gridSpan w:val="3"/>
          </w:tcPr>
          <w:p>
            <w:pPr>
              <w:jc w:val="right"/>
              <w:ind w:right="20"/>
              <w:spacing w:after="0"/>
              <w:rPr>
                <w:rFonts w:ascii="Arial" w:cs="Arial" w:eastAsia="Arial" w:hAnsi="Arial"/>
                <w:sz w:val="16"/>
                <w:szCs w:val="16"/>
                <w:color w:val="0000FF"/>
              </w:rPr>
            </w:pPr>
            <w:hyperlink w:anchor="page10">
              <w:r>
                <w:rPr>
                  <w:rFonts w:ascii="Arial" w:cs="Arial" w:eastAsia="Arial" w:hAnsi="Arial"/>
                  <w:sz w:val="16"/>
                  <w:szCs w:val="16"/>
                  <w:color w:val="0000FF"/>
                </w:rPr>
                <w:t>3</w:t>
              </w:r>
            </w:hyperlink>
          </w:p>
        </w:tc>
      </w:tr>
      <w:tr>
        <w:trPr>
          <w:trHeight w:val="192"/>
        </w:trPr>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940" w:type="dxa"/>
            <w:vAlign w:val="bottom"/>
            <w:gridSpan w:val="38"/>
          </w:tcPr>
          <w:p>
            <w:pPr>
              <w:spacing w:after="0"/>
              <w:rPr>
                <w:rFonts w:ascii="Arial" w:cs="Arial" w:eastAsia="Arial" w:hAnsi="Arial"/>
                <w:sz w:val="16"/>
                <w:szCs w:val="16"/>
                <w:color w:val="0000FF"/>
              </w:rPr>
            </w:pPr>
            <w:hyperlink w:anchor="page11">
              <w:r>
                <w:rPr>
                  <w:rFonts w:ascii="Arial" w:cs="Arial" w:eastAsia="Arial" w:hAnsi="Arial"/>
                  <w:sz w:val="16"/>
                  <w:szCs w:val="16"/>
                  <w:color w:val="0000FF"/>
                </w:rPr>
                <w:t>Other Information</w:t>
              </w:r>
            </w:hyperlink>
          </w:p>
        </w:tc>
        <w:tc>
          <w:tcPr>
            <w:tcW w:w="620" w:type="dxa"/>
            <w:vAlign w:val="bottom"/>
            <w:gridSpan w:val="3"/>
          </w:tcPr>
          <w:p>
            <w:pPr>
              <w:jc w:val="right"/>
              <w:ind w:right="20"/>
              <w:spacing w:after="0"/>
              <w:rPr>
                <w:rFonts w:ascii="Arial" w:cs="Arial" w:eastAsia="Arial" w:hAnsi="Arial"/>
                <w:sz w:val="16"/>
                <w:szCs w:val="16"/>
                <w:color w:val="0000FF"/>
              </w:rPr>
            </w:pPr>
            <w:hyperlink w:anchor="page11">
              <w:r>
                <w:rPr>
                  <w:rFonts w:ascii="Arial" w:cs="Arial" w:eastAsia="Arial" w:hAnsi="Arial"/>
                  <w:sz w:val="16"/>
                  <w:szCs w:val="16"/>
                  <w:color w:val="0000FF"/>
                </w:rPr>
                <w:t>4</w:t>
              </w:r>
            </w:hyperlink>
          </w:p>
        </w:tc>
      </w:tr>
      <w:tr>
        <w:trPr>
          <w:trHeight w:val="20"/>
        </w:trPr>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r>
      <w:tr>
        <w:trPr>
          <w:trHeight w:val="245"/>
        </w:trPr>
        <w:tc>
          <w:tcPr>
            <w:tcW w:w="160" w:type="dxa"/>
            <w:vAlign w:val="bottom"/>
          </w:tcPr>
          <w:p>
            <w:pPr>
              <w:spacing w:after="0"/>
              <w:rPr>
                <w:sz w:val="21"/>
                <w:szCs w:val="21"/>
                <w:color w:val="auto"/>
              </w:rPr>
            </w:pPr>
          </w:p>
        </w:tc>
        <w:tc>
          <w:tcPr>
            <w:tcW w:w="10300" w:type="dxa"/>
            <w:vAlign w:val="bottom"/>
            <w:gridSpan w:val="39"/>
          </w:tcPr>
          <w:p>
            <w:pPr>
              <w:spacing w:after="0"/>
              <w:rPr>
                <w:rFonts w:ascii="Arial" w:cs="Arial" w:eastAsia="Arial" w:hAnsi="Arial"/>
                <w:sz w:val="16"/>
                <w:szCs w:val="16"/>
                <w:color w:val="0000FF"/>
              </w:rPr>
            </w:pPr>
            <w:hyperlink w:anchor="page11">
              <w:r>
                <w:rPr>
                  <w:rFonts w:ascii="Arial" w:cs="Arial" w:eastAsia="Arial" w:hAnsi="Arial"/>
                  <w:sz w:val="16"/>
                  <w:szCs w:val="16"/>
                  <w:color w:val="0000FF"/>
                </w:rPr>
                <w:t>PROPOSAL 1: ELECTION OF DIRECTORS</w:t>
              </w:r>
            </w:hyperlink>
          </w:p>
        </w:tc>
        <w:tc>
          <w:tcPr>
            <w:tcW w:w="620" w:type="dxa"/>
            <w:vAlign w:val="bottom"/>
            <w:gridSpan w:val="3"/>
          </w:tcPr>
          <w:p>
            <w:pPr>
              <w:jc w:val="right"/>
              <w:ind w:right="20"/>
              <w:spacing w:after="0"/>
              <w:rPr>
                <w:rFonts w:ascii="Arial" w:cs="Arial" w:eastAsia="Arial" w:hAnsi="Arial"/>
                <w:sz w:val="16"/>
                <w:szCs w:val="16"/>
                <w:color w:val="0000FF"/>
              </w:rPr>
            </w:pPr>
            <w:hyperlink w:anchor="page11">
              <w:r>
                <w:rPr>
                  <w:rFonts w:ascii="Arial" w:cs="Arial" w:eastAsia="Arial" w:hAnsi="Arial"/>
                  <w:sz w:val="16"/>
                  <w:szCs w:val="16"/>
                  <w:color w:val="0000FF"/>
                </w:rPr>
                <w:t>5</w:t>
              </w:r>
            </w:hyperlink>
          </w:p>
        </w:tc>
      </w:tr>
      <w:tr>
        <w:trPr>
          <w:trHeight w:val="192"/>
        </w:trPr>
        <w:tc>
          <w:tcPr>
            <w:tcW w:w="160" w:type="dxa"/>
            <w:vAlign w:val="bottom"/>
          </w:tcPr>
          <w:p>
            <w:pPr>
              <w:spacing w:after="0"/>
              <w:rPr>
                <w:sz w:val="16"/>
                <w:szCs w:val="16"/>
                <w:color w:val="auto"/>
              </w:rPr>
            </w:pPr>
          </w:p>
        </w:tc>
        <w:tc>
          <w:tcPr>
            <w:tcW w:w="360" w:type="dxa"/>
            <w:vAlign w:val="bottom"/>
            <w:tcBorders>
              <w:top w:val="single" w:sz="8" w:color="0000FF"/>
            </w:tcBorders>
          </w:tcPr>
          <w:p>
            <w:pPr>
              <w:spacing w:after="0"/>
              <w:rPr>
                <w:sz w:val="16"/>
                <w:szCs w:val="16"/>
                <w:color w:val="auto"/>
              </w:rPr>
            </w:pPr>
          </w:p>
        </w:tc>
        <w:tc>
          <w:tcPr>
            <w:tcW w:w="2600" w:type="dxa"/>
            <w:vAlign w:val="bottom"/>
            <w:tcBorders>
              <w:top w:val="single" w:sz="8" w:color="0000FF"/>
            </w:tcBorders>
            <w:gridSpan w:val="21"/>
          </w:tcPr>
          <w:p>
            <w:pPr>
              <w:spacing w:after="0"/>
              <w:rPr>
                <w:rFonts w:ascii="Arial" w:cs="Arial" w:eastAsia="Arial" w:hAnsi="Arial"/>
                <w:sz w:val="16"/>
                <w:szCs w:val="16"/>
                <w:color w:val="0000FF"/>
              </w:rPr>
            </w:pPr>
            <w:hyperlink w:anchor="page11">
              <w:r>
                <w:rPr>
                  <w:rFonts w:ascii="Arial" w:cs="Arial" w:eastAsia="Arial" w:hAnsi="Arial"/>
                  <w:sz w:val="16"/>
                  <w:szCs w:val="16"/>
                  <w:color w:val="0000FF"/>
                </w:rPr>
                <w:t>Nominees</w:t>
              </w:r>
            </w:hyperlink>
          </w:p>
        </w:tc>
        <w:tc>
          <w:tcPr>
            <w:tcW w:w="7340" w:type="dxa"/>
            <w:vAlign w:val="bottom"/>
            <w:gridSpan w:val="17"/>
          </w:tcPr>
          <w:p>
            <w:pPr>
              <w:spacing w:after="0"/>
              <w:rPr>
                <w:sz w:val="16"/>
                <w:szCs w:val="16"/>
                <w:color w:val="auto"/>
              </w:rPr>
            </w:pPr>
          </w:p>
        </w:tc>
        <w:tc>
          <w:tcPr>
            <w:tcW w:w="620" w:type="dxa"/>
            <w:vAlign w:val="bottom"/>
            <w:gridSpan w:val="3"/>
          </w:tcPr>
          <w:p>
            <w:pPr>
              <w:jc w:val="right"/>
              <w:ind w:right="20"/>
              <w:spacing w:after="0"/>
              <w:rPr>
                <w:rFonts w:ascii="Arial" w:cs="Arial" w:eastAsia="Arial" w:hAnsi="Arial"/>
                <w:sz w:val="16"/>
                <w:szCs w:val="16"/>
                <w:color w:val="0000FF"/>
              </w:rPr>
            </w:pPr>
            <w:hyperlink w:anchor="page11">
              <w:r>
                <w:rPr>
                  <w:rFonts w:ascii="Arial" w:cs="Arial" w:eastAsia="Arial" w:hAnsi="Arial"/>
                  <w:sz w:val="16"/>
                  <w:szCs w:val="16"/>
                  <w:color w:val="0000FF"/>
                </w:rPr>
                <w:t>5</w:t>
              </w:r>
            </w:hyperlink>
          </w:p>
        </w:tc>
      </w:tr>
      <w:tr>
        <w:trPr>
          <w:trHeight w:val="20"/>
        </w:trPr>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r>
      <w:tr>
        <w:trPr>
          <w:trHeight w:val="192"/>
        </w:trPr>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940" w:type="dxa"/>
            <w:vAlign w:val="bottom"/>
            <w:gridSpan w:val="38"/>
          </w:tcPr>
          <w:p>
            <w:pPr>
              <w:spacing w:after="0"/>
              <w:rPr>
                <w:rFonts w:ascii="Arial" w:cs="Arial" w:eastAsia="Arial" w:hAnsi="Arial"/>
                <w:sz w:val="16"/>
                <w:szCs w:val="16"/>
                <w:color w:val="0000FF"/>
              </w:rPr>
            </w:pPr>
            <w:hyperlink w:anchor="page14">
              <w:r>
                <w:rPr>
                  <w:rFonts w:ascii="Arial" w:cs="Arial" w:eastAsia="Arial" w:hAnsi="Arial"/>
                  <w:sz w:val="16"/>
                  <w:szCs w:val="16"/>
                  <w:color w:val="0000FF"/>
                </w:rPr>
                <w:t>Corporate Governance Information</w:t>
              </w:r>
            </w:hyperlink>
          </w:p>
        </w:tc>
        <w:tc>
          <w:tcPr>
            <w:tcW w:w="620" w:type="dxa"/>
            <w:vAlign w:val="bottom"/>
            <w:gridSpan w:val="3"/>
          </w:tcPr>
          <w:p>
            <w:pPr>
              <w:jc w:val="right"/>
              <w:ind w:right="20"/>
              <w:spacing w:after="0"/>
              <w:rPr>
                <w:rFonts w:ascii="Arial" w:cs="Arial" w:eastAsia="Arial" w:hAnsi="Arial"/>
                <w:sz w:val="16"/>
                <w:szCs w:val="16"/>
                <w:color w:val="0000FF"/>
              </w:rPr>
            </w:pPr>
            <w:hyperlink w:anchor="page14">
              <w:r>
                <w:rPr>
                  <w:rFonts w:ascii="Arial" w:cs="Arial" w:eastAsia="Arial" w:hAnsi="Arial"/>
                  <w:sz w:val="16"/>
                  <w:szCs w:val="16"/>
                  <w:color w:val="0000FF"/>
                </w:rPr>
                <w:t>7</w:t>
              </w:r>
            </w:hyperlink>
          </w:p>
        </w:tc>
      </w:tr>
      <w:tr>
        <w:trPr>
          <w:trHeight w:val="192"/>
        </w:trPr>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00" w:type="dxa"/>
            <w:vAlign w:val="bottom"/>
            <w:tcBorders>
              <w:top w:val="single" w:sz="8" w:color="0000FF"/>
              <w:bottom w:val="single" w:sz="8" w:color="0000FF"/>
            </w:tcBorders>
            <w:gridSpan w:val="9"/>
          </w:tcPr>
          <w:p>
            <w:pPr>
              <w:spacing w:after="0"/>
              <w:rPr>
                <w:rFonts w:ascii="Arial" w:cs="Arial" w:eastAsia="Arial" w:hAnsi="Arial"/>
                <w:sz w:val="16"/>
                <w:szCs w:val="16"/>
                <w:color w:val="0000FF"/>
                <w:w w:val="90"/>
              </w:rPr>
            </w:pPr>
            <w:hyperlink w:anchor="page18">
              <w:r>
                <w:rPr>
                  <w:rFonts w:ascii="Arial" w:cs="Arial" w:eastAsia="Arial" w:hAnsi="Arial"/>
                  <w:sz w:val="16"/>
                  <w:szCs w:val="16"/>
                  <w:color w:val="0000FF"/>
                  <w:w w:val="90"/>
                </w:rPr>
                <w:t>Director Compensation</w:t>
              </w:r>
            </w:hyperlink>
          </w:p>
        </w:tc>
        <w:tc>
          <w:tcPr>
            <w:tcW w:w="740" w:type="dxa"/>
            <w:vAlign w:val="bottom"/>
            <w:tcBorders>
              <w:top w:val="single" w:sz="8" w:color="0000FF"/>
            </w:tcBorders>
            <w:gridSpan w:val="8"/>
          </w:tcPr>
          <w:p>
            <w:pPr>
              <w:spacing w:after="0"/>
              <w:rPr>
                <w:sz w:val="16"/>
                <w:szCs w:val="16"/>
                <w:color w:val="auto"/>
              </w:rPr>
            </w:pPr>
          </w:p>
        </w:tc>
        <w:tc>
          <w:tcPr>
            <w:tcW w:w="7700" w:type="dxa"/>
            <w:vAlign w:val="bottom"/>
            <w:gridSpan w:val="21"/>
          </w:tcPr>
          <w:p>
            <w:pPr>
              <w:spacing w:after="0"/>
              <w:rPr>
                <w:sz w:val="16"/>
                <w:szCs w:val="16"/>
                <w:color w:val="auto"/>
              </w:rPr>
            </w:pPr>
          </w:p>
        </w:tc>
        <w:tc>
          <w:tcPr>
            <w:tcW w:w="620" w:type="dxa"/>
            <w:vAlign w:val="bottom"/>
            <w:gridSpan w:val="3"/>
          </w:tcPr>
          <w:p>
            <w:pPr>
              <w:jc w:val="right"/>
              <w:ind w:right="20"/>
              <w:spacing w:after="0"/>
              <w:rPr>
                <w:rFonts w:ascii="Arial" w:cs="Arial" w:eastAsia="Arial" w:hAnsi="Arial"/>
                <w:sz w:val="16"/>
                <w:szCs w:val="16"/>
                <w:color w:val="0000FF"/>
              </w:rPr>
            </w:pPr>
            <w:hyperlink w:anchor="page18">
              <w:r>
                <w:rPr>
                  <w:rFonts w:ascii="Arial" w:cs="Arial" w:eastAsia="Arial" w:hAnsi="Arial"/>
                  <w:sz w:val="16"/>
                  <w:szCs w:val="16"/>
                  <w:color w:val="0000FF"/>
                </w:rPr>
                <w:t>12</w:t>
              </w:r>
            </w:hyperlink>
          </w:p>
        </w:tc>
      </w:tr>
      <w:tr>
        <w:trPr>
          <w:trHeight w:val="245"/>
        </w:trPr>
        <w:tc>
          <w:tcPr>
            <w:tcW w:w="160" w:type="dxa"/>
            <w:vAlign w:val="bottom"/>
          </w:tcPr>
          <w:p>
            <w:pPr>
              <w:spacing w:after="0"/>
              <w:rPr>
                <w:sz w:val="21"/>
                <w:szCs w:val="21"/>
                <w:color w:val="auto"/>
              </w:rPr>
            </w:pPr>
          </w:p>
        </w:tc>
        <w:tc>
          <w:tcPr>
            <w:tcW w:w="1680" w:type="dxa"/>
            <w:vAlign w:val="bottom"/>
            <w:tcBorders>
              <w:bottom w:val="single" w:sz="8" w:color="0000FF"/>
            </w:tcBorders>
            <w:gridSpan w:val="7"/>
          </w:tcPr>
          <w:p>
            <w:pPr>
              <w:spacing w:after="0"/>
              <w:rPr>
                <w:rFonts w:ascii="Arial" w:cs="Arial" w:eastAsia="Arial" w:hAnsi="Arial"/>
                <w:sz w:val="16"/>
                <w:szCs w:val="16"/>
                <w:color w:val="0000FF"/>
                <w:w w:val="94"/>
              </w:rPr>
            </w:pPr>
            <w:hyperlink w:anchor="page20">
              <w:r>
                <w:rPr>
                  <w:rFonts w:ascii="Arial" w:cs="Arial" w:eastAsia="Arial" w:hAnsi="Arial"/>
                  <w:sz w:val="16"/>
                  <w:szCs w:val="16"/>
                  <w:color w:val="0000FF"/>
                  <w:w w:val="94"/>
                </w:rPr>
                <w:t>EXECUTIVE OFFICERS</w:t>
              </w:r>
            </w:hyperlink>
          </w:p>
        </w:tc>
        <w:tc>
          <w:tcPr>
            <w:tcW w:w="8620" w:type="dxa"/>
            <w:vAlign w:val="bottom"/>
            <w:gridSpan w:val="32"/>
          </w:tcPr>
          <w:p>
            <w:pPr>
              <w:spacing w:after="0"/>
              <w:rPr>
                <w:sz w:val="21"/>
                <w:szCs w:val="21"/>
                <w:color w:val="auto"/>
              </w:rPr>
            </w:pPr>
          </w:p>
        </w:tc>
        <w:tc>
          <w:tcPr>
            <w:tcW w:w="620" w:type="dxa"/>
            <w:vAlign w:val="bottom"/>
            <w:gridSpan w:val="3"/>
          </w:tcPr>
          <w:p>
            <w:pPr>
              <w:jc w:val="right"/>
              <w:ind w:right="20"/>
              <w:spacing w:after="0"/>
              <w:rPr>
                <w:rFonts w:ascii="Arial" w:cs="Arial" w:eastAsia="Arial" w:hAnsi="Arial"/>
                <w:sz w:val="16"/>
                <w:szCs w:val="16"/>
                <w:color w:val="0000FF"/>
              </w:rPr>
            </w:pPr>
            <w:hyperlink w:anchor="page20">
              <w:r>
                <w:rPr>
                  <w:rFonts w:ascii="Arial" w:cs="Arial" w:eastAsia="Arial" w:hAnsi="Arial"/>
                  <w:sz w:val="16"/>
                  <w:szCs w:val="16"/>
                  <w:color w:val="0000FF"/>
                </w:rPr>
                <w:t>13</w:t>
              </w:r>
            </w:hyperlink>
          </w:p>
        </w:tc>
      </w:tr>
      <w:tr>
        <w:trPr>
          <w:trHeight w:val="245"/>
        </w:trPr>
        <w:tc>
          <w:tcPr>
            <w:tcW w:w="160" w:type="dxa"/>
            <w:vAlign w:val="bottom"/>
          </w:tcPr>
          <w:p>
            <w:pPr>
              <w:spacing w:after="0"/>
              <w:rPr>
                <w:sz w:val="21"/>
                <w:szCs w:val="21"/>
                <w:color w:val="auto"/>
              </w:rPr>
            </w:pPr>
          </w:p>
        </w:tc>
        <w:tc>
          <w:tcPr>
            <w:tcW w:w="10300" w:type="dxa"/>
            <w:vAlign w:val="bottom"/>
            <w:gridSpan w:val="39"/>
          </w:tcPr>
          <w:p>
            <w:pPr>
              <w:spacing w:after="0"/>
              <w:rPr>
                <w:rFonts w:ascii="Arial" w:cs="Arial" w:eastAsia="Arial" w:hAnsi="Arial"/>
                <w:sz w:val="16"/>
                <w:szCs w:val="16"/>
                <w:color w:val="0000FF"/>
              </w:rPr>
            </w:pPr>
            <w:hyperlink w:anchor="page20">
              <w:r>
                <w:rPr>
                  <w:rFonts w:ascii="Arial" w:cs="Arial" w:eastAsia="Arial" w:hAnsi="Arial"/>
                  <w:sz w:val="16"/>
                  <w:szCs w:val="16"/>
                  <w:color w:val="0000FF"/>
                </w:rPr>
                <w:t>EXECUTIVE COMPENSATION</w:t>
              </w:r>
            </w:hyperlink>
          </w:p>
        </w:tc>
        <w:tc>
          <w:tcPr>
            <w:tcW w:w="620" w:type="dxa"/>
            <w:vAlign w:val="bottom"/>
            <w:gridSpan w:val="3"/>
          </w:tcPr>
          <w:p>
            <w:pPr>
              <w:jc w:val="right"/>
              <w:ind w:right="20"/>
              <w:spacing w:after="0"/>
              <w:rPr>
                <w:rFonts w:ascii="Arial" w:cs="Arial" w:eastAsia="Arial" w:hAnsi="Arial"/>
                <w:sz w:val="16"/>
                <w:szCs w:val="16"/>
                <w:color w:val="0000FF"/>
              </w:rPr>
            </w:pPr>
            <w:hyperlink w:anchor="page20">
              <w:r>
                <w:rPr>
                  <w:rFonts w:ascii="Arial" w:cs="Arial" w:eastAsia="Arial" w:hAnsi="Arial"/>
                  <w:sz w:val="16"/>
                  <w:szCs w:val="16"/>
                  <w:color w:val="0000FF"/>
                </w:rPr>
                <w:t>13</w:t>
              </w:r>
            </w:hyperlink>
          </w:p>
        </w:tc>
      </w:tr>
      <w:tr>
        <w:trPr>
          <w:trHeight w:val="20"/>
        </w:trPr>
        <w:tc>
          <w:tcPr>
            <w:tcW w:w="16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40" w:type="dxa"/>
            <w:vAlign w:val="bottom"/>
            <w:tcBorders>
              <w:right w:val="single" w:sz="8" w:color="0000FF"/>
            </w:tcBorders>
            <w:gridSpan w:val="6"/>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r>
      <w:tr>
        <w:trPr>
          <w:trHeight w:val="192"/>
        </w:trPr>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940" w:type="dxa"/>
            <w:vAlign w:val="bottom"/>
            <w:gridSpan w:val="38"/>
          </w:tcPr>
          <w:p>
            <w:pPr>
              <w:spacing w:after="0"/>
              <w:rPr>
                <w:rFonts w:ascii="Arial" w:cs="Arial" w:eastAsia="Arial" w:hAnsi="Arial"/>
                <w:sz w:val="16"/>
                <w:szCs w:val="16"/>
                <w:color w:val="0000FF"/>
              </w:rPr>
            </w:pPr>
            <w:hyperlink w:anchor="page20">
              <w:r>
                <w:rPr>
                  <w:rFonts w:ascii="Arial" w:cs="Arial" w:eastAsia="Arial" w:hAnsi="Arial"/>
                  <w:sz w:val="16"/>
                  <w:szCs w:val="16"/>
                  <w:color w:val="0000FF"/>
                </w:rPr>
                <w:t>Compensation Discussion and Analysis</w:t>
              </w:r>
            </w:hyperlink>
          </w:p>
        </w:tc>
        <w:tc>
          <w:tcPr>
            <w:tcW w:w="620" w:type="dxa"/>
            <w:vAlign w:val="bottom"/>
            <w:gridSpan w:val="3"/>
          </w:tcPr>
          <w:p>
            <w:pPr>
              <w:jc w:val="right"/>
              <w:ind w:right="20"/>
              <w:spacing w:after="0"/>
              <w:rPr>
                <w:rFonts w:ascii="Arial" w:cs="Arial" w:eastAsia="Arial" w:hAnsi="Arial"/>
                <w:sz w:val="16"/>
                <w:szCs w:val="16"/>
                <w:color w:val="0000FF"/>
              </w:rPr>
            </w:pPr>
            <w:hyperlink w:anchor="page20">
              <w:r>
                <w:rPr>
                  <w:rFonts w:ascii="Arial" w:cs="Arial" w:eastAsia="Arial" w:hAnsi="Arial"/>
                  <w:sz w:val="16"/>
                  <w:szCs w:val="16"/>
                  <w:color w:val="0000FF"/>
                </w:rPr>
                <w:t>13</w:t>
              </w:r>
            </w:hyperlink>
          </w:p>
        </w:tc>
      </w:tr>
      <w:tr>
        <w:trPr>
          <w:trHeight w:val="192"/>
        </w:trPr>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520" w:type="dxa"/>
            <w:vAlign w:val="bottom"/>
            <w:tcBorders>
              <w:top w:val="single" w:sz="8" w:color="0000FF"/>
            </w:tcBorders>
            <w:gridSpan w:val="20"/>
          </w:tcPr>
          <w:p>
            <w:pPr>
              <w:spacing w:after="0"/>
              <w:rPr>
                <w:rFonts w:ascii="Arial" w:cs="Arial" w:eastAsia="Arial" w:hAnsi="Arial"/>
                <w:sz w:val="16"/>
                <w:szCs w:val="16"/>
                <w:color w:val="0000FF"/>
              </w:rPr>
            </w:pPr>
            <w:hyperlink w:anchor="page31">
              <w:r>
                <w:rPr>
                  <w:rFonts w:ascii="Arial" w:cs="Arial" w:eastAsia="Arial" w:hAnsi="Arial"/>
                  <w:sz w:val="16"/>
                  <w:szCs w:val="16"/>
                  <w:color w:val="0000FF"/>
                </w:rPr>
                <w:t>Compensation Committee Report</w:t>
              </w:r>
            </w:hyperlink>
          </w:p>
        </w:tc>
        <w:tc>
          <w:tcPr>
            <w:tcW w:w="7420" w:type="dxa"/>
            <w:vAlign w:val="bottom"/>
            <w:gridSpan w:val="18"/>
          </w:tcPr>
          <w:p>
            <w:pPr>
              <w:spacing w:after="0"/>
              <w:rPr>
                <w:sz w:val="16"/>
                <w:szCs w:val="16"/>
                <w:color w:val="auto"/>
              </w:rPr>
            </w:pPr>
          </w:p>
        </w:tc>
        <w:tc>
          <w:tcPr>
            <w:tcW w:w="620" w:type="dxa"/>
            <w:vAlign w:val="bottom"/>
            <w:gridSpan w:val="3"/>
          </w:tcPr>
          <w:p>
            <w:pPr>
              <w:jc w:val="right"/>
              <w:ind w:right="20"/>
              <w:spacing w:after="0"/>
              <w:rPr>
                <w:rFonts w:ascii="Arial" w:cs="Arial" w:eastAsia="Arial" w:hAnsi="Arial"/>
                <w:sz w:val="16"/>
                <w:szCs w:val="16"/>
                <w:color w:val="0000FF"/>
              </w:rPr>
            </w:pPr>
            <w:hyperlink w:anchor="page31">
              <w:r>
                <w:rPr>
                  <w:rFonts w:ascii="Arial" w:cs="Arial" w:eastAsia="Arial" w:hAnsi="Arial"/>
                  <w:sz w:val="16"/>
                  <w:szCs w:val="16"/>
                  <w:color w:val="0000FF"/>
                </w:rPr>
                <w:t>25</w:t>
              </w:r>
            </w:hyperlink>
          </w:p>
        </w:tc>
      </w:tr>
      <w:tr>
        <w:trPr>
          <w:trHeight w:val="192"/>
        </w:trPr>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80" w:type="dxa"/>
            <w:vAlign w:val="bottom"/>
            <w:tcBorders>
              <w:top w:val="single" w:sz="8" w:color="0000FF"/>
              <w:bottom w:val="single" w:sz="8" w:color="0000FF"/>
            </w:tcBorders>
            <w:gridSpan w:val="13"/>
          </w:tcPr>
          <w:p>
            <w:pPr>
              <w:spacing w:after="0"/>
              <w:rPr>
                <w:rFonts w:ascii="Arial" w:cs="Arial" w:eastAsia="Arial" w:hAnsi="Arial"/>
                <w:sz w:val="16"/>
                <w:szCs w:val="16"/>
                <w:color w:val="0000FF"/>
                <w:w w:val="88"/>
              </w:rPr>
            </w:pPr>
            <w:hyperlink w:anchor="page32">
              <w:r>
                <w:rPr>
                  <w:rFonts w:ascii="Arial" w:cs="Arial" w:eastAsia="Arial" w:hAnsi="Arial"/>
                  <w:sz w:val="16"/>
                  <w:szCs w:val="16"/>
                  <w:color w:val="0000FF"/>
                  <w:w w:val="88"/>
                </w:rPr>
                <w:t>Summary Compensation Table</w:t>
              </w:r>
            </w:hyperlink>
          </w:p>
        </w:tc>
        <w:tc>
          <w:tcPr>
            <w:tcW w:w="160" w:type="dxa"/>
            <w:vAlign w:val="bottom"/>
            <w:tcBorders>
              <w:top w:val="single" w:sz="8" w:color="0000FF"/>
            </w:tcBorders>
            <w:gridSpan w:val="2"/>
          </w:tcPr>
          <w:p>
            <w:pPr>
              <w:spacing w:after="0"/>
              <w:rPr>
                <w:sz w:val="16"/>
                <w:szCs w:val="16"/>
                <w:color w:val="auto"/>
              </w:rPr>
            </w:pPr>
          </w:p>
        </w:tc>
        <w:tc>
          <w:tcPr>
            <w:tcW w:w="7800" w:type="dxa"/>
            <w:vAlign w:val="bottom"/>
            <w:gridSpan w:val="23"/>
          </w:tcPr>
          <w:p>
            <w:pPr>
              <w:spacing w:after="0"/>
              <w:rPr>
                <w:sz w:val="16"/>
                <w:szCs w:val="16"/>
                <w:color w:val="auto"/>
              </w:rPr>
            </w:pPr>
          </w:p>
        </w:tc>
        <w:tc>
          <w:tcPr>
            <w:tcW w:w="620" w:type="dxa"/>
            <w:vAlign w:val="bottom"/>
            <w:gridSpan w:val="3"/>
          </w:tcPr>
          <w:p>
            <w:pPr>
              <w:jc w:val="right"/>
              <w:ind w:right="20"/>
              <w:spacing w:after="0"/>
              <w:rPr>
                <w:rFonts w:ascii="Arial" w:cs="Arial" w:eastAsia="Arial" w:hAnsi="Arial"/>
                <w:sz w:val="16"/>
                <w:szCs w:val="16"/>
                <w:color w:val="0000FF"/>
              </w:rPr>
            </w:pPr>
            <w:hyperlink w:anchor="page32">
              <w:r>
                <w:rPr>
                  <w:rFonts w:ascii="Arial" w:cs="Arial" w:eastAsia="Arial" w:hAnsi="Arial"/>
                  <w:sz w:val="16"/>
                  <w:szCs w:val="16"/>
                  <w:color w:val="0000FF"/>
                </w:rPr>
                <w:t>25</w:t>
              </w:r>
            </w:hyperlink>
          </w:p>
        </w:tc>
      </w:tr>
      <w:tr>
        <w:trPr>
          <w:trHeight w:val="192"/>
        </w:trPr>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940" w:type="dxa"/>
            <w:vAlign w:val="bottom"/>
            <w:gridSpan w:val="38"/>
          </w:tcPr>
          <w:p>
            <w:pPr>
              <w:spacing w:after="0"/>
              <w:rPr>
                <w:rFonts w:ascii="Arial" w:cs="Arial" w:eastAsia="Arial" w:hAnsi="Arial"/>
                <w:sz w:val="16"/>
                <w:szCs w:val="16"/>
                <w:color w:val="0000FF"/>
              </w:rPr>
            </w:pPr>
            <w:hyperlink w:anchor="page34">
              <w:r>
                <w:rPr>
                  <w:rFonts w:ascii="Arial" w:cs="Arial" w:eastAsia="Arial" w:hAnsi="Arial"/>
                  <w:sz w:val="16"/>
                  <w:szCs w:val="16"/>
                  <w:color w:val="0000FF"/>
                </w:rPr>
                <w:t>Grants of Plan-Based Awards</w:t>
              </w:r>
            </w:hyperlink>
          </w:p>
        </w:tc>
        <w:tc>
          <w:tcPr>
            <w:tcW w:w="620" w:type="dxa"/>
            <w:vAlign w:val="bottom"/>
            <w:gridSpan w:val="3"/>
          </w:tcPr>
          <w:p>
            <w:pPr>
              <w:jc w:val="right"/>
              <w:ind w:right="20"/>
              <w:spacing w:after="0"/>
              <w:rPr>
                <w:rFonts w:ascii="Arial" w:cs="Arial" w:eastAsia="Arial" w:hAnsi="Arial"/>
                <w:sz w:val="16"/>
                <w:szCs w:val="16"/>
                <w:color w:val="0000FF"/>
              </w:rPr>
            </w:pPr>
            <w:hyperlink w:anchor="page34">
              <w:r>
                <w:rPr>
                  <w:rFonts w:ascii="Arial" w:cs="Arial" w:eastAsia="Arial" w:hAnsi="Arial"/>
                  <w:sz w:val="16"/>
                  <w:szCs w:val="16"/>
                  <w:color w:val="0000FF"/>
                </w:rPr>
                <w:t>27</w:t>
              </w:r>
            </w:hyperlink>
          </w:p>
        </w:tc>
      </w:tr>
      <w:tr>
        <w:trPr>
          <w:trHeight w:val="20"/>
        </w:trPr>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40" w:type="dxa"/>
            <w:vAlign w:val="bottom"/>
            <w:tcBorders>
              <w:right w:val="single" w:sz="8" w:color="0000FF"/>
            </w:tcBorders>
            <w:gridSpan w:val="6"/>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r>
      <w:tr>
        <w:trPr>
          <w:trHeight w:val="192"/>
        </w:trPr>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80" w:type="dxa"/>
            <w:vAlign w:val="bottom"/>
            <w:tcBorders>
              <w:bottom w:val="single" w:sz="8" w:color="0000FF"/>
            </w:tcBorders>
            <w:gridSpan w:val="24"/>
          </w:tcPr>
          <w:p>
            <w:pPr>
              <w:spacing w:after="0"/>
              <w:rPr>
                <w:rFonts w:ascii="Arial" w:cs="Arial" w:eastAsia="Arial" w:hAnsi="Arial"/>
                <w:sz w:val="16"/>
                <w:szCs w:val="16"/>
                <w:color w:val="0000FF"/>
                <w:w w:val="89"/>
              </w:rPr>
            </w:pPr>
            <w:hyperlink w:anchor="page35">
              <w:r>
                <w:rPr>
                  <w:rFonts w:ascii="Arial" w:cs="Arial" w:eastAsia="Arial" w:hAnsi="Arial"/>
                  <w:sz w:val="16"/>
                  <w:szCs w:val="16"/>
                  <w:color w:val="0000FF"/>
                  <w:w w:val="89"/>
                </w:rPr>
                <w:t>Outstanding Equity Awards at Fiscal Year-End</w:t>
              </w:r>
            </w:hyperlink>
          </w:p>
        </w:tc>
        <w:tc>
          <w:tcPr>
            <w:tcW w:w="6960" w:type="dxa"/>
            <w:vAlign w:val="bottom"/>
            <w:gridSpan w:val="14"/>
          </w:tcPr>
          <w:p>
            <w:pPr>
              <w:spacing w:after="0"/>
              <w:rPr>
                <w:sz w:val="16"/>
                <w:szCs w:val="16"/>
                <w:color w:val="auto"/>
              </w:rPr>
            </w:pPr>
          </w:p>
        </w:tc>
        <w:tc>
          <w:tcPr>
            <w:tcW w:w="620" w:type="dxa"/>
            <w:vAlign w:val="bottom"/>
            <w:gridSpan w:val="3"/>
          </w:tcPr>
          <w:p>
            <w:pPr>
              <w:jc w:val="right"/>
              <w:ind w:right="20"/>
              <w:spacing w:after="0"/>
              <w:rPr>
                <w:rFonts w:ascii="Arial" w:cs="Arial" w:eastAsia="Arial" w:hAnsi="Arial"/>
                <w:sz w:val="16"/>
                <w:szCs w:val="16"/>
                <w:color w:val="0000FF"/>
              </w:rPr>
            </w:pPr>
            <w:hyperlink w:anchor="page35">
              <w:r>
                <w:rPr>
                  <w:rFonts w:ascii="Arial" w:cs="Arial" w:eastAsia="Arial" w:hAnsi="Arial"/>
                  <w:sz w:val="16"/>
                  <w:szCs w:val="16"/>
                  <w:color w:val="0000FF"/>
                </w:rPr>
                <w:t>29</w:t>
              </w:r>
            </w:hyperlink>
          </w:p>
        </w:tc>
      </w:tr>
      <w:tr>
        <w:trPr>
          <w:trHeight w:val="192"/>
        </w:trPr>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940" w:type="dxa"/>
            <w:vAlign w:val="bottom"/>
            <w:gridSpan w:val="38"/>
          </w:tcPr>
          <w:p>
            <w:pPr>
              <w:spacing w:after="0"/>
              <w:rPr>
                <w:rFonts w:ascii="Arial" w:cs="Arial" w:eastAsia="Arial" w:hAnsi="Arial"/>
                <w:sz w:val="16"/>
                <w:szCs w:val="16"/>
                <w:color w:val="0000FF"/>
              </w:rPr>
            </w:pPr>
            <w:hyperlink w:anchor="page36">
              <w:r>
                <w:rPr>
                  <w:rFonts w:ascii="Arial" w:cs="Arial" w:eastAsia="Arial" w:hAnsi="Arial"/>
                  <w:sz w:val="16"/>
                  <w:szCs w:val="16"/>
                  <w:color w:val="0000FF"/>
                </w:rPr>
                <w:t>Stock Vested</w:t>
              </w:r>
            </w:hyperlink>
          </w:p>
        </w:tc>
        <w:tc>
          <w:tcPr>
            <w:tcW w:w="620" w:type="dxa"/>
            <w:vAlign w:val="bottom"/>
            <w:gridSpan w:val="3"/>
          </w:tcPr>
          <w:p>
            <w:pPr>
              <w:jc w:val="right"/>
              <w:ind w:right="20"/>
              <w:spacing w:after="0"/>
              <w:rPr>
                <w:rFonts w:ascii="Arial" w:cs="Arial" w:eastAsia="Arial" w:hAnsi="Arial"/>
                <w:sz w:val="16"/>
                <w:szCs w:val="16"/>
                <w:color w:val="0000FF"/>
              </w:rPr>
            </w:pPr>
            <w:hyperlink w:anchor="page36">
              <w:r>
                <w:rPr>
                  <w:rFonts w:ascii="Arial" w:cs="Arial" w:eastAsia="Arial" w:hAnsi="Arial"/>
                  <w:sz w:val="16"/>
                  <w:szCs w:val="16"/>
                  <w:color w:val="0000FF"/>
                </w:rPr>
                <w:t>29</w:t>
              </w:r>
            </w:hyperlink>
          </w:p>
        </w:tc>
      </w:tr>
      <w:tr>
        <w:trPr>
          <w:trHeight w:val="20"/>
        </w:trPr>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6"/>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r>
      <w:tr>
        <w:trPr>
          <w:trHeight w:val="192"/>
        </w:trPr>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940" w:type="dxa"/>
            <w:vAlign w:val="bottom"/>
            <w:gridSpan w:val="38"/>
          </w:tcPr>
          <w:p>
            <w:pPr>
              <w:spacing w:after="0"/>
              <w:rPr>
                <w:rFonts w:ascii="Arial" w:cs="Arial" w:eastAsia="Arial" w:hAnsi="Arial"/>
                <w:sz w:val="16"/>
                <w:szCs w:val="16"/>
                <w:color w:val="0000FF"/>
              </w:rPr>
            </w:pPr>
            <w:hyperlink w:anchor="page36">
              <w:r>
                <w:rPr>
                  <w:rFonts w:ascii="Arial" w:cs="Arial" w:eastAsia="Arial" w:hAnsi="Arial"/>
                  <w:sz w:val="16"/>
                  <w:szCs w:val="16"/>
                  <w:color w:val="0000FF"/>
                </w:rPr>
                <w:t>Potential Payments Upon Termination or Change in Control</w:t>
              </w:r>
            </w:hyperlink>
          </w:p>
        </w:tc>
        <w:tc>
          <w:tcPr>
            <w:tcW w:w="620" w:type="dxa"/>
            <w:vAlign w:val="bottom"/>
            <w:gridSpan w:val="3"/>
          </w:tcPr>
          <w:p>
            <w:pPr>
              <w:jc w:val="right"/>
              <w:ind w:right="20"/>
              <w:spacing w:after="0"/>
              <w:rPr>
                <w:rFonts w:ascii="Arial" w:cs="Arial" w:eastAsia="Arial" w:hAnsi="Arial"/>
                <w:sz w:val="16"/>
                <w:szCs w:val="16"/>
                <w:color w:val="0000FF"/>
              </w:rPr>
            </w:pPr>
            <w:hyperlink w:anchor="page36">
              <w:r>
                <w:rPr>
                  <w:rFonts w:ascii="Arial" w:cs="Arial" w:eastAsia="Arial" w:hAnsi="Arial"/>
                  <w:sz w:val="16"/>
                  <w:szCs w:val="16"/>
                  <w:color w:val="0000FF"/>
                </w:rPr>
                <w:t>29</w:t>
              </w:r>
            </w:hyperlink>
          </w:p>
        </w:tc>
      </w:tr>
      <w:tr>
        <w:trPr>
          <w:trHeight w:val="20"/>
        </w:trPr>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40" w:type="dxa"/>
            <w:vAlign w:val="bottom"/>
            <w:tcBorders>
              <w:right w:val="single" w:sz="8" w:color="0000FF"/>
            </w:tcBorders>
            <w:gridSpan w:val="6"/>
            <w:shd w:val="clear" w:color="auto" w:fill="0000FF"/>
          </w:tcPr>
          <w:p>
            <w:pPr>
              <w:spacing w:after="0" w:line="20" w:lineRule="exact"/>
              <w:rPr>
                <w:sz w:val="1"/>
                <w:szCs w:val="1"/>
                <w:color w:val="auto"/>
              </w:rPr>
            </w:pPr>
          </w:p>
        </w:tc>
        <w:tc>
          <w:tcPr>
            <w:tcW w:w="240" w:type="dxa"/>
            <w:vAlign w:val="bottom"/>
            <w:gridSpan w:val="4"/>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320" w:type="dxa"/>
            <w:vAlign w:val="bottom"/>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60" w:type="dxa"/>
            <w:vAlign w:val="bottom"/>
            <w:tcBorders>
              <w:right w:val="single" w:sz="8" w:color="0000FF"/>
            </w:tcBorders>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r>
      <w:tr>
        <w:trPr>
          <w:trHeight w:val="245"/>
        </w:trPr>
        <w:tc>
          <w:tcPr>
            <w:tcW w:w="160" w:type="dxa"/>
            <w:vAlign w:val="bottom"/>
          </w:tcPr>
          <w:p>
            <w:pPr>
              <w:spacing w:after="0"/>
              <w:rPr>
                <w:sz w:val="21"/>
                <w:szCs w:val="21"/>
                <w:color w:val="auto"/>
              </w:rPr>
            </w:pPr>
          </w:p>
        </w:tc>
        <w:tc>
          <w:tcPr>
            <w:tcW w:w="7960" w:type="dxa"/>
            <w:vAlign w:val="bottom"/>
            <w:tcBorders>
              <w:bottom w:val="single" w:sz="8" w:color="0000FF"/>
            </w:tcBorders>
            <w:gridSpan w:val="34"/>
          </w:tcPr>
          <w:p>
            <w:pPr>
              <w:spacing w:after="0"/>
              <w:rPr>
                <w:rFonts w:ascii="Arial" w:cs="Arial" w:eastAsia="Arial" w:hAnsi="Arial"/>
                <w:sz w:val="16"/>
                <w:szCs w:val="16"/>
                <w:color w:val="0000FF"/>
                <w:w w:val="95"/>
              </w:rPr>
            </w:pPr>
            <w:hyperlink w:anchor="page40">
              <w:r>
                <w:rPr>
                  <w:rFonts w:ascii="Arial" w:cs="Arial" w:eastAsia="Arial" w:hAnsi="Arial"/>
                  <w:sz w:val="16"/>
                  <w:szCs w:val="16"/>
                  <w:color w:val="0000FF"/>
                  <w:w w:val="95"/>
                </w:rPr>
                <w:t>PROPOSAL 2: RATIFICATION OF APPOINTMENT OF DELOITTE &amp; TOUCHE LLP AS INDEPENDENT AUDITORS</w:t>
              </w:r>
            </w:hyperlink>
          </w:p>
        </w:tc>
        <w:tc>
          <w:tcPr>
            <w:tcW w:w="2340" w:type="dxa"/>
            <w:vAlign w:val="bottom"/>
            <w:gridSpan w:val="5"/>
          </w:tcPr>
          <w:p>
            <w:pPr>
              <w:spacing w:after="0"/>
              <w:rPr>
                <w:sz w:val="21"/>
                <w:szCs w:val="21"/>
                <w:color w:val="auto"/>
              </w:rPr>
            </w:pPr>
          </w:p>
        </w:tc>
        <w:tc>
          <w:tcPr>
            <w:tcW w:w="620" w:type="dxa"/>
            <w:vAlign w:val="bottom"/>
            <w:gridSpan w:val="3"/>
          </w:tcPr>
          <w:p>
            <w:pPr>
              <w:jc w:val="right"/>
              <w:ind w:right="20"/>
              <w:spacing w:after="0"/>
              <w:rPr>
                <w:rFonts w:ascii="Arial" w:cs="Arial" w:eastAsia="Arial" w:hAnsi="Arial"/>
                <w:sz w:val="16"/>
                <w:szCs w:val="16"/>
                <w:color w:val="0000FF"/>
              </w:rPr>
            </w:pPr>
            <w:hyperlink w:anchor="page40">
              <w:r>
                <w:rPr>
                  <w:rFonts w:ascii="Arial" w:cs="Arial" w:eastAsia="Arial" w:hAnsi="Arial"/>
                  <w:sz w:val="16"/>
                  <w:szCs w:val="16"/>
                  <w:color w:val="0000FF"/>
                </w:rPr>
                <w:t>34</w:t>
              </w:r>
            </w:hyperlink>
          </w:p>
        </w:tc>
      </w:tr>
      <w:tr>
        <w:trPr>
          <w:trHeight w:val="192"/>
        </w:trPr>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940" w:type="dxa"/>
            <w:vAlign w:val="bottom"/>
            <w:gridSpan w:val="38"/>
          </w:tcPr>
          <w:p>
            <w:pPr>
              <w:spacing w:after="0"/>
              <w:rPr>
                <w:rFonts w:ascii="Arial" w:cs="Arial" w:eastAsia="Arial" w:hAnsi="Arial"/>
                <w:sz w:val="16"/>
                <w:szCs w:val="16"/>
                <w:color w:val="0000FF"/>
              </w:rPr>
            </w:pPr>
            <w:hyperlink w:anchor="page40">
              <w:r>
                <w:rPr>
                  <w:rFonts w:ascii="Arial" w:cs="Arial" w:eastAsia="Arial" w:hAnsi="Arial"/>
                  <w:sz w:val="16"/>
                  <w:szCs w:val="16"/>
                  <w:color w:val="0000FF"/>
                </w:rPr>
                <w:t>Fees Billed by Independent Registered Public Accounting Firms</w:t>
              </w:r>
            </w:hyperlink>
          </w:p>
        </w:tc>
        <w:tc>
          <w:tcPr>
            <w:tcW w:w="620" w:type="dxa"/>
            <w:vAlign w:val="bottom"/>
            <w:gridSpan w:val="3"/>
          </w:tcPr>
          <w:p>
            <w:pPr>
              <w:jc w:val="right"/>
              <w:ind w:right="20"/>
              <w:spacing w:after="0"/>
              <w:rPr>
                <w:rFonts w:ascii="Arial" w:cs="Arial" w:eastAsia="Arial" w:hAnsi="Arial"/>
                <w:sz w:val="16"/>
                <w:szCs w:val="16"/>
                <w:color w:val="0000FF"/>
              </w:rPr>
            </w:pPr>
            <w:hyperlink w:anchor="page40">
              <w:r>
                <w:rPr>
                  <w:rFonts w:ascii="Arial" w:cs="Arial" w:eastAsia="Arial" w:hAnsi="Arial"/>
                  <w:sz w:val="16"/>
                  <w:szCs w:val="16"/>
                  <w:color w:val="0000FF"/>
                </w:rPr>
                <w:t>34</w:t>
              </w:r>
            </w:hyperlink>
          </w:p>
        </w:tc>
      </w:tr>
      <w:tr>
        <w:trPr>
          <w:trHeight w:val="192"/>
        </w:trPr>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20" w:type="dxa"/>
            <w:vAlign w:val="bottom"/>
            <w:tcBorders>
              <w:top w:val="single" w:sz="8" w:color="0000FF"/>
              <w:bottom w:val="single" w:sz="8" w:color="0000FF"/>
            </w:tcBorders>
            <w:gridSpan w:val="16"/>
          </w:tcPr>
          <w:p>
            <w:pPr>
              <w:spacing w:after="0"/>
              <w:rPr>
                <w:rFonts w:ascii="Arial" w:cs="Arial" w:eastAsia="Arial" w:hAnsi="Arial"/>
                <w:sz w:val="16"/>
                <w:szCs w:val="16"/>
                <w:color w:val="0000FF"/>
                <w:w w:val="88"/>
              </w:rPr>
            </w:pPr>
            <w:hyperlink w:anchor="page41">
              <w:r>
                <w:rPr>
                  <w:rFonts w:ascii="Arial" w:cs="Arial" w:eastAsia="Arial" w:hAnsi="Arial"/>
                  <w:sz w:val="16"/>
                  <w:szCs w:val="16"/>
                  <w:color w:val="0000FF"/>
                  <w:w w:val="88"/>
                </w:rPr>
                <w:t>Vote Sought and Recommendation</w:t>
              </w:r>
            </w:hyperlink>
          </w:p>
        </w:tc>
        <w:tc>
          <w:tcPr>
            <w:tcW w:w="1880" w:type="dxa"/>
            <w:vAlign w:val="bottom"/>
            <w:tcBorders>
              <w:top w:val="single" w:sz="8" w:color="0000FF"/>
            </w:tcBorders>
            <w:gridSpan w:val="12"/>
          </w:tcPr>
          <w:p>
            <w:pPr>
              <w:spacing w:after="0"/>
              <w:rPr>
                <w:sz w:val="16"/>
                <w:szCs w:val="16"/>
                <w:color w:val="auto"/>
              </w:rPr>
            </w:pPr>
          </w:p>
        </w:tc>
        <w:tc>
          <w:tcPr>
            <w:tcW w:w="5840" w:type="dxa"/>
            <w:vAlign w:val="bottom"/>
            <w:gridSpan w:val="10"/>
          </w:tcPr>
          <w:p>
            <w:pPr>
              <w:spacing w:after="0"/>
              <w:rPr>
                <w:sz w:val="16"/>
                <w:szCs w:val="16"/>
                <w:color w:val="auto"/>
              </w:rPr>
            </w:pPr>
          </w:p>
        </w:tc>
        <w:tc>
          <w:tcPr>
            <w:tcW w:w="620" w:type="dxa"/>
            <w:vAlign w:val="bottom"/>
            <w:gridSpan w:val="3"/>
          </w:tcPr>
          <w:p>
            <w:pPr>
              <w:jc w:val="right"/>
              <w:ind w:right="20"/>
              <w:spacing w:after="0"/>
              <w:rPr>
                <w:rFonts w:ascii="Arial" w:cs="Arial" w:eastAsia="Arial" w:hAnsi="Arial"/>
                <w:sz w:val="16"/>
                <w:szCs w:val="16"/>
                <w:color w:val="0000FF"/>
              </w:rPr>
            </w:pPr>
            <w:hyperlink w:anchor="page41">
              <w:r>
                <w:rPr>
                  <w:rFonts w:ascii="Arial" w:cs="Arial" w:eastAsia="Arial" w:hAnsi="Arial"/>
                  <w:sz w:val="16"/>
                  <w:szCs w:val="16"/>
                  <w:color w:val="0000FF"/>
                </w:rPr>
                <w:t>34</w:t>
              </w:r>
            </w:hyperlink>
          </w:p>
        </w:tc>
      </w:tr>
      <w:tr>
        <w:trPr>
          <w:trHeight w:val="245"/>
        </w:trPr>
        <w:tc>
          <w:tcPr>
            <w:tcW w:w="160" w:type="dxa"/>
            <w:vAlign w:val="bottom"/>
          </w:tcPr>
          <w:p>
            <w:pPr>
              <w:spacing w:after="0"/>
              <w:rPr>
                <w:sz w:val="21"/>
                <w:szCs w:val="21"/>
                <w:color w:val="auto"/>
              </w:rPr>
            </w:pPr>
          </w:p>
        </w:tc>
        <w:tc>
          <w:tcPr>
            <w:tcW w:w="9700" w:type="dxa"/>
            <w:vAlign w:val="bottom"/>
            <w:tcBorders>
              <w:bottom w:val="single" w:sz="8" w:color="0000FF"/>
            </w:tcBorders>
            <w:gridSpan w:val="37"/>
          </w:tcPr>
          <w:p>
            <w:pPr>
              <w:spacing w:after="0"/>
              <w:rPr>
                <w:rFonts w:ascii="Arial" w:cs="Arial" w:eastAsia="Arial" w:hAnsi="Arial"/>
                <w:sz w:val="16"/>
                <w:szCs w:val="16"/>
                <w:color w:val="0000FF"/>
                <w:w w:val="95"/>
              </w:rPr>
            </w:pPr>
            <w:hyperlink w:anchor="page41">
              <w:r>
                <w:rPr>
                  <w:rFonts w:ascii="Arial" w:cs="Arial" w:eastAsia="Arial" w:hAnsi="Arial"/>
                  <w:sz w:val="16"/>
                  <w:szCs w:val="16"/>
                  <w:color w:val="0000FF"/>
                  <w:w w:val="95"/>
                </w:rPr>
                <w:t>PROPOSAL 3: TO APPROVE THE EIGHTH AMENDED AND RESTATED WESTWOOD HOLDINGS GROUP, INC. STOCK INCENTIVE PLAN</w:t>
              </w:r>
            </w:hyperlink>
          </w:p>
        </w:tc>
        <w:tc>
          <w:tcPr>
            <w:tcW w:w="600" w:type="dxa"/>
            <w:vAlign w:val="bottom"/>
            <w:gridSpan w:val="2"/>
          </w:tcPr>
          <w:p>
            <w:pPr>
              <w:spacing w:after="0"/>
              <w:rPr>
                <w:sz w:val="21"/>
                <w:szCs w:val="21"/>
                <w:color w:val="auto"/>
              </w:rPr>
            </w:pPr>
          </w:p>
        </w:tc>
        <w:tc>
          <w:tcPr>
            <w:tcW w:w="620" w:type="dxa"/>
            <w:vAlign w:val="bottom"/>
            <w:gridSpan w:val="3"/>
          </w:tcPr>
          <w:p>
            <w:pPr>
              <w:jc w:val="right"/>
              <w:ind w:right="20"/>
              <w:spacing w:after="0"/>
              <w:rPr>
                <w:rFonts w:ascii="Arial" w:cs="Arial" w:eastAsia="Arial" w:hAnsi="Arial"/>
                <w:sz w:val="16"/>
                <w:szCs w:val="16"/>
                <w:color w:val="0000FF"/>
              </w:rPr>
            </w:pPr>
            <w:hyperlink w:anchor="page41">
              <w:r>
                <w:rPr>
                  <w:rFonts w:ascii="Arial" w:cs="Arial" w:eastAsia="Arial" w:hAnsi="Arial"/>
                  <w:sz w:val="16"/>
                  <w:szCs w:val="16"/>
                  <w:color w:val="0000FF"/>
                </w:rPr>
                <w:t>35</w:t>
              </w:r>
            </w:hyperlink>
          </w:p>
        </w:tc>
      </w:tr>
      <w:tr>
        <w:trPr>
          <w:trHeight w:val="192"/>
        </w:trPr>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20" w:type="dxa"/>
            <w:vAlign w:val="bottom"/>
            <w:tcBorders>
              <w:bottom w:val="single" w:sz="8" w:color="0000FF"/>
            </w:tcBorders>
            <w:gridSpan w:val="16"/>
          </w:tcPr>
          <w:p>
            <w:pPr>
              <w:spacing w:after="0"/>
              <w:rPr>
                <w:rFonts w:ascii="Arial" w:cs="Arial" w:eastAsia="Arial" w:hAnsi="Arial"/>
                <w:sz w:val="16"/>
                <w:szCs w:val="16"/>
                <w:color w:val="0000FF"/>
                <w:w w:val="88"/>
              </w:rPr>
            </w:pPr>
            <w:hyperlink w:anchor="page45">
              <w:r>
                <w:rPr>
                  <w:rFonts w:ascii="Arial" w:cs="Arial" w:eastAsia="Arial" w:hAnsi="Arial"/>
                  <w:sz w:val="16"/>
                  <w:szCs w:val="16"/>
                  <w:color w:val="0000FF"/>
                  <w:w w:val="88"/>
                </w:rPr>
                <w:t>Vote Sought and Recommendation</w:t>
              </w:r>
            </w:hyperlink>
          </w:p>
        </w:tc>
        <w:tc>
          <w:tcPr>
            <w:tcW w:w="7720" w:type="dxa"/>
            <w:vAlign w:val="bottom"/>
            <w:gridSpan w:val="22"/>
          </w:tcPr>
          <w:p>
            <w:pPr>
              <w:spacing w:after="0"/>
              <w:rPr>
                <w:sz w:val="16"/>
                <w:szCs w:val="16"/>
                <w:color w:val="auto"/>
              </w:rPr>
            </w:pPr>
          </w:p>
        </w:tc>
        <w:tc>
          <w:tcPr>
            <w:tcW w:w="620" w:type="dxa"/>
            <w:vAlign w:val="bottom"/>
            <w:gridSpan w:val="3"/>
          </w:tcPr>
          <w:p>
            <w:pPr>
              <w:jc w:val="right"/>
              <w:ind w:right="20"/>
              <w:spacing w:after="0"/>
              <w:rPr>
                <w:rFonts w:ascii="Arial" w:cs="Arial" w:eastAsia="Arial" w:hAnsi="Arial"/>
                <w:sz w:val="16"/>
                <w:szCs w:val="16"/>
                <w:color w:val="0000FF"/>
              </w:rPr>
            </w:pPr>
            <w:hyperlink w:anchor="page45">
              <w:r>
                <w:rPr>
                  <w:rFonts w:ascii="Arial" w:cs="Arial" w:eastAsia="Arial" w:hAnsi="Arial"/>
                  <w:sz w:val="16"/>
                  <w:szCs w:val="16"/>
                  <w:color w:val="0000FF"/>
                </w:rPr>
                <w:t>38</w:t>
              </w:r>
            </w:hyperlink>
          </w:p>
        </w:tc>
      </w:tr>
      <w:tr>
        <w:trPr>
          <w:trHeight w:val="245"/>
        </w:trPr>
        <w:tc>
          <w:tcPr>
            <w:tcW w:w="160" w:type="dxa"/>
            <w:vAlign w:val="bottom"/>
          </w:tcPr>
          <w:p>
            <w:pPr>
              <w:spacing w:after="0"/>
              <w:rPr>
                <w:sz w:val="21"/>
                <w:szCs w:val="21"/>
                <w:color w:val="auto"/>
              </w:rPr>
            </w:pPr>
          </w:p>
        </w:tc>
        <w:tc>
          <w:tcPr>
            <w:tcW w:w="8060" w:type="dxa"/>
            <w:vAlign w:val="bottom"/>
            <w:tcBorders>
              <w:bottom w:val="single" w:sz="8" w:color="0000FF"/>
            </w:tcBorders>
            <w:gridSpan w:val="35"/>
          </w:tcPr>
          <w:p>
            <w:pPr>
              <w:spacing w:after="0"/>
              <w:rPr>
                <w:rFonts w:ascii="Arial" w:cs="Arial" w:eastAsia="Arial" w:hAnsi="Arial"/>
                <w:sz w:val="16"/>
                <w:szCs w:val="16"/>
                <w:color w:val="0000FF"/>
                <w:w w:val="95"/>
              </w:rPr>
            </w:pPr>
            <w:hyperlink w:anchor="page45">
              <w:r>
                <w:rPr>
                  <w:rFonts w:ascii="Arial" w:cs="Arial" w:eastAsia="Arial" w:hAnsi="Arial"/>
                  <w:sz w:val="16"/>
                  <w:szCs w:val="16"/>
                  <w:color w:val="0000FF"/>
                  <w:w w:val="95"/>
                </w:rPr>
                <w:t>PROPOSAL 4: TO CAST A NON-BINDING, ADVISORY VOTE ON THE COMPANY'S EXECUTIVE COMPENSATION</w:t>
              </w:r>
            </w:hyperlink>
          </w:p>
        </w:tc>
        <w:tc>
          <w:tcPr>
            <w:tcW w:w="2240" w:type="dxa"/>
            <w:vAlign w:val="bottom"/>
            <w:gridSpan w:val="4"/>
          </w:tcPr>
          <w:p>
            <w:pPr>
              <w:spacing w:after="0"/>
              <w:rPr>
                <w:sz w:val="21"/>
                <w:szCs w:val="21"/>
                <w:color w:val="auto"/>
              </w:rPr>
            </w:pPr>
          </w:p>
        </w:tc>
        <w:tc>
          <w:tcPr>
            <w:tcW w:w="620" w:type="dxa"/>
            <w:vAlign w:val="bottom"/>
            <w:gridSpan w:val="3"/>
          </w:tcPr>
          <w:p>
            <w:pPr>
              <w:jc w:val="right"/>
              <w:ind w:right="20"/>
              <w:spacing w:after="0"/>
              <w:rPr>
                <w:rFonts w:ascii="Arial" w:cs="Arial" w:eastAsia="Arial" w:hAnsi="Arial"/>
                <w:sz w:val="16"/>
                <w:szCs w:val="16"/>
                <w:color w:val="0000FF"/>
              </w:rPr>
            </w:pPr>
            <w:hyperlink w:anchor="page45">
              <w:r>
                <w:rPr>
                  <w:rFonts w:ascii="Arial" w:cs="Arial" w:eastAsia="Arial" w:hAnsi="Arial"/>
                  <w:sz w:val="16"/>
                  <w:szCs w:val="16"/>
                  <w:color w:val="0000FF"/>
                </w:rPr>
                <w:t>39</w:t>
              </w:r>
            </w:hyperlink>
          </w:p>
        </w:tc>
      </w:tr>
      <w:tr>
        <w:trPr>
          <w:trHeight w:val="192"/>
        </w:trPr>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60" w:type="dxa"/>
            <w:vAlign w:val="bottom"/>
            <w:tcBorders>
              <w:bottom w:val="single" w:sz="8" w:color="0000FF"/>
            </w:tcBorders>
            <w:gridSpan w:val="23"/>
          </w:tcPr>
          <w:p>
            <w:pPr>
              <w:spacing w:after="0"/>
              <w:rPr>
                <w:rFonts w:ascii="Arial" w:cs="Arial" w:eastAsia="Arial" w:hAnsi="Arial"/>
                <w:sz w:val="16"/>
                <w:szCs w:val="16"/>
                <w:color w:val="0000FF"/>
                <w:w w:val="90"/>
              </w:rPr>
            </w:pPr>
            <w:hyperlink w:anchor="page45">
              <w:r>
                <w:rPr>
                  <w:rFonts w:ascii="Arial" w:cs="Arial" w:eastAsia="Arial" w:hAnsi="Arial"/>
                  <w:sz w:val="16"/>
                  <w:szCs w:val="16"/>
                  <w:color w:val="0000FF"/>
                  <w:w w:val="90"/>
                </w:rPr>
                <w:t>Advisory Vote on Executive Compensation</w:t>
              </w:r>
            </w:hyperlink>
          </w:p>
        </w:tc>
        <w:tc>
          <w:tcPr>
            <w:tcW w:w="7180" w:type="dxa"/>
            <w:vAlign w:val="bottom"/>
            <w:gridSpan w:val="15"/>
          </w:tcPr>
          <w:p>
            <w:pPr>
              <w:spacing w:after="0"/>
              <w:rPr>
                <w:sz w:val="16"/>
                <w:szCs w:val="16"/>
                <w:color w:val="auto"/>
              </w:rPr>
            </w:pPr>
          </w:p>
        </w:tc>
        <w:tc>
          <w:tcPr>
            <w:tcW w:w="620" w:type="dxa"/>
            <w:vAlign w:val="bottom"/>
            <w:gridSpan w:val="3"/>
          </w:tcPr>
          <w:p>
            <w:pPr>
              <w:jc w:val="right"/>
              <w:ind w:right="20"/>
              <w:spacing w:after="0"/>
              <w:rPr>
                <w:rFonts w:ascii="Arial" w:cs="Arial" w:eastAsia="Arial" w:hAnsi="Arial"/>
                <w:sz w:val="16"/>
                <w:szCs w:val="16"/>
                <w:color w:val="0000FF"/>
              </w:rPr>
            </w:pPr>
            <w:hyperlink w:anchor="page45">
              <w:r>
                <w:rPr>
                  <w:rFonts w:ascii="Arial" w:cs="Arial" w:eastAsia="Arial" w:hAnsi="Arial"/>
                  <w:sz w:val="16"/>
                  <w:szCs w:val="16"/>
                  <w:color w:val="0000FF"/>
                </w:rPr>
                <w:t>39</w:t>
              </w:r>
            </w:hyperlink>
          </w:p>
        </w:tc>
      </w:tr>
      <w:tr>
        <w:trPr>
          <w:trHeight w:val="192"/>
        </w:trPr>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20" w:type="dxa"/>
            <w:vAlign w:val="bottom"/>
            <w:tcBorders>
              <w:bottom w:val="single" w:sz="8" w:color="0000FF"/>
            </w:tcBorders>
            <w:gridSpan w:val="16"/>
          </w:tcPr>
          <w:p>
            <w:pPr>
              <w:spacing w:after="0"/>
              <w:rPr>
                <w:rFonts w:ascii="Arial" w:cs="Arial" w:eastAsia="Arial" w:hAnsi="Arial"/>
                <w:sz w:val="16"/>
                <w:szCs w:val="16"/>
                <w:color w:val="0000FF"/>
                <w:w w:val="88"/>
              </w:rPr>
            </w:pPr>
            <w:hyperlink w:anchor="page46">
              <w:r>
                <w:rPr>
                  <w:rFonts w:ascii="Arial" w:cs="Arial" w:eastAsia="Arial" w:hAnsi="Arial"/>
                  <w:sz w:val="16"/>
                  <w:szCs w:val="16"/>
                  <w:color w:val="0000FF"/>
                  <w:w w:val="88"/>
                </w:rPr>
                <w:t>Vote Sought and Recommendation</w:t>
              </w:r>
            </w:hyperlink>
          </w:p>
        </w:tc>
        <w:tc>
          <w:tcPr>
            <w:tcW w:w="7720" w:type="dxa"/>
            <w:vAlign w:val="bottom"/>
            <w:gridSpan w:val="22"/>
          </w:tcPr>
          <w:p>
            <w:pPr>
              <w:spacing w:after="0"/>
              <w:rPr>
                <w:sz w:val="16"/>
                <w:szCs w:val="16"/>
                <w:color w:val="auto"/>
              </w:rPr>
            </w:pPr>
          </w:p>
        </w:tc>
        <w:tc>
          <w:tcPr>
            <w:tcW w:w="620" w:type="dxa"/>
            <w:vAlign w:val="bottom"/>
            <w:gridSpan w:val="3"/>
          </w:tcPr>
          <w:p>
            <w:pPr>
              <w:jc w:val="right"/>
              <w:ind w:right="20"/>
              <w:spacing w:after="0"/>
              <w:rPr>
                <w:rFonts w:ascii="Arial" w:cs="Arial" w:eastAsia="Arial" w:hAnsi="Arial"/>
                <w:sz w:val="16"/>
                <w:szCs w:val="16"/>
                <w:color w:val="0000FF"/>
              </w:rPr>
            </w:pPr>
            <w:hyperlink w:anchor="page46">
              <w:r>
                <w:rPr>
                  <w:rFonts w:ascii="Arial" w:cs="Arial" w:eastAsia="Arial" w:hAnsi="Arial"/>
                  <w:sz w:val="16"/>
                  <w:szCs w:val="16"/>
                  <w:color w:val="0000FF"/>
                </w:rPr>
                <w:t>40</w:t>
              </w:r>
            </w:hyperlink>
          </w:p>
        </w:tc>
      </w:tr>
      <w:tr>
        <w:trPr>
          <w:trHeight w:val="245"/>
        </w:trPr>
        <w:tc>
          <w:tcPr>
            <w:tcW w:w="10460" w:type="dxa"/>
            <w:vAlign w:val="bottom"/>
            <w:gridSpan w:val="40"/>
          </w:tcPr>
          <w:p>
            <w:pPr>
              <w:spacing w:after="0"/>
              <w:rPr>
                <w:rFonts w:ascii="Arial" w:cs="Arial" w:eastAsia="Arial" w:hAnsi="Arial"/>
                <w:sz w:val="16"/>
                <w:szCs w:val="16"/>
                <w:color w:val="0000FF"/>
              </w:rPr>
            </w:pPr>
            <w:hyperlink w:anchor="page47">
              <w:r>
                <w:rPr>
                  <w:rFonts w:ascii="Arial" w:cs="Arial" w:eastAsia="Arial" w:hAnsi="Arial"/>
                  <w:sz w:val="16"/>
                  <w:szCs w:val="16"/>
                  <w:color w:val="0000FF"/>
                </w:rPr>
                <w:t xml:space="preserve">PROPOSAL </w:t>
              </w:r>
            </w:hyperlink>
            <w:r>
              <w:rPr>
                <w:rFonts w:ascii="Arial" w:cs="Arial" w:eastAsia="Arial" w:hAnsi="Arial"/>
                <w:sz w:val="16"/>
                <w:szCs w:val="16"/>
                <w:color w:val="0000FF"/>
              </w:rPr>
              <w:t xml:space="preserve">5: </w:t>
            </w:r>
            <w:hyperlink w:anchor="page47">
              <w:r>
                <w:rPr>
                  <w:rFonts w:ascii="Arial" w:cs="Arial" w:eastAsia="Arial" w:hAnsi="Arial"/>
                  <w:sz w:val="16"/>
                  <w:szCs w:val="16"/>
                  <w:color w:val="0000FF"/>
                </w:rPr>
                <w:t xml:space="preserve">TO APPROVE AMENDMENTS TO THE COMPANY'S AMENDED AND </w:t>
              </w:r>
            </w:hyperlink>
            <w:r>
              <w:rPr>
                <w:rFonts w:ascii="Arial" w:cs="Arial" w:eastAsia="Arial" w:hAnsi="Arial"/>
                <w:sz w:val="16"/>
                <w:szCs w:val="16"/>
                <w:color w:val="0000FF"/>
              </w:rPr>
              <w:t xml:space="preserve">RESTATED </w:t>
            </w:r>
            <w:hyperlink w:anchor="page47">
              <w:r>
                <w:rPr>
                  <w:rFonts w:ascii="Arial" w:cs="Arial" w:eastAsia="Arial" w:hAnsi="Arial"/>
                  <w:sz w:val="16"/>
                  <w:szCs w:val="16"/>
                  <w:color w:val="0000FF"/>
                </w:rPr>
                <w:t xml:space="preserve">CERTIFICATE OF </w:t>
              </w:r>
            </w:hyperlink>
            <w:r>
              <w:rPr>
                <w:rFonts w:ascii="Arial" w:cs="Arial" w:eastAsia="Arial" w:hAnsi="Arial"/>
                <w:sz w:val="16"/>
                <w:szCs w:val="16"/>
                <w:color w:val="0000FF"/>
              </w:rPr>
              <w:t>INCORPORATION TO</w:t>
            </w: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0"/>
        </w:trPr>
        <w:tc>
          <w:tcPr>
            <w:tcW w:w="146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40" w:type="dxa"/>
            <w:vAlign w:val="bottom"/>
            <w:tcBorders>
              <w:right w:val="single" w:sz="8" w:color="0000FF"/>
            </w:tcBorders>
            <w:gridSpan w:val="6"/>
            <w:shd w:val="clear" w:color="auto" w:fill="0000FF"/>
          </w:tcPr>
          <w:p>
            <w:pPr>
              <w:spacing w:after="0" w:line="20" w:lineRule="exact"/>
              <w:rPr>
                <w:sz w:val="1"/>
                <w:szCs w:val="1"/>
                <w:color w:val="auto"/>
              </w:rPr>
            </w:pPr>
          </w:p>
        </w:tc>
        <w:tc>
          <w:tcPr>
            <w:tcW w:w="240" w:type="dxa"/>
            <w:vAlign w:val="bottom"/>
            <w:gridSpan w:val="4"/>
            <w:shd w:val="clear" w:color="auto" w:fill="0000FF"/>
          </w:tcPr>
          <w:p>
            <w:pPr>
              <w:spacing w:after="0" w:line="20" w:lineRule="exact"/>
              <w:rPr>
                <w:sz w:val="1"/>
                <w:szCs w:val="1"/>
                <w:color w:val="auto"/>
              </w:rPr>
            </w:pPr>
          </w:p>
        </w:tc>
        <w:tc>
          <w:tcPr>
            <w:tcW w:w="320" w:type="dxa"/>
            <w:vAlign w:val="bottom"/>
            <w:gridSpan w:val="4"/>
            <w:shd w:val="clear" w:color="auto" w:fill="0000FF"/>
          </w:tcPr>
          <w:p>
            <w:pPr>
              <w:spacing w:after="0" w:line="20" w:lineRule="exact"/>
              <w:rPr>
                <w:sz w:val="1"/>
                <w:szCs w:val="1"/>
                <w:color w:val="auto"/>
              </w:rPr>
            </w:pPr>
          </w:p>
        </w:tc>
        <w:tc>
          <w:tcPr>
            <w:tcW w:w="320" w:type="dxa"/>
            <w:vAlign w:val="bottom"/>
            <w:gridSpan w:val="4"/>
            <w:shd w:val="clear" w:color="auto" w:fill="0000FF"/>
          </w:tcPr>
          <w:p>
            <w:pPr>
              <w:spacing w:after="0" w:line="20" w:lineRule="exact"/>
              <w:rPr>
                <w:sz w:val="1"/>
                <w:szCs w:val="1"/>
                <w:color w:val="auto"/>
              </w:rPr>
            </w:pPr>
          </w:p>
        </w:tc>
        <w:tc>
          <w:tcPr>
            <w:tcW w:w="1140" w:type="dxa"/>
            <w:vAlign w:val="bottom"/>
            <w:tcBorders>
              <w:right w:val="single" w:sz="8" w:color="0000FF"/>
            </w:tcBorders>
            <w:gridSpan w:val="4"/>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460" w:type="dxa"/>
            <w:vAlign w:val="bottom"/>
            <w:gridSpan w:val="3"/>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2"/>
        </w:trPr>
        <w:tc>
          <w:tcPr>
            <w:tcW w:w="10460" w:type="dxa"/>
            <w:vAlign w:val="bottom"/>
            <w:gridSpan w:val="40"/>
          </w:tcPr>
          <w:p>
            <w:pPr>
              <w:spacing w:after="0" w:line="152" w:lineRule="exact"/>
              <w:rPr>
                <w:rFonts w:ascii="Arial" w:cs="Arial" w:eastAsia="Arial" w:hAnsi="Arial"/>
                <w:sz w:val="16"/>
                <w:szCs w:val="16"/>
                <w:color w:val="0000FF"/>
              </w:rPr>
            </w:pPr>
            <w:hyperlink w:anchor="page47">
              <w:r>
                <w:rPr>
                  <w:rFonts w:ascii="Arial" w:cs="Arial" w:eastAsia="Arial" w:hAnsi="Arial"/>
                  <w:sz w:val="16"/>
                  <w:szCs w:val="16"/>
                  <w:color w:val="0000FF"/>
                </w:rPr>
                <w:t xml:space="preserve">ELIMINATE SUPERMAJORITY VOTING REQUIREMENTS TO AMEND THE </w:t>
              </w:r>
            </w:hyperlink>
            <w:r>
              <w:rPr>
                <w:rFonts w:ascii="Arial" w:cs="Arial" w:eastAsia="Arial" w:hAnsi="Arial"/>
                <w:sz w:val="16"/>
                <w:szCs w:val="16"/>
                <w:color w:val="0000FF"/>
              </w:rPr>
              <w:t xml:space="preserve">COMPANY'S </w:t>
            </w:r>
            <w:hyperlink w:anchor="page47">
              <w:r>
                <w:rPr>
                  <w:rFonts w:ascii="Arial" w:cs="Arial" w:eastAsia="Arial" w:hAnsi="Arial"/>
                  <w:sz w:val="16"/>
                  <w:szCs w:val="16"/>
                  <w:color w:val="0000FF"/>
                </w:rPr>
                <w:t>CERTIFICATE OF INCORPORATION AND BYLAWS</w:t>
              </w:r>
            </w:hyperlink>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6"/>
        </w:trPr>
        <w:tc>
          <w:tcPr>
            <w:tcW w:w="16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9440" w:type="dxa"/>
            <w:vAlign w:val="bottom"/>
            <w:tcBorders>
              <w:top w:val="single" w:sz="8" w:color="0000FF"/>
            </w:tcBorders>
            <w:gridSpan w:val="37"/>
          </w:tcPr>
          <w:p>
            <w:pPr>
              <w:spacing w:after="0"/>
              <w:rPr>
                <w:rFonts w:ascii="Arial" w:cs="Arial" w:eastAsia="Arial" w:hAnsi="Arial"/>
                <w:sz w:val="16"/>
                <w:szCs w:val="16"/>
                <w:color w:val="0000FF"/>
              </w:rPr>
            </w:pPr>
            <w:hyperlink w:anchor="page48">
              <w:r>
                <w:rPr>
                  <w:rFonts w:ascii="Arial" w:cs="Arial" w:eastAsia="Arial" w:hAnsi="Arial"/>
                  <w:sz w:val="16"/>
                  <w:szCs w:val="16"/>
                  <w:color w:val="0000FF"/>
                </w:rPr>
                <w:t>Introduction and Reasons for Amendment</w:t>
              </w:r>
            </w:hyperlink>
          </w:p>
        </w:tc>
        <w:tc>
          <w:tcPr>
            <w:tcW w:w="500" w:type="dxa"/>
            <w:vAlign w:val="bottom"/>
          </w:tcPr>
          <w:p>
            <w:pPr>
              <w:spacing w:after="0"/>
              <w:rPr>
                <w:sz w:val="17"/>
                <w:szCs w:val="17"/>
                <w:color w:val="auto"/>
              </w:rPr>
            </w:pPr>
          </w:p>
        </w:tc>
        <w:tc>
          <w:tcPr>
            <w:tcW w:w="620" w:type="dxa"/>
            <w:vAlign w:val="bottom"/>
            <w:gridSpan w:val="3"/>
          </w:tcPr>
          <w:p>
            <w:pPr>
              <w:jc w:val="right"/>
              <w:ind w:right="20"/>
              <w:spacing w:after="0"/>
              <w:rPr>
                <w:rFonts w:ascii="Arial" w:cs="Arial" w:eastAsia="Arial" w:hAnsi="Arial"/>
                <w:sz w:val="16"/>
                <w:szCs w:val="16"/>
                <w:color w:val="0000FF"/>
              </w:rPr>
            </w:pPr>
            <w:hyperlink w:anchor="page41">
              <w:r>
                <w:rPr>
                  <w:rFonts w:ascii="Arial" w:cs="Arial" w:eastAsia="Arial" w:hAnsi="Arial"/>
                  <w:sz w:val="16"/>
                  <w:szCs w:val="16"/>
                  <w:color w:val="0000FF"/>
                </w:rPr>
                <w:t>35</w:t>
              </w:r>
            </w:hyperlink>
          </w:p>
        </w:tc>
      </w:tr>
      <w:tr>
        <w:trPr>
          <w:trHeight w:val="192"/>
        </w:trPr>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80" w:type="dxa"/>
            <w:vAlign w:val="bottom"/>
            <w:tcBorders>
              <w:top w:val="single" w:sz="8" w:color="0000FF"/>
            </w:tcBorders>
            <w:gridSpan w:val="22"/>
          </w:tcPr>
          <w:p>
            <w:pPr>
              <w:spacing w:after="0"/>
              <w:rPr>
                <w:rFonts w:ascii="Arial" w:cs="Arial" w:eastAsia="Arial" w:hAnsi="Arial"/>
                <w:sz w:val="16"/>
                <w:szCs w:val="16"/>
                <w:color w:val="0000FF"/>
              </w:rPr>
            </w:pPr>
            <w:hyperlink w:anchor="page48">
              <w:r>
                <w:rPr>
                  <w:rFonts w:ascii="Arial" w:cs="Arial" w:eastAsia="Arial" w:hAnsi="Arial"/>
                  <w:sz w:val="16"/>
                  <w:szCs w:val="16"/>
                  <w:color w:val="0000FF"/>
                </w:rPr>
                <w:t>Description of Amendments</w:t>
              </w:r>
            </w:hyperlink>
          </w:p>
        </w:tc>
        <w:tc>
          <w:tcPr>
            <w:tcW w:w="7260" w:type="dxa"/>
            <w:vAlign w:val="bottom"/>
            <w:gridSpan w:val="16"/>
          </w:tcPr>
          <w:p>
            <w:pPr>
              <w:spacing w:after="0"/>
              <w:rPr>
                <w:sz w:val="16"/>
                <w:szCs w:val="16"/>
                <w:color w:val="auto"/>
              </w:rPr>
            </w:pPr>
          </w:p>
        </w:tc>
        <w:tc>
          <w:tcPr>
            <w:tcW w:w="620" w:type="dxa"/>
            <w:vAlign w:val="bottom"/>
            <w:gridSpan w:val="3"/>
          </w:tcPr>
          <w:p>
            <w:pPr>
              <w:jc w:val="right"/>
              <w:ind w:right="20"/>
              <w:spacing w:after="0"/>
              <w:rPr>
                <w:rFonts w:ascii="Arial" w:cs="Arial" w:eastAsia="Arial" w:hAnsi="Arial"/>
                <w:sz w:val="16"/>
                <w:szCs w:val="16"/>
                <w:color w:val="0000FF"/>
              </w:rPr>
            </w:pPr>
            <w:hyperlink w:anchor="page43">
              <w:r>
                <w:rPr>
                  <w:rFonts w:ascii="Arial" w:cs="Arial" w:eastAsia="Arial" w:hAnsi="Arial"/>
                  <w:sz w:val="16"/>
                  <w:szCs w:val="16"/>
                  <w:color w:val="0000FF"/>
                </w:rPr>
                <w:t>36</w:t>
              </w:r>
            </w:hyperlink>
          </w:p>
        </w:tc>
      </w:tr>
      <w:tr>
        <w:trPr>
          <w:trHeight w:val="20"/>
        </w:trPr>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40" w:type="dxa"/>
            <w:vAlign w:val="bottom"/>
            <w:tcBorders>
              <w:right w:val="single" w:sz="8" w:color="0000FF"/>
            </w:tcBorders>
            <w:gridSpan w:val="6"/>
            <w:shd w:val="clear" w:color="auto" w:fill="0000FF"/>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1460" w:type="dxa"/>
            <w:vAlign w:val="bottom"/>
            <w:gridSpan w:val="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340" w:type="dxa"/>
            <w:vAlign w:val="bottom"/>
            <w:gridSpan w:val="6"/>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r>
      <w:tr>
        <w:trPr>
          <w:trHeight w:val="192"/>
        </w:trPr>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940" w:type="dxa"/>
            <w:vAlign w:val="bottom"/>
            <w:gridSpan w:val="38"/>
          </w:tcPr>
          <w:p>
            <w:pPr>
              <w:spacing w:after="0"/>
              <w:rPr>
                <w:rFonts w:ascii="Arial" w:cs="Arial" w:eastAsia="Arial" w:hAnsi="Arial"/>
                <w:sz w:val="16"/>
                <w:szCs w:val="16"/>
                <w:color w:val="0000FF"/>
              </w:rPr>
            </w:pPr>
            <w:hyperlink w:anchor="page48">
              <w:r>
                <w:rPr>
                  <w:rFonts w:ascii="Arial" w:cs="Arial" w:eastAsia="Arial" w:hAnsi="Arial"/>
                  <w:sz w:val="16"/>
                  <w:szCs w:val="16"/>
                  <w:color w:val="0000FF"/>
                </w:rPr>
                <w:t>Effects of Stockholder Approval of Proposed Amendments</w:t>
              </w:r>
            </w:hyperlink>
          </w:p>
        </w:tc>
        <w:tc>
          <w:tcPr>
            <w:tcW w:w="620" w:type="dxa"/>
            <w:vAlign w:val="bottom"/>
            <w:gridSpan w:val="3"/>
          </w:tcPr>
          <w:p>
            <w:pPr>
              <w:jc w:val="right"/>
              <w:ind w:right="20"/>
              <w:spacing w:after="0"/>
              <w:rPr>
                <w:rFonts w:ascii="Arial" w:cs="Arial" w:eastAsia="Arial" w:hAnsi="Arial"/>
                <w:sz w:val="16"/>
                <w:szCs w:val="16"/>
                <w:color w:val="0000FF"/>
              </w:rPr>
            </w:pPr>
            <w:hyperlink w:anchor="page44">
              <w:r>
                <w:rPr>
                  <w:rFonts w:ascii="Arial" w:cs="Arial" w:eastAsia="Arial" w:hAnsi="Arial"/>
                  <w:sz w:val="16"/>
                  <w:szCs w:val="16"/>
                  <w:color w:val="0000FF"/>
                </w:rPr>
                <w:t>37</w:t>
              </w:r>
            </w:hyperlink>
          </w:p>
        </w:tc>
      </w:tr>
      <w:tr>
        <w:trPr>
          <w:trHeight w:val="192"/>
        </w:trPr>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20" w:type="dxa"/>
            <w:vAlign w:val="bottom"/>
            <w:tcBorders>
              <w:top w:val="single" w:sz="8" w:color="0000FF"/>
              <w:bottom w:val="single" w:sz="8" w:color="0000FF"/>
            </w:tcBorders>
            <w:gridSpan w:val="16"/>
          </w:tcPr>
          <w:p>
            <w:pPr>
              <w:spacing w:after="0"/>
              <w:rPr>
                <w:rFonts w:ascii="Arial" w:cs="Arial" w:eastAsia="Arial" w:hAnsi="Arial"/>
                <w:sz w:val="16"/>
                <w:szCs w:val="16"/>
                <w:color w:val="0000FF"/>
                <w:w w:val="88"/>
              </w:rPr>
            </w:pPr>
            <w:hyperlink w:anchor="page48">
              <w:r>
                <w:rPr>
                  <w:rFonts w:ascii="Arial" w:cs="Arial" w:eastAsia="Arial" w:hAnsi="Arial"/>
                  <w:sz w:val="16"/>
                  <w:szCs w:val="16"/>
                  <w:color w:val="0000FF"/>
                  <w:w w:val="88"/>
                </w:rPr>
                <w:t>Vote Sought and Recommendation</w:t>
              </w:r>
            </w:hyperlink>
          </w:p>
        </w:tc>
        <w:tc>
          <w:tcPr>
            <w:tcW w:w="1600" w:type="dxa"/>
            <w:vAlign w:val="bottom"/>
            <w:tcBorders>
              <w:top w:val="single" w:sz="8" w:color="0000FF"/>
            </w:tcBorders>
            <w:gridSpan w:val="10"/>
          </w:tcPr>
          <w:p>
            <w:pPr>
              <w:spacing w:after="0"/>
              <w:rPr>
                <w:sz w:val="16"/>
                <w:szCs w:val="16"/>
                <w:color w:val="auto"/>
              </w:rPr>
            </w:pPr>
          </w:p>
        </w:tc>
        <w:tc>
          <w:tcPr>
            <w:tcW w:w="6120" w:type="dxa"/>
            <w:vAlign w:val="bottom"/>
            <w:gridSpan w:val="12"/>
          </w:tcPr>
          <w:p>
            <w:pPr>
              <w:spacing w:after="0"/>
              <w:rPr>
                <w:sz w:val="16"/>
                <w:szCs w:val="16"/>
                <w:color w:val="auto"/>
              </w:rPr>
            </w:pPr>
          </w:p>
        </w:tc>
        <w:tc>
          <w:tcPr>
            <w:tcW w:w="620" w:type="dxa"/>
            <w:vAlign w:val="bottom"/>
            <w:gridSpan w:val="3"/>
          </w:tcPr>
          <w:p>
            <w:pPr>
              <w:jc w:val="right"/>
              <w:ind w:right="20"/>
              <w:spacing w:after="0"/>
              <w:rPr>
                <w:rFonts w:ascii="Arial" w:cs="Arial" w:eastAsia="Arial" w:hAnsi="Arial"/>
                <w:sz w:val="16"/>
                <w:szCs w:val="16"/>
                <w:color w:val="0000FF"/>
              </w:rPr>
            </w:pPr>
            <w:hyperlink w:anchor="page45">
              <w:r>
                <w:rPr>
                  <w:rFonts w:ascii="Arial" w:cs="Arial" w:eastAsia="Arial" w:hAnsi="Arial"/>
                  <w:sz w:val="16"/>
                  <w:szCs w:val="16"/>
                  <w:color w:val="0000FF"/>
                </w:rPr>
                <w:t>38</w:t>
              </w:r>
            </w:hyperlink>
          </w:p>
        </w:tc>
      </w:tr>
      <w:tr>
        <w:trPr>
          <w:trHeight w:val="192"/>
        </w:trPr>
        <w:tc>
          <w:tcPr>
            <w:tcW w:w="160" w:type="dxa"/>
            <w:vAlign w:val="bottom"/>
          </w:tcPr>
          <w:p>
            <w:pPr>
              <w:spacing w:after="0"/>
              <w:rPr>
                <w:sz w:val="16"/>
                <w:szCs w:val="16"/>
                <w:color w:val="auto"/>
              </w:rPr>
            </w:pPr>
          </w:p>
        </w:tc>
        <w:tc>
          <w:tcPr>
            <w:tcW w:w="10300" w:type="dxa"/>
            <w:vAlign w:val="bottom"/>
            <w:gridSpan w:val="39"/>
          </w:tcPr>
          <w:p>
            <w:pPr>
              <w:spacing w:after="0"/>
              <w:rPr>
                <w:rFonts w:ascii="Arial" w:cs="Arial" w:eastAsia="Arial" w:hAnsi="Arial"/>
                <w:sz w:val="16"/>
                <w:szCs w:val="16"/>
                <w:color w:val="0000FF"/>
              </w:rPr>
            </w:pPr>
            <w:hyperlink w:anchor="page48">
              <w:r>
                <w:rPr>
                  <w:rFonts w:ascii="Arial" w:cs="Arial" w:eastAsia="Arial" w:hAnsi="Arial"/>
                  <w:sz w:val="16"/>
                  <w:szCs w:val="16"/>
                  <w:color w:val="0000FF"/>
                </w:rPr>
                <w:t>COMPENSATION COMMITTEE INTERLOCKS AND INSIDER PARTICIPATION</w:t>
              </w:r>
            </w:hyperlink>
          </w:p>
        </w:tc>
        <w:tc>
          <w:tcPr>
            <w:tcW w:w="620" w:type="dxa"/>
            <w:vAlign w:val="bottom"/>
            <w:gridSpan w:val="3"/>
          </w:tcPr>
          <w:p>
            <w:pPr>
              <w:jc w:val="right"/>
              <w:ind w:right="20"/>
              <w:spacing w:after="0"/>
              <w:rPr>
                <w:rFonts w:ascii="Arial" w:cs="Arial" w:eastAsia="Arial" w:hAnsi="Arial"/>
                <w:sz w:val="16"/>
                <w:szCs w:val="16"/>
                <w:color w:val="0000FF"/>
              </w:rPr>
            </w:pPr>
            <w:hyperlink w:anchor="page48">
              <w:r>
                <w:rPr>
                  <w:rFonts w:ascii="Arial" w:cs="Arial" w:eastAsia="Arial" w:hAnsi="Arial"/>
                  <w:sz w:val="16"/>
                  <w:szCs w:val="16"/>
                  <w:color w:val="0000FF"/>
                </w:rPr>
                <w:t>42</w:t>
              </w:r>
            </w:hyperlink>
          </w:p>
        </w:tc>
      </w:tr>
      <w:tr>
        <w:trPr>
          <w:trHeight w:val="245"/>
        </w:trPr>
        <w:tc>
          <w:tcPr>
            <w:tcW w:w="160" w:type="dxa"/>
            <w:vAlign w:val="bottom"/>
          </w:tcPr>
          <w:p>
            <w:pPr>
              <w:spacing w:after="0"/>
              <w:rPr>
                <w:sz w:val="21"/>
                <w:szCs w:val="21"/>
                <w:color w:val="auto"/>
              </w:rPr>
            </w:pPr>
          </w:p>
        </w:tc>
        <w:tc>
          <w:tcPr>
            <w:tcW w:w="5480" w:type="dxa"/>
            <w:vAlign w:val="bottom"/>
            <w:tcBorders>
              <w:top w:val="single" w:sz="8" w:color="0000FF"/>
            </w:tcBorders>
            <w:gridSpan w:val="32"/>
          </w:tcPr>
          <w:p>
            <w:pPr>
              <w:spacing w:after="0"/>
              <w:rPr>
                <w:rFonts w:ascii="Arial" w:cs="Arial" w:eastAsia="Arial" w:hAnsi="Arial"/>
                <w:sz w:val="16"/>
                <w:szCs w:val="16"/>
                <w:color w:val="0000FF"/>
              </w:rPr>
            </w:pPr>
            <w:hyperlink w:anchor="page49">
              <w:r>
                <w:rPr>
                  <w:rFonts w:ascii="Arial" w:cs="Arial" w:eastAsia="Arial" w:hAnsi="Arial"/>
                  <w:sz w:val="16"/>
                  <w:szCs w:val="16"/>
                  <w:color w:val="0000FF"/>
                </w:rPr>
                <w:t>CERTAIN RELATIONSHIPS AND RELATED TRANSACTIONS</w:t>
              </w:r>
            </w:hyperlink>
          </w:p>
        </w:tc>
        <w:tc>
          <w:tcPr>
            <w:tcW w:w="4820" w:type="dxa"/>
            <w:vAlign w:val="bottom"/>
            <w:gridSpan w:val="7"/>
          </w:tcPr>
          <w:p>
            <w:pPr>
              <w:spacing w:after="0"/>
              <w:rPr>
                <w:sz w:val="21"/>
                <w:szCs w:val="21"/>
                <w:color w:val="auto"/>
              </w:rPr>
            </w:pPr>
          </w:p>
        </w:tc>
        <w:tc>
          <w:tcPr>
            <w:tcW w:w="620" w:type="dxa"/>
            <w:vAlign w:val="bottom"/>
            <w:gridSpan w:val="3"/>
          </w:tcPr>
          <w:p>
            <w:pPr>
              <w:jc w:val="right"/>
              <w:ind w:right="20"/>
              <w:spacing w:after="0"/>
              <w:rPr>
                <w:rFonts w:ascii="Arial" w:cs="Arial" w:eastAsia="Arial" w:hAnsi="Arial"/>
                <w:sz w:val="16"/>
                <w:szCs w:val="16"/>
                <w:color w:val="0000FF"/>
              </w:rPr>
            </w:pPr>
            <w:hyperlink w:anchor="page49">
              <w:r>
                <w:rPr>
                  <w:rFonts w:ascii="Arial" w:cs="Arial" w:eastAsia="Arial" w:hAnsi="Arial"/>
                  <w:sz w:val="16"/>
                  <w:szCs w:val="16"/>
                  <w:color w:val="0000FF"/>
                </w:rPr>
                <w:t>42</w:t>
              </w:r>
            </w:hyperlink>
          </w:p>
        </w:tc>
      </w:tr>
      <w:tr>
        <w:trPr>
          <w:trHeight w:val="20"/>
        </w:trPr>
        <w:tc>
          <w:tcPr>
            <w:tcW w:w="160" w:type="dxa"/>
            <w:vAlign w:val="bottom"/>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40" w:type="dxa"/>
            <w:vAlign w:val="bottom"/>
            <w:tcBorders>
              <w:right w:val="single" w:sz="8" w:color="0000FF"/>
            </w:tcBorders>
            <w:gridSpan w:val="6"/>
            <w:shd w:val="clear" w:color="auto" w:fill="0000FF"/>
          </w:tcPr>
          <w:p>
            <w:pPr>
              <w:spacing w:after="0" w:line="20" w:lineRule="exact"/>
              <w:rPr>
                <w:sz w:val="1"/>
                <w:szCs w:val="1"/>
                <w:color w:val="auto"/>
              </w:rPr>
            </w:pPr>
          </w:p>
        </w:tc>
        <w:tc>
          <w:tcPr>
            <w:tcW w:w="240" w:type="dxa"/>
            <w:vAlign w:val="bottom"/>
            <w:gridSpan w:val="4"/>
            <w:shd w:val="clear" w:color="auto" w:fill="0000FF"/>
          </w:tcPr>
          <w:p>
            <w:pPr>
              <w:spacing w:after="0" w:line="20" w:lineRule="exact"/>
              <w:rPr>
                <w:sz w:val="1"/>
                <w:szCs w:val="1"/>
                <w:color w:val="auto"/>
              </w:rPr>
            </w:pPr>
          </w:p>
        </w:tc>
        <w:tc>
          <w:tcPr>
            <w:tcW w:w="320" w:type="dxa"/>
            <w:vAlign w:val="bottom"/>
            <w:gridSpan w:val="4"/>
            <w:shd w:val="clear" w:color="auto" w:fill="0000FF"/>
          </w:tcPr>
          <w:p>
            <w:pPr>
              <w:spacing w:after="0" w:line="20" w:lineRule="exact"/>
              <w:rPr>
                <w:sz w:val="1"/>
                <w:szCs w:val="1"/>
                <w:color w:val="auto"/>
              </w:rPr>
            </w:pPr>
          </w:p>
        </w:tc>
        <w:tc>
          <w:tcPr>
            <w:tcW w:w="1580" w:type="dxa"/>
            <w:vAlign w:val="bottom"/>
            <w:gridSpan w:val="9"/>
            <w:shd w:val="clear" w:color="auto" w:fill="0000FF"/>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4340" w:type="dxa"/>
            <w:vAlign w:val="bottom"/>
            <w:gridSpan w:val="6"/>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r>
      <w:tr>
        <w:trPr>
          <w:trHeight w:val="245"/>
        </w:trPr>
        <w:tc>
          <w:tcPr>
            <w:tcW w:w="160" w:type="dxa"/>
            <w:vAlign w:val="bottom"/>
          </w:tcPr>
          <w:p>
            <w:pPr>
              <w:spacing w:after="0"/>
              <w:rPr>
                <w:sz w:val="21"/>
                <w:szCs w:val="21"/>
                <w:color w:val="auto"/>
              </w:rPr>
            </w:pPr>
          </w:p>
        </w:tc>
        <w:tc>
          <w:tcPr>
            <w:tcW w:w="5960" w:type="dxa"/>
            <w:vAlign w:val="bottom"/>
            <w:tcBorders>
              <w:bottom w:val="single" w:sz="8" w:color="0000FF"/>
            </w:tcBorders>
            <w:gridSpan w:val="33"/>
          </w:tcPr>
          <w:p>
            <w:pPr>
              <w:spacing w:after="0"/>
              <w:rPr>
                <w:rFonts w:ascii="Arial" w:cs="Arial" w:eastAsia="Arial" w:hAnsi="Arial"/>
                <w:sz w:val="16"/>
                <w:szCs w:val="16"/>
                <w:color w:val="0000FF"/>
                <w:w w:val="96"/>
              </w:rPr>
            </w:pPr>
            <w:hyperlink w:anchor="page49">
              <w:r>
                <w:rPr>
                  <w:rFonts w:ascii="Arial" w:cs="Arial" w:eastAsia="Arial" w:hAnsi="Arial"/>
                  <w:sz w:val="16"/>
                  <w:szCs w:val="16"/>
                  <w:color w:val="0000FF"/>
                  <w:w w:val="96"/>
                </w:rPr>
                <w:t>SECURITY OWNERSHIP OF CERTAIN BENEFICIAL OWNERS AND MANAGEMENT</w:t>
              </w:r>
            </w:hyperlink>
          </w:p>
        </w:tc>
        <w:tc>
          <w:tcPr>
            <w:tcW w:w="4340" w:type="dxa"/>
            <w:vAlign w:val="bottom"/>
            <w:gridSpan w:val="6"/>
          </w:tcPr>
          <w:p>
            <w:pPr>
              <w:spacing w:after="0"/>
              <w:rPr>
                <w:sz w:val="21"/>
                <w:szCs w:val="21"/>
                <w:color w:val="auto"/>
              </w:rPr>
            </w:pPr>
          </w:p>
        </w:tc>
        <w:tc>
          <w:tcPr>
            <w:tcW w:w="620" w:type="dxa"/>
            <w:vAlign w:val="bottom"/>
            <w:gridSpan w:val="3"/>
          </w:tcPr>
          <w:p>
            <w:pPr>
              <w:jc w:val="right"/>
              <w:ind w:right="20"/>
              <w:spacing w:after="0"/>
              <w:rPr>
                <w:rFonts w:ascii="Arial" w:cs="Arial" w:eastAsia="Arial" w:hAnsi="Arial"/>
                <w:sz w:val="16"/>
                <w:szCs w:val="16"/>
                <w:color w:val="0000FF"/>
              </w:rPr>
            </w:pPr>
            <w:hyperlink w:anchor="page49">
              <w:r>
                <w:rPr>
                  <w:rFonts w:ascii="Arial" w:cs="Arial" w:eastAsia="Arial" w:hAnsi="Arial"/>
                  <w:sz w:val="16"/>
                  <w:szCs w:val="16"/>
                  <w:color w:val="0000FF"/>
                </w:rPr>
                <w:t>43</w:t>
              </w:r>
            </w:hyperlink>
          </w:p>
        </w:tc>
      </w:tr>
      <w:tr>
        <w:trPr>
          <w:trHeight w:val="245"/>
        </w:trPr>
        <w:tc>
          <w:tcPr>
            <w:tcW w:w="160" w:type="dxa"/>
            <w:vAlign w:val="bottom"/>
          </w:tcPr>
          <w:p>
            <w:pPr>
              <w:spacing w:after="0"/>
              <w:rPr>
                <w:sz w:val="21"/>
                <w:szCs w:val="21"/>
                <w:color w:val="auto"/>
              </w:rPr>
            </w:pPr>
          </w:p>
        </w:tc>
        <w:tc>
          <w:tcPr>
            <w:tcW w:w="2720" w:type="dxa"/>
            <w:vAlign w:val="bottom"/>
            <w:tcBorders>
              <w:bottom w:val="single" w:sz="8" w:color="0000FF"/>
            </w:tcBorders>
            <w:gridSpan w:val="19"/>
          </w:tcPr>
          <w:p>
            <w:pPr>
              <w:spacing w:after="0"/>
              <w:rPr>
                <w:rFonts w:ascii="Arial" w:cs="Arial" w:eastAsia="Arial" w:hAnsi="Arial"/>
                <w:sz w:val="16"/>
                <w:szCs w:val="16"/>
                <w:color w:val="0000FF"/>
                <w:w w:val="95"/>
              </w:rPr>
            </w:pPr>
            <w:hyperlink w:anchor="page50">
              <w:r>
                <w:rPr>
                  <w:rFonts w:ascii="Arial" w:cs="Arial" w:eastAsia="Arial" w:hAnsi="Arial"/>
                  <w:sz w:val="16"/>
                  <w:szCs w:val="16"/>
                  <w:color w:val="0000FF"/>
                  <w:w w:val="95"/>
                </w:rPr>
                <w:t>REPORT OF THE AUDIT COMMITTEE</w:t>
              </w:r>
            </w:hyperlink>
          </w:p>
        </w:tc>
        <w:tc>
          <w:tcPr>
            <w:tcW w:w="7580" w:type="dxa"/>
            <w:vAlign w:val="bottom"/>
            <w:gridSpan w:val="20"/>
          </w:tcPr>
          <w:p>
            <w:pPr>
              <w:spacing w:after="0"/>
              <w:rPr>
                <w:sz w:val="21"/>
                <w:szCs w:val="21"/>
                <w:color w:val="auto"/>
              </w:rPr>
            </w:pPr>
          </w:p>
        </w:tc>
        <w:tc>
          <w:tcPr>
            <w:tcW w:w="620" w:type="dxa"/>
            <w:vAlign w:val="bottom"/>
            <w:gridSpan w:val="3"/>
          </w:tcPr>
          <w:p>
            <w:pPr>
              <w:jc w:val="right"/>
              <w:ind w:right="20"/>
              <w:spacing w:after="0"/>
              <w:rPr>
                <w:rFonts w:ascii="Arial" w:cs="Arial" w:eastAsia="Arial" w:hAnsi="Arial"/>
                <w:sz w:val="16"/>
                <w:szCs w:val="16"/>
                <w:color w:val="0000FF"/>
              </w:rPr>
            </w:pPr>
            <w:hyperlink w:anchor="page50">
              <w:r>
                <w:rPr>
                  <w:rFonts w:ascii="Arial" w:cs="Arial" w:eastAsia="Arial" w:hAnsi="Arial"/>
                  <w:sz w:val="16"/>
                  <w:szCs w:val="16"/>
                  <w:color w:val="0000FF"/>
                </w:rPr>
                <w:t>44</w:t>
              </w:r>
            </w:hyperlink>
          </w:p>
        </w:tc>
      </w:tr>
      <w:tr>
        <w:trPr>
          <w:trHeight w:val="245"/>
        </w:trPr>
        <w:tc>
          <w:tcPr>
            <w:tcW w:w="160" w:type="dxa"/>
            <w:vAlign w:val="bottom"/>
          </w:tcPr>
          <w:p>
            <w:pPr>
              <w:spacing w:after="0"/>
              <w:rPr>
                <w:sz w:val="21"/>
                <w:szCs w:val="21"/>
                <w:color w:val="auto"/>
              </w:rPr>
            </w:pPr>
          </w:p>
        </w:tc>
        <w:tc>
          <w:tcPr>
            <w:tcW w:w="10300" w:type="dxa"/>
            <w:vAlign w:val="bottom"/>
            <w:gridSpan w:val="39"/>
          </w:tcPr>
          <w:p>
            <w:pPr>
              <w:spacing w:after="0"/>
              <w:rPr>
                <w:rFonts w:ascii="Arial" w:cs="Arial" w:eastAsia="Arial" w:hAnsi="Arial"/>
                <w:sz w:val="16"/>
                <w:szCs w:val="16"/>
                <w:color w:val="0000FF"/>
              </w:rPr>
            </w:pPr>
            <w:hyperlink w:anchor="page52">
              <w:r>
                <w:rPr>
                  <w:rFonts w:ascii="Arial" w:cs="Arial" w:eastAsia="Arial" w:hAnsi="Arial"/>
                  <w:sz w:val="16"/>
                  <w:szCs w:val="16"/>
                  <w:color w:val="0000FF"/>
                </w:rPr>
                <w:t>SECTION 16(A) BENEFICIAL OWNERSHIP REPORTING COMPLIANCE</w:t>
              </w:r>
            </w:hyperlink>
          </w:p>
        </w:tc>
        <w:tc>
          <w:tcPr>
            <w:tcW w:w="620" w:type="dxa"/>
            <w:vAlign w:val="bottom"/>
            <w:gridSpan w:val="3"/>
          </w:tcPr>
          <w:p>
            <w:pPr>
              <w:jc w:val="right"/>
              <w:ind w:right="20"/>
              <w:spacing w:after="0"/>
              <w:rPr>
                <w:rFonts w:ascii="Arial" w:cs="Arial" w:eastAsia="Arial" w:hAnsi="Arial"/>
                <w:sz w:val="16"/>
                <w:szCs w:val="16"/>
                <w:color w:val="0000FF"/>
              </w:rPr>
            </w:pPr>
            <w:hyperlink w:anchor="page52">
              <w:r>
                <w:rPr>
                  <w:rFonts w:ascii="Arial" w:cs="Arial" w:eastAsia="Arial" w:hAnsi="Arial"/>
                  <w:sz w:val="16"/>
                  <w:szCs w:val="16"/>
                  <w:color w:val="0000FF"/>
                </w:rPr>
                <w:t>46</w:t>
              </w:r>
            </w:hyperlink>
          </w:p>
        </w:tc>
      </w:tr>
      <w:tr>
        <w:trPr>
          <w:trHeight w:val="245"/>
        </w:trPr>
        <w:tc>
          <w:tcPr>
            <w:tcW w:w="160" w:type="dxa"/>
            <w:vAlign w:val="bottom"/>
          </w:tcPr>
          <w:p>
            <w:pPr>
              <w:spacing w:after="0"/>
              <w:rPr>
                <w:sz w:val="21"/>
                <w:szCs w:val="21"/>
                <w:color w:val="auto"/>
              </w:rPr>
            </w:pPr>
          </w:p>
        </w:tc>
        <w:tc>
          <w:tcPr>
            <w:tcW w:w="5020" w:type="dxa"/>
            <w:vAlign w:val="bottom"/>
            <w:tcBorders>
              <w:top w:val="single" w:sz="8" w:color="0000FF"/>
            </w:tcBorders>
            <w:gridSpan w:val="31"/>
          </w:tcPr>
          <w:p>
            <w:pPr>
              <w:spacing w:after="0"/>
              <w:rPr>
                <w:rFonts w:ascii="Arial" w:cs="Arial" w:eastAsia="Arial" w:hAnsi="Arial"/>
                <w:sz w:val="16"/>
                <w:szCs w:val="16"/>
                <w:color w:val="0000FF"/>
              </w:rPr>
            </w:pPr>
            <w:hyperlink w:anchor="page53">
              <w:r>
                <w:rPr>
                  <w:rFonts w:ascii="Arial" w:cs="Arial" w:eastAsia="Arial" w:hAnsi="Arial"/>
                  <w:sz w:val="16"/>
                  <w:szCs w:val="16"/>
                  <w:color w:val="0000FF"/>
                </w:rPr>
                <w:t>STOCKHOLDER PROPOSALS</w:t>
              </w:r>
            </w:hyperlink>
          </w:p>
        </w:tc>
        <w:tc>
          <w:tcPr>
            <w:tcW w:w="5280" w:type="dxa"/>
            <w:vAlign w:val="bottom"/>
            <w:gridSpan w:val="8"/>
          </w:tcPr>
          <w:p>
            <w:pPr>
              <w:spacing w:after="0"/>
              <w:rPr>
                <w:sz w:val="21"/>
                <w:szCs w:val="21"/>
                <w:color w:val="auto"/>
              </w:rPr>
            </w:pPr>
          </w:p>
        </w:tc>
        <w:tc>
          <w:tcPr>
            <w:tcW w:w="620" w:type="dxa"/>
            <w:vAlign w:val="bottom"/>
            <w:gridSpan w:val="3"/>
          </w:tcPr>
          <w:p>
            <w:pPr>
              <w:jc w:val="right"/>
              <w:ind w:right="20"/>
              <w:spacing w:after="0"/>
              <w:rPr>
                <w:rFonts w:ascii="Arial" w:cs="Arial" w:eastAsia="Arial" w:hAnsi="Arial"/>
                <w:sz w:val="16"/>
                <w:szCs w:val="16"/>
                <w:color w:val="0000FF"/>
              </w:rPr>
            </w:pPr>
            <w:hyperlink w:anchor="page53">
              <w:r>
                <w:rPr>
                  <w:rFonts w:ascii="Arial" w:cs="Arial" w:eastAsia="Arial" w:hAnsi="Arial"/>
                  <w:sz w:val="16"/>
                  <w:szCs w:val="16"/>
                  <w:color w:val="0000FF"/>
                </w:rPr>
                <w:t>46</w:t>
              </w:r>
            </w:hyperlink>
          </w:p>
        </w:tc>
      </w:tr>
      <w:tr>
        <w:trPr>
          <w:trHeight w:val="245"/>
        </w:trPr>
        <w:tc>
          <w:tcPr>
            <w:tcW w:w="160" w:type="dxa"/>
            <w:vAlign w:val="bottom"/>
          </w:tcPr>
          <w:p>
            <w:pPr>
              <w:spacing w:after="0"/>
              <w:rPr>
                <w:sz w:val="21"/>
                <w:szCs w:val="21"/>
                <w:color w:val="auto"/>
              </w:rPr>
            </w:pPr>
          </w:p>
        </w:tc>
        <w:tc>
          <w:tcPr>
            <w:tcW w:w="1320" w:type="dxa"/>
            <w:vAlign w:val="bottom"/>
            <w:tcBorders>
              <w:top w:val="single" w:sz="8" w:color="0000FF"/>
              <w:bottom w:val="single" w:sz="8" w:color="0000FF"/>
            </w:tcBorders>
            <w:gridSpan w:val="5"/>
          </w:tcPr>
          <w:p>
            <w:pPr>
              <w:spacing w:after="0"/>
              <w:rPr>
                <w:rFonts w:ascii="Arial" w:cs="Arial" w:eastAsia="Arial" w:hAnsi="Arial"/>
                <w:sz w:val="16"/>
                <w:szCs w:val="16"/>
                <w:color w:val="0000FF"/>
                <w:w w:val="95"/>
              </w:rPr>
            </w:pPr>
            <w:hyperlink w:anchor="page53">
              <w:r>
                <w:rPr>
                  <w:rFonts w:ascii="Arial" w:cs="Arial" w:eastAsia="Arial" w:hAnsi="Arial"/>
                  <w:sz w:val="16"/>
                  <w:szCs w:val="16"/>
                  <w:color w:val="0000FF"/>
                  <w:w w:val="95"/>
                </w:rPr>
                <w:t>ANNUAL REPORT</w:t>
              </w:r>
            </w:hyperlink>
          </w:p>
        </w:tc>
        <w:tc>
          <w:tcPr>
            <w:tcW w:w="840" w:type="dxa"/>
            <w:vAlign w:val="bottom"/>
            <w:tcBorders>
              <w:top w:val="single" w:sz="8" w:color="0000FF"/>
            </w:tcBorders>
            <w:gridSpan w:val="6"/>
          </w:tcPr>
          <w:p>
            <w:pPr>
              <w:spacing w:after="0"/>
              <w:rPr>
                <w:sz w:val="21"/>
                <w:szCs w:val="21"/>
                <w:color w:val="auto"/>
              </w:rPr>
            </w:pPr>
          </w:p>
        </w:tc>
        <w:tc>
          <w:tcPr>
            <w:tcW w:w="8140" w:type="dxa"/>
            <w:vAlign w:val="bottom"/>
            <w:gridSpan w:val="28"/>
          </w:tcPr>
          <w:p>
            <w:pPr>
              <w:spacing w:after="0"/>
              <w:rPr>
                <w:sz w:val="21"/>
                <w:szCs w:val="21"/>
                <w:color w:val="auto"/>
              </w:rPr>
            </w:pPr>
          </w:p>
        </w:tc>
        <w:tc>
          <w:tcPr>
            <w:tcW w:w="620" w:type="dxa"/>
            <w:vAlign w:val="bottom"/>
            <w:gridSpan w:val="3"/>
          </w:tcPr>
          <w:p>
            <w:pPr>
              <w:jc w:val="right"/>
              <w:ind w:right="20"/>
              <w:spacing w:after="0"/>
              <w:rPr>
                <w:rFonts w:ascii="Arial" w:cs="Arial" w:eastAsia="Arial" w:hAnsi="Arial"/>
                <w:sz w:val="16"/>
                <w:szCs w:val="16"/>
                <w:color w:val="0000FF"/>
              </w:rPr>
            </w:pPr>
            <w:hyperlink w:anchor="page53">
              <w:r>
                <w:rPr>
                  <w:rFonts w:ascii="Arial" w:cs="Arial" w:eastAsia="Arial" w:hAnsi="Arial"/>
                  <w:sz w:val="16"/>
                  <w:szCs w:val="16"/>
                  <w:color w:val="0000FF"/>
                </w:rPr>
                <w:t>46</w:t>
              </w:r>
            </w:hyperlink>
          </w:p>
        </w:tc>
      </w:tr>
      <w:tr>
        <w:trPr>
          <w:trHeight w:val="245"/>
        </w:trPr>
        <w:tc>
          <w:tcPr>
            <w:tcW w:w="160" w:type="dxa"/>
            <w:vAlign w:val="bottom"/>
          </w:tcPr>
          <w:p>
            <w:pPr>
              <w:spacing w:after="0"/>
              <w:rPr>
                <w:sz w:val="21"/>
                <w:szCs w:val="21"/>
                <w:color w:val="auto"/>
              </w:rPr>
            </w:pPr>
          </w:p>
        </w:tc>
        <w:tc>
          <w:tcPr>
            <w:tcW w:w="2400" w:type="dxa"/>
            <w:vAlign w:val="bottom"/>
            <w:tcBorders>
              <w:bottom w:val="single" w:sz="8" w:color="0000FF"/>
            </w:tcBorders>
            <w:gridSpan w:val="15"/>
          </w:tcPr>
          <w:p>
            <w:pPr>
              <w:spacing w:after="0"/>
              <w:rPr>
                <w:rFonts w:ascii="Arial" w:cs="Arial" w:eastAsia="Arial" w:hAnsi="Arial"/>
                <w:sz w:val="16"/>
                <w:szCs w:val="16"/>
                <w:color w:val="0000FF"/>
                <w:w w:val="96"/>
              </w:rPr>
            </w:pPr>
            <w:hyperlink w:anchor="page53">
              <w:r>
                <w:rPr>
                  <w:rFonts w:ascii="Arial" w:cs="Arial" w:eastAsia="Arial" w:hAnsi="Arial"/>
                  <w:sz w:val="16"/>
                  <w:szCs w:val="16"/>
                  <w:color w:val="0000FF"/>
                  <w:w w:val="96"/>
                </w:rPr>
                <w:t>HOUSEHOLDING INFORMATION</w:t>
              </w:r>
            </w:hyperlink>
          </w:p>
        </w:tc>
        <w:tc>
          <w:tcPr>
            <w:tcW w:w="7900" w:type="dxa"/>
            <w:vAlign w:val="bottom"/>
            <w:gridSpan w:val="24"/>
          </w:tcPr>
          <w:p>
            <w:pPr>
              <w:spacing w:after="0"/>
              <w:rPr>
                <w:sz w:val="21"/>
                <w:szCs w:val="21"/>
                <w:color w:val="auto"/>
              </w:rPr>
            </w:pPr>
          </w:p>
        </w:tc>
        <w:tc>
          <w:tcPr>
            <w:tcW w:w="620" w:type="dxa"/>
            <w:vAlign w:val="bottom"/>
            <w:gridSpan w:val="3"/>
          </w:tcPr>
          <w:p>
            <w:pPr>
              <w:jc w:val="right"/>
              <w:ind w:right="20"/>
              <w:spacing w:after="0"/>
              <w:rPr>
                <w:rFonts w:ascii="Arial" w:cs="Arial" w:eastAsia="Arial" w:hAnsi="Arial"/>
                <w:sz w:val="16"/>
                <w:szCs w:val="16"/>
                <w:color w:val="0000FF"/>
              </w:rPr>
            </w:pPr>
            <w:hyperlink w:anchor="page53">
              <w:r>
                <w:rPr>
                  <w:rFonts w:ascii="Arial" w:cs="Arial" w:eastAsia="Arial" w:hAnsi="Arial"/>
                  <w:sz w:val="16"/>
                  <w:szCs w:val="16"/>
                  <w:color w:val="0000FF"/>
                </w:rPr>
                <w:t>46</w:t>
              </w:r>
            </w:hyperlink>
          </w:p>
        </w:tc>
      </w:tr>
      <w:tr>
        <w:trPr>
          <w:trHeight w:val="245"/>
        </w:trPr>
        <w:tc>
          <w:tcPr>
            <w:tcW w:w="160" w:type="dxa"/>
            <w:vAlign w:val="bottom"/>
          </w:tcPr>
          <w:p>
            <w:pPr>
              <w:spacing w:after="0"/>
              <w:rPr>
                <w:sz w:val="21"/>
                <w:szCs w:val="21"/>
                <w:color w:val="auto"/>
              </w:rPr>
            </w:pPr>
          </w:p>
        </w:tc>
        <w:tc>
          <w:tcPr>
            <w:tcW w:w="1300" w:type="dxa"/>
            <w:vAlign w:val="bottom"/>
            <w:tcBorders>
              <w:bottom w:val="single" w:sz="8" w:color="0000FF"/>
            </w:tcBorders>
            <w:gridSpan w:val="4"/>
          </w:tcPr>
          <w:p>
            <w:pPr>
              <w:spacing w:after="0"/>
              <w:rPr>
                <w:rFonts w:ascii="Arial" w:cs="Arial" w:eastAsia="Arial" w:hAnsi="Arial"/>
                <w:sz w:val="16"/>
                <w:szCs w:val="16"/>
                <w:color w:val="0000FF"/>
                <w:w w:val="93"/>
              </w:rPr>
            </w:pPr>
            <w:hyperlink w:anchor="page53">
              <w:r>
                <w:rPr>
                  <w:rFonts w:ascii="Arial" w:cs="Arial" w:eastAsia="Arial" w:hAnsi="Arial"/>
                  <w:sz w:val="16"/>
                  <w:szCs w:val="16"/>
                  <w:color w:val="0000FF"/>
                  <w:w w:val="93"/>
                </w:rPr>
                <w:t>OTHER MATTERS</w:t>
              </w:r>
            </w:hyperlink>
          </w:p>
        </w:tc>
        <w:tc>
          <w:tcPr>
            <w:tcW w:w="9000" w:type="dxa"/>
            <w:vAlign w:val="bottom"/>
            <w:gridSpan w:val="35"/>
          </w:tcPr>
          <w:p>
            <w:pPr>
              <w:spacing w:after="0"/>
              <w:rPr>
                <w:sz w:val="21"/>
                <w:szCs w:val="21"/>
                <w:color w:val="auto"/>
              </w:rPr>
            </w:pPr>
          </w:p>
        </w:tc>
        <w:tc>
          <w:tcPr>
            <w:tcW w:w="620" w:type="dxa"/>
            <w:vAlign w:val="bottom"/>
            <w:gridSpan w:val="3"/>
          </w:tcPr>
          <w:p>
            <w:pPr>
              <w:jc w:val="right"/>
              <w:ind w:right="20"/>
              <w:spacing w:after="0"/>
              <w:rPr>
                <w:rFonts w:ascii="Arial" w:cs="Arial" w:eastAsia="Arial" w:hAnsi="Arial"/>
                <w:sz w:val="16"/>
                <w:szCs w:val="16"/>
                <w:color w:val="0000FF"/>
              </w:rPr>
            </w:pPr>
            <w:hyperlink w:anchor="page53">
              <w:r>
                <w:rPr>
                  <w:rFonts w:ascii="Arial" w:cs="Arial" w:eastAsia="Arial" w:hAnsi="Arial"/>
                  <w:sz w:val="16"/>
                  <w:szCs w:val="16"/>
                  <w:color w:val="0000FF"/>
                </w:rPr>
                <w:t>47</w:t>
              </w:r>
            </w:hyperlink>
          </w:p>
        </w:tc>
      </w:tr>
    </w:tbl>
    <w:p>
      <w:pPr>
        <w:sectPr>
          <w:pgSz w:w="11900" w:h="16838" w:orient="portrait"/>
          <w:cols w:equalWidth="0" w:num="1">
            <w:col w:w="11080"/>
          </w:cols>
          <w:pgMar w:left="340" w:top="674" w:right="479" w:bottom="1440" w:gutter="0" w:footer="0" w:header="0"/>
        </w:sectPr>
      </w:pPr>
    </w:p>
    <w:bookmarkStart w:id="4" w:name="page5"/>
    <w:bookmarkEnd w:id="4"/>
    <w:p>
      <w:pPr>
        <w:ind w:right="1539"/>
        <w:spacing w:after="0" w:line="371" w:lineRule="auto"/>
        <w:rPr>
          <w:rFonts w:ascii="Arial" w:cs="Arial" w:eastAsia="Arial" w:hAnsi="Arial"/>
          <w:sz w:val="16"/>
          <w:szCs w:val="16"/>
          <w:u w:val="single" w:color="auto"/>
          <w:color w:val="0000FF"/>
        </w:rPr>
      </w:pPr>
      <w:hyperlink w:anchor="page54">
        <w:r>
          <w:rPr>
            <w:rFonts w:ascii="Arial" w:cs="Arial" w:eastAsia="Arial" w:hAnsi="Arial"/>
            <w:sz w:val="16"/>
            <w:szCs w:val="16"/>
            <w:u w:val="single" w:color="auto"/>
            <w:color w:val="0000FF"/>
          </w:rPr>
          <w:t>APPENDIX A – EIGHTH AMENDED AND RESTATED WESTWOOD HOLDINGS GROUP, INC. STOCK INCENTIVE PLAN</w:t>
        </w:r>
      </w:hyperlink>
      <w:r>
        <w:rPr>
          <w:rFonts w:ascii="Arial" w:cs="Arial" w:eastAsia="Arial" w:hAnsi="Arial"/>
          <w:sz w:val="16"/>
          <w:szCs w:val="16"/>
          <w:u w:val="single" w:color="auto"/>
          <w:color w:val="0000FF"/>
        </w:rPr>
        <w:t xml:space="preserve"> </w:t>
      </w:r>
      <w:hyperlink w:anchor="page70">
        <w:r>
          <w:rPr>
            <w:rFonts w:ascii="Arial" w:cs="Arial" w:eastAsia="Arial" w:hAnsi="Arial"/>
            <w:sz w:val="16"/>
            <w:szCs w:val="16"/>
            <w:u w:val="single" w:color="auto"/>
            <w:color w:val="0000FF"/>
          </w:rPr>
          <w:t>APPENDIX B – TEXT OF PROPOSED AMENDMENTS TO THE CERTIFICATE OF INCORPORATION</w:t>
        </w:r>
      </w:hyperlink>
    </w:p>
    <w:p>
      <w:pPr>
        <w:sectPr>
          <w:pgSz w:w="11900" w:h="16838" w:orient="portrait"/>
          <w:cols w:equalWidth="0" w:num="1">
            <w:col w:w="9959"/>
          </w:cols>
          <w:pgMar w:left="500" w:top="541" w:right="1440" w:bottom="1440" w:gutter="0" w:footer="0" w:header="0"/>
        </w:sectPr>
      </w:pPr>
    </w:p>
    <w:bookmarkStart w:id="5" w:name="page6"/>
    <w:bookmarkEnd w:id="5"/>
    <w:p>
      <w:pPr>
        <w:ind w:left="4020"/>
        <w:spacing w:after="0"/>
        <w:rPr>
          <w:sz w:val="20"/>
          <w:szCs w:val="20"/>
          <w:color w:val="auto"/>
        </w:rPr>
      </w:pPr>
      <w:r>
        <w:rPr>
          <w:rFonts w:ascii="Arial" w:cs="Arial" w:eastAsia="Arial" w:hAnsi="Arial"/>
          <w:sz w:val="18"/>
          <w:szCs w:val="18"/>
          <w:b w:val="1"/>
          <w:bCs w:val="1"/>
          <w:color w:val="auto"/>
        </w:rPr>
        <w:t>WESTWOOD HOLDINGS GROUP, INC.</w:t>
      </w:r>
    </w:p>
    <w:p>
      <w:pPr>
        <w:spacing w:after="0" w:line="178"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BE HELD ON April 27, 2022</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of Westwood Holdings Group, Inc.:</w:t>
      </w:r>
    </w:p>
    <w:p>
      <w:pPr>
        <w:spacing w:after="0" w:line="111" w:lineRule="exact"/>
        <w:rPr>
          <w:sz w:val="20"/>
          <w:szCs w:val="20"/>
          <w:color w:val="auto"/>
        </w:rPr>
      </w:pPr>
    </w:p>
    <w:p>
      <w:pPr>
        <w:jc w:val="both"/>
        <w:ind w:right="20" w:firstLine="398"/>
        <w:spacing w:after="0"/>
        <w:rPr>
          <w:sz w:val="20"/>
          <w:szCs w:val="20"/>
          <w:color w:val="auto"/>
        </w:rPr>
      </w:pPr>
      <w:r>
        <w:rPr>
          <w:rFonts w:ascii="Arial" w:cs="Arial" w:eastAsia="Arial" w:hAnsi="Arial"/>
          <w:sz w:val="18"/>
          <w:szCs w:val="18"/>
          <w:color w:val="auto"/>
        </w:rPr>
        <w:t xml:space="preserve">NOTICE IS HEREBY GIVEN that the annual meeting of the stockholders of Westwood Holdings Group, Inc. ("Westwood," the "Company," "we," "us" or "our") will be held virtually at </w:t>
      </w:r>
      <w:r>
        <w:rPr>
          <w:rFonts w:ascii="Arial" w:cs="Arial" w:eastAsia="Arial" w:hAnsi="Arial"/>
          <w:sz w:val="18"/>
          <w:szCs w:val="18"/>
          <w:i w:val="1"/>
          <w:iCs w:val="1"/>
          <w:u w:val="single" w:color="auto"/>
          <w:color w:val="auto"/>
        </w:rPr>
        <w:t>www.virtualshareholdermeeting.com/WHG2022</w:t>
      </w:r>
      <w:r>
        <w:rPr>
          <w:rFonts w:ascii="Arial" w:cs="Arial" w:eastAsia="Arial" w:hAnsi="Arial"/>
          <w:sz w:val="18"/>
          <w:szCs w:val="18"/>
          <w:color w:val="auto"/>
        </w:rPr>
        <w:t xml:space="preserve"> on Wednesday, April 27, 2022, at 10:00 a.m., Central Time, to consider and vote on the following proposals:</w:t>
      </w:r>
    </w:p>
    <w:p>
      <w:pPr>
        <w:spacing w:after="0" w:line="312"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16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4940" w:type="dxa"/>
            <w:vAlign w:val="bottom"/>
            <w:gridSpan w:val="2"/>
          </w:tcPr>
          <w:p>
            <w:pPr>
              <w:spacing w:after="0"/>
              <w:rPr>
                <w:sz w:val="20"/>
                <w:szCs w:val="20"/>
                <w:color w:val="auto"/>
              </w:rPr>
            </w:pPr>
            <w:r>
              <w:rPr>
                <w:rFonts w:ascii="Arial" w:cs="Arial" w:eastAsia="Arial" w:hAnsi="Arial"/>
                <w:sz w:val="18"/>
                <w:szCs w:val="18"/>
                <w:b w:val="1"/>
                <w:bCs w:val="1"/>
                <w:color w:val="auto"/>
              </w:rPr>
              <w:t>Proposal</w:t>
            </w:r>
          </w:p>
        </w:tc>
        <w:tc>
          <w:tcPr>
            <w:tcW w:w="2000" w:type="dxa"/>
            <w:vAlign w:val="bottom"/>
            <w:gridSpan w:val="2"/>
          </w:tcPr>
          <w:p>
            <w:pPr>
              <w:jc w:val="center"/>
              <w:ind w:left="72"/>
              <w:spacing w:after="0"/>
              <w:rPr>
                <w:sz w:val="20"/>
                <w:szCs w:val="20"/>
                <w:color w:val="auto"/>
              </w:rPr>
            </w:pPr>
            <w:r>
              <w:rPr>
                <w:rFonts w:ascii="Arial" w:cs="Arial" w:eastAsia="Arial" w:hAnsi="Arial"/>
                <w:sz w:val="18"/>
                <w:szCs w:val="18"/>
                <w:b w:val="1"/>
                <w:bCs w:val="1"/>
                <w:color w:val="auto"/>
                <w:w w:val="88"/>
              </w:rPr>
              <w:t>Board Recommendation</w:t>
            </w: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rPr>
                <w:sz w:val="20"/>
                <w:szCs w:val="20"/>
                <w:color w:val="auto"/>
              </w:rPr>
            </w:pPr>
            <w:r>
              <w:rPr>
                <w:rFonts w:ascii="Arial" w:cs="Arial" w:eastAsia="Arial" w:hAnsi="Arial"/>
                <w:sz w:val="18"/>
                <w:szCs w:val="18"/>
                <w:b w:val="1"/>
                <w:bCs w:val="1"/>
                <w:color w:val="auto"/>
              </w:rPr>
              <w:t>Proposal 1.</w:t>
            </w:r>
          </w:p>
        </w:tc>
        <w:tc>
          <w:tcPr>
            <w:tcW w:w="31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1160" w:type="dxa"/>
            <w:vAlign w:val="bottom"/>
            <w:vMerge w:val="continue"/>
          </w:tcPr>
          <w:p>
            <w:pPr>
              <w:spacing w:after="0"/>
              <w:rPr>
                <w:sz w:val="21"/>
                <w:szCs w:val="21"/>
                <w:color w:val="auto"/>
              </w:rPr>
            </w:pPr>
          </w:p>
        </w:tc>
        <w:tc>
          <w:tcPr>
            <w:tcW w:w="8040" w:type="dxa"/>
            <w:vAlign w:val="bottom"/>
            <w:gridSpan w:val="3"/>
          </w:tcPr>
          <w:p>
            <w:pPr>
              <w:ind w:left="320"/>
              <w:spacing w:after="0"/>
              <w:rPr>
                <w:sz w:val="20"/>
                <w:szCs w:val="20"/>
                <w:color w:val="auto"/>
              </w:rPr>
            </w:pPr>
            <w:r>
              <w:rPr>
                <w:rFonts w:ascii="Arial" w:cs="Arial" w:eastAsia="Arial" w:hAnsi="Arial"/>
                <w:sz w:val="18"/>
                <w:szCs w:val="18"/>
                <w:color w:val="auto"/>
                <w:w w:val="93"/>
              </w:rPr>
              <w:t>The election of six directors to hold office until the next annual meeting of Westwood's stockholders and</w:t>
            </w:r>
          </w:p>
        </w:tc>
        <w:tc>
          <w:tcPr>
            <w:tcW w:w="200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For all nominees</w:t>
            </w: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8040" w:type="dxa"/>
            <w:vAlign w:val="bottom"/>
            <w:gridSpan w:val="3"/>
          </w:tcPr>
          <w:p>
            <w:pPr>
              <w:ind w:left="320"/>
              <w:spacing w:after="0"/>
              <w:rPr>
                <w:sz w:val="20"/>
                <w:szCs w:val="20"/>
                <w:color w:val="auto"/>
              </w:rPr>
            </w:pPr>
            <w:r>
              <w:rPr>
                <w:rFonts w:ascii="Arial" w:cs="Arial" w:eastAsia="Arial" w:hAnsi="Arial"/>
                <w:sz w:val="18"/>
                <w:szCs w:val="18"/>
                <w:color w:val="auto"/>
              </w:rPr>
              <w:t>until their respective successors shall have been duly elected and qualified;</w:t>
            </w:r>
          </w:p>
        </w:tc>
        <w:tc>
          <w:tcPr>
            <w:tcW w:w="6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160" w:type="dxa"/>
            <w:vAlign w:val="bottom"/>
          </w:tcPr>
          <w:p>
            <w:pPr>
              <w:spacing w:after="0"/>
              <w:rPr>
                <w:sz w:val="20"/>
                <w:szCs w:val="20"/>
                <w:color w:val="auto"/>
              </w:rPr>
            </w:pPr>
            <w:r>
              <w:rPr>
                <w:rFonts w:ascii="Arial" w:cs="Arial" w:eastAsia="Arial" w:hAnsi="Arial"/>
                <w:sz w:val="18"/>
                <w:szCs w:val="18"/>
                <w:b w:val="1"/>
                <w:bCs w:val="1"/>
                <w:color w:val="auto"/>
              </w:rPr>
              <w:t>Proposal 2.</w:t>
            </w:r>
          </w:p>
        </w:tc>
        <w:tc>
          <w:tcPr>
            <w:tcW w:w="8040" w:type="dxa"/>
            <w:vAlign w:val="bottom"/>
            <w:gridSpan w:val="3"/>
          </w:tcPr>
          <w:p>
            <w:pPr>
              <w:ind w:left="320"/>
              <w:spacing w:after="0"/>
              <w:rPr>
                <w:sz w:val="20"/>
                <w:szCs w:val="20"/>
                <w:color w:val="auto"/>
              </w:rPr>
            </w:pPr>
            <w:r>
              <w:rPr>
                <w:rFonts w:ascii="Arial" w:cs="Arial" w:eastAsia="Arial" w:hAnsi="Arial"/>
                <w:sz w:val="18"/>
                <w:szCs w:val="18"/>
                <w:color w:val="auto"/>
                <w:w w:val="92"/>
              </w:rPr>
              <w:t>The ratification of the appointment of Deloitte &amp; Touche LLP as Westwood's independent auditors for the</w:t>
            </w:r>
          </w:p>
        </w:tc>
        <w:tc>
          <w:tcPr>
            <w:tcW w:w="660" w:type="dxa"/>
            <w:vAlign w:val="bottom"/>
          </w:tcPr>
          <w:p>
            <w:pPr>
              <w:spacing w:after="0"/>
              <w:rPr>
                <w:sz w:val="19"/>
                <w:szCs w:val="19"/>
                <w:color w:val="auto"/>
              </w:rPr>
            </w:pPr>
          </w:p>
        </w:tc>
        <w:tc>
          <w:tcPr>
            <w:tcW w:w="1340" w:type="dxa"/>
            <w:vAlign w:val="bottom"/>
          </w:tcPr>
          <w:p>
            <w:pPr>
              <w:jc w:val="center"/>
              <w:ind w:right="412"/>
              <w:spacing w:after="0"/>
              <w:rPr>
                <w:sz w:val="20"/>
                <w:szCs w:val="20"/>
                <w:color w:val="auto"/>
              </w:rPr>
            </w:pPr>
            <w:r>
              <w:rPr>
                <w:rFonts w:ascii="Arial" w:cs="Arial" w:eastAsia="Arial" w:hAnsi="Arial"/>
                <w:sz w:val="18"/>
                <w:szCs w:val="18"/>
                <w:color w:val="auto"/>
                <w:w w:val="88"/>
              </w:rPr>
              <w:t>For</w:t>
            </w: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8040" w:type="dxa"/>
            <w:vAlign w:val="bottom"/>
            <w:gridSpan w:val="3"/>
          </w:tcPr>
          <w:p>
            <w:pPr>
              <w:ind w:left="320"/>
              <w:spacing w:after="0"/>
              <w:rPr>
                <w:sz w:val="20"/>
                <w:szCs w:val="20"/>
                <w:color w:val="auto"/>
              </w:rPr>
            </w:pPr>
            <w:r>
              <w:rPr>
                <w:rFonts w:ascii="Arial" w:cs="Arial" w:eastAsia="Arial" w:hAnsi="Arial"/>
                <w:sz w:val="18"/>
                <w:szCs w:val="18"/>
                <w:color w:val="auto"/>
              </w:rPr>
              <w:t>year ending December 31, 2022;</w:t>
            </w:r>
          </w:p>
        </w:tc>
        <w:tc>
          <w:tcPr>
            <w:tcW w:w="6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160" w:type="dxa"/>
            <w:vAlign w:val="bottom"/>
          </w:tcPr>
          <w:p>
            <w:pPr>
              <w:spacing w:after="0"/>
              <w:rPr>
                <w:sz w:val="20"/>
                <w:szCs w:val="20"/>
                <w:color w:val="auto"/>
              </w:rPr>
            </w:pPr>
            <w:r>
              <w:rPr>
                <w:rFonts w:ascii="Arial" w:cs="Arial" w:eastAsia="Arial" w:hAnsi="Arial"/>
                <w:sz w:val="18"/>
                <w:szCs w:val="18"/>
                <w:b w:val="1"/>
                <w:bCs w:val="1"/>
                <w:color w:val="auto"/>
              </w:rPr>
              <w:t>Proposal 3.</w:t>
            </w:r>
          </w:p>
        </w:tc>
        <w:tc>
          <w:tcPr>
            <w:tcW w:w="8040" w:type="dxa"/>
            <w:vAlign w:val="bottom"/>
            <w:gridSpan w:val="3"/>
          </w:tcPr>
          <w:p>
            <w:pPr>
              <w:ind w:left="320"/>
              <w:spacing w:after="0"/>
              <w:rPr>
                <w:sz w:val="20"/>
                <w:szCs w:val="20"/>
                <w:color w:val="auto"/>
              </w:rPr>
            </w:pPr>
            <w:r>
              <w:rPr>
                <w:rFonts w:ascii="Arial" w:cs="Arial" w:eastAsia="Arial" w:hAnsi="Arial"/>
                <w:sz w:val="18"/>
                <w:szCs w:val="18"/>
                <w:color w:val="auto"/>
                <w:w w:val="93"/>
              </w:rPr>
              <w:t>To approve the First Amendment to the Eighth Amended and Restated Westwood Holdings Group, Inc.</w:t>
            </w:r>
          </w:p>
        </w:tc>
        <w:tc>
          <w:tcPr>
            <w:tcW w:w="660" w:type="dxa"/>
            <w:vAlign w:val="bottom"/>
          </w:tcPr>
          <w:p>
            <w:pPr>
              <w:spacing w:after="0"/>
              <w:rPr>
                <w:sz w:val="19"/>
                <w:szCs w:val="19"/>
                <w:color w:val="auto"/>
              </w:rPr>
            </w:pPr>
          </w:p>
        </w:tc>
        <w:tc>
          <w:tcPr>
            <w:tcW w:w="1340" w:type="dxa"/>
            <w:vAlign w:val="bottom"/>
          </w:tcPr>
          <w:p>
            <w:pPr>
              <w:jc w:val="center"/>
              <w:ind w:right="412"/>
              <w:spacing w:after="0"/>
              <w:rPr>
                <w:sz w:val="20"/>
                <w:szCs w:val="20"/>
                <w:color w:val="auto"/>
              </w:rPr>
            </w:pPr>
            <w:r>
              <w:rPr>
                <w:rFonts w:ascii="Arial" w:cs="Arial" w:eastAsia="Arial" w:hAnsi="Arial"/>
                <w:sz w:val="18"/>
                <w:szCs w:val="18"/>
                <w:color w:val="auto"/>
                <w:w w:val="88"/>
              </w:rPr>
              <w:t>For</w:t>
            </w: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8040" w:type="dxa"/>
            <w:vAlign w:val="bottom"/>
            <w:gridSpan w:val="3"/>
          </w:tcPr>
          <w:p>
            <w:pPr>
              <w:ind w:left="320"/>
              <w:spacing w:after="0"/>
              <w:rPr>
                <w:sz w:val="20"/>
                <w:szCs w:val="20"/>
                <w:color w:val="auto"/>
              </w:rPr>
            </w:pPr>
            <w:r>
              <w:rPr>
                <w:rFonts w:ascii="Arial" w:cs="Arial" w:eastAsia="Arial" w:hAnsi="Arial"/>
                <w:sz w:val="18"/>
                <w:szCs w:val="18"/>
                <w:color w:val="auto"/>
              </w:rPr>
              <w:t>Stock Incentive Plan;</w:t>
            </w:r>
          </w:p>
        </w:tc>
        <w:tc>
          <w:tcPr>
            <w:tcW w:w="6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1160" w:type="dxa"/>
            <w:vAlign w:val="bottom"/>
          </w:tcPr>
          <w:p>
            <w:pPr>
              <w:spacing w:after="0"/>
              <w:rPr>
                <w:sz w:val="20"/>
                <w:szCs w:val="20"/>
                <w:color w:val="auto"/>
              </w:rPr>
            </w:pPr>
            <w:r>
              <w:rPr>
                <w:rFonts w:ascii="Arial" w:cs="Arial" w:eastAsia="Arial" w:hAnsi="Arial"/>
                <w:sz w:val="18"/>
                <w:szCs w:val="18"/>
                <w:b w:val="1"/>
                <w:bCs w:val="1"/>
                <w:color w:val="auto"/>
              </w:rPr>
              <w:t>Proposal 4.</w:t>
            </w:r>
          </w:p>
        </w:tc>
        <w:tc>
          <w:tcPr>
            <w:tcW w:w="8040" w:type="dxa"/>
            <w:vAlign w:val="bottom"/>
            <w:gridSpan w:val="3"/>
          </w:tcPr>
          <w:p>
            <w:pPr>
              <w:ind w:left="320"/>
              <w:spacing w:after="0"/>
              <w:rPr>
                <w:sz w:val="20"/>
                <w:szCs w:val="20"/>
                <w:color w:val="auto"/>
              </w:rPr>
            </w:pPr>
            <w:r>
              <w:rPr>
                <w:rFonts w:ascii="Arial" w:cs="Arial" w:eastAsia="Arial" w:hAnsi="Arial"/>
                <w:sz w:val="18"/>
                <w:szCs w:val="18"/>
                <w:color w:val="auto"/>
              </w:rPr>
              <w:t>To cast a non-binding, advisory vote on the Company's executive compensation;</w:t>
            </w:r>
          </w:p>
        </w:tc>
        <w:tc>
          <w:tcPr>
            <w:tcW w:w="660" w:type="dxa"/>
            <w:vAlign w:val="bottom"/>
          </w:tcPr>
          <w:p>
            <w:pPr>
              <w:spacing w:after="0"/>
              <w:rPr>
                <w:sz w:val="24"/>
                <w:szCs w:val="24"/>
                <w:color w:val="auto"/>
              </w:rPr>
            </w:pPr>
          </w:p>
        </w:tc>
        <w:tc>
          <w:tcPr>
            <w:tcW w:w="1340" w:type="dxa"/>
            <w:vAlign w:val="bottom"/>
          </w:tcPr>
          <w:p>
            <w:pPr>
              <w:jc w:val="center"/>
              <w:ind w:right="412"/>
              <w:spacing w:after="0"/>
              <w:rPr>
                <w:sz w:val="20"/>
                <w:szCs w:val="20"/>
                <w:color w:val="auto"/>
              </w:rPr>
            </w:pPr>
            <w:r>
              <w:rPr>
                <w:rFonts w:ascii="Arial" w:cs="Arial" w:eastAsia="Arial" w:hAnsi="Arial"/>
                <w:sz w:val="18"/>
                <w:szCs w:val="18"/>
                <w:color w:val="auto"/>
                <w:w w:val="88"/>
              </w:rPr>
              <w:t>For</w:t>
            </w:r>
          </w:p>
        </w:tc>
        <w:tc>
          <w:tcPr>
            <w:tcW w:w="0" w:type="dxa"/>
            <w:vAlign w:val="bottom"/>
          </w:tcPr>
          <w:p>
            <w:pPr>
              <w:spacing w:after="0"/>
              <w:rPr>
                <w:sz w:val="1"/>
                <w:szCs w:val="1"/>
                <w:color w:val="auto"/>
              </w:rPr>
            </w:pPr>
          </w:p>
        </w:tc>
      </w:tr>
      <w:tr>
        <w:trPr>
          <w:trHeight w:val="267"/>
        </w:trPr>
        <w:tc>
          <w:tcPr>
            <w:tcW w:w="1160" w:type="dxa"/>
            <w:vAlign w:val="bottom"/>
          </w:tcPr>
          <w:p>
            <w:pPr>
              <w:spacing w:after="0"/>
              <w:rPr>
                <w:sz w:val="20"/>
                <w:szCs w:val="20"/>
                <w:color w:val="auto"/>
              </w:rPr>
            </w:pPr>
            <w:r>
              <w:rPr>
                <w:rFonts w:ascii="Arial" w:cs="Arial" w:eastAsia="Arial" w:hAnsi="Arial"/>
                <w:sz w:val="18"/>
                <w:szCs w:val="18"/>
                <w:b w:val="1"/>
                <w:bCs w:val="1"/>
                <w:color w:val="auto"/>
              </w:rPr>
              <w:t>Proposal 5.</w:t>
            </w:r>
          </w:p>
        </w:tc>
        <w:tc>
          <w:tcPr>
            <w:tcW w:w="8040" w:type="dxa"/>
            <w:vAlign w:val="bottom"/>
            <w:gridSpan w:val="3"/>
          </w:tcPr>
          <w:p>
            <w:pPr>
              <w:ind w:left="320"/>
              <w:spacing w:after="0"/>
              <w:rPr>
                <w:sz w:val="20"/>
                <w:szCs w:val="20"/>
                <w:color w:val="auto"/>
              </w:rPr>
            </w:pPr>
            <w:r>
              <w:rPr>
                <w:rFonts w:ascii="Arial" w:cs="Arial" w:eastAsia="Arial" w:hAnsi="Arial"/>
                <w:sz w:val="18"/>
                <w:szCs w:val="18"/>
                <w:color w:val="auto"/>
                <w:w w:val="90"/>
              </w:rPr>
              <w:t>To approve amendments to the Company's Amended and Restated Certificate of Incorporation to eliminate</w:t>
            </w:r>
          </w:p>
        </w:tc>
        <w:tc>
          <w:tcPr>
            <w:tcW w:w="660" w:type="dxa"/>
            <w:vAlign w:val="bottom"/>
          </w:tcPr>
          <w:p>
            <w:pPr>
              <w:spacing w:after="0"/>
              <w:rPr>
                <w:sz w:val="23"/>
                <w:szCs w:val="23"/>
                <w:color w:val="auto"/>
              </w:rPr>
            </w:pPr>
          </w:p>
        </w:tc>
        <w:tc>
          <w:tcPr>
            <w:tcW w:w="1340" w:type="dxa"/>
            <w:vAlign w:val="bottom"/>
          </w:tcPr>
          <w:p>
            <w:pPr>
              <w:jc w:val="center"/>
              <w:ind w:right="412"/>
              <w:spacing w:after="0"/>
              <w:rPr>
                <w:sz w:val="20"/>
                <w:szCs w:val="20"/>
                <w:color w:val="auto"/>
              </w:rPr>
            </w:pPr>
            <w:r>
              <w:rPr>
                <w:rFonts w:ascii="Arial" w:cs="Arial" w:eastAsia="Arial" w:hAnsi="Arial"/>
                <w:sz w:val="18"/>
                <w:szCs w:val="18"/>
                <w:color w:val="auto"/>
                <w:w w:val="88"/>
              </w:rPr>
              <w:t>For</w:t>
            </w: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8040" w:type="dxa"/>
            <w:vAlign w:val="bottom"/>
            <w:gridSpan w:val="3"/>
          </w:tcPr>
          <w:p>
            <w:pPr>
              <w:ind w:left="320"/>
              <w:spacing w:after="0"/>
              <w:rPr>
                <w:sz w:val="20"/>
                <w:szCs w:val="20"/>
                <w:color w:val="auto"/>
              </w:rPr>
            </w:pPr>
            <w:r>
              <w:rPr>
                <w:rFonts w:ascii="Arial" w:cs="Arial" w:eastAsia="Arial" w:hAnsi="Arial"/>
                <w:sz w:val="18"/>
                <w:szCs w:val="18"/>
                <w:color w:val="auto"/>
                <w:w w:val="97"/>
              </w:rPr>
              <w:t>supermajority voting requirements to amend the Company's Certificate of Incorporation and Bylaws.</w:t>
            </w:r>
          </w:p>
        </w:tc>
        <w:tc>
          <w:tcPr>
            <w:tcW w:w="6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400"/>
        <w:spacing w:after="0"/>
        <w:rPr>
          <w:sz w:val="20"/>
          <w:szCs w:val="20"/>
          <w:color w:val="auto"/>
        </w:rPr>
      </w:pPr>
      <w:r>
        <w:rPr>
          <w:rFonts w:ascii="Arial" w:cs="Arial" w:eastAsia="Arial" w:hAnsi="Arial"/>
          <w:sz w:val="15"/>
          <w:szCs w:val="15"/>
          <w:color w:val="auto"/>
        </w:rPr>
        <w:t>In addition, we will consider the transaction of such other business as may properly come before the meeting or at any adjournments or postponements.</w:t>
      </w:r>
    </w:p>
    <w:p>
      <w:pPr>
        <w:spacing w:after="0" w:line="14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foregoing items of business are more fully described in the attached proxy statement.</w:t>
      </w:r>
    </w:p>
    <w:p>
      <w:pPr>
        <w:spacing w:after="0" w:line="111" w:lineRule="exact"/>
        <w:rPr>
          <w:sz w:val="20"/>
          <w:szCs w:val="20"/>
          <w:color w:val="auto"/>
        </w:rPr>
      </w:pPr>
    </w:p>
    <w:p>
      <w:pPr>
        <w:ind w:right="100" w:firstLine="398"/>
        <w:spacing w:after="0" w:line="330" w:lineRule="auto"/>
        <w:rPr>
          <w:sz w:val="20"/>
          <w:szCs w:val="20"/>
          <w:color w:val="auto"/>
        </w:rPr>
      </w:pPr>
      <w:r>
        <w:rPr>
          <w:rFonts w:ascii="Arial" w:cs="Arial" w:eastAsia="Arial" w:hAnsi="Arial"/>
          <w:sz w:val="15"/>
          <w:szCs w:val="15"/>
          <w:color w:val="auto"/>
        </w:rPr>
        <w:t>Only stockholders of record at the close of business on March 1, 2022 are entitled to notice of, and to vote at, the annual meeting and any adjournments or postponements thereof. A holder of shares of our common stock as of the record date is entitled to one vote at the virtual meeting or by proxy for each share of common stock owned by such holder on all matters properly brought before the annual meeting or at any adjournments or postponements.</w:t>
      </w:r>
    </w:p>
    <w:p>
      <w:pPr>
        <w:spacing w:after="0" w:line="31" w:lineRule="exact"/>
        <w:rPr>
          <w:sz w:val="20"/>
          <w:szCs w:val="20"/>
          <w:color w:val="auto"/>
        </w:rPr>
      </w:pPr>
    </w:p>
    <w:p>
      <w:pPr>
        <w:ind w:right="40" w:firstLine="398"/>
        <w:spacing w:after="0" w:line="267" w:lineRule="auto"/>
        <w:rPr>
          <w:sz w:val="20"/>
          <w:szCs w:val="20"/>
          <w:color w:val="auto"/>
        </w:rPr>
      </w:pPr>
      <w:r>
        <w:rPr>
          <w:rFonts w:ascii="Arial" w:cs="Arial" w:eastAsia="Arial" w:hAnsi="Arial"/>
          <w:sz w:val="17"/>
          <w:szCs w:val="17"/>
          <w:color w:val="auto"/>
        </w:rPr>
        <w:t xml:space="preserve">All of our stockholders are invited to virtually attend the annual meeting. Whether or not you expect to attend the annual meeting, we urge you to complete, sign, date and promptly return the accompanying proxy card in the enclosed postage-paid envelope to assure your representation at the meeting. You may also vote by Internet at </w:t>
      </w:r>
      <w:r>
        <w:rPr>
          <w:rFonts w:ascii="Arial" w:cs="Arial" w:eastAsia="Arial" w:hAnsi="Arial"/>
          <w:sz w:val="17"/>
          <w:szCs w:val="17"/>
          <w:i w:val="1"/>
          <w:iCs w:val="1"/>
          <w:u w:val="single" w:color="auto"/>
          <w:color w:val="auto"/>
        </w:rPr>
        <w:t>www.virtualshareholdermeeting.com/WHG2022</w:t>
      </w:r>
      <w:r>
        <w:rPr>
          <w:rFonts w:ascii="Arial" w:cs="Arial" w:eastAsia="Arial" w:hAnsi="Arial"/>
          <w:sz w:val="17"/>
          <w:szCs w:val="17"/>
          <w:color w:val="auto"/>
        </w:rPr>
        <w:t xml:space="preserve"> using the control number shown on your proxy card or voting instruction card. You can revoke your proxy at any time before it is voted by delivering written notice to our Corporate Secretary at our principal executive office located at 200 Crescent Court, Suite 1200, Dallas, Texas 75201, by signing and mailing to us a proxy bearing a later date, by changing your vote by Internet (if you voted by Internet) or by virtually attending the annual meeting and voting then.</w:t>
      </w:r>
    </w:p>
    <w:p>
      <w:pPr>
        <w:spacing w:after="0" w:line="75" w:lineRule="exact"/>
        <w:rPr>
          <w:sz w:val="20"/>
          <w:szCs w:val="20"/>
          <w:color w:val="auto"/>
        </w:rPr>
      </w:pPr>
    </w:p>
    <w:p>
      <w:pPr>
        <w:ind w:firstLine="398"/>
        <w:spacing w:after="0" w:line="304" w:lineRule="auto"/>
        <w:rPr>
          <w:sz w:val="20"/>
          <w:szCs w:val="20"/>
          <w:color w:val="auto"/>
        </w:rPr>
      </w:pPr>
      <w:r>
        <w:rPr>
          <w:rFonts w:ascii="Arial" w:cs="Arial" w:eastAsia="Arial" w:hAnsi="Arial"/>
          <w:sz w:val="15"/>
          <w:szCs w:val="15"/>
          <w:color w:val="auto"/>
        </w:rPr>
        <w:t>If you are the beneficial owner of shares of our common stock held in street name, you will receive voting instructions from your broker, bank or other nominee (who must be the stockholder of record). The voting instructions will provide details regarding how to vote these shares. Additionally, you may vote these shares at the virtual annual meeting if you have requested and received a legal proxy from your broker, bank or other nominee giving you the right to vote the shares at the annual meeting, and you complete the legal proxy and present it to us electronically at the annual meeting. Pursuant to the New York Stock Exchange ("NYSE") rules, if you hold your shares in street name, nominees will not have discretion to vote these shares on the election of directors, the approval of the First Amendment to the Eighth Amended and Restated Westwood Holdings Group, Inc. Stock Incentive Plan, and the matter pertaining to executive compensation. Accordingly, if your shares are held in street name and you do not submit voting instructions to your broker, bank or other nominee, these shares will not be counted in determining the outcome on Proposals 1, 3, 4 and 5 set forth in this proxy statement at the annual meeting. If you hold your shares in street name, we encourage you to provide voting instructions to your broker, bank, or other nominee so that your voice is heard on these proposals.</w:t>
      </w:r>
    </w:p>
    <w:p>
      <w:pPr>
        <w:spacing w:after="0" w:line="5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This proxy statement and proxy card are being mailed to our stockholders on or about March 22, 2022.</w:t>
      </w:r>
    </w:p>
    <w:p>
      <w:pPr>
        <w:spacing w:after="0" w:line="111"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220"/>
          </w:cols>
          <w:pgMar w:left="320" w:top="439" w:right="359" w:bottom="1440" w:gutter="0" w:footer="0" w:header="0"/>
        </w:sectPr>
      </w:pPr>
    </w:p>
    <w:bookmarkStart w:id="6" w:name="page7"/>
    <w:bookmarkEnd w:id="6"/>
    <w:p>
      <w:pPr>
        <w:jc w:val="center"/>
        <w:ind w:right="-239"/>
        <w:spacing w:after="0"/>
        <w:rPr>
          <w:sz w:val="20"/>
          <w:szCs w:val="20"/>
          <w:color w:val="auto"/>
        </w:rPr>
      </w:pPr>
      <w:r>
        <w:rPr>
          <w:rFonts w:ascii="Arial" w:cs="Arial" w:eastAsia="Arial" w:hAnsi="Arial"/>
          <w:sz w:val="18"/>
          <w:szCs w:val="18"/>
          <w:b w:val="1"/>
          <w:bCs w:val="1"/>
          <w:color w:val="auto"/>
        </w:rPr>
        <w:t>NOTICE OF INTERNET AVAILABILITY OF PROXY MATERIALS</w:t>
      </w:r>
    </w:p>
    <w:p>
      <w:pPr>
        <w:spacing w:after="0" w:line="11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Important Notice Regarding Internet Availability of Proxy Materials for the Stockholder Meeting to be Held on April 27, 2022</w:t>
      </w:r>
    </w:p>
    <w:p>
      <w:pPr>
        <w:spacing w:after="0" w:line="200" w:lineRule="exact"/>
        <w:rPr>
          <w:sz w:val="20"/>
          <w:szCs w:val="20"/>
          <w:color w:val="auto"/>
        </w:rPr>
      </w:pPr>
    </w:p>
    <w:p>
      <w:pPr>
        <w:spacing w:after="0" w:line="262" w:lineRule="exact"/>
        <w:rPr>
          <w:sz w:val="20"/>
          <w:szCs w:val="20"/>
          <w:color w:val="auto"/>
        </w:rPr>
      </w:pPr>
    </w:p>
    <w:p>
      <w:pPr>
        <w:ind w:firstLine="398"/>
        <w:spacing w:after="0" w:line="330" w:lineRule="auto"/>
        <w:rPr>
          <w:sz w:val="20"/>
          <w:szCs w:val="20"/>
          <w:color w:val="auto"/>
        </w:rPr>
      </w:pPr>
      <w:r>
        <w:rPr>
          <w:rFonts w:ascii="Arial" w:cs="Arial" w:eastAsia="Arial" w:hAnsi="Arial"/>
          <w:sz w:val="15"/>
          <w:szCs w:val="15"/>
          <w:color w:val="auto"/>
        </w:rPr>
        <w:t xml:space="preserve">The proxy materials for the Company's Annual Meeting of Stockholders, including the 2021 Annual Report to Stockholders, the Proxy Statement and any other additional soliciting materials, are available over the Internet by accessing our website at </w:t>
      </w:r>
      <w:r>
        <w:rPr>
          <w:rFonts w:ascii="Arial" w:cs="Arial" w:eastAsia="Arial" w:hAnsi="Arial"/>
          <w:sz w:val="15"/>
          <w:szCs w:val="15"/>
          <w:i w:val="1"/>
          <w:iCs w:val="1"/>
          <w:color w:val="auto"/>
        </w:rPr>
        <w:t>https://westwoodgroup.com/investor-relations/annual-reports/</w:t>
      </w:r>
      <w:r>
        <w:rPr>
          <w:rFonts w:ascii="Arial" w:cs="Arial" w:eastAsia="Arial" w:hAnsi="Arial"/>
          <w:sz w:val="15"/>
          <w:szCs w:val="15"/>
          <w:color w:val="auto"/>
        </w:rPr>
        <w:t>. Other information on our website does not constitute part of the Company's proxy materials.</w:t>
      </w:r>
    </w:p>
    <w:p>
      <w:pPr>
        <w:spacing w:after="0" w:line="124" w:lineRule="exact"/>
        <w:rPr>
          <w:sz w:val="20"/>
          <w:szCs w:val="20"/>
          <w:color w:val="auto"/>
        </w:rPr>
      </w:pPr>
    </w:p>
    <w:p>
      <w:pPr>
        <w:ind w:left="60"/>
        <w:spacing w:after="0"/>
        <w:rPr>
          <w:sz w:val="20"/>
          <w:szCs w:val="20"/>
          <w:color w:val="auto"/>
        </w:rPr>
      </w:pPr>
      <w:r>
        <w:rPr>
          <w:rFonts w:ascii="Arial" w:cs="Arial" w:eastAsia="Arial" w:hAnsi="Arial"/>
          <w:sz w:val="18"/>
          <w:szCs w:val="18"/>
          <w:color w:val="auto"/>
        </w:rPr>
        <w:t>By Order of the Board of Directors</w:t>
      </w:r>
    </w:p>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Westwood Holdings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61595</wp:posOffset>
            </wp:positionV>
            <wp:extent cx="960120" cy="3200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60120" cy="320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Brian O. Casey</w:t>
      </w:r>
    </w:p>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5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000"/>
          </w:cols>
          <w:pgMar w:left="320" w:top="678" w:right="579" w:bottom="1440" w:gutter="0" w:footer="0" w:header="0"/>
        </w:sectPr>
      </w:pPr>
    </w:p>
    <w:bookmarkStart w:id="7" w:name="page8"/>
    <w:bookmarkEnd w:id="7"/>
    <w:p>
      <w:pPr>
        <w:jc w:val="center"/>
        <w:ind w:right="-39"/>
        <w:spacing w:after="0"/>
        <w:rPr>
          <w:sz w:val="20"/>
          <w:szCs w:val="20"/>
          <w:color w:val="auto"/>
        </w:rPr>
      </w:pPr>
      <w:r>
        <w:rPr>
          <w:rFonts w:ascii="Arial" w:cs="Arial" w:eastAsia="Arial" w:hAnsi="Arial"/>
          <w:sz w:val="18"/>
          <w:szCs w:val="18"/>
          <w:b w:val="1"/>
          <w:bCs w:val="1"/>
          <w:color w:val="auto"/>
        </w:rPr>
        <w:t>WESTWOOD HOLDINGS GROUP, INC.</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PROXY STATEMENT FOR</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2022 ANNUAL MEETING OF STOCKHOLDERS</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TO BE HELD ON April 27, 2022</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GENERAL QUESTIONS AND ANSWERS</w:t>
      </w:r>
    </w:p>
    <w:p>
      <w:pPr>
        <w:spacing w:after="0" w:line="117" w:lineRule="exact"/>
        <w:rPr>
          <w:sz w:val="20"/>
          <w:szCs w:val="20"/>
          <w:color w:val="auto"/>
        </w:rPr>
      </w:pPr>
    </w:p>
    <w:p>
      <w:pPr>
        <w:ind w:firstLine="398"/>
        <w:spacing w:after="0" w:line="319" w:lineRule="auto"/>
        <w:rPr>
          <w:sz w:val="20"/>
          <w:szCs w:val="20"/>
          <w:color w:val="auto"/>
        </w:rPr>
      </w:pPr>
      <w:r>
        <w:rPr>
          <w:rFonts w:ascii="Arial" w:cs="Arial" w:eastAsia="Arial" w:hAnsi="Arial"/>
          <w:sz w:val="15"/>
          <w:szCs w:val="15"/>
          <w:color w:val="auto"/>
        </w:rPr>
        <w:t>The following questions and answers are intended to provide brief answers to frequently asked questions concerning the proposals described in this proxy statement and the proxy solicitation process. These questions and answers do not, and are not intended to, address all the questions that may be important to you. You should carefully read the remainder of this proxy statement. This proxy statement and the accompanying proxy card are being mailed to the stockholders of Westwood Holdings Group, Inc. ("Westwood," the "Company," "we," "us" or "our") on or about March 22, 2022.</w:t>
      </w: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THE ANNUAL MEETING</w:t>
      </w:r>
    </w:p>
    <w:p>
      <w:pPr>
        <w:spacing w:after="0" w:line="151" w:lineRule="exact"/>
        <w:rPr>
          <w:sz w:val="20"/>
          <w:szCs w:val="20"/>
          <w:color w:val="auto"/>
        </w:rPr>
      </w:pPr>
    </w:p>
    <w:p>
      <w:pPr>
        <w:ind w:left="540" w:hanging="472"/>
        <w:spacing w:after="0"/>
        <w:tabs>
          <w:tab w:leader="none" w:pos="540" w:val="left"/>
        </w:tabs>
        <w:numPr>
          <w:ilvl w:val="1"/>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When and where is the annual meeting?</w:t>
      </w:r>
    </w:p>
    <w:p>
      <w:pPr>
        <w:spacing w:after="0" w:line="200" w:lineRule="exact"/>
        <w:rPr>
          <w:rFonts w:ascii="Arial" w:cs="Arial" w:eastAsia="Arial" w:hAnsi="Arial"/>
          <w:sz w:val="18"/>
          <w:szCs w:val="18"/>
          <w:b w:val="1"/>
          <w:bCs w:val="1"/>
          <w:color w:val="auto"/>
        </w:rPr>
      </w:pPr>
    </w:p>
    <w:p>
      <w:pPr>
        <w:spacing w:after="0" w:line="288" w:lineRule="exact"/>
        <w:rPr>
          <w:rFonts w:ascii="Arial" w:cs="Arial" w:eastAsia="Arial" w:hAnsi="Arial"/>
          <w:sz w:val="18"/>
          <w:szCs w:val="18"/>
          <w:b w:val="1"/>
          <w:bCs w:val="1"/>
          <w:color w:val="auto"/>
        </w:rPr>
      </w:pPr>
    </w:p>
    <w:p>
      <w:pPr>
        <w:ind w:left="480" w:right="3380" w:hanging="456"/>
        <w:spacing w:after="0" w:line="249" w:lineRule="auto"/>
        <w:tabs>
          <w:tab w:leader="none" w:pos="48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 xml:space="preserve">The annual meeting will be held virtually on Wednesday, April 27, 2022, at 10:00 a.m., Central Time, at </w:t>
      </w:r>
      <w:r>
        <w:rPr>
          <w:rFonts w:ascii="Arial" w:cs="Arial" w:eastAsia="Arial" w:hAnsi="Arial"/>
          <w:sz w:val="18"/>
          <w:szCs w:val="18"/>
          <w:i w:val="1"/>
          <w:iCs w:val="1"/>
          <w:u w:val="single" w:color="auto"/>
          <w:color w:val="auto"/>
        </w:rPr>
        <w:t>www.virtualshareholdermeeting.com/WHG2022.</w:t>
      </w:r>
    </w:p>
    <w:p>
      <w:pPr>
        <w:spacing w:after="0" w:line="214" w:lineRule="exact"/>
        <w:rPr>
          <w:rFonts w:ascii="Arial" w:cs="Arial" w:eastAsia="Arial" w:hAnsi="Arial"/>
          <w:sz w:val="18"/>
          <w:szCs w:val="18"/>
          <w:b w:val="1"/>
          <w:bCs w:val="1"/>
          <w:color w:val="auto"/>
        </w:rPr>
      </w:pPr>
    </w:p>
    <w:p>
      <w:pPr>
        <w:ind w:left="540" w:hanging="472"/>
        <w:spacing w:after="0"/>
        <w:tabs>
          <w:tab w:leader="none" w:pos="540" w:val="left"/>
        </w:tabs>
        <w:numPr>
          <w:ilvl w:val="1"/>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What am I being asked to vote on?</w:t>
      </w:r>
    </w:p>
    <w:p>
      <w:pPr>
        <w:spacing w:after="0" w:line="200" w:lineRule="exact"/>
        <w:rPr>
          <w:sz w:val="20"/>
          <w:szCs w:val="20"/>
          <w:color w:val="auto"/>
        </w:rPr>
      </w:pPr>
    </w:p>
    <w:p>
      <w:pPr>
        <w:spacing w:after="0" w:line="276" w:lineRule="exact"/>
        <w:rPr>
          <w:sz w:val="20"/>
          <w:szCs w:val="20"/>
          <w:color w:val="auto"/>
        </w:rPr>
      </w:pPr>
    </w:p>
    <w:p>
      <w:pPr>
        <w:ind w:left="520" w:hanging="496"/>
        <w:spacing w:after="0"/>
        <w:tabs>
          <w:tab w:leader="none" w:pos="52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Our stockholders are being asked to vote on the following proposals at the annual meeting:</w:t>
      </w:r>
    </w:p>
    <w:p>
      <w:pPr>
        <w:spacing w:after="0" w:line="18" w:lineRule="exact"/>
        <w:rPr>
          <w:rFonts w:ascii="Arial" w:cs="Arial" w:eastAsia="Arial" w:hAnsi="Arial"/>
          <w:sz w:val="18"/>
          <w:szCs w:val="18"/>
          <w:b w:val="1"/>
          <w:bCs w:val="1"/>
          <w:color w:val="auto"/>
        </w:rPr>
      </w:pPr>
    </w:p>
    <w:p>
      <w:pPr>
        <w:ind w:left="1080" w:right="60" w:hanging="565"/>
        <w:spacing w:after="0" w:line="229" w:lineRule="auto"/>
        <w:tabs>
          <w:tab w:leader="none" w:pos="1080" w:val="left"/>
        </w:tabs>
        <w:numPr>
          <w:ilvl w:val="2"/>
          <w:numId w:val="9"/>
        </w:numPr>
        <w:rPr>
          <w:rFonts w:ascii="Arial" w:cs="Arial" w:eastAsia="Arial" w:hAnsi="Arial"/>
          <w:sz w:val="18"/>
          <w:szCs w:val="18"/>
          <w:color w:val="auto"/>
        </w:rPr>
      </w:pPr>
      <w:r>
        <w:rPr>
          <w:rFonts w:ascii="Arial" w:cs="Arial" w:eastAsia="Arial" w:hAnsi="Arial"/>
          <w:sz w:val="18"/>
          <w:szCs w:val="18"/>
          <w:color w:val="auto"/>
        </w:rPr>
        <w:t>Proposal 1 - To elect six directors to hold office until the next annual meeting of Westwood’s stockholders and until their respective successors shall have been duly elected and qualified; and</w:t>
      </w:r>
    </w:p>
    <w:p>
      <w:pPr>
        <w:spacing w:after="0" w:line="2" w:lineRule="exact"/>
        <w:rPr>
          <w:rFonts w:ascii="Arial" w:cs="Arial" w:eastAsia="Arial" w:hAnsi="Arial"/>
          <w:sz w:val="18"/>
          <w:szCs w:val="18"/>
          <w:color w:val="auto"/>
        </w:rPr>
      </w:pPr>
    </w:p>
    <w:p>
      <w:pPr>
        <w:ind w:left="1080" w:right="660" w:hanging="565"/>
        <w:spacing w:after="0" w:line="229" w:lineRule="auto"/>
        <w:tabs>
          <w:tab w:leader="none" w:pos="1080" w:val="left"/>
        </w:tabs>
        <w:numPr>
          <w:ilvl w:val="2"/>
          <w:numId w:val="9"/>
        </w:numPr>
        <w:rPr>
          <w:rFonts w:ascii="Arial" w:cs="Arial" w:eastAsia="Arial" w:hAnsi="Arial"/>
          <w:sz w:val="18"/>
          <w:szCs w:val="18"/>
          <w:color w:val="auto"/>
        </w:rPr>
      </w:pPr>
      <w:r>
        <w:rPr>
          <w:rFonts w:ascii="Arial" w:cs="Arial" w:eastAsia="Arial" w:hAnsi="Arial"/>
          <w:sz w:val="18"/>
          <w:szCs w:val="18"/>
          <w:color w:val="auto"/>
        </w:rPr>
        <w:t>Proposal 2 - To ratify the appointment of Deloitte &amp; Touche LLP ("Deloitte") as Westwood’s independent auditors for the year ending December 31, 2022; and</w:t>
      </w:r>
    </w:p>
    <w:p>
      <w:pPr>
        <w:spacing w:after="0" w:line="2" w:lineRule="exact"/>
        <w:rPr>
          <w:rFonts w:ascii="Arial" w:cs="Arial" w:eastAsia="Arial" w:hAnsi="Arial"/>
          <w:sz w:val="18"/>
          <w:szCs w:val="18"/>
          <w:color w:val="auto"/>
        </w:rPr>
      </w:pPr>
    </w:p>
    <w:p>
      <w:pPr>
        <w:ind w:left="1080" w:hanging="565"/>
        <w:spacing w:after="0"/>
        <w:tabs>
          <w:tab w:leader="none" w:pos="1080" w:val="left"/>
        </w:tabs>
        <w:numPr>
          <w:ilvl w:val="2"/>
          <w:numId w:val="9"/>
        </w:numPr>
        <w:rPr>
          <w:rFonts w:ascii="Arial" w:cs="Arial" w:eastAsia="Arial" w:hAnsi="Arial"/>
          <w:sz w:val="15"/>
          <w:szCs w:val="15"/>
          <w:color w:val="auto"/>
        </w:rPr>
      </w:pPr>
      <w:r>
        <w:rPr>
          <w:rFonts w:ascii="Arial" w:cs="Arial" w:eastAsia="Arial" w:hAnsi="Arial"/>
          <w:sz w:val="15"/>
          <w:szCs w:val="15"/>
          <w:color w:val="auto"/>
        </w:rPr>
        <w:t>Proposal 3 - To approve the First Amendment to the Eighth Amended and Restated Westwood Holdings Group, Inc. Stock Incentive Plan; and</w:t>
      </w:r>
    </w:p>
    <w:p>
      <w:pPr>
        <w:spacing w:after="0" w:line="53" w:lineRule="exact"/>
        <w:rPr>
          <w:rFonts w:ascii="Arial" w:cs="Arial" w:eastAsia="Arial" w:hAnsi="Arial"/>
          <w:sz w:val="15"/>
          <w:szCs w:val="15"/>
          <w:color w:val="auto"/>
        </w:rPr>
      </w:pPr>
    </w:p>
    <w:p>
      <w:pPr>
        <w:ind w:left="1080" w:hanging="565"/>
        <w:spacing w:after="0"/>
        <w:tabs>
          <w:tab w:leader="none" w:pos="1080" w:val="left"/>
        </w:tabs>
        <w:numPr>
          <w:ilvl w:val="2"/>
          <w:numId w:val="9"/>
        </w:numPr>
        <w:rPr>
          <w:rFonts w:ascii="Arial" w:cs="Arial" w:eastAsia="Arial" w:hAnsi="Arial"/>
          <w:sz w:val="18"/>
          <w:szCs w:val="18"/>
          <w:color w:val="auto"/>
        </w:rPr>
      </w:pPr>
      <w:r>
        <w:rPr>
          <w:rFonts w:ascii="Arial" w:cs="Arial" w:eastAsia="Arial" w:hAnsi="Arial"/>
          <w:sz w:val="18"/>
          <w:szCs w:val="18"/>
          <w:color w:val="auto"/>
        </w:rPr>
        <w:t>Proposal 4 - To cast a non-binding, advisory vote on the Company's executive compensation; and</w:t>
      </w:r>
    </w:p>
    <w:p>
      <w:pPr>
        <w:spacing w:after="0" w:line="18" w:lineRule="exact"/>
        <w:rPr>
          <w:rFonts w:ascii="Arial" w:cs="Arial" w:eastAsia="Arial" w:hAnsi="Arial"/>
          <w:sz w:val="18"/>
          <w:szCs w:val="18"/>
          <w:color w:val="auto"/>
        </w:rPr>
      </w:pPr>
    </w:p>
    <w:p>
      <w:pPr>
        <w:ind w:left="1080" w:right="60" w:hanging="565"/>
        <w:spacing w:after="0" w:line="229" w:lineRule="auto"/>
        <w:tabs>
          <w:tab w:leader="none" w:pos="1080" w:val="left"/>
        </w:tabs>
        <w:numPr>
          <w:ilvl w:val="2"/>
          <w:numId w:val="9"/>
        </w:numPr>
        <w:rPr>
          <w:rFonts w:ascii="Arial" w:cs="Arial" w:eastAsia="Arial" w:hAnsi="Arial"/>
          <w:sz w:val="18"/>
          <w:szCs w:val="18"/>
          <w:color w:val="auto"/>
        </w:rPr>
      </w:pPr>
      <w:r>
        <w:rPr>
          <w:rFonts w:ascii="Arial" w:cs="Arial" w:eastAsia="Arial" w:hAnsi="Arial"/>
          <w:sz w:val="18"/>
          <w:szCs w:val="18"/>
          <w:color w:val="auto"/>
        </w:rPr>
        <w:t>Proposal 5 - To approve amendments to the Company’s Amended and Restated Certificate of Incorporation, as amended (the "Certificate of Incorporation" or the "Certificate"), to eliminate supermajority voting requirements to amend the Certificate and the Company’s Amended and Restated Bylaws, as amended (the "Bylaws").</w:t>
      </w:r>
    </w:p>
    <w:p>
      <w:pPr>
        <w:spacing w:after="0" w:line="237" w:lineRule="exact"/>
        <w:rPr>
          <w:rFonts w:ascii="Arial" w:cs="Arial" w:eastAsia="Arial" w:hAnsi="Arial"/>
          <w:sz w:val="18"/>
          <w:szCs w:val="18"/>
          <w:color w:val="auto"/>
        </w:rPr>
      </w:pPr>
    </w:p>
    <w:p>
      <w:pPr>
        <w:ind w:left="540" w:hanging="472"/>
        <w:spacing w:after="0"/>
        <w:tabs>
          <w:tab w:leader="none" w:pos="540" w:val="left"/>
        </w:tabs>
        <w:numPr>
          <w:ilvl w:val="1"/>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How does the Board of Directors recommend that I vote?</w:t>
      </w:r>
    </w:p>
    <w:p>
      <w:pPr>
        <w:spacing w:after="0" w:line="200" w:lineRule="exact"/>
        <w:rPr>
          <w:sz w:val="20"/>
          <w:szCs w:val="20"/>
          <w:color w:val="auto"/>
        </w:rPr>
      </w:pPr>
    </w:p>
    <w:p>
      <w:pPr>
        <w:spacing w:after="0" w:line="262" w:lineRule="exact"/>
        <w:rPr>
          <w:sz w:val="20"/>
          <w:szCs w:val="20"/>
          <w:color w:val="auto"/>
        </w:rPr>
      </w:pPr>
    </w:p>
    <w:p>
      <w:pPr>
        <w:ind w:left="480" w:hanging="456"/>
        <w:spacing w:after="0"/>
        <w:tabs>
          <w:tab w:leader="none" w:pos="480" w:val="left"/>
        </w:tabs>
        <w:numPr>
          <w:ilvl w:val="0"/>
          <w:numId w:val="10"/>
        </w:numPr>
        <w:rPr>
          <w:rFonts w:ascii="Arial" w:cs="Arial" w:eastAsia="Arial" w:hAnsi="Arial"/>
          <w:sz w:val="15"/>
          <w:szCs w:val="15"/>
          <w:b w:val="1"/>
          <w:bCs w:val="1"/>
          <w:color w:val="auto"/>
        </w:rPr>
      </w:pPr>
      <w:r>
        <w:rPr>
          <w:rFonts w:ascii="Arial" w:cs="Arial" w:eastAsia="Arial" w:hAnsi="Arial"/>
          <w:sz w:val="15"/>
          <w:szCs w:val="15"/>
          <w:color w:val="auto"/>
        </w:rPr>
        <w:t>The Board of Directors recommends that you vote your shares (i) "FOR" each of the six director nominees for election to the Board of Directors,</w:t>
      </w:r>
    </w:p>
    <w:p>
      <w:pPr>
        <w:spacing w:after="0" w:line="27" w:lineRule="exact"/>
        <w:rPr>
          <w:rFonts w:ascii="Arial" w:cs="Arial" w:eastAsia="Arial" w:hAnsi="Arial"/>
          <w:sz w:val="15"/>
          <w:szCs w:val="15"/>
          <w:b w:val="1"/>
          <w:bCs w:val="1"/>
          <w:color w:val="auto"/>
        </w:rPr>
      </w:pPr>
    </w:p>
    <w:p>
      <w:pPr>
        <w:ind w:left="480" w:right="60"/>
        <w:spacing w:after="0" w:line="235" w:lineRule="auto"/>
        <w:rPr>
          <w:rFonts w:ascii="Arial" w:cs="Arial" w:eastAsia="Arial" w:hAnsi="Arial"/>
          <w:sz w:val="15"/>
          <w:szCs w:val="15"/>
          <w:b w:val="1"/>
          <w:bCs w:val="1"/>
          <w:color w:val="auto"/>
        </w:rPr>
      </w:pPr>
      <w:r>
        <w:rPr>
          <w:rFonts w:ascii="Arial" w:cs="Arial" w:eastAsia="Arial" w:hAnsi="Arial"/>
          <w:sz w:val="17"/>
          <w:szCs w:val="17"/>
          <w:color w:val="auto"/>
        </w:rPr>
        <w:t>(ii) "FOR" the ratification of the appointment of Deloitte as Westwood’s independent auditors for the year ending December 31, 2022, (iii) "FOR" the approval of the First Amendment to the Eighth Amended and Restated Westwood Holdings Group, Inc. Stock Incentive Plan, (iv) "FOR" the approval, on a non-binding, advisory basis, of the Company’s executive compensation, and (v) "FOR" the approval of amendments to the Certificate of Incorporation to eliminate supermajority voting requirements to amend the Certificate and the Bylaws.</w:t>
      </w:r>
    </w:p>
    <w:p>
      <w:pPr>
        <w:spacing w:after="0" w:line="16" w:lineRule="exact"/>
        <w:rPr>
          <w:sz w:val="20"/>
          <w:szCs w:val="20"/>
          <w:color w:val="auto"/>
        </w:rPr>
      </w:pPr>
    </w:p>
    <w:p>
      <w:pPr>
        <w:ind w:left="480" w:right="280"/>
        <w:spacing w:after="0" w:line="229" w:lineRule="auto"/>
        <w:rPr>
          <w:sz w:val="20"/>
          <w:szCs w:val="20"/>
          <w:color w:val="auto"/>
        </w:rPr>
      </w:pPr>
      <w:r>
        <w:rPr>
          <w:rFonts w:ascii="Arial" w:cs="Arial" w:eastAsia="Arial" w:hAnsi="Arial"/>
          <w:sz w:val="18"/>
          <w:szCs w:val="18"/>
          <w:color w:val="auto"/>
        </w:rPr>
        <w:t>If you submit your properly executed proxy without voting instructions, your shares represented by that proxy will be voted as recommended by the Board of Directors.</w:t>
      </w:r>
    </w:p>
    <w:p>
      <w:pPr>
        <w:spacing w:after="0" w:line="222" w:lineRule="exact"/>
        <w:rPr>
          <w:sz w:val="20"/>
          <w:szCs w:val="20"/>
          <w:color w:val="auto"/>
        </w:rPr>
      </w:pPr>
    </w:p>
    <w:p>
      <w:pPr>
        <w:ind w:left="540" w:hanging="472"/>
        <w:spacing w:after="0"/>
        <w:tabs>
          <w:tab w:leader="none" w:pos="540" w:val="left"/>
        </w:tabs>
        <w:numPr>
          <w:ilvl w:val="1"/>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Who is entitled to vote at the annual meeting?</w:t>
      </w:r>
    </w:p>
    <w:p>
      <w:pPr>
        <w:spacing w:after="0" w:line="200" w:lineRule="exact"/>
        <w:rPr>
          <w:rFonts w:ascii="Arial" w:cs="Arial" w:eastAsia="Arial" w:hAnsi="Arial"/>
          <w:sz w:val="18"/>
          <w:szCs w:val="18"/>
          <w:b w:val="1"/>
          <w:bCs w:val="1"/>
          <w:color w:val="auto"/>
        </w:rPr>
      </w:pPr>
    </w:p>
    <w:p>
      <w:pPr>
        <w:spacing w:after="0" w:line="275" w:lineRule="exact"/>
        <w:rPr>
          <w:rFonts w:ascii="Arial" w:cs="Arial" w:eastAsia="Arial" w:hAnsi="Arial"/>
          <w:sz w:val="18"/>
          <w:szCs w:val="18"/>
          <w:b w:val="1"/>
          <w:bCs w:val="1"/>
          <w:color w:val="auto"/>
        </w:rPr>
      </w:pPr>
    </w:p>
    <w:p>
      <w:pPr>
        <w:ind w:left="480" w:right="120" w:hanging="456"/>
        <w:spacing w:after="0" w:line="263" w:lineRule="auto"/>
        <w:tabs>
          <w:tab w:leader="none" w:pos="480" w:val="left"/>
        </w:tabs>
        <w:numPr>
          <w:ilvl w:val="0"/>
          <w:numId w:val="12"/>
        </w:numPr>
        <w:rPr>
          <w:rFonts w:ascii="Arial" w:cs="Arial" w:eastAsia="Arial" w:hAnsi="Arial"/>
          <w:sz w:val="15"/>
          <w:szCs w:val="15"/>
          <w:b w:val="1"/>
          <w:bCs w:val="1"/>
          <w:color w:val="auto"/>
        </w:rPr>
      </w:pPr>
      <w:r>
        <w:rPr>
          <w:rFonts w:ascii="Arial" w:cs="Arial" w:eastAsia="Arial" w:hAnsi="Arial"/>
          <w:sz w:val="15"/>
          <w:szCs w:val="15"/>
          <w:color w:val="auto"/>
        </w:rPr>
        <w:t>Stockholders of record at the close of business on March 1, 2022 (the "record date") are entitled to notice of, and to vote at, the virtual annual meeting and any adjournments or postponements thereof. A holder of shares of our common stock as of the record date is entitled to one vote at the meeting or by proxy for each share of common stock owned by such holder on all matters properly brought before the annual meeting or at any adjournments or postponements thereof. As of March 1, 2022, there were 8,587,606 shares of common stock outstanding and entitled to vote on each of the proposals.</w:t>
      </w:r>
    </w:p>
    <w:p>
      <w:pPr>
        <w:spacing w:after="0" w:line="200" w:lineRule="exact"/>
        <w:rPr>
          <w:sz w:val="20"/>
          <w:szCs w:val="20"/>
          <w:color w:val="auto"/>
        </w:rPr>
      </w:pPr>
    </w:p>
    <w:p>
      <w:pPr>
        <w:spacing w:after="0" w:line="205" w:lineRule="exact"/>
        <w:rPr>
          <w:sz w:val="20"/>
          <w:szCs w:val="20"/>
          <w:color w:val="auto"/>
        </w:rPr>
      </w:pPr>
    </w:p>
    <w:p>
      <w:pPr>
        <w:ind w:left="500" w:hanging="476"/>
        <w:spacing w:after="0"/>
        <w:tabs>
          <w:tab w:leader="none" w:pos="50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What constitutes a quorum?</w:t>
      </w: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20"/>
          </w:cols>
          <w:pgMar w:left="320" w:top="546" w:right="359" w:bottom="1440" w:gutter="0" w:footer="0" w:header="0"/>
        </w:sectPr>
      </w:pPr>
    </w:p>
    <w:bookmarkStart w:id="8" w:name="page9"/>
    <w:bookmarkEnd w:id="8"/>
    <w:p>
      <w:pPr>
        <w:ind w:left="460" w:right="180" w:hanging="456"/>
        <w:spacing w:after="0" w:line="275" w:lineRule="auto"/>
        <w:tabs>
          <w:tab w:leader="none" w:pos="460" w:val="left"/>
        </w:tabs>
        <w:numPr>
          <w:ilvl w:val="0"/>
          <w:numId w:val="14"/>
        </w:numPr>
        <w:rPr>
          <w:rFonts w:ascii="Arial" w:cs="Arial" w:eastAsia="Arial" w:hAnsi="Arial"/>
          <w:sz w:val="15"/>
          <w:szCs w:val="15"/>
          <w:b w:val="1"/>
          <w:bCs w:val="1"/>
          <w:color w:val="auto"/>
        </w:rPr>
      </w:pPr>
      <w:r>
        <w:rPr>
          <w:rFonts w:ascii="Arial" w:cs="Arial" w:eastAsia="Arial" w:hAnsi="Arial"/>
          <w:sz w:val="15"/>
          <w:szCs w:val="15"/>
          <w:color w:val="auto"/>
        </w:rPr>
        <w:t>We must have a quorum in order to carry out the business of the annual meeting. This means at least a majority of the shares of common stock outstanding as of the record date must be represented at the annual meeting, either by proxy or virtually. Abstentions and broker non-votes, which are described in more detail below, are counted as shares present at the annual meeting for purposes of determining whether a quorum exists.</w:t>
      </w:r>
    </w:p>
    <w:p>
      <w:pPr>
        <w:spacing w:after="0" w:line="197" w:lineRule="exact"/>
        <w:rPr>
          <w:rFonts w:ascii="Arial" w:cs="Arial" w:eastAsia="Arial" w:hAnsi="Arial"/>
          <w:sz w:val="15"/>
          <w:szCs w:val="15"/>
          <w:b w:val="1"/>
          <w:bCs w:val="1"/>
          <w:color w:val="auto"/>
        </w:rPr>
      </w:pPr>
    </w:p>
    <w:p>
      <w:pPr>
        <w:ind w:left="520" w:hanging="472"/>
        <w:spacing w:after="0"/>
        <w:tabs>
          <w:tab w:leader="none" w:pos="520" w:val="left"/>
        </w:tabs>
        <w:numPr>
          <w:ilvl w:val="1"/>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difference between holding shares as a "stockholder of record" and as a "beneficial owner"?</w:t>
      </w:r>
    </w:p>
    <w:p>
      <w:pPr>
        <w:spacing w:after="0" w:line="200" w:lineRule="exact"/>
        <w:rPr>
          <w:sz w:val="20"/>
          <w:szCs w:val="20"/>
          <w:color w:val="auto"/>
        </w:rPr>
      </w:pPr>
    </w:p>
    <w:p>
      <w:pPr>
        <w:spacing w:after="0" w:line="262" w:lineRule="exact"/>
        <w:rPr>
          <w:sz w:val="20"/>
          <w:szCs w:val="20"/>
          <w:color w:val="auto"/>
        </w:rPr>
      </w:pPr>
    </w:p>
    <w:p>
      <w:pPr>
        <w:ind w:left="460" w:right="80" w:hanging="456"/>
        <w:spacing w:after="0" w:line="219" w:lineRule="auto"/>
        <w:tabs>
          <w:tab w:leader="none" w:pos="4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Stockholder of Record: A stockholder of record holds shares registered directly in the stockholder's name with our transfer agent. As a stockholder of record, you have the right to grant your voting proxy directly to us in accordance with the procedures described below or to vote virtually at the annual meeting.</w:t>
      </w:r>
    </w:p>
    <w:p>
      <w:pPr>
        <w:spacing w:after="0" w:line="3" w:lineRule="exact"/>
        <w:rPr>
          <w:rFonts w:ascii="Arial" w:cs="Arial" w:eastAsia="Arial" w:hAnsi="Arial"/>
          <w:sz w:val="18"/>
          <w:szCs w:val="18"/>
          <w:b w:val="1"/>
          <w:bCs w:val="1"/>
          <w:color w:val="auto"/>
        </w:rPr>
      </w:pPr>
    </w:p>
    <w:p>
      <w:pPr>
        <w:ind w:left="460"/>
        <w:spacing w:after="0" w:line="209" w:lineRule="auto"/>
        <w:rPr>
          <w:rFonts w:ascii="Arial" w:cs="Arial" w:eastAsia="Arial" w:hAnsi="Arial"/>
          <w:sz w:val="18"/>
          <w:szCs w:val="18"/>
          <w:b w:val="1"/>
          <w:bCs w:val="1"/>
          <w:color w:val="auto"/>
        </w:rPr>
      </w:pPr>
      <w:r>
        <w:rPr>
          <w:rFonts w:ascii="Arial" w:cs="Arial" w:eastAsia="Arial" w:hAnsi="Arial"/>
          <w:sz w:val="18"/>
          <w:szCs w:val="18"/>
          <w:color w:val="auto"/>
        </w:rPr>
        <w:t>Beneficial Owner: If your shares are held through a bank, broker or other nominee, you are the "beneficial owner" of shares held in "street name," and these proxy materials are being forwarded to you by your bank, broker or other nominee, which is considered, with respect to those shares, the stockholder of record. As the beneficial owner, you have the right to direct your bank, broker or other nominee on how to vote your shares by completing the instructions provided to you by your bank, broker or other nominee. However, since you are not a stockholder of record, you may not virtually vote these shares at the annual meeting unless you obtain a valid proxy from your bank, broker or other nominee (who must be the stockholder of record) giving you the right to vote the shares.</w:t>
      </w:r>
    </w:p>
    <w:p>
      <w:pPr>
        <w:spacing w:after="0" w:line="225" w:lineRule="exact"/>
        <w:rPr>
          <w:rFonts w:ascii="Arial" w:cs="Arial" w:eastAsia="Arial" w:hAnsi="Arial"/>
          <w:sz w:val="18"/>
          <w:szCs w:val="18"/>
          <w:b w:val="1"/>
          <w:bCs w:val="1"/>
          <w:color w:val="auto"/>
        </w:rPr>
      </w:pPr>
    </w:p>
    <w:p>
      <w:pPr>
        <w:ind w:left="520" w:hanging="472"/>
        <w:spacing w:after="0"/>
        <w:tabs>
          <w:tab w:leader="none" w:pos="520" w:val="left"/>
        </w:tabs>
        <w:numPr>
          <w:ilvl w:val="1"/>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What is a broker non-vote?</w:t>
      </w:r>
    </w:p>
    <w:p>
      <w:pPr>
        <w:spacing w:after="0" w:line="200" w:lineRule="exact"/>
        <w:rPr>
          <w:sz w:val="20"/>
          <w:szCs w:val="20"/>
          <w:color w:val="auto"/>
        </w:rPr>
      </w:pPr>
    </w:p>
    <w:p>
      <w:pPr>
        <w:spacing w:after="0" w:line="276" w:lineRule="exact"/>
        <w:rPr>
          <w:sz w:val="20"/>
          <w:szCs w:val="20"/>
          <w:color w:val="auto"/>
        </w:rPr>
      </w:pPr>
    </w:p>
    <w:p>
      <w:pPr>
        <w:ind w:left="460" w:right="100" w:hanging="456"/>
        <w:spacing w:after="0" w:line="211" w:lineRule="auto"/>
        <w:tabs>
          <w:tab w:leader="none" w:pos="4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Generally, a broker non-vote occurs when a bank, broker or other nominee that holds shares in "street name" for customers is precluded from exercising voting discretion on a particular proposal because (i) the beneficial owner has not instructed the bank, broker or other nominee how to vote, and (ii) the bank, broker or other nominee lacks discretionary voting power to vote such shares. A bank, broker or other nominee does not have discretionary voting power with respect to the approval of "non-routine" matters absent specific voting instructions from the beneficial owners of such shares.</w:t>
      </w:r>
    </w:p>
    <w:p>
      <w:pPr>
        <w:spacing w:after="0" w:line="5" w:lineRule="exact"/>
        <w:rPr>
          <w:rFonts w:ascii="Arial" w:cs="Arial" w:eastAsia="Arial" w:hAnsi="Arial"/>
          <w:sz w:val="18"/>
          <w:szCs w:val="18"/>
          <w:b w:val="1"/>
          <w:bCs w:val="1"/>
          <w:color w:val="auto"/>
        </w:rPr>
      </w:pPr>
    </w:p>
    <w:p>
      <w:pPr>
        <w:ind w:left="460" w:right="20"/>
        <w:spacing w:after="0" w:line="222" w:lineRule="auto"/>
        <w:rPr>
          <w:rFonts w:ascii="Arial" w:cs="Arial" w:eastAsia="Arial" w:hAnsi="Arial"/>
          <w:sz w:val="18"/>
          <w:szCs w:val="18"/>
          <w:b w:val="1"/>
          <w:bCs w:val="1"/>
          <w:color w:val="auto"/>
        </w:rPr>
      </w:pPr>
      <w:r>
        <w:rPr>
          <w:rFonts w:ascii="Arial" w:cs="Arial" w:eastAsia="Arial" w:hAnsi="Arial"/>
          <w:sz w:val="17"/>
          <w:szCs w:val="17"/>
          <w:color w:val="auto"/>
        </w:rPr>
        <w:t>Under applicable rules, Proposals 1, 3, 4 and 5 are considered "non-routine" matters, on which banks, brokers and other nominees are not allowed to vote unless they have received voting instructions from the beneficial owners of such shares. The proposal to ratify the appointment of Deloitte as Westwood’s independent auditors for the year ending December 31, 2022 (Proposal 2) is considered a routine matter on which banks, brokers and other nominees may vote in their discretion on behalf of beneficial owners who have not provided voting instructions. Your bank, broker or other nominee will send you instructions on how you can instruct them to vote on Proposal 2. If you do not provide voting instructions, your bank, broker or other nominee will have discretionary authority to vote your shares with respect to Proposal 2.</w:t>
      </w:r>
    </w:p>
    <w:p>
      <w:pPr>
        <w:spacing w:after="0" w:line="209" w:lineRule="exact"/>
        <w:rPr>
          <w:rFonts w:ascii="Arial" w:cs="Arial" w:eastAsia="Arial" w:hAnsi="Arial"/>
          <w:sz w:val="18"/>
          <w:szCs w:val="18"/>
          <w:b w:val="1"/>
          <w:bCs w:val="1"/>
          <w:color w:val="auto"/>
        </w:rPr>
      </w:pPr>
    </w:p>
    <w:p>
      <w:pPr>
        <w:ind w:left="520" w:hanging="472"/>
        <w:spacing w:after="0"/>
        <w:tabs>
          <w:tab w:leader="none" w:pos="520" w:val="left"/>
        </w:tabs>
        <w:numPr>
          <w:ilvl w:val="1"/>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What vote is required to approve each proposal?</w:t>
      </w:r>
    </w:p>
    <w:p>
      <w:pPr>
        <w:spacing w:after="0" w:line="200" w:lineRule="exact"/>
        <w:rPr>
          <w:sz w:val="20"/>
          <w:szCs w:val="20"/>
          <w:color w:val="auto"/>
        </w:rPr>
      </w:pPr>
    </w:p>
    <w:p>
      <w:pPr>
        <w:spacing w:after="0" w:line="276" w:lineRule="exact"/>
        <w:rPr>
          <w:sz w:val="20"/>
          <w:szCs w:val="20"/>
          <w:color w:val="auto"/>
        </w:rPr>
      </w:pPr>
    </w:p>
    <w:p>
      <w:pPr>
        <w:ind w:left="460" w:hanging="456"/>
        <w:spacing w:after="0" w:line="226" w:lineRule="auto"/>
        <w:tabs>
          <w:tab w:leader="none" w:pos="4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Proposal 1: The election of directors requires the affirmative "FOR" vote of a majority of the shares present in person (or virtually) or represented by proxy and entitled to vote on the election of directors at the annual meeting at which a quorum is present. You may vote "FOR," “AGAINST” or "ABSTAIN" with respect to the election of each director nominee. Abstentions will have the effect of votes “AGAINST” a director nominee and broker non-votes will have no effect on the outcome of the election of directors.</w:t>
      </w:r>
    </w:p>
    <w:p>
      <w:pPr>
        <w:spacing w:after="0" w:line="16" w:lineRule="exact"/>
        <w:rPr>
          <w:rFonts w:ascii="Arial" w:cs="Arial" w:eastAsia="Arial" w:hAnsi="Arial"/>
          <w:sz w:val="18"/>
          <w:szCs w:val="18"/>
          <w:b w:val="1"/>
          <w:bCs w:val="1"/>
          <w:color w:val="auto"/>
        </w:rPr>
      </w:pPr>
    </w:p>
    <w:p>
      <w:pPr>
        <w:ind w:left="460" w:right="40"/>
        <w:spacing w:after="0" w:line="224" w:lineRule="auto"/>
        <w:rPr>
          <w:rFonts w:ascii="Arial" w:cs="Arial" w:eastAsia="Arial" w:hAnsi="Arial"/>
          <w:sz w:val="18"/>
          <w:szCs w:val="18"/>
          <w:b w:val="1"/>
          <w:bCs w:val="1"/>
          <w:color w:val="auto"/>
        </w:rPr>
      </w:pPr>
      <w:r>
        <w:rPr>
          <w:rFonts w:ascii="Arial" w:cs="Arial" w:eastAsia="Arial" w:hAnsi="Arial"/>
          <w:sz w:val="18"/>
          <w:szCs w:val="18"/>
          <w:color w:val="auto"/>
        </w:rPr>
        <w:t>Proposal 2: The ratification of the appointment of Deloitte as Westwood’s independent auditors for the year ending December 31, 2022 requires the affirmative "FOR" vote of a majority of the votes cast at the annual meeting. You may vote "FOR," “AGAINST” or "ABSTAIN" with respect to the ratification of our auditors. This proposal is considered a “routine” matter under applicable rules on which banks, brokers and other nominees may vote in their discretion on behalf of beneficial owners who have not provided voting instructions. Abstentions will have no effect on the outcome of this proposal.</w:t>
      </w:r>
    </w:p>
    <w:p>
      <w:pPr>
        <w:spacing w:after="0" w:line="15" w:lineRule="exact"/>
        <w:rPr>
          <w:rFonts w:ascii="Arial" w:cs="Arial" w:eastAsia="Arial" w:hAnsi="Arial"/>
          <w:sz w:val="18"/>
          <w:szCs w:val="18"/>
          <w:b w:val="1"/>
          <w:bCs w:val="1"/>
          <w:color w:val="auto"/>
        </w:rPr>
      </w:pPr>
    </w:p>
    <w:p>
      <w:pPr>
        <w:ind w:left="460" w:right="20"/>
        <w:spacing w:after="0" w:line="222" w:lineRule="auto"/>
        <w:rPr>
          <w:rFonts w:ascii="Arial" w:cs="Arial" w:eastAsia="Arial" w:hAnsi="Arial"/>
          <w:sz w:val="18"/>
          <w:szCs w:val="18"/>
          <w:b w:val="1"/>
          <w:bCs w:val="1"/>
          <w:color w:val="auto"/>
        </w:rPr>
      </w:pPr>
      <w:r>
        <w:rPr>
          <w:rFonts w:ascii="Arial" w:cs="Arial" w:eastAsia="Arial" w:hAnsi="Arial"/>
          <w:sz w:val="18"/>
          <w:szCs w:val="18"/>
          <w:color w:val="auto"/>
        </w:rPr>
        <w:t>Proposal 3: The approval of the First Amendment to the Eighth Amended and Restated Westwood Holdings Group, Inc. Stock Incentive Plan requires the affirmative "FOR" vote of a majority of the votes cast at the annual meeting. You may vote "FOR," “AGAINST” or "ABSTAIN" with respect to this proposal. As the approval of Proposal 3 is a non-routine matter under applicable rules, your bank, broker or other nominee cannot vote without instructions from you. A broker non-vote is not a vote cast under applicable law or applicable NYSE rules and will have no effect on the outcome of this proposal. An abstention, however, is a vote cast under applicable NYSE rules and, as a result, abstentions will have the effect of votes "AGAINST" this proposal.</w:t>
      </w:r>
    </w:p>
    <w:p>
      <w:pPr>
        <w:spacing w:after="0" w:line="18" w:lineRule="exact"/>
        <w:rPr>
          <w:rFonts w:ascii="Arial" w:cs="Arial" w:eastAsia="Arial" w:hAnsi="Arial"/>
          <w:sz w:val="18"/>
          <w:szCs w:val="18"/>
          <w:b w:val="1"/>
          <w:bCs w:val="1"/>
          <w:color w:val="auto"/>
        </w:rPr>
      </w:pPr>
    </w:p>
    <w:p>
      <w:pPr>
        <w:ind w:left="460" w:right="120"/>
        <w:spacing w:after="0" w:line="239" w:lineRule="auto"/>
        <w:rPr>
          <w:rFonts w:ascii="Arial" w:cs="Arial" w:eastAsia="Arial" w:hAnsi="Arial"/>
          <w:sz w:val="18"/>
          <w:szCs w:val="18"/>
          <w:b w:val="1"/>
          <w:bCs w:val="1"/>
          <w:color w:val="auto"/>
        </w:rPr>
      </w:pPr>
      <w:r>
        <w:rPr>
          <w:rFonts w:ascii="Arial" w:cs="Arial" w:eastAsia="Arial" w:hAnsi="Arial"/>
          <w:sz w:val="17"/>
          <w:szCs w:val="17"/>
          <w:color w:val="auto"/>
        </w:rPr>
        <w:t>Proposal 4: The non-binding, advisory vote on the Company's executive compensation requires the affirmative "FOR" vote of a majority of the votes cast at the annual meeting. You may vote "FOR," “AGAINST” or "ABSTAIN" with respect to this proposal. As the advisory vote on the Company's executive compensation is a non-routine matter under applicable rules, your bank, broker or other nominee cannot vote without instructions from you. Abstentions and broker non-votes will have no effect on the outcome of this proposal.</w:t>
      </w:r>
    </w:p>
    <w:p>
      <w:pPr>
        <w:spacing w:after="0" w:line="17" w:lineRule="exact"/>
        <w:rPr>
          <w:rFonts w:ascii="Arial" w:cs="Arial" w:eastAsia="Arial" w:hAnsi="Arial"/>
          <w:sz w:val="18"/>
          <w:szCs w:val="18"/>
          <w:b w:val="1"/>
          <w:bCs w:val="1"/>
          <w:color w:val="auto"/>
        </w:rPr>
      </w:pPr>
    </w:p>
    <w:p>
      <w:pPr>
        <w:ind w:left="460" w:right="80"/>
        <w:spacing w:after="0" w:line="224" w:lineRule="auto"/>
        <w:rPr>
          <w:rFonts w:ascii="Arial" w:cs="Arial" w:eastAsia="Arial" w:hAnsi="Arial"/>
          <w:sz w:val="18"/>
          <w:szCs w:val="18"/>
          <w:b w:val="1"/>
          <w:bCs w:val="1"/>
          <w:color w:val="auto"/>
        </w:rPr>
      </w:pPr>
      <w:r>
        <w:rPr>
          <w:rFonts w:ascii="Arial" w:cs="Arial" w:eastAsia="Arial" w:hAnsi="Arial"/>
          <w:sz w:val="18"/>
          <w:szCs w:val="18"/>
          <w:color w:val="auto"/>
        </w:rPr>
        <w:t>Proposal 5: The approval of the proposed amendments to the Certificate of Incorporation requires the affirmative "FOR" vote of the holders of not less than two-thirds (2/3) of the voting power of the outstanding shares of common stock. You may vote “FOR,” “AGAINST” or “ABSTAIN” with respect to this proposal. As the approval of the proposed amendments to the Certificate of Incorporation is a non-routine matter under applicable rules, your bank, broker or other nominee cannot vote without instructions from you. Abstentions and broker non-votes will have the effect of votes “AGAINST” this proposal.</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00"/>
          </w:cols>
          <w:pgMar w:left="340" w:top="804" w:right="3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auto"/>
        </w:rPr>
        <w:t>PROCEDURES FOR VOTING</w:t>
      </w:r>
    </w:p>
    <w:p>
      <w:pPr>
        <w:spacing w:after="0" w:line="151" w:lineRule="exact"/>
        <w:rPr>
          <w:sz w:val="20"/>
          <w:szCs w:val="20"/>
          <w:color w:val="auto"/>
        </w:rPr>
      </w:pPr>
    </w:p>
    <w:p>
      <w:pPr>
        <w:ind w:left="540" w:hanging="472"/>
        <w:spacing w:after="0"/>
        <w:tabs>
          <w:tab w:leader="none" w:pos="540" w:val="left"/>
        </w:tabs>
        <w:numPr>
          <w:ilvl w:val="1"/>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Who is entitled to vote?</w:t>
      </w:r>
    </w:p>
    <w:p>
      <w:pPr>
        <w:spacing w:after="0" w:line="200" w:lineRule="exact"/>
        <w:rPr>
          <w:rFonts w:ascii="Arial" w:cs="Arial" w:eastAsia="Arial" w:hAnsi="Arial"/>
          <w:sz w:val="18"/>
          <w:szCs w:val="18"/>
          <w:b w:val="1"/>
          <w:bCs w:val="1"/>
          <w:color w:val="auto"/>
        </w:rPr>
      </w:pPr>
    </w:p>
    <w:p>
      <w:pPr>
        <w:spacing w:after="0" w:line="275" w:lineRule="exact"/>
        <w:rPr>
          <w:rFonts w:ascii="Arial" w:cs="Arial" w:eastAsia="Arial" w:hAnsi="Arial"/>
          <w:sz w:val="18"/>
          <w:szCs w:val="18"/>
          <w:b w:val="1"/>
          <w:bCs w:val="1"/>
          <w:color w:val="auto"/>
        </w:rPr>
      </w:pPr>
    </w:p>
    <w:p>
      <w:pPr>
        <w:ind w:left="480" w:right="620" w:hanging="456"/>
        <w:spacing w:after="0" w:line="229" w:lineRule="auto"/>
        <w:tabs>
          <w:tab w:leader="none" w:pos="48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Only stockholders of record as of the close of business on March 1, 2022, the record date, will be entitled to vote on the proposals at the annual meeting. Each share of common stock is entitled to one vote.</w:t>
      </w:r>
    </w:p>
    <w:p>
      <w:pPr>
        <w:spacing w:after="0" w:line="209" w:lineRule="exact"/>
        <w:rPr>
          <w:rFonts w:ascii="Arial" w:cs="Arial" w:eastAsia="Arial" w:hAnsi="Arial"/>
          <w:sz w:val="18"/>
          <w:szCs w:val="18"/>
          <w:b w:val="1"/>
          <w:bCs w:val="1"/>
          <w:color w:val="auto"/>
        </w:rPr>
      </w:pPr>
    </w:p>
    <w:p>
      <w:pPr>
        <w:ind w:left="540" w:hanging="472"/>
        <w:spacing w:after="0"/>
        <w:tabs>
          <w:tab w:leader="none" w:pos="540" w:val="left"/>
        </w:tabs>
        <w:numPr>
          <w:ilvl w:val="1"/>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How do I vote?</w:t>
      </w:r>
    </w:p>
    <w:p>
      <w:pPr>
        <w:spacing w:after="0" w:line="200" w:lineRule="exact"/>
        <w:rPr>
          <w:sz w:val="20"/>
          <w:szCs w:val="20"/>
          <w:color w:val="auto"/>
        </w:rPr>
      </w:pPr>
    </w:p>
    <w:p>
      <w:pPr>
        <w:spacing w:after="0" w:line="276" w:lineRule="exact"/>
        <w:rPr>
          <w:sz w:val="20"/>
          <w:szCs w:val="20"/>
          <w:color w:val="auto"/>
        </w:rPr>
      </w:pPr>
    </w:p>
    <w:p>
      <w:pPr>
        <w:ind w:left="480" w:right="100" w:hanging="456"/>
        <w:spacing w:after="0" w:line="219" w:lineRule="auto"/>
        <w:tabs>
          <w:tab w:leader="none" w:pos="48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 xml:space="preserve">If you are the record holder of your shares, you can vote by attending the annual virtual meeting or by completing, signing and returning your proxy card in the enclosed postage-paid envelope. You can also vote by Internet at </w:t>
      </w:r>
      <w:r>
        <w:rPr>
          <w:rFonts w:ascii="Arial" w:cs="Arial" w:eastAsia="Arial" w:hAnsi="Arial"/>
          <w:sz w:val="18"/>
          <w:szCs w:val="18"/>
          <w:i w:val="1"/>
          <w:iCs w:val="1"/>
          <w:u w:val="single" w:color="auto"/>
          <w:color w:val="auto"/>
        </w:rPr>
        <w:t>www.virtualshareholdermeeting.com/WHG2022</w:t>
      </w:r>
      <w:r>
        <w:rPr>
          <w:rFonts w:ascii="Arial" w:cs="Arial" w:eastAsia="Arial" w:hAnsi="Arial"/>
          <w:sz w:val="18"/>
          <w:szCs w:val="18"/>
          <w:color w:val="auto"/>
        </w:rPr>
        <w:t xml:space="preserve"> using the control number shown on your proxy card or voting instruction card.</w:t>
      </w:r>
    </w:p>
    <w:p>
      <w:pPr>
        <w:spacing w:after="0" w:line="3" w:lineRule="exact"/>
        <w:rPr>
          <w:rFonts w:ascii="Arial" w:cs="Arial" w:eastAsia="Arial" w:hAnsi="Arial"/>
          <w:sz w:val="18"/>
          <w:szCs w:val="18"/>
          <w:b w:val="1"/>
          <w:bCs w:val="1"/>
          <w:color w:val="auto"/>
        </w:rPr>
      </w:pPr>
    </w:p>
    <w:p>
      <w:pPr>
        <w:ind w:left="480"/>
        <w:spacing w:after="0" w:line="227" w:lineRule="auto"/>
        <w:rPr>
          <w:rFonts w:ascii="Arial" w:cs="Arial" w:eastAsia="Arial" w:hAnsi="Arial"/>
          <w:sz w:val="18"/>
          <w:szCs w:val="18"/>
          <w:b w:val="1"/>
          <w:bCs w:val="1"/>
          <w:color w:val="auto"/>
        </w:rPr>
      </w:pPr>
      <w:r>
        <w:rPr>
          <w:rFonts w:ascii="Arial" w:cs="Arial" w:eastAsia="Arial" w:hAnsi="Arial"/>
          <w:sz w:val="17"/>
          <w:szCs w:val="17"/>
          <w:color w:val="auto"/>
        </w:rPr>
        <w:t>If your shares are held by your broker as your nominee (that is, in "street name"), you will need to obtain a proxy form from the institution that holds your shares and follow the instructions included on that form regarding how to instruct your broker to vote your shares. If your shares are held in street name, your proxy card may contain instructions from your broker that allow you to vote your shares using the Internet or telephone. Please consult with your broker if you have any questions regarding the electronic voting of your shares held in street name.</w:t>
      </w:r>
    </w:p>
    <w:p>
      <w:pPr>
        <w:spacing w:after="0" w:line="222" w:lineRule="exact"/>
        <w:rPr>
          <w:rFonts w:ascii="Arial" w:cs="Arial" w:eastAsia="Arial" w:hAnsi="Arial"/>
          <w:sz w:val="18"/>
          <w:szCs w:val="18"/>
          <w:b w:val="1"/>
          <w:bCs w:val="1"/>
          <w:color w:val="auto"/>
        </w:rPr>
      </w:pPr>
    </w:p>
    <w:p>
      <w:pPr>
        <w:ind w:left="540" w:hanging="472"/>
        <w:spacing w:after="0"/>
        <w:tabs>
          <w:tab w:leader="none" w:pos="540" w:val="left"/>
        </w:tabs>
        <w:numPr>
          <w:ilvl w:val="1"/>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Is my proxy revocable and can I change my vote?</w:t>
      </w:r>
    </w:p>
    <w:p>
      <w:pPr>
        <w:spacing w:after="0" w:line="200" w:lineRule="exact"/>
        <w:rPr>
          <w:sz w:val="20"/>
          <w:szCs w:val="20"/>
          <w:color w:val="auto"/>
        </w:rPr>
      </w:pPr>
    </w:p>
    <w:p>
      <w:pPr>
        <w:spacing w:after="0" w:line="262" w:lineRule="exact"/>
        <w:rPr>
          <w:sz w:val="20"/>
          <w:szCs w:val="20"/>
          <w:color w:val="auto"/>
        </w:rPr>
      </w:pPr>
    </w:p>
    <w:p>
      <w:pPr>
        <w:ind w:left="520" w:hanging="496"/>
        <w:spacing w:after="0"/>
        <w:tabs>
          <w:tab w:leader="none" w:pos="52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If you are a stockholder of record you may revoke your proxy at any time before it is officially voted by doing one of the following:</w:t>
      </w:r>
    </w:p>
    <w:p>
      <w:pPr>
        <w:spacing w:after="0" w:line="18" w:lineRule="exact"/>
        <w:rPr>
          <w:rFonts w:ascii="Arial" w:cs="Arial" w:eastAsia="Arial" w:hAnsi="Arial"/>
          <w:sz w:val="18"/>
          <w:szCs w:val="18"/>
          <w:b w:val="1"/>
          <w:bCs w:val="1"/>
          <w:color w:val="auto"/>
        </w:rPr>
      </w:pPr>
    </w:p>
    <w:p>
      <w:pPr>
        <w:ind w:left="1040" w:right="340" w:hanging="512"/>
        <w:spacing w:after="0" w:line="229" w:lineRule="auto"/>
        <w:tabs>
          <w:tab w:leader="none" w:pos="10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Sending a written notice revoking your proxy to Julie K. Gerron, our Corporate Secretary, at 200 Crescent Court, Suite 1200, Dallas, Texas 75201;</w:t>
      </w:r>
    </w:p>
    <w:p>
      <w:pPr>
        <w:spacing w:after="0" w:line="2" w:lineRule="exact"/>
        <w:rPr>
          <w:rFonts w:ascii="Arial" w:cs="Arial" w:eastAsia="Arial" w:hAnsi="Arial"/>
          <w:sz w:val="18"/>
          <w:szCs w:val="18"/>
          <w:color w:val="auto"/>
        </w:rPr>
      </w:pPr>
    </w:p>
    <w:p>
      <w:pPr>
        <w:ind w:left="1040" w:hanging="512"/>
        <w:spacing w:after="0"/>
        <w:tabs>
          <w:tab w:leader="none" w:pos="10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Signing and mailing to us a proxy bearing a later date;</w:t>
      </w:r>
    </w:p>
    <w:p>
      <w:pPr>
        <w:spacing w:after="0" w:line="18" w:lineRule="exact"/>
        <w:rPr>
          <w:rFonts w:ascii="Arial" w:cs="Arial" w:eastAsia="Arial" w:hAnsi="Arial"/>
          <w:sz w:val="18"/>
          <w:szCs w:val="18"/>
          <w:color w:val="auto"/>
        </w:rPr>
      </w:pPr>
    </w:p>
    <w:p>
      <w:pPr>
        <w:ind w:left="1040" w:hanging="512"/>
        <w:spacing w:after="0"/>
        <w:tabs>
          <w:tab w:leader="none" w:pos="10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Changing your vote by Internet (if you voted by Internet); or</w:t>
      </w:r>
    </w:p>
    <w:p>
      <w:pPr>
        <w:spacing w:after="0" w:line="18" w:lineRule="exact"/>
        <w:rPr>
          <w:rFonts w:ascii="Arial" w:cs="Arial" w:eastAsia="Arial" w:hAnsi="Arial"/>
          <w:sz w:val="18"/>
          <w:szCs w:val="18"/>
          <w:color w:val="auto"/>
        </w:rPr>
      </w:pPr>
    </w:p>
    <w:p>
      <w:pPr>
        <w:ind w:left="1040" w:hanging="512"/>
        <w:spacing w:after="0"/>
        <w:tabs>
          <w:tab w:leader="none" w:pos="10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Attending our virtual annual meeting and voting then.</w:t>
      </w:r>
    </w:p>
    <w:p>
      <w:pPr>
        <w:spacing w:after="0" w:line="297" w:lineRule="exact"/>
        <w:rPr>
          <w:sz w:val="20"/>
          <w:szCs w:val="20"/>
          <w:color w:val="auto"/>
        </w:rPr>
      </w:pPr>
    </w:p>
    <w:p>
      <w:pPr>
        <w:ind w:left="600" w:right="20"/>
        <w:spacing w:after="0" w:line="219" w:lineRule="auto"/>
        <w:rPr>
          <w:sz w:val="20"/>
          <w:szCs w:val="20"/>
          <w:color w:val="auto"/>
        </w:rPr>
      </w:pPr>
      <w:r>
        <w:rPr>
          <w:rFonts w:ascii="Arial" w:cs="Arial" w:eastAsia="Arial" w:hAnsi="Arial"/>
          <w:sz w:val="18"/>
          <w:szCs w:val="18"/>
          <w:color w:val="auto"/>
        </w:rPr>
        <w:t>If you are not a stockholder of record, but instead hold your shares in "street name" through a bank, broker or other nominee, the above-described options for revoking your proxy do not apply. Instead, you will need to follow the instructions provided to you by your bank, broker or other nominee in order to revoke your proxy and submit new voting instructions.</w:t>
      </w:r>
    </w:p>
    <w:p>
      <w:pPr>
        <w:spacing w:after="0" w:line="210" w:lineRule="exact"/>
        <w:rPr>
          <w:sz w:val="20"/>
          <w:szCs w:val="20"/>
          <w:color w:val="auto"/>
        </w:rPr>
      </w:pPr>
    </w:p>
    <w:p>
      <w:pPr>
        <w:ind w:left="580" w:hanging="468"/>
        <w:spacing w:after="0"/>
        <w:tabs>
          <w:tab w:leader="none" w:pos="580" w:val="left"/>
        </w:tabs>
        <w:numPr>
          <w:ilvl w:val="1"/>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Is my vote confidential?</w:t>
      </w:r>
    </w:p>
    <w:p>
      <w:pPr>
        <w:spacing w:after="0" w:line="200" w:lineRule="exact"/>
        <w:rPr>
          <w:rFonts w:ascii="Arial" w:cs="Arial" w:eastAsia="Arial" w:hAnsi="Arial"/>
          <w:sz w:val="18"/>
          <w:szCs w:val="18"/>
          <w:b w:val="1"/>
          <w:bCs w:val="1"/>
          <w:color w:val="auto"/>
        </w:rPr>
      </w:pPr>
    </w:p>
    <w:p>
      <w:pPr>
        <w:spacing w:after="0" w:line="275" w:lineRule="exact"/>
        <w:rPr>
          <w:rFonts w:ascii="Arial" w:cs="Arial" w:eastAsia="Arial" w:hAnsi="Arial"/>
          <w:sz w:val="18"/>
          <w:szCs w:val="18"/>
          <w:b w:val="1"/>
          <w:bCs w:val="1"/>
          <w:color w:val="auto"/>
        </w:rPr>
      </w:pPr>
    </w:p>
    <w:p>
      <w:pPr>
        <w:ind w:left="480" w:right="180" w:hanging="456"/>
        <w:spacing w:after="0" w:line="229" w:lineRule="auto"/>
        <w:tabs>
          <w:tab w:leader="none" w:pos="480"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Yes. Only the inspector of votes and certain of our employees will have access to your proxy card. All comments will remain confidential, unless you ask that your name be disclosed.</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OUR CURRENT STOCK OWNERSHIP</w:t>
      </w:r>
    </w:p>
    <w:p>
      <w:pPr>
        <w:spacing w:after="0" w:line="151" w:lineRule="exact"/>
        <w:rPr>
          <w:sz w:val="20"/>
          <w:szCs w:val="20"/>
          <w:color w:val="auto"/>
        </w:rPr>
      </w:pPr>
    </w:p>
    <w:p>
      <w:pPr>
        <w:ind w:left="500" w:hanging="476"/>
        <w:spacing w:after="0"/>
        <w:tabs>
          <w:tab w:leader="none" w:pos="50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What percentage of stock do the directors and executive officers own?</w:t>
      </w:r>
    </w:p>
    <w:p>
      <w:pPr>
        <w:spacing w:after="0" w:line="250" w:lineRule="exact"/>
        <w:rPr>
          <w:sz w:val="20"/>
          <w:szCs w:val="20"/>
          <w:color w:val="auto"/>
        </w:rPr>
      </w:pPr>
    </w:p>
    <w:p>
      <w:pPr>
        <w:ind w:left="480" w:right="420" w:hanging="456"/>
        <w:spacing w:after="0" w:line="229" w:lineRule="auto"/>
        <w:tabs>
          <w:tab w:leader="none" w:pos="480" w:val="left"/>
        </w:tabs>
        <w:numPr>
          <w:ilvl w:val="0"/>
          <w:numId w:val="25"/>
        </w:numPr>
        <w:rPr>
          <w:rFonts w:ascii="Arial" w:cs="Arial" w:eastAsia="Arial" w:hAnsi="Arial"/>
          <w:sz w:val="18"/>
          <w:szCs w:val="18"/>
          <w:b w:val="1"/>
          <w:bCs w:val="1"/>
          <w:color w:val="auto"/>
        </w:rPr>
      </w:pPr>
      <w:r>
        <w:rPr>
          <w:rFonts w:ascii="Arial" w:cs="Arial" w:eastAsia="Arial" w:hAnsi="Arial"/>
          <w:sz w:val="18"/>
          <w:szCs w:val="18"/>
          <w:color w:val="auto"/>
        </w:rPr>
        <w:t>Collectively, our executive officers and directors beneficially owned approximately 1,021,617 shares, or approximately 11.9%, of our outstanding common stock as of March 1, 2022.</w:t>
      </w:r>
    </w:p>
    <w:p>
      <w:pPr>
        <w:spacing w:after="0" w:line="69" w:lineRule="exact"/>
        <w:rPr>
          <w:rFonts w:ascii="Arial" w:cs="Arial" w:eastAsia="Arial" w:hAnsi="Arial"/>
          <w:sz w:val="18"/>
          <w:szCs w:val="18"/>
          <w:b w:val="1"/>
          <w:bCs w:val="1"/>
          <w:color w:val="auto"/>
        </w:rPr>
      </w:pPr>
    </w:p>
    <w:p>
      <w:pPr>
        <w:ind w:left="480" w:right="260"/>
        <w:spacing w:after="0" w:line="229" w:lineRule="auto"/>
        <w:rPr>
          <w:rFonts w:ascii="Arial" w:cs="Arial" w:eastAsia="Arial" w:hAnsi="Arial"/>
          <w:sz w:val="18"/>
          <w:szCs w:val="18"/>
          <w:b w:val="1"/>
          <w:bCs w:val="1"/>
          <w:color w:val="auto"/>
        </w:rPr>
      </w:pPr>
      <w:r>
        <w:rPr>
          <w:rFonts w:ascii="Arial" w:cs="Arial" w:eastAsia="Arial" w:hAnsi="Arial"/>
          <w:sz w:val="18"/>
          <w:szCs w:val="18"/>
          <w:color w:val="auto"/>
        </w:rPr>
        <w:t>We believe that our executive officers and directors intend to vote their shares of our common stock on each of the proposals presented in this proxy statement as recommended by the Board of Directors.</w:t>
      </w:r>
    </w:p>
    <w:p>
      <w:pPr>
        <w:spacing w:after="0" w:line="200" w:lineRule="exact"/>
        <w:rPr>
          <w:sz w:val="20"/>
          <w:szCs w:val="20"/>
          <w:color w:val="auto"/>
        </w:rPr>
      </w:pPr>
    </w:p>
    <w:p>
      <w:pPr>
        <w:spacing w:after="0" w:line="341" w:lineRule="exact"/>
        <w:rPr>
          <w:sz w:val="20"/>
          <w:szCs w:val="20"/>
          <w:color w:val="auto"/>
        </w:rPr>
      </w:pPr>
    </w:p>
    <w:p>
      <w:pPr>
        <w:ind w:left="480" w:hanging="456"/>
        <w:spacing w:after="0"/>
        <w:tabs>
          <w:tab w:leader="none" w:pos="48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Who are the largest principal stockholders?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320" w:top="784" w:right="359" w:bottom="1440" w:gutter="0" w:footer="0" w:header="0"/>
        </w:sectPr>
      </w:pPr>
    </w:p>
    <w:bookmarkStart w:id="10" w:name="page11"/>
    <w:bookmarkEnd w:id="10"/>
    <w:p>
      <w:pPr>
        <w:ind w:left="480" w:right="120" w:hanging="456"/>
        <w:spacing w:after="0" w:line="246" w:lineRule="auto"/>
        <w:tabs>
          <w:tab w:leader="none" w:pos="480" w:val="left"/>
        </w:tabs>
        <w:numPr>
          <w:ilvl w:val="0"/>
          <w:numId w:val="27"/>
        </w:numPr>
        <w:rPr>
          <w:rFonts w:ascii="Arial" w:cs="Arial" w:eastAsia="Arial" w:hAnsi="Arial"/>
          <w:sz w:val="15"/>
          <w:szCs w:val="15"/>
          <w:b w:val="1"/>
          <w:bCs w:val="1"/>
          <w:color w:val="auto"/>
        </w:rPr>
      </w:pPr>
      <w:r>
        <w:rPr>
          <w:rFonts w:ascii="Arial" w:cs="Arial" w:eastAsia="Arial" w:hAnsi="Arial"/>
          <w:sz w:val="15"/>
          <w:szCs w:val="15"/>
          <w:color w:val="auto"/>
        </w:rPr>
        <w:t>Based on our review of Schedule 13G, Schedule 13D and Form 13F filings, as of March 1, 2022, the ten institutional stockholders with the largest percentage ownership of our outstanding common stock were JCP Investment Management, LLC (9.9%), Allspring Global Investments Holding LLC (6.8%), Renaissance Technologies LLC (6.1%), GAMCO Investors, Inc. (5.2%), DePrince, Race &amp; Zollo, Inc. (4.9%), The Vanguard Group, Inc.</w:t>
      </w:r>
    </w:p>
    <w:p>
      <w:pPr>
        <w:ind w:left="480" w:right="260"/>
        <w:spacing w:after="0" w:line="221" w:lineRule="auto"/>
        <w:rPr>
          <w:rFonts w:ascii="Arial" w:cs="Arial" w:eastAsia="Arial" w:hAnsi="Arial"/>
          <w:sz w:val="15"/>
          <w:szCs w:val="15"/>
          <w:b w:val="1"/>
          <w:bCs w:val="1"/>
          <w:color w:val="auto"/>
        </w:rPr>
      </w:pPr>
      <w:r>
        <w:rPr>
          <w:rFonts w:ascii="Arial" w:cs="Arial" w:eastAsia="Arial" w:hAnsi="Arial"/>
          <w:sz w:val="18"/>
          <w:szCs w:val="18"/>
          <w:color w:val="auto"/>
        </w:rPr>
        <w:t>(4.1%), Dimensional Fund Advisors LP (3.2%), Luther King Capital Management Corp (2.9%), Ancora Advisors LLC (2.6%) and BlackRock Fund Advisors (2.2%).</w:t>
      </w:r>
    </w:p>
    <w:p>
      <w:pPr>
        <w:spacing w:after="0" w:line="69" w:lineRule="exact"/>
        <w:rPr>
          <w:rFonts w:ascii="Arial" w:cs="Arial" w:eastAsia="Arial" w:hAnsi="Arial"/>
          <w:sz w:val="15"/>
          <w:szCs w:val="15"/>
          <w:b w:val="1"/>
          <w:bCs w:val="1"/>
          <w:color w:val="auto"/>
        </w:rPr>
      </w:pPr>
    </w:p>
    <w:p>
      <w:pPr>
        <w:ind w:left="480" w:right="260"/>
        <w:spacing w:after="0" w:line="219" w:lineRule="auto"/>
        <w:rPr>
          <w:rFonts w:ascii="Arial" w:cs="Arial" w:eastAsia="Arial" w:hAnsi="Arial"/>
          <w:sz w:val="15"/>
          <w:szCs w:val="15"/>
          <w:b w:val="1"/>
          <w:bCs w:val="1"/>
          <w:color w:val="auto"/>
        </w:rPr>
      </w:pPr>
      <w:r>
        <w:rPr>
          <w:rFonts w:ascii="Arial" w:cs="Arial" w:eastAsia="Arial" w:hAnsi="Arial"/>
          <w:sz w:val="18"/>
          <w:szCs w:val="18"/>
          <w:color w:val="auto"/>
        </w:rPr>
        <w:t>Brian O. Casey, our President and Chief Executive Officer, owned 4.5%, and Susan M. Byrne, our Vice Chairman, owned 3.0% of our outstanding common stock as of March 1, 2022. Our employees and directors, including Mr. Casey, collectively owned approximately 22.1% of our outstanding common stock as of March 1, 2022.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INFORMATION</w:t>
      </w:r>
    </w:p>
    <w:p>
      <w:pPr>
        <w:spacing w:after="0" w:line="151" w:lineRule="exact"/>
        <w:rPr>
          <w:sz w:val="20"/>
          <w:szCs w:val="20"/>
          <w:color w:val="auto"/>
        </w:rPr>
      </w:pPr>
    </w:p>
    <w:p>
      <w:pPr>
        <w:ind w:left="480" w:hanging="456"/>
        <w:spacing w:after="0"/>
        <w:tabs>
          <w:tab w:leader="none" w:pos="48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Who is soliciting my proxy and who will pay the solicitation expenses?</w:t>
      </w:r>
    </w:p>
    <w:p>
      <w:pPr>
        <w:spacing w:after="0" w:line="200" w:lineRule="exact"/>
        <w:rPr>
          <w:sz w:val="20"/>
          <w:szCs w:val="20"/>
          <w:color w:val="auto"/>
        </w:rPr>
      </w:pPr>
    </w:p>
    <w:p>
      <w:pPr>
        <w:spacing w:after="0" w:line="249" w:lineRule="exact"/>
        <w:rPr>
          <w:sz w:val="20"/>
          <w:szCs w:val="20"/>
          <w:color w:val="auto"/>
        </w:rPr>
      </w:pPr>
    </w:p>
    <w:p>
      <w:pPr>
        <w:jc w:val="both"/>
        <w:ind w:left="480" w:right="340" w:hanging="456"/>
        <w:spacing w:after="0" w:line="219" w:lineRule="auto"/>
        <w:tabs>
          <w:tab w:leader="none" w:pos="480" w:val="left"/>
        </w:tabs>
        <w:numPr>
          <w:ilvl w:val="0"/>
          <w:numId w:val="29"/>
        </w:numPr>
        <w:rPr>
          <w:rFonts w:ascii="Arial" w:cs="Arial" w:eastAsia="Arial" w:hAnsi="Arial"/>
          <w:sz w:val="18"/>
          <w:szCs w:val="18"/>
          <w:b w:val="1"/>
          <w:bCs w:val="1"/>
          <w:color w:val="auto"/>
        </w:rPr>
      </w:pPr>
      <w:r>
        <w:rPr>
          <w:rFonts w:ascii="Arial" w:cs="Arial" w:eastAsia="Arial" w:hAnsi="Arial"/>
          <w:sz w:val="18"/>
          <w:szCs w:val="18"/>
          <w:color w:val="auto"/>
        </w:rPr>
        <w:t>The Company is soliciting your proxy by and on behalf of our Board of Directors, and we will pay the cost of preparing and distributing this proxy statement and the cost of soliciting votes. We will reimburse stockbrokers and other custodians, nominees and fiduciaries for forwarding proxy and solicitation material to the owners of our common stock.</w:t>
      </w:r>
    </w:p>
    <w:p>
      <w:pPr>
        <w:spacing w:after="0" w:line="223" w:lineRule="exact"/>
        <w:rPr>
          <w:rFonts w:ascii="Arial" w:cs="Arial" w:eastAsia="Arial" w:hAnsi="Arial"/>
          <w:sz w:val="18"/>
          <w:szCs w:val="18"/>
          <w:b w:val="1"/>
          <w:bCs w:val="1"/>
          <w:color w:val="auto"/>
        </w:rPr>
      </w:pPr>
    </w:p>
    <w:p>
      <w:pPr>
        <w:ind w:left="540" w:hanging="472"/>
        <w:spacing w:after="0"/>
        <w:tabs>
          <w:tab w:leader="none" w:pos="540" w:val="left"/>
        </w:tabs>
        <w:numPr>
          <w:ilvl w:val="1"/>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Who can help answer my additional questions?</w:t>
      </w:r>
    </w:p>
    <w:p>
      <w:pPr>
        <w:spacing w:after="0" w:line="200" w:lineRule="exact"/>
        <w:rPr>
          <w:sz w:val="20"/>
          <w:szCs w:val="20"/>
          <w:color w:val="auto"/>
        </w:rPr>
      </w:pPr>
    </w:p>
    <w:p>
      <w:pPr>
        <w:spacing w:after="0" w:line="276" w:lineRule="exact"/>
        <w:rPr>
          <w:sz w:val="20"/>
          <w:szCs w:val="20"/>
          <w:color w:val="auto"/>
        </w:rPr>
      </w:pPr>
    </w:p>
    <w:p>
      <w:pPr>
        <w:ind w:left="480" w:right="580" w:hanging="456"/>
        <w:spacing w:after="0" w:line="229" w:lineRule="auto"/>
        <w:tabs>
          <w:tab w:leader="none" w:pos="480" w:val="left"/>
        </w:tabs>
        <w:numPr>
          <w:ilvl w:val="0"/>
          <w:numId w:val="30"/>
        </w:numPr>
        <w:rPr>
          <w:rFonts w:ascii="Arial" w:cs="Arial" w:eastAsia="Arial" w:hAnsi="Arial"/>
          <w:sz w:val="18"/>
          <w:szCs w:val="18"/>
          <w:b w:val="1"/>
          <w:bCs w:val="1"/>
          <w:color w:val="auto"/>
        </w:rPr>
      </w:pPr>
      <w:r>
        <w:rPr>
          <w:rFonts w:ascii="Arial" w:cs="Arial" w:eastAsia="Arial" w:hAnsi="Arial"/>
          <w:sz w:val="18"/>
          <w:szCs w:val="18"/>
          <w:color w:val="auto"/>
        </w:rPr>
        <w:t>Stockholders who would like additional copies, without charge, of this proxy statement or have additional questions about this proxy statement, including the procedures for voting their shares, should contact:</w:t>
      </w:r>
    </w:p>
    <w:p>
      <w:pPr>
        <w:spacing w:after="0" w:line="2" w:lineRule="exact"/>
        <w:rPr>
          <w:rFonts w:ascii="Arial" w:cs="Arial" w:eastAsia="Arial" w:hAnsi="Arial"/>
          <w:sz w:val="18"/>
          <w:szCs w:val="18"/>
          <w:b w:val="1"/>
          <w:bCs w:val="1"/>
          <w:color w:val="auto"/>
        </w:rPr>
      </w:pPr>
    </w:p>
    <w:p>
      <w:pPr>
        <w:ind w:left="480" w:right="7200"/>
        <w:spacing w:after="0" w:line="208" w:lineRule="auto"/>
        <w:rPr>
          <w:rFonts w:ascii="Arial" w:cs="Arial" w:eastAsia="Arial" w:hAnsi="Arial"/>
          <w:sz w:val="18"/>
          <w:szCs w:val="18"/>
          <w:b w:val="1"/>
          <w:bCs w:val="1"/>
          <w:color w:val="auto"/>
        </w:rPr>
      </w:pPr>
      <w:r>
        <w:rPr>
          <w:rFonts w:ascii="Arial" w:cs="Arial" w:eastAsia="Arial" w:hAnsi="Arial"/>
          <w:sz w:val="18"/>
          <w:szCs w:val="18"/>
          <w:color w:val="auto"/>
        </w:rPr>
        <w:t>Terry Forbes, Chief Financial Officer &amp; Treasurer Westwood Holdings Group, Inc.</w:t>
      </w:r>
    </w:p>
    <w:p>
      <w:pPr>
        <w:ind w:left="480" w:right="8520"/>
        <w:spacing w:after="0" w:line="214" w:lineRule="auto"/>
        <w:rPr>
          <w:rFonts w:ascii="Arial" w:cs="Arial" w:eastAsia="Arial" w:hAnsi="Arial"/>
          <w:sz w:val="18"/>
          <w:szCs w:val="18"/>
          <w:b w:val="1"/>
          <w:bCs w:val="1"/>
          <w:color w:val="auto"/>
        </w:rPr>
      </w:pPr>
      <w:r>
        <w:rPr>
          <w:rFonts w:ascii="Arial" w:cs="Arial" w:eastAsia="Arial" w:hAnsi="Arial"/>
          <w:sz w:val="18"/>
          <w:szCs w:val="18"/>
          <w:color w:val="auto"/>
        </w:rPr>
        <w:t>200 Crescent Court, Suite 1200 Dallas, Texas 75201 Telephone: (214) 756-6900</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This question and answer section is qualified in its entirety by the more detailed information contained in this proxy statement.</w:t>
      </w:r>
    </w:p>
    <w:p>
      <w:pPr>
        <w:spacing w:after="0" w:line="105" w:lineRule="exact"/>
        <w:rPr>
          <w:sz w:val="20"/>
          <w:szCs w:val="20"/>
          <w:color w:val="auto"/>
        </w:rPr>
      </w:pPr>
    </w:p>
    <w:p>
      <w:pPr>
        <w:spacing w:after="0" w:line="254" w:lineRule="auto"/>
        <w:rPr>
          <w:sz w:val="20"/>
          <w:szCs w:val="20"/>
          <w:color w:val="auto"/>
        </w:rPr>
      </w:pPr>
      <w:r>
        <w:rPr>
          <w:rFonts w:ascii="Arial" w:cs="Arial" w:eastAsia="Arial" w:hAnsi="Arial"/>
          <w:sz w:val="18"/>
          <w:szCs w:val="18"/>
          <w:b w:val="1"/>
          <w:bCs w:val="1"/>
          <w:color w:val="auto"/>
        </w:rPr>
        <w:t>This proxy statement contains important information that should be read before you vote on the proposals herein. You are strongly urged to read this proxy statement in its entirety. You are also strongly urged to read our Annual Report on Form 10-K for the year ended December 31, 2021, filed with the Securities and Exchange Commission ("SEC") on March 4, 2022 (the "2021 Form 10-K"), which is being sent to you with this proxy statement.</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20"/>
          </w:cols>
          <w:pgMar w:left="320" w:top="804" w:right="35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PROPOSAL 1:</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Directors</w:t>
      </w:r>
    </w:p>
    <w:p>
      <w:pPr>
        <w:spacing w:after="0" w:line="117" w:lineRule="exact"/>
        <w:rPr>
          <w:sz w:val="20"/>
          <w:szCs w:val="20"/>
          <w:color w:val="auto"/>
        </w:rPr>
      </w:pPr>
    </w:p>
    <w:p>
      <w:pPr>
        <w:ind w:right="80" w:firstLine="398"/>
        <w:spacing w:after="0" w:line="313" w:lineRule="auto"/>
        <w:rPr>
          <w:sz w:val="20"/>
          <w:szCs w:val="20"/>
          <w:color w:val="auto"/>
        </w:rPr>
      </w:pPr>
      <w:r>
        <w:rPr>
          <w:rFonts w:ascii="Arial" w:cs="Arial" w:eastAsia="Arial" w:hAnsi="Arial"/>
          <w:sz w:val="15"/>
          <w:szCs w:val="15"/>
          <w:color w:val="auto"/>
        </w:rPr>
        <w:t>Our Bylaws provide that the Board of Directors of the Company (the "Board") will consist of between three and eleven directors, as may be determined from time to time by resolution of the Board. The Board has previously set the number of directors at eight but reduced the number of directors to six for the current term. The terms of the six incumbent directors expire at the 2022 Annual Meeting. Each director elected at the 2022 Annual Meeting will serve until the 2023 Annual Meeting and thereafter until his or her successor has been elected and qualified or until the director's earlier death, resignation or removal. The Board of Directors has nominated the nominees listed below. Each nominee has consented to being named in this proxy statement and to serve if elected.</w:t>
      </w:r>
    </w:p>
    <w:p>
      <w:pPr>
        <w:spacing w:after="0" w:line="43" w:lineRule="exact"/>
        <w:rPr>
          <w:sz w:val="20"/>
          <w:szCs w:val="20"/>
          <w:color w:val="auto"/>
        </w:rPr>
      </w:pPr>
    </w:p>
    <w:p>
      <w:pPr>
        <w:ind w:firstLine="398"/>
        <w:spacing w:after="0" w:line="255" w:lineRule="auto"/>
        <w:rPr>
          <w:sz w:val="20"/>
          <w:szCs w:val="20"/>
          <w:color w:val="auto"/>
        </w:rPr>
      </w:pPr>
      <w:r>
        <w:rPr>
          <w:rFonts w:ascii="Arial" w:cs="Arial" w:eastAsia="Arial" w:hAnsi="Arial"/>
          <w:sz w:val="18"/>
          <w:szCs w:val="18"/>
          <w:color w:val="auto"/>
        </w:rPr>
        <w:t>We have no reason to believe that any of the nominees will not serve if elected but, if any of them should become unavailable to serve as a director, and if the Board of Directors designates a substitute nominee, the persons named in the accompanying proxy will vote for the substitute nominee designated by the Board of Directors, unless a contrary instruction is given in the proxy.</w:t>
      </w:r>
    </w:p>
    <w:p>
      <w:pPr>
        <w:spacing w:after="0" w:line="8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Each stockholder is entitled to cast one vote for each director nominee per share of common stock held by them at the close of business on March 1,</w:t>
      </w:r>
    </w:p>
    <w:p>
      <w:pPr>
        <w:spacing w:after="0" w:line="28"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color w:val="auto"/>
        </w:rPr>
        <w:t>2022. The affirmative “FOR” vote of a majority of the shares present in person (or virtually) or represented by proxy and entitled to vote on the election of directors is required for the election of directors. Stockholders may vote “FOR,” “AGAINST” or “ABSTAIN” with respect to the election of each director nominee. Abstentions will have the same effect as votes against a director nominee and broker non-votes will have no effect on the outcome of the election of directors.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w:t>
      </w:r>
    </w:p>
    <w:p>
      <w:pPr>
        <w:spacing w:after="0" w:line="117" w:lineRule="exact"/>
        <w:rPr>
          <w:sz w:val="20"/>
          <w:szCs w:val="20"/>
          <w:color w:val="auto"/>
        </w:rPr>
      </w:pPr>
    </w:p>
    <w:p>
      <w:pPr>
        <w:ind w:left="400"/>
        <w:spacing w:after="0"/>
        <w:rPr>
          <w:sz w:val="20"/>
          <w:szCs w:val="20"/>
          <w:color w:val="auto"/>
        </w:rPr>
      </w:pPr>
      <w:r>
        <w:rPr>
          <w:rFonts w:ascii="Arial" w:cs="Arial" w:eastAsia="Arial" w:hAnsi="Arial"/>
          <w:sz w:val="15"/>
          <w:szCs w:val="15"/>
          <w:color w:val="auto"/>
        </w:rPr>
        <w:t>The persons nominated to be directors are listed below. The following information is submitted concerning the nominees for election as directors: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14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Name</w:t>
            </w:r>
          </w:p>
        </w:tc>
        <w:tc>
          <w:tcPr>
            <w:tcW w:w="100" w:type="dxa"/>
            <w:vAlign w:val="bottom"/>
          </w:tcPr>
          <w:p>
            <w:pPr>
              <w:spacing w:after="0"/>
              <w:rPr>
                <w:sz w:val="16"/>
                <w:szCs w:val="16"/>
                <w:color w:val="auto"/>
              </w:rPr>
            </w:pPr>
          </w:p>
        </w:tc>
        <w:tc>
          <w:tcPr>
            <w:tcW w:w="680" w:type="dxa"/>
            <w:vAlign w:val="bottom"/>
            <w:tcBorders>
              <w:bottom w:val="single" w:sz="8" w:color="auto"/>
            </w:tcBorders>
          </w:tcPr>
          <w:p>
            <w:pPr>
              <w:jc w:val="center"/>
              <w:ind w:left="314"/>
              <w:spacing w:after="0"/>
              <w:rPr>
                <w:sz w:val="20"/>
                <w:szCs w:val="20"/>
                <w:color w:val="auto"/>
              </w:rPr>
            </w:pPr>
            <w:r>
              <w:rPr>
                <w:rFonts w:ascii="Arial" w:cs="Arial" w:eastAsia="Arial" w:hAnsi="Arial"/>
                <w:sz w:val="14"/>
                <w:szCs w:val="14"/>
                <w:b w:val="1"/>
                <w:bCs w:val="1"/>
                <w:color w:val="auto"/>
                <w:w w:val="90"/>
              </w:rPr>
              <w:t>Age</w:t>
            </w:r>
          </w:p>
        </w:tc>
        <w:tc>
          <w:tcPr>
            <w:tcW w:w="140" w:type="dxa"/>
            <w:vAlign w:val="bottom"/>
          </w:tcPr>
          <w:p>
            <w:pPr>
              <w:spacing w:after="0"/>
              <w:rPr>
                <w:sz w:val="16"/>
                <w:szCs w:val="16"/>
                <w:color w:val="auto"/>
              </w:rPr>
            </w:pPr>
          </w:p>
        </w:tc>
        <w:tc>
          <w:tcPr>
            <w:tcW w:w="718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Position(s) With Westwood</w:t>
            </w:r>
          </w:p>
        </w:tc>
      </w:tr>
      <w:tr>
        <w:trPr>
          <w:trHeight w:val="223"/>
        </w:trPr>
        <w:tc>
          <w:tcPr>
            <w:tcW w:w="3240" w:type="dxa"/>
            <w:vAlign w:val="bottom"/>
            <w:gridSpan w:val="2"/>
          </w:tcPr>
          <w:p>
            <w:pPr>
              <w:ind w:left="420"/>
              <w:spacing w:after="0"/>
              <w:rPr>
                <w:sz w:val="20"/>
                <w:szCs w:val="20"/>
                <w:color w:val="auto"/>
              </w:rPr>
            </w:pPr>
            <w:r>
              <w:rPr>
                <w:rFonts w:ascii="Arial" w:cs="Arial" w:eastAsia="Arial" w:hAnsi="Arial"/>
                <w:sz w:val="18"/>
                <w:szCs w:val="18"/>
                <w:color w:val="auto"/>
              </w:rPr>
              <w:t>Brian O. Casey</w:t>
            </w:r>
          </w:p>
        </w:tc>
        <w:tc>
          <w:tcPr>
            <w:tcW w:w="680" w:type="dxa"/>
            <w:vAlign w:val="bottom"/>
          </w:tcPr>
          <w:p>
            <w:pPr>
              <w:jc w:val="center"/>
              <w:ind w:left="314"/>
              <w:spacing w:after="0"/>
              <w:rPr>
                <w:sz w:val="20"/>
                <w:szCs w:val="20"/>
                <w:color w:val="auto"/>
              </w:rPr>
            </w:pPr>
            <w:r>
              <w:rPr>
                <w:rFonts w:ascii="Arial" w:cs="Arial" w:eastAsia="Arial" w:hAnsi="Arial"/>
                <w:sz w:val="18"/>
                <w:szCs w:val="18"/>
                <w:color w:val="auto"/>
                <w:w w:val="79"/>
              </w:rPr>
              <w:t>58</w:t>
            </w:r>
          </w:p>
        </w:tc>
        <w:tc>
          <w:tcPr>
            <w:tcW w:w="140" w:type="dxa"/>
            <w:vAlign w:val="bottom"/>
          </w:tcPr>
          <w:p>
            <w:pPr>
              <w:spacing w:after="0"/>
              <w:rPr>
                <w:sz w:val="19"/>
                <w:szCs w:val="19"/>
                <w:color w:val="auto"/>
              </w:rPr>
            </w:pPr>
          </w:p>
        </w:tc>
        <w:tc>
          <w:tcPr>
            <w:tcW w:w="7180" w:type="dxa"/>
            <w:vAlign w:val="bottom"/>
          </w:tcPr>
          <w:p>
            <w:pPr>
              <w:ind w:left="400"/>
              <w:spacing w:after="0"/>
              <w:rPr>
                <w:sz w:val="20"/>
                <w:szCs w:val="20"/>
                <w:color w:val="auto"/>
              </w:rPr>
            </w:pPr>
            <w:r>
              <w:rPr>
                <w:rFonts w:ascii="Arial" w:cs="Arial" w:eastAsia="Arial" w:hAnsi="Arial"/>
                <w:sz w:val="18"/>
                <w:szCs w:val="18"/>
                <w:color w:val="auto"/>
              </w:rPr>
              <w:t>President, Chief Executive Officer and Director</w:t>
            </w:r>
          </w:p>
        </w:tc>
      </w:tr>
      <w:tr>
        <w:trPr>
          <w:trHeight w:val="279"/>
        </w:trPr>
        <w:tc>
          <w:tcPr>
            <w:tcW w:w="3240" w:type="dxa"/>
            <w:vAlign w:val="bottom"/>
            <w:gridSpan w:val="2"/>
          </w:tcPr>
          <w:p>
            <w:pPr>
              <w:ind w:left="420"/>
              <w:spacing w:after="0"/>
              <w:rPr>
                <w:sz w:val="20"/>
                <w:szCs w:val="20"/>
                <w:color w:val="auto"/>
              </w:rPr>
            </w:pPr>
            <w:r>
              <w:rPr>
                <w:rFonts w:ascii="Arial" w:cs="Arial" w:eastAsia="Arial" w:hAnsi="Arial"/>
                <w:sz w:val="18"/>
                <w:szCs w:val="18"/>
                <w:color w:val="auto"/>
              </w:rPr>
              <w:t>Richard M. Frank</w:t>
            </w:r>
          </w:p>
        </w:tc>
        <w:tc>
          <w:tcPr>
            <w:tcW w:w="680" w:type="dxa"/>
            <w:vAlign w:val="bottom"/>
          </w:tcPr>
          <w:p>
            <w:pPr>
              <w:jc w:val="center"/>
              <w:ind w:left="314"/>
              <w:spacing w:after="0"/>
              <w:rPr>
                <w:sz w:val="20"/>
                <w:szCs w:val="20"/>
                <w:color w:val="auto"/>
              </w:rPr>
            </w:pPr>
            <w:r>
              <w:rPr>
                <w:rFonts w:ascii="Arial" w:cs="Arial" w:eastAsia="Arial" w:hAnsi="Arial"/>
                <w:sz w:val="18"/>
                <w:szCs w:val="18"/>
                <w:color w:val="auto"/>
                <w:w w:val="79"/>
              </w:rPr>
              <w:t>74</w:t>
            </w:r>
          </w:p>
        </w:tc>
        <w:tc>
          <w:tcPr>
            <w:tcW w:w="140" w:type="dxa"/>
            <w:vAlign w:val="bottom"/>
          </w:tcPr>
          <w:p>
            <w:pPr>
              <w:spacing w:after="0"/>
              <w:rPr>
                <w:sz w:val="24"/>
                <w:szCs w:val="24"/>
                <w:color w:val="auto"/>
              </w:rPr>
            </w:pPr>
          </w:p>
        </w:tc>
        <w:tc>
          <w:tcPr>
            <w:tcW w:w="7180" w:type="dxa"/>
            <w:vAlign w:val="bottom"/>
          </w:tcPr>
          <w:p>
            <w:pPr>
              <w:ind w:left="400"/>
              <w:spacing w:after="0"/>
              <w:rPr>
                <w:sz w:val="20"/>
                <w:szCs w:val="20"/>
                <w:color w:val="auto"/>
              </w:rPr>
            </w:pPr>
            <w:r>
              <w:rPr>
                <w:rFonts w:ascii="Arial" w:cs="Arial" w:eastAsia="Arial" w:hAnsi="Arial"/>
                <w:sz w:val="18"/>
                <w:szCs w:val="18"/>
                <w:color w:val="auto"/>
              </w:rPr>
              <w:t>Chairman of the Board of Directors</w:t>
            </w:r>
          </w:p>
        </w:tc>
      </w:tr>
      <w:tr>
        <w:trPr>
          <w:trHeight w:val="279"/>
        </w:trPr>
        <w:tc>
          <w:tcPr>
            <w:tcW w:w="3240" w:type="dxa"/>
            <w:vAlign w:val="bottom"/>
            <w:gridSpan w:val="2"/>
          </w:tcPr>
          <w:p>
            <w:pPr>
              <w:ind w:left="420"/>
              <w:spacing w:after="0"/>
              <w:rPr>
                <w:sz w:val="20"/>
                <w:szCs w:val="20"/>
                <w:color w:val="auto"/>
              </w:rPr>
            </w:pPr>
            <w:r>
              <w:rPr>
                <w:rFonts w:ascii="Arial" w:cs="Arial" w:eastAsia="Arial" w:hAnsi="Arial"/>
                <w:sz w:val="18"/>
                <w:szCs w:val="18"/>
                <w:color w:val="auto"/>
              </w:rPr>
              <w:t>Susan M. Byrne</w:t>
            </w:r>
          </w:p>
        </w:tc>
        <w:tc>
          <w:tcPr>
            <w:tcW w:w="680" w:type="dxa"/>
            <w:vAlign w:val="bottom"/>
          </w:tcPr>
          <w:p>
            <w:pPr>
              <w:jc w:val="center"/>
              <w:ind w:left="314"/>
              <w:spacing w:after="0"/>
              <w:rPr>
                <w:sz w:val="20"/>
                <w:szCs w:val="20"/>
                <w:color w:val="auto"/>
              </w:rPr>
            </w:pPr>
            <w:r>
              <w:rPr>
                <w:rFonts w:ascii="Arial" w:cs="Arial" w:eastAsia="Arial" w:hAnsi="Arial"/>
                <w:sz w:val="18"/>
                <w:szCs w:val="18"/>
                <w:color w:val="auto"/>
                <w:w w:val="79"/>
              </w:rPr>
              <w:t>75</w:t>
            </w:r>
          </w:p>
        </w:tc>
        <w:tc>
          <w:tcPr>
            <w:tcW w:w="140" w:type="dxa"/>
            <w:vAlign w:val="bottom"/>
          </w:tcPr>
          <w:p>
            <w:pPr>
              <w:spacing w:after="0"/>
              <w:rPr>
                <w:sz w:val="24"/>
                <w:szCs w:val="24"/>
                <w:color w:val="auto"/>
              </w:rPr>
            </w:pPr>
          </w:p>
        </w:tc>
        <w:tc>
          <w:tcPr>
            <w:tcW w:w="7180" w:type="dxa"/>
            <w:vAlign w:val="bottom"/>
          </w:tcPr>
          <w:p>
            <w:pPr>
              <w:ind w:left="400"/>
              <w:spacing w:after="0"/>
              <w:rPr>
                <w:sz w:val="20"/>
                <w:szCs w:val="20"/>
                <w:color w:val="auto"/>
              </w:rPr>
            </w:pPr>
            <w:r>
              <w:rPr>
                <w:rFonts w:ascii="Arial" w:cs="Arial" w:eastAsia="Arial" w:hAnsi="Arial"/>
                <w:sz w:val="18"/>
                <w:szCs w:val="18"/>
                <w:color w:val="auto"/>
              </w:rPr>
              <w:t>Vice Chairman of the Board of Directors</w:t>
            </w:r>
          </w:p>
        </w:tc>
      </w:tr>
      <w:tr>
        <w:trPr>
          <w:trHeight w:val="279"/>
        </w:trPr>
        <w:tc>
          <w:tcPr>
            <w:tcW w:w="3240" w:type="dxa"/>
            <w:vAlign w:val="bottom"/>
            <w:gridSpan w:val="2"/>
          </w:tcPr>
          <w:p>
            <w:pPr>
              <w:ind w:left="420"/>
              <w:spacing w:after="0"/>
              <w:rPr>
                <w:sz w:val="20"/>
                <w:szCs w:val="20"/>
                <w:color w:val="auto"/>
              </w:rPr>
            </w:pPr>
            <w:r>
              <w:rPr>
                <w:rFonts w:ascii="Arial" w:cs="Arial" w:eastAsia="Arial" w:hAnsi="Arial"/>
                <w:sz w:val="18"/>
                <w:szCs w:val="18"/>
                <w:color w:val="auto"/>
              </w:rPr>
              <w:t>Ellen H. Masterson</w:t>
            </w:r>
          </w:p>
        </w:tc>
        <w:tc>
          <w:tcPr>
            <w:tcW w:w="680" w:type="dxa"/>
            <w:vAlign w:val="bottom"/>
          </w:tcPr>
          <w:p>
            <w:pPr>
              <w:jc w:val="center"/>
              <w:ind w:left="314"/>
              <w:spacing w:after="0"/>
              <w:rPr>
                <w:sz w:val="20"/>
                <w:szCs w:val="20"/>
                <w:color w:val="auto"/>
              </w:rPr>
            </w:pPr>
            <w:r>
              <w:rPr>
                <w:rFonts w:ascii="Arial" w:cs="Arial" w:eastAsia="Arial" w:hAnsi="Arial"/>
                <w:sz w:val="18"/>
                <w:szCs w:val="18"/>
                <w:color w:val="auto"/>
                <w:w w:val="79"/>
              </w:rPr>
              <w:t>71</w:t>
            </w:r>
          </w:p>
        </w:tc>
        <w:tc>
          <w:tcPr>
            <w:tcW w:w="140" w:type="dxa"/>
            <w:vAlign w:val="bottom"/>
          </w:tcPr>
          <w:p>
            <w:pPr>
              <w:spacing w:after="0"/>
              <w:rPr>
                <w:sz w:val="24"/>
                <w:szCs w:val="24"/>
                <w:color w:val="auto"/>
              </w:rPr>
            </w:pPr>
          </w:p>
        </w:tc>
        <w:tc>
          <w:tcPr>
            <w:tcW w:w="7180" w:type="dxa"/>
            <w:vAlign w:val="bottom"/>
          </w:tcPr>
          <w:p>
            <w:pPr>
              <w:ind w:left="400"/>
              <w:spacing w:after="0"/>
              <w:rPr>
                <w:sz w:val="20"/>
                <w:szCs w:val="20"/>
                <w:color w:val="auto"/>
              </w:rPr>
            </w:pPr>
            <w:r>
              <w:rPr>
                <w:rFonts w:ascii="Arial" w:cs="Arial" w:eastAsia="Arial" w:hAnsi="Arial"/>
                <w:sz w:val="18"/>
                <w:szCs w:val="18"/>
                <w:color w:val="auto"/>
              </w:rPr>
              <w:t>Director</w:t>
            </w:r>
          </w:p>
        </w:tc>
      </w:tr>
      <w:tr>
        <w:trPr>
          <w:trHeight w:val="279"/>
        </w:trPr>
        <w:tc>
          <w:tcPr>
            <w:tcW w:w="3240" w:type="dxa"/>
            <w:vAlign w:val="bottom"/>
            <w:gridSpan w:val="2"/>
          </w:tcPr>
          <w:p>
            <w:pPr>
              <w:ind w:left="420"/>
              <w:spacing w:after="0"/>
              <w:rPr>
                <w:sz w:val="20"/>
                <w:szCs w:val="20"/>
                <w:color w:val="auto"/>
              </w:rPr>
            </w:pPr>
            <w:r>
              <w:rPr>
                <w:rFonts w:ascii="Arial" w:cs="Arial" w:eastAsia="Arial" w:hAnsi="Arial"/>
                <w:sz w:val="18"/>
                <w:szCs w:val="18"/>
                <w:color w:val="auto"/>
              </w:rPr>
              <w:t>Geoffrey R. Norman</w:t>
            </w:r>
          </w:p>
        </w:tc>
        <w:tc>
          <w:tcPr>
            <w:tcW w:w="680" w:type="dxa"/>
            <w:vAlign w:val="bottom"/>
          </w:tcPr>
          <w:p>
            <w:pPr>
              <w:jc w:val="center"/>
              <w:ind w:left="314"/>
              <w:spacing w:after="0"/>
              <w:rPr>
                <w:sz w:val="20"/>
                <w:szCs w:val="20"/>
                <w:color w:val="auto"/>
              </w:rPr>
            </w:pPr>
            <w:r>
              <w:rPr>
                <w:rFonts w:ascii="Arial" w:cs="Arial" w:eastAsia="Arial" w:hAnsi="Arial"/>
                <w:sz w:val="18"/>
                <w:szCs w:val="18"/>
                <w:color w:val="auto"/>
                <w:w w:val="79"/>
              </w:rPr>
              <w:t>78</w:t>
            </w:r>
          </w:p>
        </w:tc>
        <w:tc>
          <w:tcPr>
            <w:tcW w:w="140" w:type="dxa"/>
            <w:vAlign w:val="bottom"/>
          </w:tcPr>
          <w:p>
            <w:pPr>
              <w:spacing w:after="0"/>
              <w:rPr>
                <w:sz w:val="24"/>
                <w:szCs w:val="24"/>
                <w:color w:val="auto"/>
              </w:rPr>
            </w:pPr>
          </w:p>
        </w:tc>
        <w:tc>
          <w:tcPr>
            <w:tcW w:w="7180" w:type="dxa"/>
            <w:vAlign w:val="bottom"/>
          </w:tcPr>
          <w:p>
            <w:pPr>
              <w:ind w:left="400"/>
              <w:spacing w:after="0"/>
              <w:rPr>
                <w:sz w:val="20"/>
                <w:szCs w:val="20"/>
                <w:color w:val="auto"/>
              </w:rPr>
            </w:pPr>
            <w:r>
              <w:rPr>
                <w:rFonts w:ascii="Arial" w:cs="Arial" w:eastAsia="Arial" w:hAnsi="Arial"/>
                <w:sz w:val="18"/>
                <w:szCs w:val="18"/>
                <w:color w:val="auto"/>
              </w:rPr>
              <w:t>Director</w:t>
            </w:r>
          </w:p>
        </w:tc>
      </w:tr>
      <w:tr>
        <w:trPr>
          <w:trHeight w:val="279"/>
        </w:trPr>
        <w:tc>
          <w:tcPr>
            <w:tcW w:w="3240" w:type="dxa"/>
            <w:vAlign w:val="bottom"/>
            <w:gridSpan w:val="2"/>
          </w:tcPr>
          <w:p>
            <w:pPr>
              <w:ind w:left="420"/>
              <w:spacing w:after="0"/>
              <w:rPr>
                <w:sz w:val="20"/>
                <w:szCs w:val="20"/>
                <w:color w:val="auto"/>
              </w:rPr>
            </w:pPr>
            <w:r>
              <w:rPr>
                <w:rFonts w:ascii="Arial" w:cs="Arial" w:eastAsia="Arial" w:hAnsi="Arial"/>
                <w:sz w:val="18"/>
                <w:szCs w:val="18"/>
                <w:color w:val="auto"/>
              </w:rPr>
              <w:t>Randy A. Bowman</w:t>
            </w:r>
          </w:p>
        </w:tc>
        <w:tc>
          <w:tcPr>
            <w:tcW w:w="680" w:type="dxa"/>
            <w:vAlign w:val="bottom"/>
          </w:tcPr>
          <w:p>
            <w:pPr>
              <w:jc w:val="center"/>
              <w:ind w:left="314"/>
              <w:spacing w:after="0"/>
              <w:rPr>
                <w:sz w:val="20"/>
                <w:szCs w:val="20"/>
                <w:color w:val="auto"/>
              </w:rPr>
            </w:pPr>
            <w:r>
              <w:rPr>
                <w:rFonts w:ascii="Arial" w:cs="Arial" w:eastAsia="Arial" w:hAnsi="Arial"/>
                <w:sz w:val="18"/>
                <w:szCs w:val="18"/>
                <w:color w:val="auto"/>
                <w:w w:val="79"/>
              </w:rPr>
              <w:t>58</w:t>
            </w:r>
          </w:p>
        </w:tc>
        <w:tc>
          <w:tcPr>
            <w:tcW w:w="140" w:type="dxa"/>
            <w:vAlign w:val="bottom"/>
          </w:tcPr>
          <w:p>
            <w:pPr>
              <w:spacing w:after="0"/>
              <w:rPr>
                <w:sz w:val="24"/>
                <w:szCs w:val="24"/>
                <w:color w:val="auto"/>
              </w:rPr>
            </w:pPr>
          </w:p>
        </w:tc>
        <w:tc>
          <w:tcPr>
            <w:tcW w:w="7180" w:type="dxa"/>
            <w:vAlign w:val="bottom"/>
          </w:tcPr>
          <w:p>
            <w:pPr>
              <w:ind w:left="400"/>
              <w:spacing w:after="0"/>
              <w:rPr>
                <w:sz w:val="20"/>
                <w:szCs w:val="20"/>
                <w:color w:val="auto"/>
              </w:rPr>
            </w:pPr>
            <w:r>
              <w:rPr>
                <w:rFonts w:ascii="Arial" w:cs="Arial" w:eastAsia="Arial" w:hAnsi="Arial"/>
                <w:sz w:val="18"/>
                <w:szCs w:val="18"/>
                <w:color w:val="auto"/>
              </w:rPr>
              <w:t>Director</w:t>
            </w:r>
          </w:p>
        </w:tc>
      </w:tr>
    </w:tbl>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BOARD OF DIRECTORS UNANIMOUSLY RECOMMENDS A VOTE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THE APPROVAL OF EACH OF THE DIRECTOR NOMINEES.</w:t>
      </w:r>
    </w:p>
    <w:p>
      <w:pPr>
        <w:spacing w:after="0" w:line="10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biographical information for each director nominee is set forth below.</w:t>
      </w:r>
    </w:p>
    <w:p>
      <w:pPr>
        <w:spacing w:after="0" w:line="111" w:lineRule="exact"/>
        <w:rPr>
          <w:sz w:val="20"/>
          <w:szCs w:val="20"/>
          <w:color w:val="auto"/>
        </w:rPr>
      </w:pPr>
    </w:p>
    <w:p>
      <w:pPr>
        <w:ind w:right="40" w:firstLine="398"/>
        <w:spacing w:after="0" w:line="304" w:lineRule="auto"/>
        <w:rPr>
          <w:sz w:val="20"/>
          <w:szCs w:val="20"/>
          <w:color w:val="auto"/>
        </w:rPr>
      </w:pPr>
      <w:r>
        <w:rPr>
          <w:rFonts w:ascii="Arial" w:cs="Arial" w:eastAsia="Arial" w:hAnsi="Arial"/>
          <w:sz w:val="15"/>
          <w:szCs w:val="15"/>
          <w:i w:val="1"/>
          <w:iCs w:val="1"/>
          <w:color w:val="auto"/>
        </w:rPr>
        <w:t xml:space="preserve">Brian O. Casey </w:t>
      </w:r>
      <w:r>
        <w:rPr>
          <w:rFonts w:ascii="Arial" w:cs="Arial" w:eastAsia="Arial" w:hAnsi="Arial"/>
          <w:sz w:val="15"/>
          <w:szCs w:val="15"/>
          <w:color w:val="auto"/>
        </w:rPr>
        <w:t>has served Westwood as Chief Executive Officer of Westwood since January 2006, as President and a director since its inception in</w:t>
      </w:r>
      <w:r>
        <w:rPr>
          <w:rFonts w:ascii="Arial" w:cs="Arial" w:eastAsia="Arial" w:hAnsi="Arial"/>
          <w:sz w:val="15"/>
          <w:szCs w:val="15"/>
          <w:i w:val="1"/>
          <w:iCs w:val="1"/>
          <w:color w:val="auto"/>
        </w:rPr>
        <w:t xml:space="preserve"> </w:t>
      </w:r>
      <w:r>
        <w:rPr>
          <w:rFonts w:ascii="Arial" w:cs="Arial" w:eastAsia="Arial" w:hAnsi="Arial"/>
          <w:sz w:val="15"/>
          <w:szCs w:val="15"/>
          <w:color w:val="auto"/>
        </w:rPr>
        <w:t>December 2001, as Secretary from December 2001 to March 2014, and as Chief Operating Officer from 2001 to 2005. Mr. Casey has served as Chief Executive Officer of Westwood Management since January 2006, as President since 2002, and as a director since 2000. Mr. Casey served as Chief Operating Officer of Westwood Management from 2000 to 2005, as Executive Vice President from 2000 to 2002, and as Vice President from 1992 to 1996. Mr. Casey has served as director of Westwood Trust since 1996 and also served as President of Westwood Trust from 1996 to 2013. Since 2002, Mr. Casey has served on the Tartan Board of Directors, a group exclusively devoted to raising money for the Texas Scottish Rite Hospital for Children. In 2020, he rejoined the board of the Baylor Health Care System Foundation, which helps raise money to support Baylor Health Care System’s mission of patient care, education, research and community service. Mr. Casey previously served on the Baylor Health Care System Foundation board from 2008 until 2017. In 2011, he was appointed to the Board of the Cooper Institute, an organization dedicated to scientific research in the field of preventative medicine and public health.</w:t>
      </w:r>
    </w:p>
    <w:p>
      <w:pPr>
        <w:spacing w:after="0" w:line="50" w:lineRule="exact"/>
        <w:rPr>
          <w:sz w:val="20"/>
          <w:szCs w:val="20"/>
          <w:color w:val="auto"/>
        </w:rPr>
      </w:pPr>
    </w:p>
    <w:p>
      <w:pPr>
        <w:jc w:val="both"/>
        <w:ind w:right="80" w:firstLine="398"/>
        <w:spacing w:after="0" w:line="277" w:lineRule="auto"/>
        <w:rPr>
          <w:sz w:val="20"/>
          <w:szCs w:val="20"/>
          <w:color w:val="auto"/>
        </w:rPr>
      </w:pPr>
      <w:r>
        <w:rPr>
          <w:rFonts w:ascii="Arial" w:cs="Arial" w:eastAsia="Arial" w:hAnsi="Arial"/>
          <w:sz w:val="17"/>
          <w:szCs w:val="17"/>
          <w:color w:val="auto"/>
        </w:rPr>
        <w:t>As the Chief Executive Officer of the Company with over 22 years in senior executive roles with the Company, Mr. Casey brings extensive knowledge of and experience with the Company and its business as well as valuable leadership and management skills. Mr. Casey has deep knowledge of the Company's operations, strategies and competitive environment as well as the asset management industry as a whole.</w:t>
      </w:r>
    </w:p>
    <w:p>
      <w:pPr>
        <w:spacing w:after="0" w:line="66" w:lineRule="exact"/>
        <w:rPr>
          <w:sz w:val="20"/>
          <w:szCs w:val="20"/>
          <w:color w:val="auto"/>
        </w:rPr>
      </w:pPr>
    </w:p>
    <w:p>
      <w:pPr>
        <w:ind w:right="40" w:firstLine="398"/>
        <w:spacing w:after="0" w:line="313" w:lineRule="auto"/>
        <w:rPr>
          <w:sz w:val="20"/>
          <w:szCs w:val="20"/>
          <w:color w:val="auto"/>
        </w:rPr>
      </w:pPr>
      <w:r>
        <w:rPr>
          <w:rFonts w:ascii="Arial" w:cs="Arial" w:eastAsia="Arial" w:hAnsi="Arial"/>
          <w:sz w:val="15"/>
          <w:szCs w:val="15"/>
          <w:i w:val="1"/>
          <w:iCs w:val="1"/>
          <w:color w:val="auto"/>
        </w:rPr>
        <w:t xml:space="preserve">Richard M. Frank </w:t>
      </w:r>
      <w:r>
        <w:rPr>
          <w:rFonts w:ascii="Arial" w:cs="Arial" w:eastAsia="Arial" w:hAnsi="Arial"/>
          <w:sz w:val="15"/>
          <w:szCs w:val="15"/>
          <w:color w:val="auto"/>
        </w:rPr>
        <w:t>has served as a director of Westwood and Westwood Trust since February 2006, and as Chairman of the Board of Directors since May</w:t>
      </w:r>
      <w:r>
        <w:rPr>
          <w:rFonts w:ascii="Arial" w:cs="Arial" w:eastAsia="Arial" w:hAnsi="Arial"/>
          <w:sz w:val="15"/>
          <w:szCs w:val="15"/>
          <w:i w:val="1"/>
          <w:iCs w:val="1"/>
          <w:color w:val="auto"/>
        </w:rPr>
        <w:t xml:space="preserve"> </w:t>
      </w:r>
      <w:r>
        <w:rPr>
          <w:rFonts w:ascii="Arial" w:cs="Arial" w:eastAsia="Arial" w:hAnsi="Arial"/>
          <w:sz w:val="15"/>
          <w:szCs w:val="15"/>
          <w:color w:val="auto"/>
        </w:rPr>
        <w:t>1, 2015. Mr. Frank was previously employed by CEC Entertainment, Inc. (“CEC”), a Dallas-based company that operates a chain of pizza and children’s entertainment restaurants, until his retirement in March 2014. CEC was an NYSE-listed company until February 2014. From December 2008 until February 2014, he served as Executive Chairman of the Board of CEC. Mr. Frank served CEC as a director from June 1985 to February 2014, as Chairman of the Board and Chief Executive Officer from March 1986 to December 2008, and as President and Chief Operating Officer from</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440" w:right="339" w:bottom="1440" w:gutter="0" w:footer="0" w:header="0"/>
        </w:sectPr>
      </w:pPr>
    </w:p>
    <w:bookmarkStart w:id="12" w:name="page13"/>
    <w:bookmarkEnd w:id="12"/>
    <w:p>
      <w:pPr>
        <w:ind w:right="440"/>
        <w:spacing w:after="0" w:line="265" w:lineRule="auto"/>
        <w:rPr>
          <w:sz w:val="20"/>
          <w:szCs w:val="20"/>
          <w:color w:val="auto"/>
        </w:rPr>
      </w:pPr>
      <w:r>
        <w:rPr>
          <w:rFonts w:ascii="Arial" w:cs="Arial" w:eastAsia="Arial" w:hAnsi="Arial"/>
          <w:sz w:val="18"/>
          <w:szCs w:val="18"/>
          <w:color w:val="auto"/>
        </w:rPr>
        <w:t>June 1985 to October 1988. Prior to CEC, Mr. Frank served for 12 years as Chief Operating Officer of S&amp;A Restaurant Co., a subsidiary of the Pillsbury Company.</w:t>
      </w:r>
    </w:p>
    <w:p>
      <w:pPr>
        <w:spacing w:after="0" w:line="74" w:lineRule="exact"/>
        <w:rPr>
          <w:sz w:val="20"/>
          <w:szCs w:val="20"/>
          <w:color w:val="auto"/>
        </w:rPr>
      </w:pPr>
    </w:p>
    <w:p>
      <w:pPr>
        <w:ind w:firstLine="398"/>
        <w:spacing w:after="0" w:line="255" w:lineRule="auto"/>
        <w:rPr>
          <w:sz w:val="20"/>
          <w:szCs w:val="20"/>
          <w:color w:val="auto"/>
        </w:rPr>
      </w:pPr>
      <w:r>
        <w:rPr>
          <w:rFonts w:ascii="Arial" w:cs="Arial" w:eastAsia="Arial" w:hAnsi="Arial"/>
          <w:sz w:val="18"/>
          <w:szCs w:val="18"/>
          <w:color w:val="auto"/>
        </w:rPr>
        <w:t>Mr. Frank brings extensive knowledge with regard to executive and board level oversight of a public company through his significant experience as Chief Executive Officer, Chairman and director of CEC. Mr. Frank also has a deep understanding of business, governance, compensation and financial matters through his service with CEC.</w:t>
      </w:r>
    </w:p>
    <w:p>
      <w:pPr>
        <w:spacing w:after="0" w:line="83" w:lineRule="exact"/>
        <w:rPr>
          <w:sz w:val="20"/>
          <w:szCs w:val="20"/>
          <w:color w:val="auto"/>
        </w:rPr>
      </w:pPr>
    </w:p>
    <w:p>
      <w:pPr>
        <w:ind w:firstLine="398"/>
        <w:spacing w:after="0" w:line="303" w:lineRule="auto"/>
        <w:rPr>
          <w:sz w:val="20"/>
          <w:szCs w:val="20"/>
          <w:color w:val="auto"/>
        </w:rPr>
      </w:pPr>
      <w:r>
        <w:rPr>
          <w:rFonts w:ascii="Arial" w:cs="Arial" w:eastAsia="Arial" w:hAnsi="Arial"/>
          <w:sz w:val="15"/>
          <w:szCs w:val="15"/>
          <w:i w:val="1"/>
          <w:iCs w:val="1"/>
          <w:color w:val="auto"/>
        </w:rPr>
        <w:t xml:space="preserve">Susan M. Byrne </w:t>
      </w:r>
      <w:r>
        <w:rPr>
          <w:rFonts w:ascii="Arial" w:cs="Arial" w:eastAsia="Arial" w:hAnsi="Arial"/>
          <w:sz w:val="15"/>
          <w:szCs w:val="15"/>
          <w:color w:val="auto"/>
        </w:rPr>
        <w:t>has served as a director of Westwood since its inception in December 2001 and served as Chairman of the Board of Directors from</w:t>
      </w:r>
      <w:r>
        <w:rPr>
          <w:rFonts w:ascii="Arial" w:cs="Arial" w:eastAsia="Arial" w:hAnsi="Arial"/>
          <w:sz w:val="15"/>
          <w:szCs w:val="15"/>
          <w:i w:val="1"/>
          <w:iCs w:val="1"/>
          <w:color w:val="auto"/>
        </w:rPr>
        <w:t xml:space="preserve"> </w:t>
      </w:r>
      <w:r>
        <w:rPr>
          <w:rFonts w:ascii="Arial" w:cs="Arial" w:eastAsia="Arial" w:hAnsi="Arial"/>
          <w:sz w:val="15"/>
          <w:szCs w:val="15"/>
          <w:color w:val="auto"/>
        </w:rPr>
        <w:t>Westwood's inception through May 1, 2015, at which time she began serving as Vice Chairman of the Board of Directors, a position which she currently holds. Ms. Byrne also serves as a consultant to the Company under a consulting agreement dated March 17, 2015. She served as Director, Global Initiatives for Westwood from February 2012 to July 2015, as Co-Chief Investment Officer from January 2011 to February 2012, as Chief Investment Officer from January 2006 to February 2012, and as Chief Executive Officer from December 2001 to December 2005. Ms. Byrne is the founder of Westwood Management Corp., and she has served as its Chairman of the Board since 1983, as Chief Investment Officer from 1983 to February 2012, as Chief Executive Officer from 1983 to 2005, and as President from 1983 to 2002. She served as a director of Westwood Trust from 1996 to 1999 and again since 2016. She serves as a Trustee of the Impact Dallas Capital Board and is also a Trustee of the Naval Postgraduate School Foundation. Ms. Byrne has previously served as a board member of the Dallas Museum of Art, where she also served on the Executive Committee and as Treasurer. She is also a former Trustee of the Dallas Police &amp; Fire Pension System, the Board of Presbyterian Communities &amp; Services Foundation, the Board of the University of Texas Investment Management Company, and the Board of Trustees for the City of Dallas Employees Retirement Fund.</w:t>
      </w:r>
    </w:p>
    <w:p>
      <w:pPr>
        <w:spacing w:after="0" w:line="263" w:lineRule="exact"/>
        <w:rPr>
          <w:sz w:val="20"/>
          <w:szCs w:val="20"/>
          <w:color w:val="auto"/>
        </w:rPr>
      </w:pPr>
    </w:p>
    <w:p>
      <w:pPr>
        <w:ind w:right="100" w:firstLine="398"/>
        <w:spacing w:after="0" w:line="269" w:lineRule="auto"/>
        <w:rPr>
          <w:sz w:val="20"/>
          <w:szCs w:val="20"/>
          <w:color w:val="auto"/>
        </w:rPr>
      </w:pPr>
      <w:r>
        <w:rPr>
          <w:rFonts w:ascii="Arial" w:cs="Arial" w:eastAsia="Arial" w:hAnsi="Arial"/>
          <w:sz w:val="17"/>
          <w:szCs w:val="17"/>
          <w:color w:val="auto"/>
        </w:rPr>
        <w:t>As the Founder and Vice Chairman of the Board of the Company and as a result of her tenure with the Company and its subsidiaries for over 30 years, Ms. Byrne brings extensive knowledge of and experience with the Company and its business as well as valuable leadership and management experience. Ms. Byrne has deep knowledge of the Company's operations, strategies and competitive environment as well as the asset management industry as a whole. With over 40 years of experience in the investment management business, Ms. Byrne is uniquely qualified to provide insight to the Board on the Company's investment management strategies and operations.</w:t>
      </w:r>
    </w:p>
    <w:p>
      <w:pPr>
        <w:spacing w:after="0" w:line="72" w:lineRule="exact"/>
        <w:rPr>
          <w:sz w:val="20"/>
          <w:szCs w:val="20"/>
          <w:color w:val="auto"/>
        </w:rPr>
      </w:pPr>
    </w:p>
    <w:p>
      <w:pPr>
        <w:ind w:right="40" w:firstLine="398"/>
        <w:spacing w:after="0" w:line="264" w:lineRule="auto"/>
        <w:rPr>
          <w:sz w:val="20"/>
          <w:szCs w:val="20"/>
          <w:color w:val="auto"/>
        </w:rPr>
      </w:pPr>
      <w:r>
        <w:rPr>
          <w:rFonts w:ascii="Arial" w:cs="Arial" w:eastAsia="Arial" w:hAnsi="Arial"/>
          <w:sz w:val="17"/>
          <w:szCs w:val="17"/>
          <w:i w:val="1"/>
          <w:iCs w:val="1"/>
          <w:color w:val="auto"/>
        </w:rPr>
        <w:t xml:space="preserve">Ellen H. Masterson </w:t>
      </w:r>
      <w:r>
        <w:rPr>
          <w:rFonts w:ascii="Arial" w:cs="Arial" w:eastAsia="Arial" w:hAnsi="Arial"/>
          <w:sz w:val="17"/>
          <w:szCs w:val="17"/>
          <w:color w:val="auto"/>
        </w:rPr>
        <w:t>has served as a director of Westwood and Westwood Trust since 2014. She retired as a partner with PricewaterhouseCoopers</w:t>
      </w:r>
      <w:r>
        <w:rPr>
          <w:rFonts w:ascii="Arial" w:cs="Arial" w:eastAsia="Arial" w:hAnsi="Arial"/>
          <w:sz w:val="17"/>
          <w:szCs w:val="17"/>
          <w:i w:val="1"/>
          <w:iCs w:val="1"/>
          <w:color w:val="auto"/>
        </w:rPr>
        <w:t xml:space="preserve"> </w:t>
      </w:r>
      <w:r>
        <w:rPr>
          <w:rFonts w:ascii="Arial" w:cs="Arial" w:eastAsia="Arial" w:hAnsi="Arial"/>
          <w:sz w:val="17"/>
          <w:szCs w:val="17"/>
          <w:color w:val="auto"/>
        </w:rPr>
        <w:t>(“PwC”) in 2008, having served in such capacity since 1999 and also from 1985 to 1997. Ms. Masterson specialized in the audits of companies involved in several sectors of the financial services industry, including investment management firms and public companies with a focus on mergers and acquisitions. She held senior positions within the leadership of PwC from 2001 to 2008, including international responsibilities across PwC’s global network. From 1997 to 1999, Ms. Masterson served as Senior Vice President and Chief Financial Officer of American General Corporation prior to its acquisition by American International Group, Inc. Ms. Masterson serves on the Board of Directors of Insperity, Inc (NYSE: NSP), a leading provider of human resource and comprehensive business performance solutions for small and medium-sized businesses, and on the Board of Governors of The Doctors Company, the largest doctor-owned medical malpractice insurer in the US. Since 1982, she has served on the boards of directors for numerous nonprofit and charitable organizations.</w:t>
      </w:r>
    </w:p>
    <w:p>
      <w:pPr>
        <w:spacing w:after="0" w:line="81" w:lineRule="exact"/>
        <w:rPr>
          <w:sz w:val="20"/>
          <w:szCs w:val="20"/>
          <w:color w:val="auto"/>
        </w:rPr>
      </w:pPr>
    </w:p>
    <w:p>
      <w:pPr>
        <w:ind w:right="80" w:firstLine="398"/>
        <w:spacing w:after="0" w:line="255" w:lineRule="auto"/>
        <w:rPr>
          <w:sz w:val="20"/>
          <w:szCs w:val="20"/>
          <w:color w:val="auto"/>
        </w:rPr>
      </w:pPr>
      <w:r>
        <w:rPr>
          <w:rFonts w:ascii="Arial" w:cs="Arial" w:eastAsia="Arial" w:hAnsi="Arial"/>
          <w:sz w:val="18"/>
          <w:szCs w:val="18"/>
          <w:color w:val="auto"/>
        </w:rPr>
        <w:t>Ms. Masterson brings extensive knowledge of financial reporting and accounting issues faced by companies in the financial services industry, as well as experience with international business, strategic planning and corporate governance from 40 years of serving clients and acting as a public company Chief Financial Officer and a trustee of nonprofit organizations.</w:t>
      </w:r>
    </w:p>
    <w:p>
      <w:pPr>
        <w:spacing w:after="0" w:line="83" w:lineRule="exact"/>
        <w:rPr>
          <w:sz w:val="20"/>
          <w:szCs w:val="20"/>
          <w:color w:val="auto"/>
        </w:rPr>
      </w:pPr>
    </w:p>
    <w:p>
      <w:pPr>
        <w:ind w:right="20" w:firstLine="398"/>
        <w:spacing w:after="0" w:line="250" w:lineRule="auto"/>
        <w:rPr>
          <w:sz w:val="20"/>
          <w:szCs w:val="20"/>
          <w:color w:val="auto"/>
        </w:rPr>
      </w:pPr>
      <w:r>
        <w:rPr>
          <w:rFonts w:ascii="Arial" w:cs="Arial" w:eastAsia="Arial" w:hAnsi="Arial"/>
          <w:sz w:val="18"/>
          <w:szCs w:val="18"/>
          <w:i w:val="1"/>
          <w:iCs w:val="1"/>
          <w:color w:val="auto"/>
        </w:rPr>
        <w:t xml:space="preserve">Geoffrey R. Norman </w:t>
      </w:r>
      <w:r>
        <w:rPr>
          <w:rFonts w:ascii="Arial" w:cs="Arial" w:eastAsia="Arial" w:hAnsi="Arial"/>
          <w:sz w:val="18"/>
          <w:szCs w:val="18"/>
          <w:color w:val="auto"/>
        </w:rPr>
        <w:t>has served as a director of Westwood and Westwood Trust since April 2007. He was employed by General Electric from 1968 to</w:t>
      </w:r>
      <w:r>
        <w:rPr>
          <w:rFonts w:ascii="Arial" w:cs="Arial" w:eastAsia="Arial" w:hAnsi="Arial"/>
          <w:sz w:val="18"/>
          <w:szCs w:val="18"/>
          <w:i w:val="1"/>
          <w:iCs w:val="1"/>
          <w:color w:val="auto"/>
        </w:rPr>
        <w:t xml:space="preserve"> </w:t>
      </w:r>
      <w:r>
        <w:rPr>
          <w:rFonts w:ascii="Arial" w:cs="Arial" w:eastAsia="Arial" w:hAnsi="Arial"/>
          <w:sz w:val="18"/>
          <w:szCs w:val="18"/>
          <w:color w:val="auto"/>
        </w:rPr>
        <w:t>2004, serving in various roles including Comptroller of GE Española, Chief Financial Officer of GE International Contractor Equipment, Vice President &amp; Treasurer of GE Capital, and Executive Vice President of GE Asset Management. Mr. Norman serves on a global board for buildOn, a not-for-profit entity that builds schools in underdeveloped countries and organizes after-school clubs in US high schools. Mr. Norman also serves as a consultant to 5AM Ventures, a life science venture capital firm based in San Francisco, California.</w:t>
      </w:r>
    </w:p>
    <w:p>
      <w:pPr>
        <w:spacing w:after="0" w:line="89" w:lineRule="exact"/>
        <w:rPr>
          <w:sz w:val="20"/>
          <w:szCs w:val="20"/>
          <w:color w:val="auto"/>
        </w:rPr>
      </w:pPr>
    </w:p>
    <w:p>
      <w:pPr>
        <w:ind w:right="280" w:firstLine="398"/>
        <w:spacing w:after="0" w:line="319" w:lineRule="auto"/>
        <w:rPr>
          <w:sz w:val="20"/>
          <w:szCs w:val="20"/>
          <w:color w:val="auto"/>
        </w:rPr>
      </w:pPr>
      <w:r>
        <w:rPr>
          <w:rFonts w:ascii="Arial" w:cs="Arial" w:eastAsia="Arial" w:hAnsi="Arial"/>
          <w:sz w:val="15"/>
          <w:szCs w:val="15"/>
          <w:color w:val="auto"/>
        </w:rPr>
        <w:t>Mr. Norman brings extensive financial, operational, regulatory and strategic expertise to the Board, having served in several finance and executive management roles over a 36-year career at General Electric. As a former executive with GE Asset Management, where he led the creation of GE's external money management business and served on the Boards of Trustees of the GE Pension Fund and GE Canada's Pension Plan, Mr. Norman brings extensive knowledge of the institutional investment management business from both asset manager and plan sponsor perspectives.</w:t>
      </w:r>
    </w:p>
    <w:p>
      <w:pPr>
        <w:spacing w:after="0" w:line="38" w:lineRule="exact"/>
        <w:rPr>
          <w:sz w:val="20"/>
          <w:szCs w:val="20"/>
          <w:color w:val="auto"/>
        </w:rPr>
      </w:pPr>
    </w:p>
    <w:p>
      <w:pPr>
        <w:ind w:right="20" w:firstLine="398"/>
        <w:spacing w:after="0" w:line="309" w:lineRule="auto"/>
        <w:rPr>
          <w:sz w:val="20"/>
          <w:szCs w:val="20"/>
          <w:color w:val="auto"/>
        </w:rPr>
      </w:pPr>
      <w:r>
        <w:rPr>
          <w:rFonts w:ascii="Arial" w:cs="Arial" w:eastAsia="Arial" w:hAnsi="Arial"/>
          <w:sz w:val="15"/>
          <w:szCs w:val="15"/>
          <w:i w:val="1"/>
          <w:iCs w:val="1"/>
          <w:color w:val="auto"/>
        </w:rPr>
        <w:t xml:space="preserve">Randy A. Bowman </w:t>
      </w:r>
      <w:r>
        <w:rPr>
          <w:rFonts w:ascii="Arial" w:cs="Arial" w:eastAsia="Arial" w:hAnsi="Arial"/>
          <w:sz w:val="15"/>
          <w:szCs w:val="15"/>
          <w:color w:val="auto"/>
        </w:rPr>
        <w:t>has served as a director of Westwood and Westwood Trust since 2021. He has served as the Chair, CEO and President of AT LAST! –</w:t>
      </w:r>
      <w:r>
        <w:rPr>
          <w:rFonts w:ascii="Arial" w:cs="Arial" w:eastAsia="Arial" w:hAnsi="Arial"/>
          <w:sz w:val="15"/>
          <w:szCs w:val="15"/>
          <w:i w:val="1"/>
          <w:iCs w:val="1"/>
          <w:color w:val="auto"/>
        </w:rPr>
        <w:t xml:space="preserve"> </w:t>
      </w:r>
      <w:r>
        <w:rPr>
          <w:rFonts w:ascii="Arial" w:cs="Arial" w:eastAsia="Arial" w:hAnsi="Arial"/>
          <w:sz w:val="15"/>
          <w:szCs w:val="15"/>
          <w:color w:val="auto"/>
        </w:rPr>
        <w:t>The Urban Boarding Experience ("AT LAST!"), a non-profit organization that provides impoverished elementary school-aged children with urban boarding opportunities and educational resources, from January 2017 to the present. From July 2001 to January 2017, Mr. Bowman served as the President and Co-Owner of MW Logistics, a provider of transportation and logistics solutions for Fortune 200 manufacturers. Since 2016, he has served as a Board member and Chair of Impact Dallas Capital, a fund supporting increased economic development in southern Dallas. From 2016 to 2020, Mr. Bowman served as a Board member and Chair of the City of Dallas Employee Retirement Fund. From 2011 to 2015, he served as Board Chair of the Parkland Hospital Foundation.</w:t>
      </w:r>
    </w:p>
    <w:p>
      <w:pPr>
        <w:spacing w:after="0" w:line="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552" w:right="339" w:bottom="1440" w:gutter="0" w:footer="0" w:header="0"/>
        </w:sectPr>
      </w:pPr>
    </w:p>
    <w:bookmarkStart w:id="13" w:name="page14"/>
    <w:bookmarkEnd w:id="13"/>
    <w:p>
      <w:pPr>
        <w:ind w:right="120" w:firstLine="398"/>
        <w:spacing w:after="0" w:line="269" w:lineRule="auto"/>
        <w:rPr>
          <w:sz w:val="20"/>
          <w:szCs w:val="20"/>
          <w:color w:val="auto"/>
        </w:rPr>
      </w:pPr>
      <w:r>
        <w:rPr>
          <w:rFonts w:ascii="Arial" w:cs="Arial" w:eastAsia="Arial" w:hAnsi="Arial"/>
          <w:sz w:val="17"/>
          <w:szCs w:val="17"/>
          <w:color w:val="auto"/>
        </w:rPr>
        <w:t>Mr. Bowman brings business development, operational and strategic expertise as a result of his seventeen years owning and presiding over a successful logistics company, and experience with sophisticated corporate transactions from twelve years as a former corporate finance lawyer. As former Chair of the City of Dallas Employee Retirement Fund, he brings substantial knowledge of oversight of investment management and allocation from a plan sponsor perspective. Mr. Bowman also has extensive civic and community knowledge, reputation and relationship capital through his nonprofit service, having founded AT LAST! and served as Chair of multiple high-impact nonprofit organizations.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Information</w:t>
      </w:r>
    </w:p>
    <w:p>
      <w:pPr>
        <w:spacing w:after="0" w:line="117" w:lineRule="exact"/>
        <w:rPr>
          <w:sz w:val="20"/>
          <w:szCs w:val="20"/>
          <w:color w:val="auto"/>
        </w:rPr>
      </w:pPr>
    </w:p>
    <w:p>
      <w:pPr>
        <w:jc w:val="both"/>
        <w:ind w:right="120" w:firstLine="398"/>
        <w:spacing w:after="0" w:line="277" w:lineRule="auto"/>
        <w:rPr>
          <w:sz w:val="20"/>
          <w:szCs w:val="20"/>
          <w:color w:val="auto"/>
        </w:rPr>
      </w:pPr>
      <w:r>
        <w:rPr>
          <w:rFonts w:ascii="Arial" w:cs="Arial" w:eastAsia="Arial" w:hAnsi="Arial"/>
          <w:sz w:val="17"/>
          <w:szCs w:val="17"/>
          <w:color w:val="auto"/>
        </w:rPr>
        <w:t>The Board of Directors held eight meetings during 2021. All of the incumbent director nominees attended all of the meetings held in 2021 during their respective appointments. The standing committees of the Board of Directors currently consist of the Audit Committee, the Compensation Committee and the Governance/Nominating Committee. The membership and duties of these committees are described below.</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Audit</w:t>
            </w:r>
          </w:p>
        </w:tc>
        <w:tc>
          <w:tcPr>
            <w:tcW w:w="1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Compensation</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91"/>
              </w:rPr>
              <w:t>Governance/Nominating</w:t>
            </w:r>
          </w:p>
        </w:tc>
      </w:tr>
      <w:tr>
        <w:trPr>
          <w:trHeight w:val="208"/>
        </w:trPr>
        <w:tc>
          <w:tcPr>
            <w:tcW w:w="40" w:type="dxa"/>
            <w:vAlign w:val="bottom"/>
          </w:tcPr>
          <w:p>
            <w:pPr>
              <w:spacing w:after="0"/>
              <w:rPr>
                <w:sz w:val="18"/>
                <w:szCs w:val="18"/>
                <w:color w:val="auto"/>
              </w:rPr>
            </w:pPr>
          </w:p>
        </w:tc>
        <w:tc>
          <w:tcPr>
            <w:tcW w:w="5940" w:type="dxa"/>
            <w:vAlign w:val="bottom"/>
            <w:tcBorders>
              <w:bottom w:val="single" w:sz="8" w:color="auto"/>
            </w:tcBorders>
          </w:tcPr>
          <w:p>
            <w:pPr>
              <w:ind w:left="2280"/>
              <w:spacing w:after="0"/>
              <w:rPr>
                <w:sz w:val="20"/>
                <w:szCs w:val="20"/>
                <w:color w:val="auto"/>
              </w:rPr>
            </w:pPr>
            <w:r>
              <w:rPr>
                <w:rFonts w:ascii="Arial" w:cs="Arial" w:eastAsia="Arial" w:hAnsi="Arial"/>
                <w:sz w:val="14"/>
                <w:szCs w:val="14"/>
                <w:b w:val="1"/>
                <w:bCs w:val="1"/>
                <w:i w:val="1"/>
                <w:iCs w:val="1"/>
                <w:color w:val="auto"/>
              </w:rPr>
              <w:t>Independent Directors</w:t>
            </w:r>
            <w:r>
              <w:rPr>
                <w:rFonts w:ascii="Arial" w:cs="Arial" w:eastAsia="Arial" w:hAnsi="Arial"/>
                <w:sz w:val="18"/>
                <w:szCs w:val="18"/>
                <w:b w:val="1"/>
                <w:bCs w:val="1"/>
                <w:i w:val="1"/>
                <w:iCs w:val="1"/>
                <w:color w:val="auto"/>
                <w:vertAlign w:val="superscript"/>
              </w:rPr>
              <w:t>(1)</w:t>
            </w:r>
          </w:p>
        </w:tc>
        <w:tc>
          <w:tcPr>
            <w:tcW w:w="12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Committee</w:t>
            </w:r>
          </w:p>
        </w:tc>
        <w:tc>
          <w:tcPr>
            <w:tcW w:w="100" w:type="dxa"/>
            <w:vAlign w:val="bottom"/>
            <w:tcBorders>
              <w:bottom w:val="single" w:sz="8" w:color="CCEEFF"/>
            </w:tcBorders>
          </w:tcPr>
          <w:p>
            <w:pPr>
              <w:spacing w:after="0"/>
              <w:rPr>
                <w:sz w:val="18"/>
                <w:szCs w:val="18"/>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Committee</w:t>
            </w:r>
          </w:p>
        </w:tc>
        <w:tc>
          <w:tcPr>
            <w:tcW w:w="10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Committee</w:t>
            </w:r>
          </w:p>
        </w:tc>
      </w:tr>
      <w:tr>
        <w:trPr>
          <w:trHeight w:val="219"/>
        </w:trPr>
        <w:tc>
          <w:tcPr>
            <w:tcW w:w="40" w:type="dxa"/>
            <w:vAlign w:val="bottom"/>
          </w:tcPr>
          <w:p>
            <w:pPr>
              <w:spacing w:after="0"/>
              <w:rPr>
                <w:sz w:val="19"/>
                <w:szCs w:val="19"/>
                <w:color w:val="auto"/>
              </w:rPr>
            </w:pPr>
          </w:p>
        </w:tc>
        <w:tc>
          <w:tcPr>
            <w:tcW w:w="5940" w:type="dxa"/>
            <w:vAlign w:val="bottom"/>
            <w:shd w:val="clear" w:color="auto" w:fill="CCEEFF"/>
          </w:tcPr>
          <w:p>
            <w:pPr>
              <w:ind w:left="20"/>
              <w:spacing w:after="0" w:line="219" w:lineRule="exact"/>
              <w:rPr>
                <w:sz w:val="20"/>
                <w:szCs w:val="20"/>
                <w:color w:val="auto"/>
              </w:rPr>
            </w:pPr>
            <w:r>
              <w:rPr>
                <w:rFonts w:ascii="Arial" w:cs="Arial" w:eastAsia="Arial" w:hAnsi="Arial"/>
                <w:sz w:val="18"/>
                <w:szCs w:val="18"/>
                <w:color w:val="auto"/>
              </w:rPr>
              <w:t>Richard M. Frank</w:t>
            </w:r>
            <w:r>
              <w:rPr>
                <w:rFonts w:ascii="Arial" w:cs="Arial" w:eastAsia="Arial" w:hAnsi="Arial"/>
                <w:sz w:val="22"/>
                <w:szCs w:val="22"/>
                <w:color w:val="auto"/>
                <w:vertAlign w:val="superscript"/>
              </w:rPr>
              <w:t>(2)</w:t>
            </w:r>
          </w:p>
        </w:tc>
        <w:tc>
          <w:tcPr>
            <w:tcW w:w="12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M</w:t>
            </w:r>
          </w:p>
        </w:tc>
        <w:tc>
          <w:tcPr>
            <w:tcW w:w="17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C</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M</w:t>
            </w:r>
          </w:p>
        </w:tc>
      </w:tr>
      <w:tr>
        <w:trPr>
          <w:trHeight w:val="226"/>
        </w:trPr>
        <w:tc>
          <w:tcPr>
            <w:tcW w:w="40" w:type="dxa"/>
            <w:vAlign w:val="bottom"/>
          </w:tcPr>
          <w:p>
            <w:pPr>
              <w:spacing w:after="0"/>
              <w:rPr>
                <w:sz w:val="19"/>
                <w:szCs w:val="19"/>
                <w:color w:val="auto"/>
              </w:rPr>
            </w:pPr>
          </w:p>
        </w:tc>
        <w:tc>
          <w:tcPr>
            <w:tcW w:w="6060" w:type="dxa"/>
            <w:vAlign w:val="bottom"/>
            <w:gridSpan w:val="2"/>
          </w:tcPr>
          <w:p>
            <w:pPr>
              <w:ind w:left="20"/>
              <w:spacing w:after="0" w:line="225" w:lineRule="exact"/>
              <w:rPr>
                <w:sz w:val="20"/>
                <w:szCs w:val="20"/>
                <w:color w:val="auto"/>
              </w:rPr>
            </w:pPr>
            <w:r>
              <w:rPr>
                <w:rFonts w:ascii="Arial" w:cs="Arial" w:eastAsia="Arial" w:hAnsi="Arial"/>
                <w:sz w:val="18"/>
                <w:szCs w:val="18"/>
                <w:color w:val="auto"/>
              </w:rPr>
              <w:t>Ellen H. Masterson</w:t>
            </w:r>
            <w:r>
              <w:rPr>
                <w:rFonts w:ascii="Arial" w:cs="Arial" w:eastAsia="Arial" w:hAnsi="Arial"/>
                <w:sz w:val="22"/>
                <w:szCs w:val="22"/>
                <w:color w:val="auto"/>
                <w:vertAlign w:val="superscript"/>
              </w:rPr>
              <w:t>(3)</w:t>
            </w:r>
          </w:p>
        </w:tc>
        <w:tc>
          <w:tcPr>
            <w:tcW w:w="17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C</w:t>
            </w:r>
          </w:p>
        </w:tc>
        <w:tc>
          <w:tcPr>
            <w:tcW w:w="1760" w:type="dxa"/>
            <w:vAlign w:val="bottom"/>
            <w:gridSpan w:val="2"/>
          </w:tcPr>
          <w:p>
            <w:pPr>
              <w:jc w:val="center"/>
              <w:ind w:right="120"/>
              <w:spacing w:after="0"/>
              <w:rPr>
                <w:sz w:val="20"/>
                <w:szCs w:val="20"/>
                <w:color w:val="auto"/>
              </w:rPr>
            </w:pPr>
            <w:r>
              <w:rPr>
                <w:rFonts w:ascii="Arial" w:cs="Arial" w:eastAsia="Arial" w:hAnsi="Arial"/>
                <w:sz w:val="18"/>
                <w:szCs w:val="18"/>
                <w:color w:val="auto"/>
              </w:rPr>
              <w:t>M</w:t>
            </w:r>
          </w:p>
        </w:tc>
        <w:tc>
          <w:tcPr>
            <w:tcW w:w="1640" w:type="dxa"/>
            <w:vAlign w:val="bottom"/>
          </w:tcPr>
          <w:p>
            <w:pPr>
              <w:jc w:val="center"/>
              <w:spacing w:after="0"/>
              <w:rPr>
                <w:sz w:val="20"/>
                <w:szCs w:val="20"/>
                <w:color w:val="auto"/>
              </w:rPr>
            </w:pPr>
            <w:r>
              <w:rPr>
                <w:rFonts w:ascii="Arial" w:cs="Arial" w:eastAsia="Arial" w:hAnsi="Arial"/>
                <w:sz w:val="18"/>
                <w:szCs w:val="18"/>
                <w:color w:val="auto"/>
              </w:rPr>
              <w:t>M</w:t>
            </w:r>
          </w:p>
        </w:tc>
      </w:tr>
      <w:tr>
        <w:trPr>
          <w:trHeight w:val="226"/>
        </w:trPr>
        <w:tc>
          <w:tcPr>
            <w:tcW w:w="40" w:type="dxa"/>
            <w:vAlign w:val="bottom"/>
          </w:tcPr>
          <w:p>
            <w:pPr>
              <w:spacing w:after="0"/>
              <w:rPr>
                <w:sz w:val="19"/>
                <w:szCs w:val="19"/>
                <w:color w:val="auto"/>
              </w:rPr>
            </w:pPr>
          </w:p>
        </w:tc>
        <w:tc>
          <w:tcPr>
            <w:tcW w:w="6060" w:type="dxa"/>
            <w:vAlign w:val="bottom"/>
            <w:gridSpan w:val="2"/>
            <w:shd w:val="clear" w:color="auto" w:fill="CCEEFF"/>
          </w:tcPr>
          <w:p>
            <w:pPr>
              <w:ind w:left="20"/>
              <w:spacing w:after="0" w:line="225" w:lineRule="exact"/>
              <w:rPr>
                <w:sz w:val="20"/>
                <w:szCs w:val="20"/>
                <w:color w:val="auto"/>
              </w:rPr>
            </w:pPr>
            <w:r>
              <w:rPr>
                <w:rFonts w:ascii="Arial" w:cs="Arial" w:eastAsia="Arial" w:hAnsi="Arial"/>
                <w:sz w:val="18"/>
                <w:szCs w:val="18"/>
                <w:color w:val="auto"/>
              </w:rPr>
              <w:t>Geoffrey R. Norman</w:t>
            </w:r>
            <w:r>
              <w:rPr>
                <w:rFonts w:ascii="Arial" w:cs="Arial" w:eastAsia="Arial" w:hAnsi="Arial"/>
                <w:sz w:val="22"/>
                <w:szCs w:val="22"/>
                <w:color w:val="auto"/>
                <w:vertAlign w:val="superscript"/>
              </w:rPr>
              <w:t>(3)</w:t>
            </w:r>
          </w:p>
        </w:tc>
        <w:tc>
          <w:tcPr>
            <w:tcW w:w="17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M</w:t>
            </w:r>
          </w:p>
        </w:tc>
        <w:tc>
          <w:tcPr>
            <w:tcW w:w="17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M</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M</w:t>
            </w:r>
          </w:p>
        </w:tc>
      </w:tr>
      <w:tr>
        <w:trPr>
          <w:trHeight w:val="225"/>
        </w:trPr>
        <w:tc>
          <w:tcPr>
            <w:tcW w:w="40" w:type="dxa"/>
            <w:vAlign w:val="bottom"/>
          </w:tcPr>
          <w:p>
            <w:pPr>
              <w:spacing w:after="0"/>
              <w:rPr>
                <w:sz w:val="19"/>
                <w:szCs w:val="19"/>
                <w:color w:val="auto"/>
              </w:rPr>
            </w:pPr>
          </w:p>
        </w:tc>
        <w:tc>
          <w:tcPr>
            <w:tcW w:w="6060" w:type="dxa"/>
            <w:vAlign w:val="bottom"/>
            <w:gridSpan w:val="2"/>
          </w:tcPr>
          <w:p>
            <w:pPr>
              <w:ind w:left="20"/>
              <w:spacing w:after="0"/>
              <w:rPr>
                <w:sz w:val="20"/>
                <w:szCs w:val="20"/>
                <w:color w:val="auto"/>
              </w:rPr>
            </w:pPr>
            <w:r>
              <w:rPr>
                <w:rFonts w:ascii="Arial" w:cs="Arial" w:eastAsia="Arial" w:hAnsi="Arial"/>
                <w:sz w:val="18"/>
                <w:szCs w:val="18"/>
                <w:color w:val="auto"/>
              </w:rPr>
              <w:t>Randy A. Bowman</w:t>
            </w:r>
          </w:p>
        </w:tc>
        <w:tc>
          <w:tcPr>
            <w:tcW w:w="1740" w:type="dxa"/>
            <w:vAlign w:val="bottom"/>
            <w:gridSpan w:val="2"/>
          </w:tcPr>
          <w:p>
            <w:pPr>
              <w:jc w:val="center"/>
              <w:ind w:right="100"/>
              <w:spacing w:after="0"/>
              <w:rPr>
                <w:sz w:val="20"/>
                <w:szCs w:val="20"/>
                <w:color w:val="auto"/>
              </w:rPr>
            </w:pPr>
            <w:r>
              <w:rPr>
                <w:rFonts w:ascii="Arial" w:cs="Arial" w:eastAsia="Arial" w:hAnsi="Arial"/>
                <w:sz w:val="18"/>
                <w:szCs w:val="18"/>
                <w:color w:val="auto"/>
              </w:rPr>
              <w:t>M</w:t>
            </w:r>
          </w:p>
        </w:tc>
        <w:tc>
          <w:tcPr>
            <w:tcW w:w="1760" w:type="dxa"/>
            <w:vAlign w:val="bottom"/>
            <w:gridSpan w:val="2"/>
          </w:tcPr>
          <w:p>
            <w:pPr>
              <w:jc w:val="center"/>
              <w:ind w:right="120"/>
              <w:spacing w:after="0"/>
              <w:rPr>
                <w:sz w:val="20"/>
                <w:szCs w:val="20"/>
                <w:color w:val="auto"/>
              </w:rPr>
            </w:pPr>
            <w:r>
              <w:rPr>
                <w:rFonts w:ascii="Arial" w:cs="Arial" w:eastAsia="Arial" w:hAnsi="Arial"/>
                <w:sz w:val="18"/>
                <w:szCs w:val="18"/>
                <w:color w:val="auto"/>
              </w:rPr>
              <w:t>M</w:t>
            </w:r>
          </w:p>
        </w:tc>
        <w:tc>
          <w:tcPr>
            <w:tcW w:w="1640" w:type="dxa"/>
            <w:vAlign w:val="bottom"/>
          </w:tcPr>
          <w:p>
            <w:pPr>
              <w:jc w:val="center"/>
              <w:spacing w:after="0"/>
              <w:rPr>
                <w:sz w:val="20"/>
                <w:szCs w:val="20"/>
                <w:color w:val="auto"/>
              </w:rPr>
            </w:pPr>
            <w:r>
              <w:rPr>
                <w:rFonts w:ascii="Arial" w:cs="Arial" w:eastAsia="Arial" w:hAnsi="Arial"/>
                <w:sz w:val="18"/>
                <w:szCs w:val="18"/>
                <w:color w:val="auto"/>
              </w:rPr>
              <w:t>M</w:t>
            </w:r>
          </w:p>
        </w:tc>
      </w:tr>
      <w:tr>
        <w:trPr>
          <w:trHeight w:val="226"/>
        </w:trPr>
        <w:tc>
          <w:tcPr>
            <w:tcW w:w="40" w:type="dxa"/>
            <w:vAlign w:val="bottom"/>
          </w:tcPr>
          <w:p>
            <w:pPr>
              <w:spacing w:after="0"/>
              <w:rPr>
                <w:sz w:val="19"/>
                <w:szCs w:val="19"/>
                <w:color w:val="auto"/>
              </w:rPr>
            </w:pPr>
          </w:p>
        </w:tc>
        <w:tc>
          <w:tcPr>
            <w:tcW w:w="6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Raymond E. Wooldridge</w:t>
            </w:r>
          </w:p>
        </w:tc>
        <w:tc>
          <w:tcPr>
            <w:tcW w:w="17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M</w:t>
            </w:r>
          </w:p>
        </w:tc>
        <w:tc>
          <w:tcPr>
            <w:tcW w:w="17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M</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C</w:t>
            </w:r>
          </w:p>
        </w:tc>
      </w:tr>
      <w:tr>
        <w:trPr>
          <w:trHeight w:val="198"/>
        </w:trPr>
        <w:tc>
          <w:tcPr>
            <w:tcW w:w="5980" w:type="dxa"/>
            <w:vAlign w:val="bottom"/>
            <w:gridSpan w:val="2"/>
          </w:tcPr>
          <w:p>
            <w:pPr>
              <w:jc w:val="right"/>
              <w:ind w:right="5055"/>
              <w:spacing w:after="0"/>
              <w:rPr>
                <w:sz w:val="20"/>
                <w:szCs w:val="20"/>
                <w:color w:val="auto"/>
              </w:rPr>
            </w:pPr>
            <w:r>
              <w:rPr>
                <w:rFonts w:ascii="Arial" w:cs="Arial" w:eastAsia="Arial" w:hAnsi="Arial"/>
                <w:sz w:val="9"/>
                <w:szCs w:val="9"/>
                <w:color w:val="auto"/>
                <w:w w:val="86"/>
              </w:rPr>
              <w:t>___________________</w:t>
            </w:r>
          </w:p>
        </w:tc>
        <w:tc>
          <w:tcPr>
            <w:tcW w:w="1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r>
    </w:tbl>
    <w:p>
      <w:pPr>
        <w:ind w:right="9840" w:firstLine="6"/>
        <w:spacing w:after="0" w:line="307" w:lineRule="auto"/>
        <w:tabs>
          <w:tab w:leader="none" w:pos="267" w:val="left"/>
        </w:tabs>
        <w:numPr>
          <w:ilvl w:val="0"/>
          <w:numId w:val="31"/>
        </w:numPr>
        <w:rPr>
          <w:rFonts w:ascii="Arial" w:cs="Arial" w:eastAsia="Arial" w:hAnsi="Arial"/>
          <w:sz w:val="12"/>
          <w:szCs w:val="12"/>
          <w:color w:val="auto"/>
        </w:rPr>
      </w:pPr>
      <w:r>
        <w:rPr>
          <w:rFonts w:ascii="Arial" w:cs="Arial" w:eastAsia="Arial" w:hAnsi="Arial"/>
          <w:sz w:val="12"/>
          <w:szCs w:val="12"/>
          <w:color w:val="auto"/>
        </w:rPr>
        <w:t>Committee member C Committee chair</w:t>
      </w:r>
    </w:p>
    <w:p>
      <w:pPr>
        <w:ind w:left="640" w:right="320" w:hanging="634"/>
        <w:spacing w:after="0" w:line="252" w:lineRule="auto"/>
        <w:tabs>
          <w:tab w:leader="none" w:pos="307"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Board of Directors has determined that all members of the Audit, Compensation and Governance/Nominating Committees are "independent directors" under the applicable rules of the NYSE and the Securities and Exchange Commission ("SEC").</w:t>
      </w:r>
    </w:p>
    <w:p>
      <w:pPr>
        <w:spacing w:after="0" w:line="1" w:lineRule="exact"/>
        <w:rPr>
          <w:rFonts w:ascii="Arial" w:cs="Arial" w:eastAsia="Arial" w:hAnsi="Arial"/>
          <w:sz w:val="14"/>
          <w:szCs w:val="14"/>
          <w:color w:val="auto"/>
        </w:rPr>
      </w:pPr>
    </w:p>
    <w:p>
      <w:pPr>
        <w:ind w:left="320" w:hanging="314"/>
        <w:spacing w:after="0"/>
        <w:tabs>
          <w:tab w:leader="none" w:pos="3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Richard M. Frank is the Chairman of the Board of Directors and, as such, he chairs executive sessions of the Board of Directors.</w:t>
      </w:r>
    </w:p>
    <w:p>
      <w:pPr>
        <w:spacing w:after="0" w:line="11" w:lineRule="exact"/>
        <w:rPr>
          <w:rFonts w:ascii="Arial" w:cs="Arial" w:eastAsia="Arial" w:hAnsi="Arial"/>
          <w:sz w:val="14"/>
          <w:szCs w:val="14"/>
          <w:color w:val="auto"/>
        </w:rPr>
      </w:pPr>
    </w:p>
    <w:p>
      <w:pPr>
        <w:ind w:left="640" w:right="200" w:hanging="634"/>
        <w:spacing w:after="0" w:line="254" w:lineRule="auto"/>
        <w:tabs>
          <w:tab w:leader="none" w:pos="307"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Board of Directors has determined that Geoffrey R. Norman and Ellen H. Masterson are qualified as Audit Committee financial experts within the meaning of the regulations of the SEC and have accounting and related financial management expertise within the meaning of the NYSE Corporate Governance Listing Standards.</w:t>
      </w:r>
    </w:p>
    <w:p>
      <w:pPr>
        <w:spacing w:after="0" w:line="82" w:lineRule="exact"/>
        <w:rPr>
          <w:sz w:val="20"/>
          <w:szCs w:val="20"/>
          <w:color w:val="auto"/>
        </w:rPr>
      </w:pPr>
    </w:p>
    <w:p>
      <w:pPr>
        <w:ind w:left="80"/>
        <w:spacing w:after="0"/>
        <w:rPr>
          <w:sz w:val="20"/>
          <w:szCs w:val="20"/>
          <w:color w:val="auto"/>
        </w:rPr>
      </w:pPr>
      <w:r>
        <w:rPr>
          <w:rFonts w:ascii="Arial" w:cs="Arial" w:eastAsia="Arial" w:hAnsi="Arial"/>
          <w:sz w:val="18"/>
          <w:szCs w:val="18"/>
          <w:i w:val="1"/>
          <w:iCs w:val="1"/>
          <w:u w:val="single" w:color="auto"/>
          <w:color w:val="auto"/>
        </w:rPr>
        <w:t>Board Committees</w:t>
      </w:r>
    </w:p>
    <w:p>
      <w:pPr>
        <w:spacing w:after="0" w:line="111" w:lineRule="exact"/>
        <w:rPr>
          <w:sz w:val="20"/>
          <w:szCs w:val="20"/>
          <w:color w:val="auto"/>
        </w:rPr>
      </w:pPr>
    </w:p>
    <w:p>
      <w:pPr>
        <w:ind w:right="60" w:firstLine="398"/>
        <w:spacing w:after="0" w:line="301" w:lineRule="auto"/>
        <w:rPr>
          <w:sz w:val="20"/>
          <w:szCs w:val="20"/>
          <w:color w:val="auto"/>
        </w:rPr>
      </w:pPr>
      <w:r>
        <w:rPr>
          <w:rFonts w:ascii="Arial" w:cs="Arial" w:eastAsia="Arial" w:hAnsi="Arial"/>
          <w:sz w:val="15"/>
          <w:szCs w:val="15"/>
          <w:i w:val="1"/>
          <w:iCs w:val="1"/>
          <w:color w:val="auto"/>
        </w:rPr>
        <w:t>Audit Committee</w:t>
      </w:r>
      <w:r>
        <w:rPr>
          <w:rFonts w:ascii="Arial" w:cs="Arial" w:eastAsia="Arial" w:hAnsi="Arial"/>
          <w:sz w:val="15"/>
          <w:szCs w:val="15"/>
          <w:color w:val="auto"/>
        </w:rPr>
        <w:t>. The Audit Committee operates pursuant to a charter approved by our Board of Directors, which the Audit Committee reviews</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periodically to determine if revisions are necessary or appropriate. A copy of the charter is posted on our website at </w:t>
      </w:r>
      <w:r>
        <w:rPr>
          <w:rFonts w:ascii="Arial" w:cs="Arial" w:eastAsia="Arial" w:hAnsi="Arial"/>
          <w:sz w:val="15"/>
          <w:szCs w:val="15"/>
          <w:i w:val="1"/>
          <w:iCs w:val="1"/>
          <w:color w:val="auto"/>
        </w:rPr>
        <w:t>westwoodgroup.com</w:t>
      </w:r>
      <w:r>
        <w:rPr>
          <w:rFonts w:ascii="Arial" w:cs="Arial" w:eastAsia="Arial" w:hAnsi="Arial"/>
          <w:sz w:val="15"/>
          <w:szCs w:val="15"/>
          <w:color w:val="auto"/>
        </w:rPr>
        <w:t>. In addition, a copy of the charter is available upon written request to our Corporate Secretary at our principal executive office (200 Crescent Court, Suite 1200, Dallas, Texas 75201). The Audit Committee monitors our independent auditors as well as the preparation of our financial statements and our system of internal control over financial reporting. The Audit Committee selects an independent accounting firm to conduct the annual audit, monitors the independence of our independent accountants, monitors our accounting and financial reporting processes and the audits of our financial statements. The Audit Committee is responsible for reviewing reports from management relating to our financial condition and other matters that may have a material impact on our financial statements and compliance policies. The Audit Committee is responsible for asking our management and independent auditors about the appropriateness of the accounting principles we follow, as well as reviewing changes in accounting principles and their impact on our financial statements in terms of the scope of audits conducted or scheduled to be conducted. The Audit Committee is further responsible for preparing a report stating, among other things, whether our audited financial statements should be included in our Annual Report on Form 10-K. Finally, the Audit Committee evaluates the adequacy and effectiveness of our risk assessment, risk management policies, and overall enterprise risk management, including Environmental, Social and Governance ("ESG"). The Audit Committee met five times during 2021. All members of the Audit Committee attended all of the meetings held in 2021 during their respective appointments.</w:t>
      </w:r>
    </w:p>
    <w:p>
      <w:pPr>
        <w:spacing w:after="0" w:line="53" w:lineRule="exact"/>
        <w:rPr>
          <w:sz w:val="20"/>
          <w:szCs w:val="20"/>
          <w:color w:val="auto"/>
        </w:rPr>
      </w:pPr>
    </w:p>
    <w:p>
      <w:pPr>
        <w:ind w:right="120" w:firstLine="398"/>
        <w:spacing w:after="0" w:line="264" w:lineRule="auto"/>
        <w:rPr>
          <w:sz w:val="20"/>
          <w:szCs w:val="20"/>
          <w:color w:val="auto"/>
        </w:rPr>
      </w:pPr>
      <w:r>
        <w:rPr>
          <w:rFonts w:ascii="Arial" w:cs="Arial" w:eastAsia="Arial" w:hAnsi="Arial"/>
          <w:sz w:val="17"/>
          <w:szCs w:val="17"/>
          <w:i w:val="1"/>
          <w:iCs w:val="1"/>
          <w:color w:val="auto"/>
        </w:rPr>
        <w:t>Compensation Committee</w:t>
      </w:r>
      <w:r>
        <w:rPr>
          <w:rFonts w:ascii="Arial" w:cs="Arial" w:eastAsia="Arial" w:hAnsi="Arial"/>
          <w:sz w:val="17"/>
          <w:szCs w:val="17"/>
          <w:color w:val="auto"/>
        </w:rPr>
        <w:t>. The Compensation Committee operates pursuant to a charter approved by our Board of Directors, which the Compensation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Committee reviews periodically to determine if revisions are necessary or appropriate. A copy of the charter is posted on our website at </w:t>
      </w:r>
      <w:r>
        <w:rPr>
          <w:rFonts w:ascii="Arial" w:cs="Arial" w:eastAsia="Arial" w:hAnsi="Arial"/>
          <w:sz w:val="17"/>
          <w:szCs w:val="17"/>
          <w:i w:val="1"/>
          <w:iCs w:val="1"/>
          <w:color w:val="auto"/>
        </w:rPr>
        <w:t>westwoodgroup.com</w:t>
      </w:r>
      <w:r>
        <w:rPr>
          <w:rFonts w:ascii="Arial" w:cs="Arial" w:eastAsia="Arial" w:hAnsi="Arial"/>
          <w:sz w:val="17"/>
          <w:szCs w:val="17"/>
          <w:color w:val="auto"/>
        </w:rPr>
        <w:t>. In addition, a copy of the charter is available upon written request to our Corporate Secretary at our principal executive office (200 Crescent Court, Suite 1200, Dallas, Texas 75201). The Compensation Committee authorizes and determines all compensation for our executive officers, administers our incentive compensation plans in accordance with the powers granted in such plans, determines any incentive awards to be made to our officers, administers our stock incentive plans and other equity ownership, compensation, retirement and benefit plans, approves the performance-based compensation of individuals pursuant to Section 162(m) of the Internal Revenue Code of 1986, as amended, reviews the management development and succession plans related to executive officers, reviews the company’s human capital initiatives related to DE&amp;I and other workforce programs, and administers other matters relating to compensation and benefits. The Compensation Committee met six times during 2021. All members of the Compensation Committee attended all of the meetings held in 2021during their respective appointments.</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552" w:right="339" w:bottom="1440" w:gutter="0" w:footer="0" w:header="0"/>
        </w:sectPr>
      </w:pPr>
    </w:p>
    <w:bookmarkStart w:id="14" w:name="page15"/>
    <w:bookmarkEnd w:id="14"/>
    <w:p>
      <w:pPr>
        <w:ind w:right="40" w:firstLine="398"/>
        <w:spacing w:after="0" w:line="305" w:lineRule="auto"/>
        <w:rPr>
          <w:sz w:val="20"/>
          <w:szCs w:val="20"/>
          <w:color w:val="auto"/>
        </w:rPr>
      </w:pPr>
      <w:r>
        <w:rPr>
          <w:rFonts w:ascii="Arial" w:cs="Arial" w:eastAsia="Arial" w:hAnsi="Arial"/>
          <w:sz w:val="15"/>
          <w:szCs w:val="15"/>
          <w:i w:val="1"/>
          <w:iCs w:val="1"/>
          <w:color w:val="auto"/>
        </w:rPr>
        <w:t>Governance/Nominating Committee</w:t>
      </w:r>
      <w:r>
        <w:rPr>
          <w:rFonts w:ascii="Arial" w:cs="Arial" w:eastAsia="Arial" w:hAnsi="Arial"/>
          <w:sz w:val="15"/>
          <w:szCs w:val="15"/>
          <w:color w:val="auto"/>
        </w:rPr>
        <w:t>. The Governance/Nominating Committee operates pursuant to a charter approved by our Board of Directors, which</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the Governance/Nominating Committee reviews periodically to determine if revisions are necessary or appropriate. A copy of the charter is posted on our website at </w:t>
      </w:r>
      <w:r>
        <w:rPr>
          <w:rFonts w:ascii="Arial" w:cs="Arial" w:eastAsia="Arial" w:hAnsi="Arial"/>
          <w:sz w:val="15"/>
          <w:szCs w:val="15"/>
          <w:i w:val="1"/>
          <w:iCs w:val="1"/>
          <w:color w:val="auto"/>
        </w:rPr>
        <w:t>westwoodgroup.com</w:t>
      </w:r>
      <w:r>
        <w:rPr>
          <w:rFonts w:ascii="Arial" w:cs="Arial" w:eastAsia="Arial" w:hAnsi="Arial"/>
          <w:sz w:val="15"/>
          <w:szCs w:val="15"/>
          <w:color w:val="auto"/>
        </w:rPr>
        <w:t>. In addition, a copy of the charter is available upon written request to our Corporate Secretary at our principal executive office (200 Crescent Court, Suite 1200, Dallas, Texas 75201). The primary function of the Governance/Nominating Committee is to develop and oversee the application of corporate governance principles to Westwood, to identify and evaluate qualified candidates for Board membership, recommend director nominees to the Board to be voted on at the annual meeting of stockholders, and communicate with members of the Board regarding Board and committee meeting format and procedures. The Governance/Nominating Committee met six times during 2021. All members of the Governance/Nominating Committee attended all of the meetings held in 2021 during their respective appointments.</w:t>
      </w:r>
    </w:p>
    <w:p>
      <w:pPr>
        <w:spacing w:after="0" w:line="51" w:lineRule="exact"/>
        <w:rPr>
          <w:sz w:val="20"/>
          <w:szCs w:val="20"/>
          <w:color w:val="auto"/>
        </w:rPr>
      </w:pPr>
    </w:p>
    <w:p>
      <w:pPr>
        <w:ind w:left="80"/>
        <w:spacing w:after="0"/>
        <w:rPr>
          <w:sz w:val="20"/>
          <w:szCs w:val="20"/>
          <w:color w:val="auto"/>
        </w:rPr>
      </w:pPr>
      <w:r>
        <w:rPr>
          <w:rFonts w:ascii="Arial" w:cs="Arial" w:eastAsia="Arial" w:hAnsi="Arial"/>
          <w:sz w:val="18"/>
          <w:szCs w:val="18"/>
          <w:i w:val="1"/>
          <w:iCs w:val="1"/>
          <w:u w:val="single" w:color="auto"/>
          <w:color w:val="auto"/>
        </w:rPr>
        <w:t>Director Independence</w:t>
      </w:r>
    </w:p>
    <w:p>
      <w:pPr>
        <w:spacing w:after="0" w:line="111" w:lineRule="exact"/>
        <w:rPr>
          <w:sz w:val="20"/>
          <w:szCs w:val="20"/>
          <w:color w:val="auto"/>
        </w:rPr>
      </w:pPr>
    </w:p>
    <w:p>
      <w:pPr>
        <w:ind w:right="20" w:firstLine="398"/>
        <w:spacing w:after="0" w:line="330" w:lineRule="auto"/>
        <w:rPr>
          <w:sz w:val="20"/>
          <w:szCs w:val="20"/>
          <w:color w:val="auto"/>
        </w:rPr>
      </w:pPr>
      <w:r>
        <w:rPr>
          <w:rFonts w:ascii="Arial" w:cs="Arial" w:eastAsia="Arial" w:hAnsi="Arial"/>
          <w:sz w:val="15"/>
          <w:szCs w:val="15"/>
          <w:color w:val="auto"/>
        </w:rPr>
        <w:t xml:space="preserve">Our Board of Directors has adopted Corporate Governance Guidelines regarding director independence, among other matters. The full text of our Corporate Governance Guidelines is available on our website at </w:t>
      </w:r>
      <w:r>
        <w:rPr>
          <w:rFonts w:ascii="Arial" w:cs="Arial" w:eastAsia="Arial" w:hAnsi="Arial"/>
          <w:sz w:val="15"/>
          <w:szCs w:val="15"/>
          <w:i w:val="1"/>
          <w:iCs w:val="1"/>
          <w:color w:val="auto"/>
        </w:rPr>
        <w:t>westwoodgroup.com</w:t>
      </w:r>
      <w:r>
        <w:rPr>
          <w:rFonts w:ascii="Arial" w:cs="Arial" w:eastAsia="Arial" w:hAnsi="Arial"/>
          <w:sz w:val="15"/>
          <w:szCs w:val="15"/>
          <w:color w:val="auto"/>
        </w:rPr>
        <w:t>. In addition, a copy of our Corporate Governance Guidelines is available upon written request to our Corporate Secretary at our principal executive office (200 Crescent Court, Suite 1200, Dallas, Texas 75201).</w:t>
      </w:r>
    </w:p>
    <w:p>
      <w:pPr>
        <w:spacing w:after="0" w:line="31" w:lineRule="exact"/>
        <w:rPr>
          <w:sz w:val="20"/>
          <w:szCs w:val="20"/>
          <w:color w:val="auto"/>
        </w:rPr>
      </w:pPr>
    </w:p>
    <w:p>
      <w:pPr>
        <w:ind w:firstLine="398"/>
        <w:spacing w:after="0" w:line="264" w:lineRule="auto"/>
        <w:rPr>
          <w:sz w:val="20"/>
          <w:szCs w:val="20"/>
          <w:color w:val="auto"/>
        </w:rPr>
      </w:pPr>
      <w:r>
        <w:rPr>
          <w:rFonts w:ascii="Arial" w:cs="Arial" w:eastAsia="Arial" w:hAnsi="Arial"/>
          <w:sz w:val="17"/>
          <w:szCs w:val="17"/>
          <w:color w:val="auto"/>
        </w:rPr>
        <w:t>Pursuant to our Corporate Governance Guidelines, a majority of the members of our Board of Directors, as well as all members of each committee of the Board, must be non-management directors who meet the "independence" requirements of the NYSE Corporate Governance Listing Standards and other governing laws and regulations. In addition, all members of the Audit Committee must meet additional "independence" standards required under the Exchange Act. Our Board of Directors annually reviews director independence. In the 2021 review, the Board of Directors reviewed directors' responses to a questionnaire asking about their relationships, and the relationships of their family members, with us, and other potential conflicts of interest. In addition, our Board of Directors was aware that some of our directors and individuals or entities affiliated with such directors have asset management accounts held by one of our subsidiaries and managed by us. Our Board of Directors also considered a 2021 donation from Mr. Casey to AT LAST! and did not consider that donation an impairment of Mr. Bowman's independence. After noting such items, and based upon its review, the Board of Directors unanimously determined that none of these relationships constituted a material relationship with us that would affect the "independence" of any such director under SEC and NYSE rules.</w:t>
      </w:r>
    </w:p>
    <w:p>
      <w:pPr>
        <w:spacing w:after="0" w:line="78" w:lineRule="exact"/>
        <w:rPr>
          <w:sz w:val="20"/>
          <w:szCs w:val="20"/>
          <w:color w:val="auto"/>
        </w:rPr>
      </w:pPr>
    </w:p>
    <w:p>
      <w:pPr>
        <w:ind w:right="140" w:firstLine="398"/>
        <w:spacing w:after="0" w:line="255" w:lineRule="auto"/>
        <w:rPr>
          <w:sz w:val="20"/>
          <w:szCs w:val="20"/>
          <w:color w:val="auto"/>
        </w:rPr>
      </w:pPr>
      <w:r>
        <w:rPr>
          <w:rFonts w:ascii="Arial" w:cs="Arial" w:eastAsia="Arial" w:hAnsi="Arial"/>
          <w:sz w:val="18"/>
          <w:szCs w:val="18"/>
          <w:color w:val="auto"/>
        </w:rPr>
        <w:t>As a result, the Board affirmatively determined that Messrs. Frank, Norman, Bowman and Ms. Masterson are "independent" as defined under SEC and NYSE rules. Ms. Byrne, who currently serves as a consultant to the Company, and Mr. Casey, who served as an executive officer of the Company during 2021, are not independent directors.</w:t>
      </w:r>
    </w:p>
    <w:p>
      <w:pPr>
        <w:spacing w:after="0" w:line="83" w:lineRule="exact"/>
        <w:rPr>
          <w:sz w:val="20"/>
          <w:szCs w:val="20"/>
          <w:color w:val="auto"/>
        </w:rPr>
      </w:pPr>
    </w:p>
    <w:p>
      <w:pPr>
        <w:ind w:left="80"/>
        <w:spacing w:after="0"/>
        <w:rPr>
          <w:sz w:val="20"/>
          <w:szCs w:val="20"/>
          <w:color w:val="auto"/>
        </w:rPr>
      </w:pPr>
      <w:r>
        <w:rPr>
          <w:rFonts w:ascii="Arial" w:cs="Arial" w:eastAsia="Arial" w:hAnsi="Arial"/>
          <w:sz w:val="18"/>
          <w:szCs w:val="18"/>
          <w:i w:val="1"/>
          <w:iCs w:val="1"/>
          <w:u w:val="single" w:color="auto"/>
          <w:color w:val="auto"/>
        </w:rPr>
        <w:t>Board Leadership Structure</w:t>
      </w:r>
    </w:p>
    <w:p>
      <w:pPr>
        <w:spacing w:after="0" w:line="111" w:lineRule="exact"/>
        <w:rPr>
          <w:sz w:val="20"/>
          <w:szCs w:val="20"/>
          <w:color w:val="auto"/>
        </w:rPr>
      </w:pPr>
    </w:p>
    <w:p>
      <w:pPr>
        <w:ind w:right="140" w:firstLine="398"/>
        <w:spacing w:after="0" w:line="249" w:lineRule="auto"/>
        <w:rPr>
          <w:sz w:val="20"/>
          <w:szCs w:val="20"/>
          <w:color w:val="auto"/>
        </w:rPr>
      </w:pPr>
      <w:r>
        <w:rPr>
          <w:rFonts w:ascii="Arial" w:cs="Arial" w:eastAsia="Arial" w:hAnsi="Arial"/>
          <w:sz w:val="18"/>
          <w:szCs w:val="18"/>
          <w:color w:val="auto"/>
        </w:rPr>
        <w:t>Our Board of Directors currently separates the roles of Chief Executive Officer and Chairman of the Board, however, the Board does not have a policy in place that requires these two roles to remain separate. Brian O. Casey serves as our President, Chief Executive Officer and director, and Richard M. Frank serves as our Chairman of the Board. As President and Chief Executive Officer, Mr. Casey has primary responsibility for the day-to-day operations of the Company and provides leadership on the Company's key strategic objectives. As Chairman of the Board, Mr. Frank (i) provides leadership to the Board and chairs its meetings, (ii) chairs executive sessions of the non-management directors, and (iii) sets the agenda items for such meetings and sessions. In accordance with our Corporate Governance Guidelines, our non-management directors meet in executive session without the presence of management on a regular basis.</w:t>
      </w:r>
    </w:p>
    <w:p>
      <w:pPr>
        <w:spacing w:after="0" w:line="89" w:lineRule="exact"/>
        <w:rPr>
          <w:sz w:val="20"/>
          <w:szCs w:val="20"/>
          <w:color w:val="auto"/>
        </w:rPr>
      </w:pPr>
    </w:p>
    <w:p>
      <w:pPr>
        <w:ind w:right="340" w:firstLine="398"/>
        <w:spacing w:after="0" w:line="313" w:lineRule="auto"/>
        <w:rPr>
          <w:sz w:val="20"/>
          <w:szCs w:val="20"/>
          <w:color w:val="auto"/>
        </w:rPr>
      </w:pPr>
      <w:r>
        <w:rPr>
          <w:rFonts w:ascii="Arial" w:cs="Arial" w:eastAsia="Arial" w:hAnsi="Arial"/>
          <w:sz w:val="15"/>
          <w:szCs w:val="15"/>
          <w:color w:val="auto"/>
        </w:rPr>
        <w:t>With a supermajority of independent directors, an Audit Committee, a Compensation Committee and a Governance/Nominating Committee each comprised entirely of independent directors, a Chairman of the Board who chairs all executive sessions of the non-management directors and who has extensive knowledge with regard to executive and board level oversight of a public company through his significant experience as chief executive officer, chairman and board director of CEC, and who also has a deep understanding of business, governance, compensation and financial matters, the Board of Directors believes that its current leadership structure provides an appropriate balance that best serves the Company and its stockholders.</w:t>
      </w:r>
    </w:p>
    <w:p>
      <w:pPr>
        <w:spacing w:after="0" w:line="43" w:lineRule="exact"/>
        <w:rPr>
          <w:sz w:val="20"/>
          <w:szCs w:val="20"/>
          <w:color w:val="auto"/>
        </w:rPr>
      </w:pPr>
    </w:p>
    <w:p>
      <w:pPr>
        <w:ind w:left="80"/>
        <w:spacing w:after="0"/>
        <w:rPr>
          <w:sz w:val="20"/>
          <w:szCs w:val="20"/>
          <w:color w:val="auto"/>
        </w:rPr>
      </w:pPr>
      <w:r>
        <w:rPr>
          <w:rFonts w:ascii="Arial" w:cs="Arial" w:eastAsia="Arial" w:hAnsi="Arial"/>
          <w:sz w:val="18"/>
          <w:szCs w:val="18"/>
          <w:i w:val="1"/>
          <w:iCs w:val="1"/>
          <w:u w:val="single" w:color="auto"/>
          <w:color w:val="auto"/>
        </w:rPr>
        <w:t>Board's Role in Risk Oversight</w:t>
      </w:r>
    </w:p>
    <w:p>
      <w:pPr>
        <w:spacing w:after="0" w:line="111" w:lineRule="exact"/>
        <w:rPr>
          <w:sz w:val="20"/>
          <w:szCs w:val="20"/>
          <w:color w:val="auto"/>
        </w:rPr>
      </w:pPr>
    </w:p>
    <w:p>
      <w:pPr>
        <w:ind w:right="40" w:firstLine="398"/>
        <w:spacing w:after="0" w:line="304" w:lineRule="auto"/>
        <w:rPr>
          <w:sz w:val="20"/>
          <w:szCs w:val="20"/>
          <w:color w:val="auto"/>
        </w:rPr>
      </w:pPr>
      <w:r>
        <w:rPr>
          <w:rFonts w:ascii="Arial" w:cs="Arial" w:eastAsia="Arial" w:hAnsi="Arial"/>
          <w:sz w:val="15"/>
          <w:szCs w:val="15"/>
          <w:color w:val="auto"/>
        </w:rPr>
        <w:t>The Board's role in the Company's risk oversight process includes receiving regular reports from members of senior management on the Company's enterprise risk management committee regarding areas of material risk to the Company, including operational, financial, legal and regulatory, ESG and strategic risks. The Audit Committee is responsible for oversight of risks relating to the Company's accounting matters, financial reporting and legal and regulatory compliance. To satisfy these oversight responsibilities, the Audit Committee meets regularly with management, the Company's internal auditor and Deloitte, the Company's independent auditor. The Compensation Committee is responsible for overseeing risks relating to employment policies and the Company's compensation and benefits programs, including Diversity, Equity and Inclusion ("DE&amp;I"). To satisfy these oversight responsibilities, the Compensation Committee meets regularly with management to understand the implications of compensation decisions, particularly the risks the Company's compensation policies may pose to the Company's financial condition, human resources and stockholders. The Governance/Nominating Committee is responsible for overseeing risks relating to overall corporate governance and succession planning. To satisfy these oversight responsibilities, the</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20"/>
          </w:cols>
          <w:pgMar w:left="320" w:top="552" w:right="359" w:bottom="1440" w:gutter="0" w:footer="0" w:header="0"/>
        </w:sectPr>
      </w:pPr>
    </w:p>
    <w:bookmarkStart w:id="15" w:name="page16"/>
    <w:bookmarkEnd w:id="15"/>
    <w:p>
      <w:pPr>
        <w:ind w:right="20"/>
        <w:spacing w:after="0" w:line="265" w:lineRule="auto"/>
        <w:rPr>
          <w:sz w:val="20"/>
          <w:szCs w:val="20"/>
          <w:color w:val="auto"/>
        </w:rPr>
      </w:pPr>
      <w:r>
        <w:rPr>
          <w:rFonts w:ascii="Arial" w:cs="Arial" w:eastAsia="Arial" w:hAnsi="Arial"/>
          <w:sz w:val="18"/>
          <w:szCs w:val="18"/>
          <w:color w:val="auto"/>
        </w:rPr>
        <w:t>Governance/Nominating Committee annually reviews Board composition, as well as Board and committee performance, and periodically reports to the Board on corporate governance and succession planning matters.</w:t>
      </w:r>
    </w:p>
    <w:p>
      <w:pPr>
        <w:spacing w:after="0" w:line="74" w:lineRule="exact"/>
        <w:rPr>
          <w:sz w:val="20"/>
          <w:szCs w:val="20"/>
          <w:color w:val="auto"/>
        </w:rPr>
      </w:pPr>
    </w:p>
    <w:p>
      <w:pPr>
        <w:ind w:right="60" w:firstLine="398"/>
        <w:spacing w:after="0" w:line="252" w:lineRule="auto"/>
        <w:rPr>
          <w:sz w:val="20"/>
          <w:szCs w:val="20"/>
          <w:color w:val="auto"/>
        </w:rPr>
      </w:pPr>
      <w:r>
        <w:rPr>
          <w:rFonts w:ascii="Arial" w:cs="Arial" w:eastAsia="Arial" w:hAnsi="Arial"/>
          <w:sz w:val="18"/>
          <w:szCs w:val="18"/>
          <w:color w:val="auto"/>
        </w:rPr>
        <w:t>Additionally, the Board's risk oversight function is supported by the directorships of Mr. Casey and Ms. Byrne, whose industry knowledge and experience provide the Board with a deep understanding of the risks facing the Company. Accordingly, the Board of Directors believes that having Mr. Casey and Ms. Byrne serve on the Board, together with a supermajority of independent directors and three independent Board committees, provides the appropriate leadership structure to assist in effective risk oversight by the Board.</w:t>
      </w:r>
    </w:p>
    <w:p>
      <w:pPr>
        <w:spacing w:after="0" w:line="86" w:lineRule="exact"/>
        <w:rPr>
          <w:sz w:val="20"/>
          <w:szCs w:val="20"/>
          <w:color w:val="auto"/>
        </w:rPr>
      </w:pPr>
    </w:p>
    <w:p>
      <w:pPr>
        <w:ind w:left="80"/>
        <w:spacing w:after="0"/>
        <w:rPr>
          <w:sz w:val="20"/>
          <w:szCs w:val="20"/>
          <w:color w:val="auto"/>
        </w:rPr>
      </w:pPr>
      <w:r>
        <w:rPr>
          <w:rFonts w:ascii="Arial" w:cs="Arial" w:eastAsia="Arial" w:hAnsi="Arial"/>
          <w:sz w:val="18"/>
          <w:szCs w:val="18"/>
          <w:i w:val="1"/>
          <w:iCs w:val="1"/>
          <w:u w:val="single" w:color="auto"/>
          <w:color w:val="auto"/>
        </w:rPr>
        <w:t>Risks Related to Compensation Policies and Practices</w:t>
      </w:r>
    </w:p>
    <w:p>
      <w:pPr>
        <w:spacing w:after="0" w:line="111" w:lineRule="exact"/>
        <w:rPr>
          <w:sz w:val="20"/>
          <w:szCs w:val="20"/>
          <w:color w:val="auto"/>
        </w:rPr>
      </w:pPr>
    </w:p>
    <w:p>
      <w:pPr>
        <w:jc w:val="both"/>
        <w:ind w:right="100" w:firstLine="398"/>
        <w:spacing w:after="0" w:line="319" w:lineRule="auto"/>
        <w:rPr>
          <w:sz w:val="20"/>
          <w:szCs w:val="20"/>
          <w:color w:val="auto"/>
        </w:rPr>
      </w:pPr>
      <w:r>
        <w:rPr>
          <w:rFonts w:ascii="Arial" w:cs="Arial" w:eastAsia="Arial" w:hAnsi="Arial"/>
          <w:sz w:val="15"/>
          <w:szCs w:val="15"/>
          <w:color w:val="auto"/>
        </w:rPr>
        <w:t>As part of its oversight of the Company's executive and non-executive compensation programs, the Compensation Committee considers the impact on our risk profile of our compensation programs, and the incentives created by the compensation awards that it administers. In addition, the Company reviews all of its compensation policies and procedures, including the incentives that they create and factors that may affect the likelihood of excessive risk-taking, to determine whether they present a material risk to the Company. The Compensation Committee also utilizes the following risk mitigating factors:</w:t>
      </w:r>
    </w:p>
    <w:p>
      <w:pPr>
        <w:spacing w:after="0" w:line="38" w:lineRule="exact"/>
        <w:rPr>
          <w:sz w:val="20"/>
          <w:szCs w:val="20"/>
          <w:color w:val="auto"/>
        </w:rPr>
      </w:pPr>
    </w:p>
    <w:p>
      <w:pPr>
        <w:ind w:left="640" w:hanging="316"/>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Overall compensation levels that are competitive with the market;</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Limits on annual cash incentive awards;</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Discretionary authority to reduce annual cash incentive awards;</w:t>
      </w:r>
    </w:p>
    <w:p>
      <w:pPr>
        <w:spacing w:after="0" w:line="111" w:lineRule="exact"/>
        <w:rPr>
          <w:rFonts w:ascii="Arial" w:cs="Arial" w:eastAsia="Arial" w:hAnsi="Arial"/>
          <w:sz w:val="18"/>
          <w:szCs w:val="18"/>
          <w:color w:val="auto"/>
        </w:rPr>
      </w:pPr>
    </w:p>
    <w:p>
      <w:pPr>
        <w:ind w:left="640" w:right="340" w:hanging="316"/>
        <w:spacing w:after="0" w:line="265" w:lineRule="auto"/>
        <w:tabs>
          <w:tab w:leader="none" w:pos="635" w:val="left"/>
        </w:tabs>
        <w:numPr>
          <w:ilvl w:val="0"/>
          <w:numId w:val="33"/>
        </w:numPr>
        <w:rPr>
          <w:rFonts w:ascii="Arial" w:cs="Arial" w:eastAsia="Arial" w:hAnsi="Arial"/>
          <w:sz w:val="18"/>
          <w:szCs w:val="18"/>
          <w:color w:val="auto"/>
        </w:rPr>
      </w:pPr>
      <w:r>
        <w:rPr>
          <w:rFonts w:ascii="Arial" w:cs="Arial" w:eastAsia="Arial" w:hAnsi="Arial"/>
          <w:sz w:val="18"/>
          <w:szCs w:val="18"/>
          <w:color w:val="auto"/>
        </w:rPr>
        <w:t>Long-term equity incentive awards to reward executives and other key employees for driving sustainable, profitable growth for stockholders and clients;</w:t>
      </w:r>
    </w:p>
    <w:p>
      <w:pPr>
        <w:spacing w:after="0" w:line="73" w:lineRule="exact"/>
        <w:rPr>
          <w:rFonts w:ascii="Arial" w:cs="Arial" w:eastAsia="Arial" w:hAnsi="Arial"/>
          <w:sz w:val="18"/>
          <w:szCs w:val="18"/>
          <w:color w:val="auto"/>
        </w:rPr>
      </w:pPr>
    </w:p>
    <w:p>
      <w:pPr>
        <w:ind w:left="640" w:right="740" w:hanging="316"/>
        <w:spacing w:after="0" w:line="265" w:lineRule="auto"/>
        <w:tabs>
          <w:tab w:leader="none" w:pos="635" w:val="left"/>
        </w:tabs>
        <w:numPr>
          <w:ilvl w:val="0"/>
          <w:numId w:val="33"/>
        </w:numPr>
        <w:rPr>
          <w:rFonts w:ascii="Arial" w:cs="Arial" w:eastAsia="Arial" w:hAnsi="Arial"/>
          <w:sz w:val="18"/>
          <w:szCs w:val="18"/>
          <w:color w:val="auto"/>
        </w:rPr>
      </w:pPr>
      <w:r>
        <w:rPr>
          <w:rFonts w:ascii="Arial" w:cs="Arial" w:eastAsia="Arial" w:hAnsi="Arial"/>
          <w:sz w:val="18"/>
          <w:szCs w:val="18"/>
          <w:color w:val="auto"/>
        </w:rPr>
        <w:t>Vesting periods for long-term equity incentive awards that encourage executives and other key employees to focus on sustained stock price appreciation;</w:t>
      </w:r>
    </w:p>
    <w:p>
      <w:pPr>
        <w:spacing w:after="0" w:line="73" w:lineRule="exact"/>
        <w:rPr>
          <w:rFonts w:ascii="Arial" w:cs="Arial" w:eastAsia="Arial" w:hAnsi="Arial"/>
          <w:sz w:val="18"/>
          <w:szCs w:val="18"/>
          <w:color w:val="auto"/>
        </w:rPr>
      </w:pPr>
    </w:p>
    <w:p>
      <w:pPr>
        <w:ind w:left="640" w:right="740" w:hanging="316"/>
        <w:spacing w:after="0" w:line="265" w:lineRule="auto"/>
        <w:tabs>
          <w:tab w:leader="none" w:pos="635"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Internal controls over financial reporting and other financial, operational and compliance policies and practices that are intended to prevent manipulation of performance; and</w:t>
      </w:r>
    </w:p>
    <w:p>
      <w:pPr>
        <w:spacing w:after="0" w:line="73" w:lineRule="exact"/>
        <w:rPr>
          <w:rFonts w:ascii="Arial" w:cs="Arial" w:eastAsia="Arial" w:hAnsi="Arial"/>
          <w:sz w:val="18"/>
          <w:szCs w:val="18"/>
          <w:color w:val="auto"/>
        </w:rPr>
      </w:pPr>
    </w:p>
    <w:p>
      <w:pPr>
        <w:ind w:left="640" w:hanging="316"/>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Policies related to the promotion of diversity, equity and inclusion in our workforce.</w:t>
      </w:r>
    </w:p>
    <w:p>
      <w:pPr>
        <w:spacing w:after="0" w:line="111" w:lineRule="exact"/>
        <w:rPr>
          <w:sz w:val="20"/>
          <w:szCs w:val="20"/>
          <w:color w:val="auto"/>
        </w:rPr>
      </w:pPr>
    </w:p>
    <w:p>
      <w:pPr>
        <w:ind w:right="300" w:firstLine="398"/>
        <w:spacing w:after="0" w:line="265" w:lineRule="auto"/>
        <w:rPr>
          <w:sz w:val="20"/>
          <w:szCs w:val="20"/>
          <w:color w:val="auto"/>
        </w:rPr>
      </w:pPr>
      <w:r>
        <w:rPr>
          <w:rFonts w:ascii="Arial" w:cs="Arial" w:eastAsia="Arial" w:hAnsi="Arial"/>
          <w:sz w:val="18"/>
          <w:szCs w:val="18"/>
          <w:color w:val="auto"/>
        </w:rPr>
        <w:t>Based on this review, the Company has concluded that its compensation policies and practices do not create risks that are reasonably likely to have a material adverse effect on the Company.</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Social and Governance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ESG Core Principles</w:t>
      </w:r>
    </w:p>
    <w:p>
      <w:pPr>
        <w:spacing w:after="0" w:line="111" w:lineRule="exact"/>
        <w:rPr>
          <w:sz w:val="20"/>
          <w:szCs w:val="20"/>
          <w:color w:val="auto"/>
        </w:rPr>
      </w:pPr>
    </w:p>
    <w:p>
      <w:pPr>
        <w:ind w:firstLine="477"/>
        <w:spacing w:after="0" w:line="255" w:lineRule="auto"/>
        <w:rPr>
          <w:sz w:val="20"/>
          <w:szCs w:val="20"/>
          <w:color w:val="auto"/>
        </w:rPr>
      </w:pPr>
      <w:r>
        <w:rPr>
          <w:rFonts w:ascii="Arial" w:cs="Arial" w:eastAsia="Arial" w:hAnsi="Arial"/>
          <w:sz w:val="18"/>
          <w:szCs w:val="18"/>
          <w:color w:val="auto"/>
        </w:rPr>
        <w:t>Since inception, we were intentional about the corporate culture we wanted to foster ― one focused on core values. To keep us motivated, we found inspiration in Coach John Wooden’s Pyramid of Success™ to help us aspire and maintain a culture of teamwork, integrity and valuing client interests ahead of our own.</w:t>
      </w:r>
    </w:p>
    <w:p>
      <w:pPr>
        <w:spacing w:after="0" w:line="83" w:lineRule="exact"/>
        <w:rPr>
          <w:sz w:val="20"/>
          <w:szCs w:val="20"/>
          <w:color w:val="auto"/>
        </w:rPr>
      </w:pPr>
    </w:p>
    <w:p>
      <w:pPr>
        <w:ind w:right="20" w:firstLine="477"/>
        <w:spacing w:after="0" w:line="265" w:lineRule="auto"/>
        <w:rPr>
          <w:sz w:val="20"/>
          <w:szCs w:val="20"/>
          <w:color w:val="auto"/>
        </w:rPr>
      </w:pPr>
      <w:r>
        <w:rPr>
          <w:rFonts w:ascii="Arial" w:cs="Arial" w:eastAsia="Arial" w:hAnsi="Arial"/>
          <w:sz w:val="18"/>
          <w:szCs w:val="18"/>
          <w:color w:val="auto"/>
        </w:rPr>
        <w:t>The Covid-19 pandemic has challenged us professionally and personally. At Westwood, we have used the last two years to reflect and further refine the criteria that will keep us relevant. Our ESG focus is guided by the following six pillars:</w:t>
      </w:r>
    </w:p>
    <w:p>
      <w:pPr>
        <w:spacing w:after="0" w:line="74" w:lineRule="exact"/>
        <w:rPr>
          <w:sz w:val="20"/>
          <w:szCs w:val="20"/>
          <w:color w:val="auto"/>
        </w:rPr>
      </w:pPr>
    </w:p>
    <w:p>
      <w:pPr>
        <w:ind w:left="640" w:hanging="316"/>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Environmental impact;</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Diversity, equity and inclusion;</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Community;</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Responsible investing;</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Privacy and data protection; and</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Governance.</w:t>
      </w:r>
    </w:p>
    <w:p>
      <w:pPr>
        <w:spacing w:after="0" w:line="111" w:lineRule="exact"/>
        <w:rPr>
          <w:sz w:val="20"/>
          <w:szCs w:val="20"/>
          <w:color w:val="auto"/>
        </w:rPr>
      </w:pPr>
    </w:p>
    <w:p>
      <w:pPr>
        <w:ind w:right="20" w:firstLine="477"/>
        <w:spacing w:after="0" w:line="295" w:lineRule="auto"/>
        <w:rPr>
          <w:sz w:val="20"/>
          <w:szCs w:val="20"/>
          <w:color w:val="auto"/>
        </w:rPr>
      </w:pPr>
      <w:r>
        <w:rPr>
          <w:rFonts w:ascii="Arial" w:cs="Arial" w:eastAsia="Arial" w:hAnsi="Arial"/>
          <w:sz w:val="17"/>
          <w:szCs w:val="17"/>
          <w:color w:val="auto"/>
        </w:rPr>
        <w:t>We include ESG issues in our investment process and measure ourselves against them because it makes business sense. It improves our ability to create an environment that values true diversity, inclusiveness and transparency and ultimately supports employee growth for the long term.</w:t>
      </w:r>
    </w:p>
    <w:p>
      <w:pPr>
        <w:spacing w:after="0" w:line="50" w:lineRule="exact"/>
        <w:rPr>
          <w:sz w:val="20"/>
          <w:szCs w:val="20"/>
          <w:color w:val="auto"/>
        </w:rPr>
      </w:pPr>
    </w:p>
    <w:p>
      <w:pPr>
        <w:ind w:right="140" w:firstLine="477"/>
        <w:spacing w:after="0" w:line="250" w:lineRule="auto"/>
        <w:rPr>
          <w:sz w:val="20"/>
          <w:szCs w:val="20"/>
          <w:color w:val="auto"/>
        </w:rPr>
      </w:pPr>
      <w:r>
        <w:rPr>
          <w:rFonts w:ascii="Arial" w:cs="Arial" w:eastAsia="Arial" w:hAnsi="Arial"/>
          <w:sz w:val="18"/>
          <w:szCs w:val="18"/>
          <w:color w:val="auto"/>
        </w:rPr>
        <w:t>As an active asset manager, we take a fundamental, financial materiality-based approach to identifying high-quality companies and sound businesses around the world. We integrate ESG into our proprietary investment process and believe material ESG-related issues are important in conducting bottom-up, fundamental analysis when evaluating the merits of a company’s strategy, downside risk and valuation. Based on our research, we find sustainability plays a critical role in company selection and has always been an input to our analysis. As ESG evaluation techniques continue to evolve, we will adapt our own analyses to stay true to our fiduciary responsibilities.</w:t>
      </w:r>
    </w:p>
    <w:p>
      <w:pPr>
        <w:spacing w:after="0" w:line="89" w:lineRule="exact"/>
        <w:rPr>
          <w:sz w:val="20"/>
          <w:szCs w:val="20"/>
          <w:color w:val="auto"/>
        </w:rPr>
      </w:pPr>
    </w:p>
    <w:p>
      <w:pPr>
        <w:ind w:right="60" w:firstLine="477"/>
        <w:spacing w:after="0" w:line="255" w:lineRule="auto"/>
        <w:rPr>
          <w:sz w:val="20"/>
          <w:szCs w:val="20"/>
          <w:color w:val="auto"/>
        </w:rPr>
      </w:pPr>
      <w:r>
        <w:rPr>
          <w:rFonts w:ascii="Arial" w:cs="Arial" w:eastAsia="Arial" w:hAnsi="Arial"/>
          <w:sz w:val="18"/>
          <w:szCs w:val="18"/>
          <w:color w:val="auto"/>
        </w:rPr>
        <w:t>Being active describes more than our approach to investing. It also is how we run our business as a publicly traded company. Our focus on transparency, corporate governance, life principles, ethical conduct and giving back to the communities in which we operate is core to our values. Diversity is also an important part of our culture and identity; approximately 43% of</w:t>
      </w:r>
    </w:p>
    <w:p>
      <w:pPr>
        <w:spacing w:after="0" w:line="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20"/>
          </w:cols>
          <w:pgMar w:left="320" w:top="552" w:right="359" w:bottom="1440" w:gutter="0" w:footer="0" w:header="0"/>
        </w:sectPr>
      </w:pPr>
    </w:p>
    <w:bookmarkStart w:id="16" w:name="page17"/>
    <w:bookmarkEnd w:id="16"/>
    <w:p>
      <w:pPr>
        <w:spacing w:after="0"/>
        <w:rPr>
          <w:sz w:val="20"/>
          <w:szCs w:val="20"/>
          <w:color w:val="auto"/>
        </w:rPr>
      </w:pPr>
      <w:r>
        <w:rPr>
          <w:rFonts w:ascii="Arial" w:cs="Arial" w:eastAsia="Arial" w:hAnsi="Arial"/>
          <w:sz w:val="15"/>
          <w:szCs w:val="15"/>
          <w:color w:val="auto"/>
        </w:rPr>
        <w:t>our employees are women — many in senior positions — and approximately 25% of our employees self-identify as members of minority communities.</w:t>
      </w:r>
    </w:p>
    <w:p>
      <w:pPr>
        <w:spacing w:after="0" w:line="146" w:lineRule="exact"/>
        <w:rPr>
          <w:sz w:val="20"/>
          <w:szCs w:val="20"/>
          <w:color w:val="auto"/>
        </w:rPr>
      </w:pPr>
    </w:p>
    <w:p>
      <w:pPr>
        <w:ind w:right="440" w:firstLine="477"/>
        <w:spacing w:after="0" w:line="255" w:lineRule="auto"/>
        <w:rPr>
          <w:sz w:val="20"/>
          <w:szCs w:val="20"/>
          <w:color w:val="auto"/>
        </w:rPr>
      </w:pPr>
      <w:r>
        <w:rPr>
          <w:rFonts w:ascii="Arial" w:cs="Arial" w:eastAsia="Arial" w:hAnsi="Arial"/>
          <w:sz w:val="18"/>
          <w:szCs w:val="18"/>
          <w:color w:val="auto"/>
        </w:rPr>
        <w:t>Westwood is a signatory of the United Nations Principles for Responsible Investment ("UNPRI") and is committed to adopting and implementing responsible investment principles in a manner consistent with our fiduciary duties to clients. We support the UNPRI and recognize the importance of considering ESG issues as an element in our overall investment process.</w:t>
      </w:r>
    </w:p>
    <w:p>
      <w:pPr>
        <w:spacing w:after="0" w:line="83" w:lineRule="exact"/>
        <w:rPr>
          <w:sz w:val="20"/>
          <w:szCs w:val="20"/>
          <w:color w:val="auto"/>
        </w:rPr>
      </w:pPr>
    </w:p>
    <w:p>
      <w:pPr>
        <w:ind w:right="100" w:firstLine="477"/>
        <w:spacing w:after="0" w:line="277" w:lineRule="auto"/>
        <w:rPr>
          <w:sz w:val="20"/>
          <w:szCs w:val="20"/>
          <w:color w:val="auto"/>
        </w:rPr>
      </w:pPr>
      <w:r>
        <w:rPr>
          <w:rFonts w:ascii="Arial" w:cs="Arial" w:eastAsia="Arial" w:hAnsi="Arial"/>
          <w:sz w:val="17"/>
          <w:szCs w:val="17"/>
          <w:color w:val="auto"/>
        </w:rPr>
        <w:t>Our responsible investment commitment is linked to our investment process across our high-conviction equity and outcome-oriented solutions. Across this diverse set of strategies, we take a fundamental approach to identifying high-quality companies and sound businesses around the world. ESG is directly linked to the bottom-up, fundamental assessment of companies and has always been an input to our analyses.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Governance</w:t>
      </w:r>
    </w:p>
    <w:p>
      <w:pPr>
        <w:spacing w:after="0" w:line="111" w:lineRule="exact"/>
        <w:rPr>
          <w:sz w:val="20"/>
          <w:szCs w:val="20"/>
          <w:color w:val="auto"/>
        </w:rPr>
      </w:pPr>
    </w:p>
    <w:p>
      <w:pPr>
        <w:ind w:right="200" w:firstLine="477"/>
        <w:spacing w:after="0" w:line="252" w:lineRule="auto"/>
        <w:rPr>
          <w:sz w:val="20"/>
          <w:szCs w:val="20"/>
          <w:color w:val="auto"/>
        </w:rPr>
      </w:pPr>
      <w:r>
        <w:rPr>
          <w:rFonts w:ascii="Arial" w:cs="Arial" w:eastAsia="Arial" w:hAnsi="Arial"/>
          <w:sz w:val="18"/>
          <w:szCs w:val="18"/>
          <w:color w:val="auto"/>
        </w:rPr>
        <w:t>Westwood is committed to the successful integration and promotion of ESG at both the corporate level and the investment level. We have established two governing structures, a Responsible Investment Committee and a Corporate Responsibility Committee, to ensure we have the strategic influence and leadership required to create a clear corporate sustainability strategy across our business. The separation of responsibilities among the two governing structures was designed to ensure proper accountability across the firm.</w:t>
      </w:r>
    </w:p>
    <w:p>
      <w:pPr>
        <w:spacing w:after="0" w:line="86" w:lineRule="exact"/>
        <w:rPr>
          <w:sz w:val="20"/>
          <w:szCs w:val="20"/>
          <w:color w:val="auto"/>
        </w:rPr>
      </w:pPr>
    </w:p>
    <w:p>
      <w:pPr>
        <w:ind w:right="40" w:firstLine="477"/>
        <w:spacing w:after="0" w:line="272" w:lineRule="auto"/>
        <w:rPr>
          <w:sz w:val="20"/>
          <w:szCs w:val="20"/>
          <w:color w:val="auto"/>
        </w:rPr>
      </w:pPr>
      <w:r>
        <w:rPr>
          <w:rFonts w:ascii="Arial" w:cs="Arial" w:eastAsia="Arial" w:hAnsi="Arial"/>
          <w:sz w:val="17"/>
          <w:szCs w:val="17"/>
          <w:color w:val="auto"/>
        </w:rPr>
        <w:t>The Responsible Investment Committee was established to consider matters related to the maintenance, development and implementation of our responsible investment practices to support our ESG policy. The Corporate Responsibility Committee was established for the oversight and implementation of our corporate sustainability strategy and ESG policies. The Corporate Responsibility Committee governs as a cross-functional team designed to engage leadership across key corporate functions to provide oversight as well as strategic guidance.</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Engagement</w:t>
      </w:r>
    </w:p>
    <w:p>
      <w:pPr>
        <w:spacing w:after="0" w:line="111" w:lineRule="exact"/>
        <w:rPr>
          <w:sz w:val="20"/>
          <w:szCs w:val="20"/>
          <w:color w:val="auto"/>
        </w:rPr>
      </w:pPr>
    </w:p>
    <w:p>
      <w:pPr>
        <w:ind w:right="20" w:firstLine="477"/>
        <w:spacing w:after="0" w:line="255" w:lineRule="auto"/>
        <w:rPr>
          <w:sz w:val="20"/>
          <w:szCs w:val="20"/>
          <w:color w:val="auto"/>
        </w:rPr>
      </w:pPr>
      <w:r>
        <w:rPr>
          <w:rFonts w:ascii="Arial" w:cs="Arial" w:eastAsia="Arial" w:hAnsi="Arial"/>
          <w:sz w:val="18"/>
          <w:szCs w:val="18"/>
          <w:color w:val="auto"/>
        </w:rPr>
        <w:t>As part of our fundamental investment research process, our analysts conduct meetings with target company managements and investor relations to understand strategy, execution and financial strength. When ESG issues are of specific concern, our team seeks to understand how the target company plans to address them and views this from a “tracking” perspective over time.</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ESG Integration</w:t>
      </w:r>
    </w:p>
    <w:p>
      <w:pPr>
        <w:spacing w:after="0" w:line="111" w:lineRule="exact"/>
        <w:rPr>
          <w:sz w:val="20"/>
          <w:szCs w:val="20"/>
          <w:color w:val="auto"/>
        </w:rPr>
      </w:pPr>
    </w:p>
    <w:p>
      <w:pPr>
        <w:ind w:right="120" w:firstLine="477"/>
        <w:spacing w:after="0" w:line="255" w:lineRule="auto"/>
        <w:rPr>
          <w:sz w:val="20"/>
          <w:szCs w:val="20"/>
          <w:color w:val="auto"/>
        </w:rPr>
      </w:pPr>
      <w:r>
        <w:rPr>
          <w:rFonts w:ascii="Arial" w:cs="Arial" w:eastAsia="Arial" w:hAnsi="Arial"/>
          <w:sz w:val="18"/>
          <w:szCs w:val="18"/>
          <w:color w:val="auto"/>
        </w:rPr>
        <w:t>Across all of our strategies, ESG analysis is designed to focus only on material factors. We support this approach with an explicit acknowledgement that fundamental analysis of ESG is highly nuanced by security (sector, size, geography) and investment strategy (holding period, position size, share rights). The specifics of integration and execution are left to the discretion of the investment teams.</w:t>
      </w:r>
    </w:p>
    <w:p>
      <w:pPr>
        <w:spacing w:after="0" w:line="83" w:lineRule="exact"/>
        <w:rPr>
          <w:sz w:val="20"/>
          <w:szCs w:val="20"/>
          <w:color w:val="auto"/>
        </w:rPr>
      </w:pPr>
    </w:p>
    <w:p>
      <w:pPr>
        <w:ind w:right="340" w:firstLine="477"/>
        <w:spacing w:after="0" w:line="277" w:lineRule="auto"/>
        <w:rPr>
          <w:sz w:val="20"/>
          <w:szCs w:val="20"/>
          <w:color w:val="auto"/>
        </w:rPr>
      </w:pPr>
      <w:r>
        <w:rPr>
          <w:rFonts w:ascii="Arial" w:cs="Arial" w:eastAsia="Arial" w:hAnsi="Arial"/>
          <w:sz w:val="17"/>
          <w:szCs w:val="17"/>
          <w:color w:val="auto"/>
        </w:rPr>
        <w:t>ESG analysis is performed by our industry analysts during the first step of our investment process in which an analyst is conducting deep, forward-looking research. Analysts have access to multiple third-party ESG metric providers and often generate their own inputs. These inputs ultimately are integrated into a proprietary financial statement projection, which becomes a part of our investment recommendation.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Proxy Voting</w:t>
      </w:r>
    </w:p>
    <w:p>
      <w:pPr>
        <w:spacing w:after="0" w:line="111" w:lineRule="exact"/>
        <w:rPr>
          <w:sz w:val="20"/>
          <w:szCs w:val="20"/>
          <w:color w:val="auto"/>
        </w:rPr>
      </w:pPr>
    </w:p>
    <w:p>
      <w:pPr>
        <w:ind w:right="20" w:firstLine="477"/>
        <w:spacing w:after="0" w:line="304" w:lineRule="auto"/>
        <w:rPr>
          <w:sz w:val="20"/>
          <w:szCs w:val="20"/>
          <w:color w:val="auto"/>
        </w:rPr>
      </w:pPr>
      <w:r>
        <w:rPr>
          <w:rFonts w:ascii="Arial" w:cs="Arial" w:eastAsia="Arial" w:hAnsi="Arial"/>
          <w:sz w:val="15"/>
          <w:szCs w:val="15"/>
          <w:color w:val="auto"/>
        </w:rPr>
        <w:t>Westwood views proxy voting rights as valuable portfolio assets. Our overarching principle is to exercise voting responsibilities solely in the best interests of our clients. We see proxy voting as a means of addressing corporate governance issues and encouraging corporate actions that enhance stockholder value. Westwood has selected guidelines from a third-party proxy research service, Glass-Lewis, that we believe create value for our clients and cover most proxy issues. The Investment Operations Team serves as the administrator responsible for overseeing the implementation of our proxy voting policy. Westwood’s Corporate Responsibility Committee, in collaboration with our investment team’s bi-monthly review of ballots, has confirmed that our proxy voting guidelines on environmental, social and governance issues generally match the Glass-Lewis policy, which is to vote in favor of such items when there is a clear link between the proposal and value enhancement or risk mitigation to stockholders. Our goal is to vote all proxies and in most cases we agree with and follow the recommendations of our proxy research service; however, we will vote against Glass-Lewis recommendations when we feel it is in our clients’ best interests. A summary of voting is sent to each client for whom proxies are voted on an annual basis.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Social Impact and Corporate Giving</w:t>
      </w:r>
    </w:p>
    <w:p>
      <w:pPr>
        <w:spacing w:after="0" w:line="111" w:lineRule="exact"/>
        <w:rPr>
          <w:sz w:val="20"/>
          <w:szCs w:val="20"/>
          <w:color w:val="auto"/>
        </w:rPr>
      </w:pPr>
    </w:p>
    <w:p>
      <w:pPr>
        <w:ind w:left="480"/>
        <w:spacing w:after="0"/>
        <w:rPr>
          <w:sz w:val="20"/>
          <w:szCs w:val="20"/>
          <w:color w:val="auto"/>
        </w:rPr>
      </w:pPr>
      <w:r>
        <w:rPr>
          <w:rFonts w:ascii="Arial" w:cs="Arial" w:eastAsia="Arial" w:hAnsi="Arial"/>
          <w:sz w:val="15"/>
          <w:szCs w:val="15"/>
          <w:color w:val="auto"/>
        </w:rPr>
        <w:t>Community involvement is the cornerstone of our culture, which drives employee engagement and makes employees proud to work at Westwood.</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Every year we donate to local and national nonprofits and support clients and employees in their volunteer efforts.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w:t>
      </w:r>
    </w:p>
    <w:p>
      <w:pPr>
        <w:spacing w:after="0" w:line="111" w:lineRule="exact"/>
        <w:rPr>
          <w:sz w:val="20"/>
          <w:szCs w:val="20"/>
          <w:color w:val="auto"/>
        </w:rPr>
      </w:pPr>
    </w:p>
    <w:p>
      <w:pPr>
        <w:ind w:firstLine="477"/>
        <w:spacing w:after="0" w:line="265" w:lineRule="auto"/>
        <w:rPr>
          <w:sz w:val="20"/>
          <w:szCs w:val="20"/>
          <w:color w:val="auto"/>
        </w:rPr>
      </w:pPr>
      <w:r>
        <w:rPr>
          <w:rFonts w:ascii="Arial" w:cs="Arial" w:eastAsia="Arial" w:hAnsi="Arial"/>
          <w:sz w:val="18"/>
          <w:szCs w:val="18"/>
          <w:color w:val="auto"/>
        </w:rPr>
        <w:t>At Westwood, we embrace caring for our communities and are taking steps to take care of the world around us through our initiative to calculate carbon footprints and buying carbon credits. Our Green Committee establishes initiatives to support this important work.</w:t>
      </w:r>
    </w:p>
    <w:p>
      <w:pPr>
        <w:spacing w:after="0" w:line="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552"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i w:val="1"/>
          <w:iCs w:val="1"/>
          <w:u w:val="single" w:color="auto"/>
          <w:color w:val="auto"/>
        </w:rPr>
        <w:t>Stockholder Recommendations for Director Candidates</w:t>
      </w:r>
    </w:p>
    <w:p>
      <w:pPr>
        <w:spacing w:after="0" w:line="111" w:lineRule="exact"/>
        <w:rPr>
          <w:sz w:val="20"/>
          <w:szCs w:val="20"/>
          <w:color w:val="auto"/>
        </w:rPr>
      </w:pPr>
    </w:p>
    <w:p>
      <w:pPr>
        <w:ind w:firstLine="398"/>
        <w:spacing w:after="0" w:line="303" w:lineRule="auto"/>
        <w:rPr>
          <w:sz w:val="20"/>
          <w:szCs w:val="20"/>
          <w:color w:val="auto"/>
        </w:rPr>
      </w:pPr>
      <w:r>
        <w:rPr>
          <w:rFonts w:ascii="Arial" w:cs="Arial" w:eastAsia="Arial" w:hAnsi="Arial"/>
          <w:sz w:val="15"/>
          <w:szCs w:val="15"/>
          <w:color w:val="auto"/>
        </w:rPr>
        <w:t>The Board of Directors has delegated to the Governance/Nominating Committee specific responsibilities relating to selection of directors to serve on the Board. The Governance/Nominating Committee is responsible for identifying potential candidates for Board membership and for recommending to the Board a slate of director candidates to stand for election at the annual meeting of our stockholders. The Governance/Nominating Committee seeks to identify, and the Board then selects, director candidates who (i) have significant business experience that is relevant and beneficial to the Board and Westwood, (ii) are willing and able to make a sufficient time commitment to the affairs of Westwood to effectively perform the duties of a director, including regular attendance at Board and committee meetings, (iii) are committed to the long-term growth and profitability of Westwood, (iv) are individuals of character and integrity, (v) are individuals with inquiring minds willing to challenge and stimulate management and (vi) represent the interests of Westwood as a whole and not just the interests of a particular stockholder or group. The Governance/Nominating Committee does not have a specific policy considering diversity in identifying director candidates, but use of the criteria listed above has led to a diverse board including 33% female and 16% minority directors. The Governance/Nominating Committee believes these criteria are the key factors in identifying qualified director candidates.</w:t>
      </w:r>
    </w:p>
    <w:p>
      <w:pPr>
        <w:spacing w:after="0" w:line="51" w:lineRule="exact"/>
        <w:rPr>
          <w:sz w:val="20"/>
          <w:szCs w:val="20"/>
          <w:color w:val="auto"/>
        </w:rPr>
      </w:pPr>
    </w:p>
    <w:p>
      <w:pPr>
        <w:ind w:right="400" w:firstLine="398"/>
        <w:spacing w:after="0" w:line="272" w:lineRule="auto"/>
        <w:rPr>
          <w:sz w:val="20"/>
          <w:szCs w:val="20"/>
          <w:color w:val="auto"/>
        </w:rPr>
      </w:pPr>
      <w:r>
        <w:rPr>
          <w:rFonts w:ascii="Arial" w:cs="Arial" w:eastAsia="Arial" w:hAnsi="Arial"/>
          <w:sz w:val="17"/>
          <w:szCs w:val="17"/>
          <w:color w:val="auto"/>
        </w:rPr>
        <w:t>The Governance/Nominating Committee has a policy for considering new director candidates recommended by our stockholders if such recommendations are made in compliance with applicable laws, rules and regulations, our Bylaws and procedures established by the committee. Director candidates recommended by stockholders are evaluated by the Governance/Nominating Committee using the same criteria applied by the Governance/Nominating Committee to director candidates identified by that committee, as described in the previous paragraph.</w:t>
      </w:r>
    </w:p>
    <w:p>
      <w:pPr>
        <w:spacing w:after="0" w:line="109" w:lineRule="exact"/>
        <w:rPr>
          <w:sz w:val="20"/>
          <w:szCs w:val="20"/>
          <w:color w:val="auto"/>
        </w:rPr>
      </w:pPr>
    </w:p>
    <w:p>
      <w:pPr>
        <w:ind w:right="80" w:firstLine="398"/>
        <w:spacing w:after="0" w:line="307" w:lineRule="auto"/>
        <w:rPr>
          <w:sz w:val="20"/>
          <w:szCs w:val="20"/>
          <w:color w:val="auto"/>
        </w:rPr>
      </w:pPr>
      <w:r>
        <w:rPr>
          <w:rFonts w:ascii="Arial" w:cs="Arial" w:eastAsia="Arial" w:hAnsi="Arial"/>
          <w:sz w:val="15"/>
          <w:szCs w:val="15"/>
          <w:color w:val="auto"/>
        </w:rPr>
        <w:t>Under our Bylaws, stockholders may also nominate persons for election to our Board of Directors. Any director nomination must comply with the requirements set forth in our Bylaws and must be received by our Corporate Secretary at our principal executive offices not later than the close of business on January 27, 2023 and not earlier than the close of business on December 28, 2022. In the event that the date of the 2023 annual meeting of stockholders is more than 30 days before or more than 60 days after the one-year anniversary of the 2022 Annual Meeting of Stockholders, notice of such stockholder proposal must be received no earlier than the close of business on the 120th day before 2023 annual meeting of stockholders and no later than the close of business on the later of the two following dates: the ninetieth 90th day prior to 2023 annual meeting of stockholders, or the 10th day following the day on which public announcement of the date our 2023 annual meeting of stockholders is first made.</w:t>
      </w:r>
    </w:p>
    <w:p>
      <w:pPr>
        <w:spacing w:after="0" w:line="47" w:lineRule="exact"/>
        <w:rPr>
          <w:sz w:val="20"/>
          <w:szCs w:val="20"/>
          <w:color w:val="auto"/>
        </w:rPr>
      </w:pPr>
    </w:p>
    <w:p>
      <w:pPr>
        <w:ind w:right="320" w:firstLine="398"/>
        <w:spacing w:after="0" w:line="255" w:lineRule="auto"/>
        <w:rPr>
          <w:sz w:val="20"/>
          <w:szCs w:val="20"/>
          <w:color w:val="auto"/>
        </w:rPr>
      </w:pPr>
      <w:r>
        <w:rPr>
          <w:rFonts w:ascii="Arial" w:cs="Arial" w:eastAsia="Arial" w:hAnsi="Arial"/>
          <w:sz w:val="18"/>
          <w:szCs w:val="18"/>
          <w:color w:val="auto"/>
        </w:rPr>
        <w:t>For the 2022 Annual Meeting, our Governance/Nominating Committee has not received a candidate recommendation or nomination from any stockholder (or group of stockholders), including any stockholder (or group of stockholders) that beneficially owns more than five percent of our common stock.</w:t>
      </w:r>
    </w:p>
    <w:p>
      <w:pPr>
        <w:spacing w:after="0" w:line="83"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Communications with the Board</w:t>
      </w:r>
    </w:p>
    <w:p>
      <w:pPr>
        <w:spacing w:after="0" w:line="111" w:lineRule="exact"/>
        <w:rPr>
          <w:sz w:val="20"/>
          <w:szCs w:val="20"/>
          <w:color w:val="auto"/>
        </w:rPr>
      </w:pPr>
    </w:p>
    <w:p>
      <w:pPr>
        <w:ind w:right="20" w:firstLine="398"/>
        <w:spacing w:after="0" w:line="304" w:lineRule="auto"/>
        <w:rPr>
          <w:sz w:val="20"/>
          <w:szCs w:val="20"/>
          <w:color w:val="auto"/>
        </w:rPr>
      </w:pPr>
      <w:r>
        <w:rPr>
          <w:rFonts w:ascii="Arial" w:cs="Arial" w:eastAsia="Arial" w:hAnsi="Arial"/>
          <w:sz w:val="15"/>
          <w:szCs w:val="15"/>
          <w:color w:val="auto"/>
        </w:rPr>
        <w:t>Stockholders or other interested parties may communicate with the Board of Directors or particular Board members (including our Chairman or non-management directors as a group) by mailing a written communication to our Corporate Compliance Officer at 200 Crescent Court, Suite 1200, Dallas, Texas 75201, by email to legal@westwoodgroup.com or by telephone to 214-756-6900. All communications are received and processed by the Corporate Compliance Officer before being referred to the appropriate Board member(s). Complaints relating to our accounting, internal controls or auditing matters, and concerns regarding questionable accounting or auditing matters, are referred to the Chairman of the Audit Committee. Other communications intended for the Board of Directors at large are referred to our Chairman, while communications intended for specific Board members are referred to those Board members. Advertisements, solicitations for periodicals or other subscriptions, and similar communications are not forwarded to Board members. In the event that a complaint or concern appears to involve the Corporate Compliance Officer, then the stockholder or other interested party is encouraged to contact directly the Chairman of the Audit Committee, Ellen H. Masterson at emasterson@westwoodgroup.com.</w:t>
      </w:r>
    </w:p>
    <w:p>
      <w:pPr>
        <w:spacing w:after="0" w:line="50" w:lineRule="exact"/>
        <w:rPr>
          <w:sz w:val="20"/>
          <w:szCs w:val="20"/>
          <w:color w:val="auto"/>
        </w:rPr>
      </w:pPr>
    </w:p>
    <w:p>
      <w:pPr>
        <w:ind w:right="60" w:firstLine="398"/>
        <w:spacing w:after="0" w:line="255" w:lineRule="auto"/>
        <w:rPr>
          <w:sz w:val="20"/>
          <w:szCs w:val="20"/>
          <w:color w:val="auto"/>
        </w:rPr>
      </w:pPr>
      <w:r>
        <w:rPr>
          <w:rFonts w:ascii="Arial" w:cs="Arial" w:eastAsia="Arial" w:hAnsi="Arial"/>
          <w:sz w:val="18"/>
          <w:szCs w:val="18"/>
          <w:color w:val="auto"/>
        </w:rPr>
        <w:t>Stockholders may also communicate directly with Board members at the annual meetings of stockholders, as it is our policy that Board members should attend such meetings and make themselves available to address any matters properly brought before the meetings. All of our Board members attended the 2021 annual meeting of stockholders.</w:t>
      </w:r>
    </w:p>
    <w:p>
      <w:pPr>
        <w:spacing w:after="0" w:line="83" w:lineRule="exact"/>
        <w:rPr>
          <w:sz w:val="20"/>
          <w:szCs w:val="20"/>
          <w:color w:val="auto"/>
        </w:rPr>
      </w:pPr>
    </w:p>
    <w:p>
      <w:pPr>
        <w:ind w:left="80"/>
        <w:spacing w:after="0"/>
        <w:rPr>
          <w:sz w:val="20"/>
          <w:szCs w:val="20"/>
          <w:color w:val="auto"/>
        </w:rPr>
      </w:pPr>
      <w:r>
        <w:rPr>
          <w:rFonts w:ascii="Arial" w:cs="Arial" w:eastAsia="Arial" w:hAnsi="Arial"/>
          <w:sz w:val="18"/>
          <w:szCs w:val="18"/>
          <w:i w:val="1"/>
          <w:iCs w:val="1"/>
          <w:u w:val="single" w:color="auto"/>
          <w:color w:val="auto"/>
        </w:rPr>
        <w:t>Code of Business Conduct</w:t>
      </w:r>
    </w:p>
    <w:p>
      <w:pPr>
        <w:spacing w:after="0" w:line="111" w:lineRule="exact"/>
        <w:rPr>
          <w:sz w:val="20"/>
          <w:szCs w:val="20"/>
          <w:color w:val="auto"/>
        </w:rPr>
      </w:pPr>
    </w:p>
    <w:p>
      <w:pPr>
        <w:ind w:right="80" w:firstLine="398"/>
        <w:spacing w:after="0" w:line="250" w:lineRule="auto"/>
        <w:rPr>
          <w:sz w:val="20"/>
          <w:szCs w:val="20"/>
          <w:color w:val="auto"/>
        </w:rPr>
      </w:pPr>
      <w:r>
        <w:rPr>
          <w:rFonts w:ascii="Arial" w:cs="Arial" w:eastAsia="Arial" w:hAnsi="Arial"/>
          <w:sz w:val="18"/>
          <w:szCs w:val="18"/>
          <w:color w:val="auto"/>
        </w:rPr>
        <w:t xml:space="preserve">All of our employees, including our principal executive officer, principal financial officer and principal accounting officer, and all of our directors, are required by our Code of Business Conduct to conduct business in the highest legal and ethical manner. The full text of the Code of Business Conduct is available on our website at </w:t>
      </w:r>
      <w:r>
        <w:rPr>
          <w:rFonts w:ascii="Arial" w:cs="Arial" w:eastAsia="Arial" w:hAnsi="Arial"/>
          <w:sz w:val="18"/>
          <w:szCs w:val="18"/>
          <w:i w:val="1"/>
          <w:iCs w:val="1"/>
          <w:color w:val="auto"/>
        </w:rPr>
        <w:t>westwoodgroup.com</w:t>
      </w:r>
      <w:r>
        <w:rPr>
          <w:rFonts w:ascii="Arial" w:cs="Arial" w:eastAsia="Arial" w:hAnsi="Arial"/>
          <w:sz w:val="18"/>
          <w:szCs w:val="18"/>
          <w:color w:val="auto"/>
        </w:rPr>
        <w:t>. In addition, a copy of the Code of Business Conduct is available upon written request to our Corporate Secretary at our principal executive office address. We intend to post amendments to or waivers from the Code of Business Conduct as required by applicable rules on our website.</w:t>
      </w:r>
    </w:p>
    <w:p>
      <w:pPr>
        <w:spacing w:after="0" w:line="89" w:lineRule="exact"/>
        <w:rPr>
          <w:sz w:val="20"/>
          <w:szCs w:val="20"/>
          <w:color w:val="auto"/>
        </w:rPr>
      </w:pPr>
    </w:p>
    <w:p>
      <w:pPr>
        <w:ind w:right="160" w:firstLine="398"/>
        <w:spacing w:after="0" w:line="330" w:lineRule="auto"/>
        <w:rPr>
          <w:sz w:val="20"/>
          <w:szCs w:val="20"/>
          <w:color w:val="auto"/>
        </w:rPr>
      </w:pPr>
      <w:r>
        <w:rPr>
          <w:rFonts w:ascii="Arial" w:cs="Arial" w:eastAsia="Arial" w:hAnsi="Arial"/>
          <w:sz w:val="15"/>
          <w:szCs w:val="15"/>
          <w:color w:val="auto"/>
        </w:rPr>
        <w:t>Our employees are required to report any conduct that they believe could in any way be construed as a fraudulent or illegal act or otherwise be in violation of the Code of Business Conduct. The Audit Committee has established procedures to receive, retain and address complaints regarding accounting, internal accounting controls or auditing matters and to allow for the confidential and anonymous submission by employees of related concerns.</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552"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Director Compensation</w:t>
      </w:r>
    </w:p>
    <w:p>
      <w:pPr>
        <w:spacing w:after="0" w:line="117" w:lineRule="exact"/>
        <w:rPr>
          <w:sz w:val="20"/>
          <w:szCs w:val="20"/>
          <w:color w:val="auto"/>
        </w:rPr>
      </w:pPr>
    </w:p>
    <w:p>
      <w:pPr>
        <w:ind w:right="20" w:firstLine="398"/>
        <w:spacing w:after="0" w:line="265" w:lineRule="auto"/>
        <w:rPr>
          <w:sz w:val="20"/>
          <w:szCs w:val="20"/>
          <w:color w:val="auto"/>
        </w:rPr>
      </w:pPr>
      <w:r>
        <w:rPr>
          <w:rFonts w:ascii="Arial" w:cs="Arial" w:eastAsia="Arial" w:hAnsi="Arial"/>
          <w:sz w:val="17"/>
          <w:szCs w:val="17"/>
          <w:color w:val="auto"/>
        </w:rPr>
        <w:t>In February 2019, the Board reduced its director compensation arrangements as a result of the Company's 2018 financial performance. For 2021, we paid each non-employee member of our Board of Directors a $62,000 annual retainer. The Chairman of the Board received an additional $20,000 annual retainer, the committee chairs for the Audit and Compensation Committees each received an additional $15,000 annual retainer and the committee chair for the Governance/Nominating Committee received an additional $5,000 annual retainer. There are no specific fees for attendance at Board or committee meetings. Additionally, upon election or re-election as a member of our Board of Directors, each non-employee director is awarded restricted shares of our common stock, which generally vest 12 months from the date of grant. Each restricted share award is made in a number of shares equal in value to $95,000 on the date of the award. Stock awards include a $90,000 award for each non-employee director and a $5,000 award for each non-employee director serving on the separate Board of Directors for Westwood Trust.</w:t>
      </w:r>
    </w:p>
    <w:p>
      <w:pPr>
        <w:spacing w:after="0" w:line="77" w:lineRule="exact"/>
        <w:rPr>
          <w:sz w:val="20"/>
          <w:szCs w:val="20"/>
          <w:color w:val="auto"/>
        </w:rPr>
      </w:pPr>
    </w:p>
    <w:p>
      <w:pPr>
        <w:ind w:firstLine="398"/>
        <w:spacing w:after="0" w:line="265" w:lineRule="auto"/>
        <w:rPr>
          <w:sz w:val="20"/>
          <w:szCs w:val="20"/>
          <w:color w:val="auto"/>
        </w:rPr>
      </w:pPr>
      <w:r>
        <w:rPr>
          <w:rFonts w:ascii="Arial" w:cs="Arial" w:eastAsia="Arial" w:hAnsi="Arial"/>
          <w:sz w:val="17"/>
          <w:szCs w:val="17"/>
          <w:color w:val="auto"/>
        </w:rPr>
        <w:t>The Board has established a policy that non-employee directors should own a minimum number of shares of our common stock equal to five times the dollar amount of their annual retainer within five years of their initial election or the establishment of this policy, whichever is later. In the event a decline in the price of the Company's common stock causes a non-employee director's holdings to fall below the applicable threshold, the non-employee director will not be required to purchase additional shares to meet the threshold but is required to hold 50% of net shares acquired through vesting of equity-based compensation programs until holdings above the threshold have again been achieved. Compliance with these stock ownership guidelines is evaluated periodically as determined by our Board of Directors. Given the significant decline in the price of the Company's stock over the course of 2021, the value of shares held by certain directors fell below the minimum holding requirements. All such directors are in compliance with the policy by holding the required net vested shares until such time as the minimum is once again achieved.</w:t>
      </w:r>
    </w:p>
    <w:p>
      <w:pPr>
        <w:spacing w:after="0" w:line="77" w:lineRule="exact"/>
        <w:rPr>
          <w:sz w:val="20"/>
          <w:szCs w:val="20"/>
          <w:color w:val="auto"/>
        </w:rPr>
      </w:pPr>
    </w:p>
    <w:p>
      <w:pPr>
        <w:ind w:right="220" w:firstLine="398"/>
        <w:spacing w:after="0" w:line="252" w:lineRule="auto"/>
        <w:rPr>
          <w:sz w:val="20"/>
          <w:szCs w:val="20"/>
          <w:color w:val="auto"/>
        </w:rPr>
      </w:pPr>
      <w:r>
        <w:rPr>
          <w:rFonts w:ascii="Arial" w:cs="Arial" w:eastAsia="Arial" w:hAnsi="Arial"/>
          <w:sz w:val="18"/>
          <w:szCs w:val="18"/>
          <w:color w:val="auto"/>
        </w:rPr>
        <w:t>The Compensation Committee reviews our compensation arrangements for directors from time to time. Brian O. Casey, our President and Chief Executive Officer, is not included in this table as he is a Company employee and receives no compensation for his service as director. See "Executive Compensation" for information concerning Mr. Casey's compensation. The Company's executive officers do not make recommendations regarding the non-employee directors' compensation.</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Director Summary Compensation Table</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Fees Earned</w:t>
            </w:r>
          </w:p>
        </w:tc>
        <w:tc>
          <w:tcPr>
            <w:tcW w:w="15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All</w:t>
            </w: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20" w:type="dxa"/>
            <w:vAlign w:val="bottom"/>
            <w:gridSpan w:val="2"/>
          </w:tcPr>
          <w:p>
            <w:pPr>
              <w:jc w:val="center"/>
              <w:ind w:right="120"/>
              <w:spacing w:after="0" w:line="133" w:lineRule="exact"/>
              <w:rPr>
                <w:sz w:val="20"/>
                <w:szCs w:val="20"/>
                <w:color w:val="auto"/>
              </w:rPr>
            </w:pPr>
            <w:r>
              <w:rPr>
                <w:rFonts w:ascii="Arial" w:cs="Arial" w:eastAsia="Arial" w:hAnsi="Arial"/>
                <w:sz w:val="14"/>
                <w:szCs w:val="14"/>
                <w:b w:val="1"/>
                <w:bCs w:val="1"/>
                <w:color w:val="auto"/>
                <w:w w:val="93"/>
              </w:rPr>
              <w:t>or Paid in</w:t>
            </w:r>
          </w:p>
        </w:tc>
        <w:tc>
          <w:tcPr>
            <w:tcW w:w="154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96"/>
              </w:rPr>
              <w:t>Other</w:t>
            </w:r>
          </w:p>
        </w:tc>
        <w:tc>
          <w:tcPr>
            <w:tcW w:w="154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Stock Awards</w:t>
            </w:r>
          </w:p>
        </w:tc>
        <w:tc>
          <w:tcPr>
            <w:tcW w:w="1420" w:type="dxa"/>
            <w:vAlign w:val="bottom"/>
            <w:vMerge w:val="restart"/>
          </w:tcPr>
          <w:p>
            <w:pPr>
              <w:jc w:val="right"/>
              <w:ind w:right="476"/>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3"/>
        </w:trPr>
        <w:tc>
          <w:tcPr>
            <w:tcW w:w="5080" w:type="dxa"/>
            <w:vAlign w:val="bottom"/>
            <w:vMerge w:val="restart"/>
          </w:tcPr>
          <w:p>
            <w:pPr>
              <w:ind w:left="2360"/>
              <w:spacing w:after="0"/>
              <w:rPr>
                <w:sz w:val="20"/>
                <w:szCs w:val="20"/>
                <w:color w:val="auto"/>
              </w:rPr>
            </w:pPr>
            <w:r>
              <w:rPr>
                <w:rFonts w:ascii="Arial" w:cs="Arial" w:eastAsia="Arial" w:hAnsi="Arial"/>
                <w:sz w:val="14"/>
                <w:szCs w:val="14"/>
                <w:b w:val="1"/>
                <w:bCs w:val="1"/>
                <w:color w:val="auto"/>
              </w:rPr>
              <w:t>Name</w:t>
            </w:r>
          </w:p>
        </w:tc>
        <w:tc>
          <w:tcPr>
            <w:tcW w:w="120" w:type="dxa"/>
            <w:vAlign w:val="bottom"/>
            <w:vMerge w:val="restart"/>
          </w:tcPr>
          <w:p>
            <w:pPr>
              <w:spacing w:after="0"/>
              <w:rPr>
                <w:sz w:val="11"/>
                <w:szCs w:val="11"/>
                <w:color w:val="auto"/>
              </w:rPr>
            </w:pPr>
          </w:p>
        </w:tc>
        <w:tc>
          <w:tcPr>
            <w:tcW w:w="1520" w:type="dxa"/>
            <w:vAlign w:val="bottom"/>
            <w:gridSpan w:val="2"/>
          </w:tcPr>
          <w:p>
            <w:pPr>
              <w:jc w:val="center"/>
              <w:ind w:right="120"/>
              <w:spacing w:after="0" w:line="133" w:lineRule="exact"/>
              <w:rPr>
                <w:sz w:val="20"/>
                <w:szCs w:val="20"/>
                <w:color w:val="auto"/>
              </w:rPr>
            </w:pPr>
            <w:r>
              <w:rPr>
                <w:rFonts w:ascii="Arial" w:cs="Arial" w:eastAsia="Arial" w:hAnsi="Arial"/>
                <w:sz w:val="14"/>
                <w:szCs w:val="14"/>
                <w:b w:val="1"/>
                <w:bCs w:val="1"/>
                <w:color w:val="auto"/>
                <w:w w:val="93"/>
              </w:rPr>
              <w:t>Cash</w:t>
            </w:r>
          </w:p>
        </w:tc>
        <w:tc>
          <w:tcPr>
            <w:tcW w:w="154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90"/>
              </w:rPr>
              <w:t>Compensation</w:t>
            </w:r>
          </w:p>
        </w:tc>
        <w:tc>
          <w:tcPr>
            <w:tcW w:w="1540" w:type="dxa"/>
            <w:vAlign w:val="bottom"/>
            <w:gridSpan w:val="2"/>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50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 (1)</w:t>
            </w:r>
          </w:p>
        </w:tc>
        <w:tc>
          <w:tcPr>
            <w:tcW w:w="10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 (2)</w:t>
            </w:r>
          </w:p>
        </w:tc>
        <w:tc>
          <w:tcPr>
            <w:tcW w:w="12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0"/>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Susan M. Byrne</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62,000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102,048</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95,000</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259,048</w:t>
            </w:r>
          </w:p>
        </w:tc>
        <w:tc>
          <w:tcPr>
            <w:tcW w:w="0" w:type="dxa"/>
            <w:vAlign w:val="bottom"/>
          </w:tcPr>
          <w:p>
            <w:pPr>
              <w:spacing w:after="0"/>
              <w:rPr>
                <w:sz w:val="1"/>
                <w:szCs w:val="1"/>
                <w:color w:val="auto"/>
              </w:rPr>
            </w:pPr>
          </w:p>
        </w:tc>
      </w:tr>
      <w:tr>
        <w:trPr>
          <w:trHeight w:val="225"/>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Richard M. Frank</w:t>
            </w:r>
          </w:p>
        </w:tc>
        <w:tc>
          <w:tcPr>
            <w:tcW w:w="1420" w:type="dxa"/>
            <w:vAlign w:val="bottom"/>
          </w:tcPr>
          <w:p>
            <w:pPr>
              <w:jc w:val="right"/>
              <w:spacing w:after="0"/>
              <w:rPr>
                <w:sz w:val="20"/>
                <w:szCs w:val="20"/>
                <w:color w:val="auto"/>
              </w:rPr>
            </w:pPr>
            <w:r>
              <w:rPr>
                <w:rFonts w:ascii="Arial" w:cs="Arial" w:eastAsia="Arial" w:hAnsi="Arial"/>
                <w:sz w:val="18"/>
                <w:szCs w:val="18"/>
                <w:color w:val="auto"/>
              </w:rPr>
              <w:t>97,000</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95,000</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197,000</w:t>
            </w:r>
          </w:p>
        </w:tc>
        <w:tc>
          <w:tcPr>
            <w:tcW w:w="0" w:type="dxa"/>
            <w:vAlign w:val="bottom"/>
          </w:tcPr>
          <w:p>
            <w:pPr>
              <w:spacing w:after="0"/>
              <w:rPr>
                <w:sz w:val="1"/>
                <w:szCs w:val="1"/>
                <w:color w:val="auto"/>
              </w:rPr>
            </w:pPr>
          </w:p>
        </w:tc>
      </w:tr>
      <w:tr>
        <w:trPr>
          <w:trHeight w:val="226"/>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Ellen H. Masterson</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77,000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95,000</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177,000</w:t>
            </w:r>
          </w:p>
        </w:tc>
        <w:tc>
          <w:tcPr>
            <w:tcW w:w="0" w:type="dxa"/>
            <w:vAlign w:val="bottom"/>
          </w:tcPr>
          <w:p>
            <w:pPr>
              <w:spacing w:after="0"/>
              <w:rPr>
                <w:sz w:val="1"/>
                <w:szCs w:val="1"/>
                <w:color w:val="auto"/>
              </w:rPr>
            </w:pPr>
          </w:p>
        </w:tc>
      </w:tr>
      <w:tr>
        <w:trPr>
          <w:trHeight w:val="225"/>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Geoffrey R. Norman</w:t>
            </w:r>
          </w:p>
        </w:tc>
        <w:tc>
          <w:tcPr>
            <w:tcW w:w="1420" w:type="dxa"/>
            <w:vAlign w:val="bottom"/>
          </w:tcPr>
          <w:p>
            <w:pPr>
              <w:jc w:val="right"/>
              <w:spacing w:after="0"/>
              <w:rPr>
                <w:sz w:val="20"/>
                <w:szCs w:val="20"/>
                <w:color w:val="auto"/>
              </w:rPr>
            </w:pPr>
            <w:r>
              <w:rPr>
                <w:rFonts w:ascii="Arial" w:cs="Arial" w:eastAsia="Arial" w:hAnsi="Arial"/>
                <w:sz w:val="18"/>
                <w:szCs w:val="18"/>
                <w:color w:val="auto"/>
              </w:rPr>
              <w:t>62,000</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95,000</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162,000</w:t>
            </w:r>
          </w:p>
        </w:tc>
        <w:tc>
          <w:tcPr>
            <w:tcW w:w="0" w:type="dxa"/>
            <w:vAlign w:val="bottom"/>
          </w:tcPr>
          <w:p>
            <w:pPr>
              <w:spacing w:after="0"/>
              <w:rPr>
                <w:sz w:val="1"/>
                <w:szCs w:val="1"/>
                <w:color w:val="auto"/>
              </w:rPr>
            </w:pPr>
          </w:p>
        </w:tc>
      </w:tr>
      <w:tr>
        <w:trPr>
          <w:trHeight w:val="226"/>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Randy A. Bowman</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28,000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95,000</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128,000</w:t>
            </w:r>
          </w:p>
        </w:tc>
        <w:tc>
          <w:tcPr>
            <w:tcW w:w="0" w:type="dxa"/>
            <w:vAlign w:val="bottom"/>
          </w:tcPr>
          <w:p>
            <w:pPr>
              <w:spacing w:after="0"/>
              <w:rPr>
                <w:sz w:val="1"/>
                <w:szCs w:val="1"/>
                <w:color w:val="auto"/>
              </w:rPr>
            </w:pPr>
          </w:p>
        </w:tc>
      </w:tr>
      <w:tr>
        <w:trPr>
          <w:trHeight w:val="300"/>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Raymond E. Wooldridge</w:t>
            </w:r>
            <w:r>
              <w:rPr>
                <w:rFonts w:ascii="Arial" w:cs="Arial" w:eastAsia="Arial" w:hAnsi="Arial"/>
                <w:sz w:val="22"/>
                <w:szCs w:val="22"/>
                <w:color w:val="auto"/>
                <w:vertAlign w:val="superscript"/>
              </w:rPr>
              <w:t>(3)</w:t>
            </w:r>
          </w:p>
        </w:tc>
        <w:tc>
          <w:tcPr>
            <w:tcW w:w="1420" w:type="dxa"/>
            <w:vAlign w:val="bottom"/>
          </w:tcPr>
          <w:p>
            <w:pPr>
              <w:jc w:val="right"/>
              <w:spacing w:after="0"/>
              <w:rPr>
                <w:sz w:val="20"/>
                <w:szCs w:val="20"/>
                <w:color w:val="auto"/>
              </w:rPr>
            </w:pPr>
            <w:r>
              <w:rPr>
                <w:rFonts w:ascii="Arial" w:cs="Arial" w:eastAsia="Arial" w:hAnsi="Arial"/>
                <w:sz w:val="18"/>
                <w:szCs w:val="18"/>
                <w:color w:val="auto"/>
              </w:rPr>
              <w:t>67,000</w:t>
            </w:r>
          </w:p>
        </w:tc>
        <w:tc>
          <w:tcPr>
            <w:tcW w:w="10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95,000</w:t>
            </w:r>
          </w:p>
        </w:tc>
        <w:tc>
          <w:tcPr>
            <w:tcW w:w="12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167,000</w:t>
            </w:r>
          </w:p>
        </w:tc>
        <w:tc>
          <w:tcPr>
            <w:tcW w:w="0" w:type="dxa"/>
            <w:vAlign w:val="bottom"/>
          </w:tcPr>
          <w:p>
            <w:pPr>
              <w:spacing w:after="0"/>
              <w:rPr>
                <w:sz w:val="1"/>
                <w:szCs w:val="1"/>
                <w:color w:val="auto"/>
              </w:rPr>
            </w:pPr>
          </w:p>
        </w:tc>
      </w:tr>
    </w:tbl>
    <w:p>
      <w:pPr>
        <w:spacing w:after="0" w:line="8" w:lineRule="exact"/>
        <w:rPr>
          <w:sz w:val="20"/>
          <w:szCs w:val="20"/>
          <w:color w:val="auto"/>
        </w:rPr>
      </w:pPr>
    </w:p>
    <w:p>
      <w:pPr>
        <w:spacing w:after="0"/>
        <w:rPr>
          <w:sz w:val="20"/>
          <w:szCs w:val="20"/>
          <w:color w:val="auto"/>
        </w:rPr>
      </w:pPr>
      <w:r>
        <w:rPr>
          <w:rFonts w:ascii="Arial" w:cs="Arial" w:eastAsia="Arial" w:hAnsi="Arial"/>
          <w:sz w:val="8"/>
          <w:szCs w:val="8"/>
          <w:color w:val="auto"/>
        </w:rPr>
        <w:t>_______________________________</w:t>
      </w:r>
    </w:p>
    <w:p>
      <w:pPr>
        <w:spacing w:after="0" w:line="5" w:lineRule="exact"/>
        <w:rPr>
          <w:sz w:val="20"/>
          <w:szCs w:val="20"/>
          <w:color w:val="auto"/>
        </w:rPr>
      </w:pPr>
    </w:p>
    <w:p>
      <w:pPr>
        <w:ind w:left="320" w:right="180" w:hanging="314"/>
        <w:spacing w:after="0" w:line="237" w:lineRule="auto"/>
        <w:tabs>
          <w:tab w:leader="none" w:pos="308" w:val="left"/>
        </w:tabs>
        <w:numPr>
          <w:ilvl w:val="0"/>
          <w:numId w:val="35"/>
        </w:numPr>
        <w:rPr>
          <w:rFonts w:ascii="Arial" w:cs="Arial" w:eastAsia="Arial" w:hAnsi="Arial"/>
          <w:sz w:val="14"/>
          <w:szCs w:val="14"/>
          <w:color w:val="auto"/>
        </w:rPr>
      </w:pPr>
      <w:r>
        <w:rPr>
          <w:rFonts w:ascii="Arial" w:cs="Arial" w:eastAsia="Arial" w:hAnsi="Arial"/>
          <w:sz w:val="14"/>
          <w:szCs w:val="14"/>
          <w:color w:val="auto"/>
        </w:rPr>
        <w:t>Susan M. Byrne earned $97,048 as a consultant for the Company from January 1, 2021 to December 31, 2021. Each non-employee director also earns a $1,000 annual retainer and $1,000 for each regularly scheduled quarterly meeting for serving on the separate Board of Directors of Westwood Trust.</w:t>
      </w:r>
    </w:p>
    <w:p>
      <w:pPr>
        <w:ind w:left="320" w:right="140" w:hanging="314"/>
        <w:spacing w:after="0" w:line="237" w:lineRule="auto"/>
        <w:tabs>
          <w:tab w:leader="none" w:pos="308" w:val="left"/>
        </w:tabs>
        <w:numPr>
          <w:ilvl w:val="0"/>
          <w:numId w:val="35"/>
        </w:numPr>
        <w:rPr>
          <w:rFonts w:ascii="Arial" w:cs="Arial" w:eastAsia="Arial" w:hAnsi="Arial"/>
          <w:sz w:val="14"/>
          <w:szCs w:val="14"/>
          <w:color w:val="auto"/>
        </w:rPr>
      </w:pPr>
      <w:r>
        <w:rPr>
          <w:rFonts w:ascii="Arial" w:cs="Arial" w:eastAsia="Arial" w:hAnsi="Arial"/>
          <w:sz w:val="14"/>
          <w:szCs w:val="14"/>
          <w:color w:val="auto"/>
        </w:rPr>
        <w:t>Stock awards include a $90,000 award for each non-employee director and a $5,000 award for each non-employee director serving on the separate Board of Directors for Westwood Trust. Stock awards reflect the grant date fair value of the time-based restricted stock granted to directors in 2021 in accordance with Accounting Standards Codification Topic 718 ("ASC 718"), "Stock Compensation." The assumptions used in the valuation of the restricted stock awards are discussed in Note 10 "Employee Benefits" of our audited financial statements, which are included in our 2021 Annual Report on Form 10-K. All restricted stock grants were made under the Seventh Amended and Restated Westwood Holdings Group, Inc. Stock Incentive Plan and are subject to a one-year vesting period as described above.</w:t>
      </w:r>
    </w:p>
    <w:p>
      <w:pPr>
        <w:spacing w:after="0" w:line="1" w:lineRule="exact"/>
        <w:rPr>
          <w:rFonts w:ascii="Arial" w:cs="Arial" w:eastAsia="Arial" w:hAnsi="Arial"/>
          <w:sz w:val="14"/>
          <w:szCs w:val="14"/>
          <w:color w:val="auto"/>
        </w:rPr>
      </w:pPr>
    </w:p>
    <w:p>
      <w:pPr>
        <w:ind w:left="320" w:hanging="314"/>
        <w:spacing w:after="0"/>
        <w:tabs>
          <w:tab w:leader="none" w:pos="3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Raymond E. Wooldridge is not up for re-election at the 2022 Annual Meeting of Stockholders.</w:t>
      </w:r>
    </w:p>
    <w:p>
      <w:pPr>
        <w:spacing w:after="0" w:line="16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As of December 31, 2021, our directors, other than Brian O. Casey, held the following unvested restricted stock:</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88"/>
              </w:rPr>
              <w:t>Unvested</w:t>
            </w:r>
          </w:p>
        </w:tc>
        <w:tc>
          <w:tcPr>
            <w:tcW w:w="0" w:type="dxa"/>
            <w:vAlign w:val="bottom"/>
          </w:tcPr>
          <w:p>
            <w:pPr>
              <w:spacing w:after="0"/>
              <w:rPr>
                <w:sz w:val="1"/>
                <w:szCs w:val="1"/>
                <w:color w:val="auto"/>
              </w:rPr>
            </w:pPr>
          </w:p>
        </w:tc>
      </w:tr>
      <w:tr>
        <w:trPr>
          <w:trHeight w:val="133"/>
        </w:trPr>
        <w:tc>
          <w:tcPr>
            <w:tcW w:w="9780" w:type="dxa"/>
            <w:vAlign w:val="bottom"/>
            <w:gridSpan w:val="2"/>
            <w:vMerge w:val="restart"/>
          </w:tcPr>
          <w:p>
            <w:pPr>
              <w:ind w:left="4680"/>
              <w:spacing w:after="0"/>
              <w:rPr>
                <w:sz w:val="20"/>
                <w:szCs w:val="20"/>
                <w:color w:val="auto"/>
              </w:rPr>
            </w:pPr>
            <w:r>
              <w:rPr>
                <w:rFonts w:ascii="Arial" w:cs="Arial" w:eastAsia="Arial" w:hAnsi="Arial"/>
                <w:sz w:val="14"/>
                <w:szCs w:val="14"/>
                <w:b w:val="1"/>
                <w:bCs w:val="1"/>
                <w:color w:val="auto"/>
              </w:rPr>
              <w:t>Name</w:t>
            </w:r>
          </w:p>
        </w:tc>
        <w:tc>
          <w:tcPr>
            <w:tcW w:w="14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0"/>
              </w:rPr>
              <w:t>Restricted</w:t>
            </w:r>
          </w:p>
        </w:tc>
        <w:tc>
          <w:tcPr>
            <w:tcW w:w="0" w:type="dxa"/>
            <w:vAlign w:val="bottom"/>
          </w:tcPr>
          <w:p>
            <w:pPr>
              <w:spacing w:after="0"/>
              <w:rPr>
                <w:sz w:val="1"/>
                <w:szCs w:val="1"/>
                <w:color w:val="auto"/>
              </w:rPr>
            </w:pPr>
          </w:p>
        </w:tc>
      </w:tr>
      <w:tr>
        <w:trPr>
          <w:trHeight w:val="185"/>
        </w:trPr>
        <w:tc>
          <w:tcPr>
            <w:tcW w:w="9780" w:type="dxa"/>
            <w:vAlign w:val="bottom"/>
            <w:gridSpan w:val="2"/>
            <w:vMerge w:val="continue"/>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220"/>
        </w:trPr>
        <w:tc>
          <w:tcPr>
            <w:tcW w:w="9680" w:type="dxa"/>
            <w:vAlign w:val="bottom"/>
            <w:tcBorders>
              <w:top w:val="single" w:sz="8" w:color="auto"/>
            </w:tcBorders>
            <w:shd w:val="clear" w:color="auto" w:fill="CCEEFF"/>
          </w:tcPr>
          <w:p>
            <w:pPr>
              <w:ind w:left="20"/>
              <w:spacing w:after="0" w:line="220" w:lineRule="exact"/>
              <w:rPr>
                <w:sz w:val="20"/>
                <w:szCs w:val="20"/>
                <w:color w:val="auto"/>
              </w:rPr>
            </w:pPr>
            <w:r>
              <w:rPr>
                <w:rFonts w:ascii="Arial" w:cs="Arial" w:eastAsia="Arial" w:hAnsi="Arial"/>
                <w:sz w:val="18"/>
                <w:szCs w:val="18"/>
                <w:color w:val="auto"/>
              </w:rPr>
              <w:t>Susan M. Byrne</w:t>
            </w:r>
            <w:r>
              <w:rPr>
                <w:rFonts w:ascii="Arial" w:cs="Arial" w:eastAsia="Arial" w:hAnsi="Arial"/>
                <w:sz w:val="22"/>
                <w:szCs w:val="22"/>
                <w:color w:val="auto"/>
                <w:vertAlign w:val="superscript"/>
              </w:rPr>
              <w:t>(1)</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5,609</w:t>
            </w:r>
          </w:p>
        </w:tc>
        <w:tc>
          <w:tcPr>
            <w:tcW w:w="0" w:type="dxa"/>
            <w:vAlign w:val="bottom"/>
          </w:tcPr>
          <w:p>
            <w:pPr>
              <w:spacing w:after="0"/>
              <w:rPr>
                <w:sz w:val="1"/>
                <w:szCs w:val="1"/>
                <w:color w:val="auto"/>
              </w:rPr>
            </w:pPr>
          </w:p>
        </w:tc>
      </w:tr>
      <w:tr>
        <w:trPr>
          <w:trHeight w:val="226"/>
        </w:trPr>
        <w:tc>
          <w:tcPr>
            <w:tcW w:w="9780" w:type="dxa"/>
            <w:vAlign w:val="bottom"/>
            <w:gridSpan w:val="2"/>
          </w:tcPr>
          <w:p>
            <w:pPr>
              <w:ind w:left="20"/>
              <w:spacing w:after="0" w:line="225" w:lineRule="exact"/>
              <w:rPr>
                <w:sz w:val="20"/>
                <w:szCs w:val="20"/>
                <w:color w:val="auto"/>
              </w:rPr>
            </w:pPr>
            <w:r>
              <w:rPr>
                <w:rFonts w:ascii="Arial" w:cs="Arial" w:eastAsia="Arial" w:hAnsi="Arial"/>
                <w:sz w:val="18"/>
                <w:szCs w:val="18"/>
                <w:color w:val="auto"/>
              </w:rPr>
              <w:t>Richard M. Frank</w:t>
            </w:r>
            <w:r>
              <w:rPr>
                <w:rFonts w:ascii="Arial" w:cs="Arial" w:eastAsia="Arial" w:hAnsi="Arial"/>
                <w:sz w:val="22"/>
                <w:szCs w:val="22"/>
                <w:color w:val="auto"/>
                <w:vertAlign w:val="superscript"/>
              </w:rPr>
              <w:t>(1)</w:t>
            </w:r>
          </w:p>
        </w:tc>
        <w:tc>
          <w:tcPr>
            <w:tcW w:w="1440" w:type="dxa"/>
            <w:vAlign w:val="bottom"/>
          </w:tcPr>
          <w:p>
            <w:pPr>
              <w:jc w:val="right"/>
              <w:spacing w:after="0"/>
              <w:rPr>
                <w:sz w:val="20"/>
                <w:szCs w:val="20"/>
                <w:color w:val="auto"/>
              </w:rPr>
            </w:pPr>
            <w:r>
              <w:rPr>
                <w:rFonts w:ascii="Arial" w:cs="Arial" w:eastAsia="Arial" w:hAnsi="Arial"/>
                <w:sz w:val="18"/>
                <w:szCs w:val="18"/>
                <w:color w:val="auto"/>
              </w:rPr>
              <w:t>5,609</w:t>
            </w:r>
          </w:p>
        </w:tc>
        <w:tc>
          <w:tcPr>
            <w:tcW w:w="0" w:type="dxa"/>
            <w:vAlign w:val="bottom"/>
          </w:tcPr>
          <w:p>
            <w:pPr>
              <w:spacing w:after="0"/>
              <w:rPr>
                <w:sz w:val="1"/>
                <w:szCs w:val="1"/>
                <w:color w:val="auto"/>
              </w:rPr>
            </w:pPr>
          </w:p>
        </w:tc>
      </w:tr>
      <w:tr>
        <w:trPr>
          <w:trHeight w:val="226"/>
        </w:trPr>
        <w:tc>
          <w:tcPr>
            <w:tcW w:w="9780" w:type="dxa"/>
            <w:vAlign w:val="bottom"/>
            <w:gridSpan w:val="2"/>
            <w:shd w:val="clear" w:color="auto" w:fill="CCEEFF"/>
          </w:tcPr>
          <w:p>
            <w:pPr>
              <w:ind w:left="20"/>
              <w:spacing w:after="0" w:line="225" w:lineRule="exact"/>
              <w:rPr>
                <w:sz w:val="20"/>
                <w:szCs w:val="20"/>
                <w:color w:val="auto"/>
              </w:rPr>
            </w:pPr>
            <w:r>
              <w:rPr>
                <w:rFonts w:ascii="Arial" w:cs="Arial" w:eastAsia="Arial" w:hAnsi="Arial"/>
                <w:sz w:val="18"/>
                <w:szCs w:val="18"/>
                <w:color w:val="auto"/>
              </w:rPr>
              <w:t>Ellen H. Masterson</w:t>
            </w:r>
            <w:r>
              <w:rPr>
                <w:rFonts w:ascii="Arial" w:cs="Arial" w:eastAsia="Arial" w:hAnsi="Arial"/>
                <w:sz w:val="22"/>
                <w:szCs w:val="22"/>
                <w:color w:val="auto"/>
                <w:vertAlign w:val="superscript"/>
              </w:rPr>
              <w:t>(1)</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5,609</w:t>
            </w:r>
          </w:p>
        </w:tc>
        <w:tc>
          <w:tcPr>
            <w:tcW w:w="0" w:type="dxa"/>
            <w:vAlign w:val="bottom"/>
          </w:tcPr>
          <w:p>
            <w:pPr>
              <w:spacing w:after="0"/>
              <w:rPr>
                <w:sz w:val="1"/>
                <w:szCs w:val="1"/>
                <w:color w:val="auto"/>
              </w:rPr>
            </w:pPr>
          </w:p>
        </w:tc>
      </w:tr>
      <w:tr>
        <w:trPr>
          <w:trHeight w:val="226"/>
        </w:trPr>
        <w:tc>
          <w:tcPr>
            <w:tcW w:w="9780" w:type="dxa"/>
            <w:vAlign w:val="bottom"/>
            <w:gridSpan w:val="2"/>
          </w:tcPr>
          <w:p>
            <w:pPr>
              <w:ind w:left="20"/>
              <w:spacing w:after="0" w:line="225" w:lineRule="exact"/>
              <w:rPr>
                <w:sz w:val="20"/>
                <w:szCs w:val="20"/>
                <w:color w:val="auto"/>
              </w:rPr>
            </w:pPr>
            <w:r>
              <w:rPr>
                <w:rFonts w:ascii="Arial" w:cs="Arial" w:eastAsia="Arial" w:hAnsi="Arial"/>
                <w:sz w:val="18"/>
                <w:szCs w:val="18"/>
                <w:color w:val="auto"/>
              </w:rPr>
              <w:t>Geoffrey R. Norman</w:t>
            </w:r>
            <w:r>
              <w:rPr>
                <w:rFonts w:ascii="Arial" w:cs="Arial" w:eastAsia="Arial" w:hAnsi="Arial"/>
                <w:sz w:val="22"/>
                <w:szCs w:val="22"/>
                <w:color w:val="auto"/>
                <w:vertAlign w:val="superscript"/>
              </w:rPr>
              <w:t>(1)</w:t>
            </w:r>
          </w:p>
        </w:tc>
        <w:tc>
          <w:tcPr>
            <w:tcW w:w="1440" w:type="dxa"/>
            <w:vAlign w:val="bottom"/>
          </w:tcPr>
          <w:p>
            <w:pPr>
              <w:jc w:val="right"/>
              <w:spacing w:after="0"/>
              <w:rPr>
                <w:sz w:val="20"/>
                <w:szCs w:val="20"/>
                <w:color w:val="auto"/>
              </w:rPr>
            </w:pPr>
            <w:r>
              <w:rPr>
                <w:rFonts w:ascii="Arial" w:cs="Arial" w:eastAsia="Arial" w:hAnsi="Arial"/>
                <w:sz w:val="18"/>
                <w:szCs w:val="18"/>
                <w:color w:val="auto"/>
              </w:rPr>
              <w:t>5,609</w:t>
            </w:r>
          </w:p>
        </w:tc>
        <w:tc>
          <w:tcPr>
            <w:tcW w:w="0" w:type="dxa"/>
            <w:vAlign w:val="bottom"/>
          </w:tcPr>
          <w:p>
            <w:pPr>
              <w:spacing w:after="0"/>
              <w:rPr>
                <w:sz w:val="1"/>
                <w:szCs w:val="1"/>
                <w:color w:val="auto"/>
              </w:rPr>
            </w:pPr>
          </w:p>
        </w:tc>
      </w:tr>
      <w:tr>
        <w:trPr>
          <w:trHeight w:val="226"/>
        </w:trPr>
        <w:tc>
          <w:tcPr>
            <w:tcW w:w="9780" w:type="dxa"/>
            <w:vAlign w:val="bottom"/>
            <w:gridSpan w:val="2"/>
            <w:shd w:val="clear" w:color="auto" w:fill="CCEEFF"/>
          </w:tcPr>
          <w:p>
            <w:pPr>
              <w:ind w:left="20"/>
              <w:spacing w:after="0" w:line="225" w:lineRule="exact"/>
              <w:rPr>
                <w:sz w:val="20"/>
                <w:szCs w:val="20"/>
                <w:color w:val="auto"/>
              </w:rPr>
            </w:pPr>
            <w:r>
              <w:rPr>
                <w:rFonts w:ascii="Arial" w:cs="Arial" w:eastAsia="Arial" w:hAnsi="Arial"/>
                <w:sz w:val="18"/>
                <w:szCs w:val="18"/>
                <w:color w:val="auto"/>
              </w:rPr>
              <w:t>Randy A. Bowman</w:t>
            </w:r>
            <w:r>
              <w:rPr>
                <w:rFonts w:ascii="Arial" w:cs="Arial" w:eastAsia="Arial" w:hAnsi="Arial"/>
                <w:sz w:val="22"/>
                <w:szCs w:val="22"/>
                <w:color w:val="auto"/>
                <w:vertAlign w:val="superscript"/>
              </w:rPr>
              <w:t>(2)</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4,700</w:t>
            </w:r>
          </w:p>
        </w:tc>
        <w:tc>
          <w:tcPr>
            <w:tcW w:w="0" w:type="dxa"/>
            <w:vAlign w:val="bottom"/>
          </w:tcPr>
          <w:p>
            <w:pPr>
              <w:spacing w:after="0"/>
              <w:rPr>
                <w:sz w:val="1"/>
                <w:szCs w:val="1"/>
                <w:color w:val="auto"/>
              </w:rPr>
            </w:pPr>
          </w:p>
        </w:tc>
      </w:tr>
      <w:tr>
        <w:trPr>
          <w:trHeight w:val="300"/>
        </w:trPr>
        <w:tc>
          <w:tcPr>
            <w:tcW w:w="9780" w:type="dxa"/>
            <w:vAlign w:val="bottom"/>
            <w:gridSpan w:val="2"/>
          </w:tcPr>
          <w:p>
            <w:pPr>
              <w:ind w:left="20"/>
              <w:spacing w:after="0"/>
              <w:rPr>
                <w:sz w:val="20"/>
                <w:szCs w:val="20"/>
                <w:color w:val="auto"/>
              </w:rPr>
            </w:pPr>
            <w:r>
              <w:rPr>
                <w:rFonts w:ascii="Arial" w:cs="Arial" w:eastAsia="Arial" w:hAnsi="Arial"/>
                <w:sz w:val="18"/>
                <w:szCs w:val="18"/>
                <w:color w:val="auto"/>
              </w:rPr>
              <w:t>Raymond E. Wooldridge</w:t>
            </w:r>
            <w:r>
              <w:rPr>
                <w:rFonts w:ascii="Arial" w:cs="Arial" w:eastAsia="Arial" w:hAnsi="Arial"/>
                <w:sz w:val="22"/>
                <w:szCs w:val="22"/>
                <w:color w:val="auto"/>
                <w:vertAlign w:val="superscript"/>
              </w:rPr>
              <w:t>(1)</w:t>
            </w:r>
          </w:p>
        </w:tc>
        <w:tc>
          <w:tcPr>
            <w:tcW w:w="1440" w:type="dxa"/>
            <w:vAlign w:val="bottom"/>
          </w:tcPr>
          <w:p>
            <w:pPr>
              <w:jc w:val="right"/>
              <w:spacing w:after="0"/>
              <w:rPr>
                <w:sz w:val="20"/>
                <w:szCs w:val="20"/>
                <w:color w:val="auto"/>
              </w:rPr>
            </w:pPr>
            <w:r>
              <w:rPr>
                <w:rFonts w:ascii="Arial" w:cs="Arial" w:eastAsia="Arial" w:hAnsi="Arial"/>
                <w:sz w:val="18"/>
                <w:szCs w:val="18"/>
                <w:color w:val="auto"/>
              </w:rPr>
              <w:t>5,609</w:t>
            </w:r>
          </w:p>
        </w:tc>
        <w:tc>
          <w:tcPr>
            <w:tcW w:w="0" w:type="dxa"/>
            <w:vAlign w:val="bottom"/>
          </w:tcPr>
          <w:p>
            <w:pPr>
              <w:spacing w:after="0"/>
              <w:rPr>
                <w:sz w:val="1"/>
                <w:szCs w:val="1"/>
                <w:color w:val="auto"/>
              </w:rPr>
            </w:pPr>
          </w:p>
        </w:tc>
      </w:tr>
    </w:tbl>
    <w:p>
      <w:pPr>
        <w:spacing w:after="0" w:line="13" w:lineRule="exact"/>
        <w:rPr>
          <w:sz w:val="20"/>
          <w:szCs w:val="20"/>
          <w:color w:val="auto"/>
        </w:rPr>
      </w:pPr>
    </w:p>
    <w:p>
      <w:pPr>
        <w:spacing w:after="0"/>
        <w:rPr>
          <w:sz w:val="20"/>
          <w:szCs w:val="20"/>
          <w:color w:val="auto"/>
        </w:rPr>
      </w:pPr>
      <w:r>
        <w:rPr>
          <w:rFonts w:ascii="Arial" w:cs="Arial" w:eastAsia="Arial" w:hAnsi="Arial"/>
          <w:sz w:val="9"/>
          <w:szCs w:val="9"/>
          <w:color w:val="auto"/>
        </w:rPr>
        <w:t>_______________________________</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546" w:right="339" w:bottom="1440" w:gutter="0" w:footer="0" w:header="0"/>
        </w:sectPr>
      </w:pPr>
    </w:p>
    <w:bookmarkStart w:id="19" w:name="page20"/>
    <w:bookmarkEnd w:id="19"/>
    <w:p>
      <w:pPr>
        <w:ind w:left="320" w:hanging="314"/>
        <w:spacing w:after="0"/>
        <w:tabs>
          <w:tab w:leader="none" w:pos="3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Issued on April 29, 2021 and have a vesting date of April 29, 2022, subject to such director's continued service as a director through the vesting date.</w:t>
      </w:r>
    </w:p>
    <w:p>
      <w:pPr>
        <w:spacing w:after="0" w:line="10" w:lineRule="exact"/>
        <w:rPr>
          <w:rFonts w:ascii="Arial" w:cs="Arial" w:eastAsia="Arial" w:hAnsi="Arial"/>
          <w:sz w:val="14"/>
          <w:szCs w:val="14"/>
          <w:color w:val="auto"/>
        </w:rPr>
      </w:pPr>
    </w:p>
    <w:p>
      <w:pPr>
        <w:ind w:left="320" w:hanging="314"/>
        <w:spacing w:after="0"/>
        <w:tabs>
          <w:tab w:leader="none" w:pos="3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Issued on June 1, 2021 and have a vesting date of June 1, 2022, subject to such director's continued service as a director through the vesting date.</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Rights Agreement</w:t>
      </w:r>
    </w:p>
    <w:p>
      <w:pPr>
        <w:spacing w:after="0" w:line="117" w:lineRule="exact"/>
        <w:rPr>
          <w:sz w:val="20"/>
          <w:szCs w:val="20"/>
          <w:color w:val="auto"/>
        </w:rPr>
      </w:pPr>
    </w:p>
    <w:p>
      <w:pPr>
        <w:ind w:right="120" w:firstLine="477"/>
        <w:spacing w:after="0" w:line="255" w:lineRule="auto"/>
        <w:rPr>
          <w:sz w:val="20"/>
          <w:szCs w:val="20"/>
          <w:color w:val="auto"/>
        </w:rPr>
      </w:pPr>
      <w:r>
        <w:rPr>
          <w:rFonts w:ascii="Arial" w:cs="Arial" w:eastAsia="Arial" w:hAnsi="Arial"/>
          <w:sz w:val="18"/>
          <w:szCs w:val="18"/>
          <w:color w:val="auto"/>
        </w:rPr>
        <w:t>The Company’s Stockholder Rights Agreement expires by its terms on May 1, 2022, unless terminated earlier under circumstances provided for in the agreement. The Board of Directors currently intends to let the Stockholder Rights Agreement expire without renewal or replacement, absent a compelling change in circumstances.</w:t>
      </w:r>
    </w:p>
    <w:p>
      <w:pPr>
        <w:spacing w:after="0" w:line="210"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EXECUTIVE OFFICERS</w:t>
      </w:r>
    </w:p>
    <w:p>
      <w:pPr>
        <w:spacing w:after="0" w:line="11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Biographical information regarding Westwood's executive officers and other key employees during the 2021 fiscal year is as follows:</w:t>
      </w:r>
    </w:p>
    <w:p>
      <w:pPr>
        <w:spacing w:after="0" w:line="111"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 xml:space="preserve">Brian O. Casey, </w:t>
      </w:r>
      <w:r>
        <w:rPr>
          <w:rFonts w:ascii="Arial" w:cs="Arial" w:eastAsia="Arial" w:hAnsi="Arial"/>
          <w:sz w:val="18"/>
          <w:szCs w:val="18"/>
          <w:color w:val="auto"/>
        </w:rPr>
        <w:t>age 58</w:t>
      </w:r>
      <w:r>
        <w:rPr>
          <w:rFonts w:ascii="Arial" w:cs="Arial" w:eastAsia="Arial" w:hAnsi="Arial"/>
          <w:sz w:val="18"/>
          <w:szCs w:val="18"/>
          <w:i w:val="1"/>
          <w:iCs w:val="1"/>
          <w:color w:val="auto"/>
        </w:rPr>
        <w:t xml:space="preserve">. </w:t>
      </w:r>
      <w:r>
        <w:rPr>
          <w:rFonts w:ascii="Arial" w:cs="Arial" w:eastAsia="Arial" w:hAnsi="Arial"/>
          <w:sz w:val="18"/>
          <w:szCs w:val="18"/>
          <w:color w:val="auto"/>
        </w:rPr>
        <w:t>See biographical information in the "Proposal 1 – Election of Directors" section.</w:t>
      </w:r>
    </w:p>
    <w:p>
      <w:pPr>
        <w:spacing w:after="0" w:line="111" w:lineRule="exact"/>
        <w:rPr>
          <w:sz w:val="20"/>
          <w:szCs w:val="20"/>
          <w:color w:val="auto"/>
        </w:rPr>
      </w:pPr>
    </w:p>
    <w:p>
      <w:pPr>
        <w:ind w:right="180" w:firstLine="398"/>
        <w:spacing w:after="0" w:line="250" w:lineRule="auto"/>
        <w:rPr>
          <w:sz w:val="20"/>
          <w:szCs w:val="20"/>
          <w:color w:val="auto"/>
        </w:rPr>
      </w:pPr>
      <w:r>
        <w:rPr>
          <w:rFonts w:ascii="Arial" w:cs="Arial" w:eastAsia="Arial" w:hAnsi="Arial"/>
          <w:sz w:val="18"/>
          <w:szCs w:val="18"/>
          <w:i w:val="1"/>
          <w:iCs w:val="1"/>
          <w:color w:val="auto"/>
        </w:rPr>
        <w:t xml:space="preserve">Murray "Terry" Forbes III, </w:t>
      </w:r>
      <w:r>
        <w:rPr>
          <w:rFonts w:ascii="Arial" w:cs="Arial" w:eastAsia="Arial" w:hAnsi="Arial"/>
          <w:sz w:val="18"/>
          <w:szCs w:val="18"/>
          <w:color w:val="auto"/>
        </w:rPr>
        <w:t>age 44, has served as Senior Vice President, Chief Financial Officer and Treasurer since November 2018. Previously, he</w:t>
      </w:r>
      <w:r>
        <w:rPr>
          <w:rFonts w:ascii="Arial" w:cs="Arial" w:eastAsia="Arial" w:hAnsi="Arial"/>
          <w:sz w:val="18"/>
          <w:szCs w:val="18"/>
          <w:i w:val="1"/>
          <w:iCs w:val="1"/>
          <w:color w:val="auto"/>
        </w:rPr>
        <w:t xml:space="preserve"> </w:t>
      </w:r>
      <w:r>
        <w:rPr>
          <w:rFonts w:ascii="Arial" w:cs="Arial" w:eastAsia="Arial" w:hAnsi="Arial"/>
          <w:sz w:val="18"/>
          <w:szCs w:val="18"/>
          <w:color w:val="auto"/>
        </w:rPr>
        <w:t>served as Vice President of Finance from December 2014 to October 2018. Prior to joining Westwood, Mr. Forbes served as Senior Director and Assistant Controller of CEC. CEC was an NYSE-listed company until February 2014. From 2000 to 2012, he was with KPMG LLP, most recently serving as an audit senior manager. Mr. Forbes earned a B.B.A. in Accounting from the University of Richmond. He is a Certified Public Accountant and is a member of the American Institute of Certified Public Accountants.</w:t>
      </w:r>
    </w:p>
    <w:p>
      <w:pPr>
        <w:spacing w:after="0" w:line="89" w:lineRule="exact"/>
        <w:rPr>
          <w:sz w:val="20"/>
          <w:szCs w:val="20"/>
          <w:color w:val="auto"/>
        </w:rPr>
      </w:pPr>
    </w:p>
    <w:p>
      <w:pPr>
        <w:ind w:firstLine="398"/>
        <w:spacing w:after="0" w:line="266" w:lineRule="auto"/>
        <w:rPr>
          <w:sz w:val="20"/>
          <w:szCs w:val="20"/>
          <w:color w:val="auto"/>
        </w:rPr>
      </w:pPr>
      <w:r>
        <w:rPr>
          <w:rFonts w:ascii="Arial" w:cs="Arial" w:eastAsia="Arial" w:hAnsi="Arial"/>
          <w:sz w:val="17"/>
          <w:szCs w:val="17"/>
          <w:i w:val="1"/>
          <w:iCs w:val="1"/>
          <w:color w:val="auto"/>
        </w:rPr>
        <w:t xml:space="preserve">Fabian Gomez, </w:t>
      </w:r>
      <w:r>
        <w:rPr>
          <w:rFonts w:ascii="Arial" w:cs="Arial" w:eastAsia="Arial" w:hAnsi="Arial"/>
          <w:sz w:val="17"/>
          <w:szCs w:val="17"/>
          <w:color w:val="auto"/>
        </w:rPr>
        <w:t>age 55, has served as Senior Vice President, Chief Operating Officer of Westwood since February 2018. Previously, he served as Chief</w:t>
      </w:r>
      <w:r>
        <w:rPr>
          <w:rFonts w:ascii="Arial" w:cs="Arial" w:eastAsia="Arial" w:hAnsi="Arial"/>
          <w:sz w:val="17"/>
          <w:szCs w:val="17"/>
          <w:i w:val="1"/>
          <w:iCs w:val="1"/>
          <w:color w:val="auto"/>
        </w:rPr>
        <w:t xml:space="preserve"> </w:t>
      </w:r>
      <w:r>
        <w:rPr>
          <w:rFonts w:ascii="Arial" w:cs="Arial" w:eastAsia="Arial" w:hAnsi="Arial"/>
          <w:sz w:val="17"/>
          <w:szCs w:val="17"/>
          <w:color w:val="auto"/>
        </w:rPr>
        <w:t>Information Officer from July 2015 and also served as Director of Operations beginning in February 2016. Before joining Westwood, Mr. Gomez worked at Invesco Ltd. where he served as the Global Head of Equity and Alternative Investment Applications and was responsible for strategic planning, oversight of all major project initiatives, and staff development at a global level. Prior to that, Mr. Gomez worked for McDonnell Investment Management where he served for six years as a Managing Director and Chief Information Officer. Mr. Gomez also worked for Nuveen Investments, Morgan Stanley Investment Management and Van Kampen Funds. Mr. Gomez earned an MBA in Finance and International Management from Rice University Business School and a B.A. in Biology from The University of Texas at Austin.</w:t>
      </w:r>
    </w:p>
    <w:p>
      <w:pPr>
        <w:spacing w:after="0" w:line="75" w:lineRule="exact"/>
        <w:rPr>
          <w:sz w:val="20"/>
          <w:szCs w:val="20"/>
          <w:color w:val="auto"/>
        </w:rPr>
      </w:pPr>
    </w:p>
    <w:p>
      <w:pPr>
        <w:ind w:firstLine="398"/>
        <w:spacing w:after="0" w:line="305" w:lineRule="auto"/>
        <w:rPr>
          <w:sz w:val="20"/>
          <w:szCs w:val="20"/>
          <w:color w:val="auto"/>
        </w:rPr>
      </w:pPr>
      <w:r>
        <w:rPr>
          <w:rFonts w:ascii="Arial" w:cs="Arial" w:eastAsia="Arial" w:hAnsi="Arial"/>
          <w:sz w:val="15"/>
          <w:szCs w:val="15"/>
          <w:i w:val="1"/>
          <w:iCs w:val="1"/>
          <w:color w:val="auto"/>
        </w:rPr>
        <w:t xml:space="preserve">Julie K. Gerron, </w:t>
      </w:r>
      <w:r>
        <w:rPr>
          <w:rFonts w:ascii="Arial" w:cs="Arial" w:eastAsia="Arial" w:hAnsi="Arial"/>
          <w:sz w:val="15"/>
          <w:szCs w:val="15"/>
          <w:color w:val="auto"/>
        </w:rPr>
        <w:t>age 54, has served as Senior Vice President, General Counsel of Westwood since March 2013, Chief Compliance Officer since March</w:t>
      </w:r>
      <w:r>
        <w:rPr>
          <w:rFonts w:ascii="Arial" w:cs="Arial" w:eastAsia="Arial" w:hAnsi="Arial"/>
          <w:sz w:val="15"/>
          <w:szCs w:val="15"/>
          <w:i w:val="1"/>
          <w:iCs w:val="1"/>
          <w:color w:val="auto"/>
        </w:rPr>
        <w:t xml:space="preserve"> </w:t>
      </w:r>
      <w:r>
        <w:rPr>
          <w:rFonts w:ascii="Arial" w:cs="Arial" w:eastAsia="Arial" w:hAnsi="Arial"/>
          <w:sz w:val="15"/>
          <w:szCs w:val="15"/>
          <w:color w:val="auto"/>
        </w:rPr>
        <w:t>2017, and Corporate Secretary since March 2014. Previously, she served as Vice President, General Counsel from July 2007 to March 2013, as Vice President, Assistant General Counsel from July 2005 to July 2007, and as Vice President, Research Analyst from January 2004 to July 2005. Prior to joining Westwood, Ms. Gerron worked at Smith &amp; Summers LLC from 1998 to 2004, where she served as portfolio manager for various funds. From 1992 to 1998, she worked for branches of the State of Oklahoma government, including Assistant Attorney General, Deputy General Counsel of the Insurance Department, and Special Counsel to the Executive Director of the House of Representatives. Ms. Gerron earned a J.D. from the University of Texas School of Law and a B.B.A. in Finance from the University of Texas – Austin. She is a member of the State Bars of Texas and Oklahoma and is a member of the Texas State Bar Association. Ms. Gerron achieved the designation of Chartered Financial Analyst in 2003 and is a member of the CFA Institute.</w:t>
      </w:r>
    </w:p>
    <w:p>
      <w:pPr>
        <w:spacing w:after="0" w:line="51" w:lineRule="exact"/>
        <w:rPr>
          <w:sz w:val="20"/>
          <w:szCs w:val="20"/>
          <w:color w:val="auto"/>
        </w:rPr>
      </w:pPr>
    </w:p>
    <w:p>
      <w:pPr>
        <w:ind w:right="40" w:firstLine="398"/>
        <w:spacing w:after="0" w:line="267" w:lineRule="auto"/>
        <w:rPr>
          <w:sz w:val="20"/>
          <w:szCs w:val="20"/>
          <w:color w:val="auto"/>
        </w:rPr>
      </w:pPr>
      <w:r>
        <w:rPr>
          <w:rFonts w:ascii="Arial" w:cs="Arial" w:eastAsia="Arial" w:hAnsi="Arial"/>
          <w:sz w:val="17"/>
          <w:szCs w:val="17"/>
          <w:i w:val="1"/>
          <w:iCs w:val="1"/>
          <w:color w:val="auto"/>
        </w:rPr>
        <w:t xml:space="preserve">Steven Paddon, </w:t>
      </w:r>
      <w:r>
        <w:rPr>
          <w:rFonts w:ascii="Arial" w:cs="Arial" w:eastAsia="Arial" w:hAnsi="Arial"/>
          <w:sz w:val="17"/>
          <w:szCs w:val="17"/>
          <w:color w:val="auto"/>
        </w:rPr>
        <w:t>age 61, joined Westwood in 2018 and serves as Senior Vice President, Head of Distribution where he is responsible for sales, client</w:t>
      </w:r>
      <w:r>
        <w:rPr>
          <w:rFonts w:ascii="Arial" w:cs="Arial" w:eastAsia="Arial" w:hAnsi="Arial"/>
          <w:sz w:val="17"/>
          <w:szCs w:val="17"/>
          <w:i w:val="1"/>
          <w:iCs w:val="1"/>
          <w:color w:val="auto"/>
        </w:rPr>
        <w:t xml:space="preserve"> </w:t>
      </w:r>
      <w:r>
        <w:rPr>
          <w:rFonts w:ascii="Arial" w:cs="Arial" w:eastAsia="Arial" w:hAnsi="Arial"/>
          <w:sz w:val="17"/>
          <w:szCs w:val="17"/>
          <w:color w:val="auto"/>
        </w:rPr>
        <w:t>management, product management and marketing in the institutional and intermediary channels. Prior to joining Westwood, he served as Head of Institutional and International Sales at Oppenheimer Funds where he oversaw the institutional business teams and led the firm’s international expansion. Mr. Paddon also spent eight years leading Consultant Relations and Institutional Business at Investec Asset Management. Earlier in his career, Mr. Paddon focused on institutional sales and client service at Credit Suisse Asset Management, State Street Research, and MetLife. Mr. Paddon earned a Bachelor of Arts in Economics from Wheaton College and holds FINRA Series 7 and 24 licenses.</w:t>
      </w:r>
    </w:p>
    <w:p>
      <w:pPr>
        <w:spacing w:after="0" w:line="75" w:lineRule="exact"/>
        <w:rPr>
          <w:sz w:val="20"/>
          <w:szCs w:val="20"/>
          <w:color w:val="auto"/>
        </w:rPr>
      </w:pPr>
    </w:p>
    <w:p>
      <w:pPr>
        <w:ind w:right="360" w:firstLine="398"/>
        <w:spacing w:after="0" w:line="265" w:lineRule="auto"/>
        <w:rPr>
          <w:sz w:val="20"/>
          <w:szCs w:val="20"/>
          <w:color w:val="auto"/>
        </w:rPr>
      </w:pPr>
      <w:r>
        <w:rPr>
          <w:rFonts w:ascii="Arial" w:cs="Arial" w:eastAsia="Arial" w:hAnsi="Arial"/>
          <w:sz w:val="18"/>
          <w:szCs w:val="18"/>
          <w:color w:val="auto"/>
        </w:rPr>
        <w:t>There are no family relationships among the directors, executive officers and other key employees of Westwood, except as described under "Certain Relationships and Related Party Transactions – Review and Approval of Related Party Transactions."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439" w:right="339" w:bottom="1440" w:gutter="0" w:footer="0" w:header="0"/>
        </w:sectPr>
      </w:pPr>
    </w:p>
    <w:bookmarkStart w:id="20" w:name="page21"/>
    <w:bookmarkEnd w:id="20"/>
    <w:p>
      <w:pPr>
        <w:jc w:val="center"/>
        <w:ind w:right="-39"/>
        <w:spacing w:after="0"/>
        <w:rPr>
          <w:sz w:val="20"/>
          <w:szCs w:val="20"/>
          <w:color w:val="auto"/>
        </w:rPr>
      </w:pPr>
      <w:r>
        <w:rPr>
          <w:rFonts w:ascii="Arial" w:cs="Arial" w:eastAsia="Arial" w:hAnsi="Arial"/>
          <w:sz w:val="18"/>
          <w:szCs w:val="18"/>
          <w:b w:val="1"/>
          <w:bCs w:val="1"/>
          <w:color w:val="auto"/>
        </w:rPr>
        <w:t>EXECUTIVE COMPENSATION</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117" w:lineRule="exact"/>
        <w:rPr>
          <w:sz w:val="20"/>
          <w:szCs w:val="20"/>
          <w:color w:val="auto"/>
        </w:rPr>
      </w:pPr>
    </w:p>
    <w:p>
      <w:pPr>
        <w:ind w:right="300" w:firstLine="398"/>
        <w:spacing w:after="0" w:line="265" w:lineRule="auto"/>
        <w:rPr>
          <w:sz w:val="20"/>
          <w:szCs w:val="20"/>
          <w:color w:val="auto"/>
        </w:rPr>
      </w:pPr>
      <w:r>
        <w:rPr>
          <w:rFonts w:ascii="Arial" w:cs="Arial" w:eastAsia="Arial" w:hAnsi="Arial"/>
          <w:sz w:val="18"/>
          <w:szCs w:val="18"/>
          <w:color w:val="auto"/>
        </w:rPr>
        <w:t>This compensation discussion and analysis provides information regarding our executive compensation program in 2021 for the following executive officers of the Company (collectively, the "named executive officers"):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40" w:type="dxa"/>
            <w:vAlign w:val="bottom"/>
            <w:tcBorders>
              <w:bottom w:val="single" w:sz="8" w:color="auto"/>
            </w:tcBorders>
          </w:tcPr>
          <w:p>
            <w:pPr>
              <w:ind w:left="1100"/>
              <w:spacing w:after="0"/>
              <w:rPr>
                <w:sz w:val="20"/>
                <w:szCs w:val="20"/>
                <w:color w:val="auto"/>
              </w:rPr>
            </w:pPr>
            <w:r>
              <w:rPr>
                <w:rFonts w:ascii="Arial" w:cs="Arial" w:eastAsia="Arial" w:hAnsi="Arial"/>
                <w:sz w:val="18"/>
                <w:szCs w:val="18"/>
                <w:b w:val="1"/>
                <w:bCs w:val="1"/>
                <w:color w:val="auto"/>
              </w:rPr>
              <w:t>Name</w:t>
            </w:r>
          </w:p>
        </w:tc>
        <w:tc>
          <w:tcPr>
            <w:tcW w:w="120" w:type="dxa"/>
            <w:vAlign w:val="bottom"/>
            <w:tcBorders>
              <w:bottom w:val="single" w:sz="8" w:color="CCEEFF"/>
            </w:tcBorders>
          </w:tcPr>
          <w:p>
            <w:pPr>
              <w:spacing w:after="0"/>
              <w:rPr>
                <w:sz w:val="20"/>
                <w:szCs w:val="20"/>
                <w:color w:val="auto"/>
              </w:rPr>
            </w:pPr>
          </w:p>
        </w:tc>
        <w:tc>
          <w:tcPr>
            <w:tcW w:w="8840" w:type="dxa"/>
            <w:vAlign w:val="bottom"/>
            <w:tcBorders>
              <w:bottom w:val="single" w:sz="8" w:color="auto"/>
            </w:tcBorders>
          </w:tcPr>
          <w:p>
            <w:pPr>
              <w:ind w:left="4320"/>
              <w:spacing w:after="0"/>
              <w:rPr>
                <w:sz w:val="20"/>
                <w:szCs w:val="20"/>
                <w:color w:val="auto"/>
              </w:rPr>
            </w:pPr>
            <w:r>
              <w:rPr>
                <w:rFonts w:ascii="Arial" w:cs="Arial" w:eastAsia="Arial" w:hAnsi="Arial"/>
                <w:sz w:val="18"/>
                <w:szCs w:val="18"/>
                <w:b w:val="1"/>
                <w:bCs w:val="1"/>
                <w:color w:val="auto"/>
              </w:rPr>
              <w:t>Position</w:t>
            </w:r>
          </w:p>
        </w:tc>
      </w:tr>
      <w:tr>
        <w:trPr>
          <w:trHeight w:val="219"/>
        </w:trPr>
        <w:tc>
          <w:tcPr>
            <w:tcW w:w="23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Brian O. Casey</w:t>
            </w:r>
          </w:p>
        </w:tc>
        <w:tc>
          <w:tcPr>
            <w:tcW w:w="88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President and Chief Executive Officer</w:t>
            </w:r>
          </w:p>
        </w:tc>
      </w:tr>
      <w:tr>
        <w:trPr>
          <w:trHeight w:val="225"/>
        </w:trPr>
        <w:tc>
          <w:tcPr>
            <w:tcW w:w="2360" w:type="dxa"/>
            <w:vAlign w:val="bottom"/>
            <w:gridSpan w:val="2"/>
          </w:tcPr>
          <w:p>
            <w:pPr>
              <w:ind w:left="420"/>
              <w:spacing w:after="0"/>
              <w:rPr>
                <w:sz w:val="20"/>
                <w:szCs w:val="20"/>
                <w:color w:val="auto"/>
              </w:rPr>
            </w:pPr>
            <w:r>
              <w:rPr>
                <w:rFonts w:ascii="Arial" w:cs="Arial" w:eastAsia="Arial" w:hAnsi="Arial"/>
                <w:sz w:val="18"/>
                <w:szCs w:val="18"/>
                <w:color w:val="auto"/>
              </w:rPr>
              <w:t>Terry Forbes</w:t>
            </w:r>
          </w:p>
        </w:tc>
        <w:tc>
          <w:tcPr>
            <w:tcW w:w="8840" w:type="dxa"/>
            <w:vAlign w:val="bottom"/>
          </w:tcPr>
          <w:p>
            <w:pPr>
              <w:ind w:left="400"/>
              <w:spacing w:after="0"/>
              <w:rPr>
                <w:sz w:val="20"/>
                <w:szCs w:val="20"/>
                <w:color w:val="auto"/>
              </w:rPr>
            </w:pPr>
            <w:r>
              <w:rPr>
                <w:rFonts w:ascii="Arial" w:cs="Arial" w:eastAsia="Arial" w:hAnsi="Arial"/>
                <w:sz w:val="18"/>
                <w:szCs w:val="18"/>
                <w:color w:val="auto"/>
              </w:rPr>
              <w:t>Senior Vice President, Chief Financial Officer and Treasurer</w:t>
            </w:r>
          </w:p>
        </w:tc>
      </w:tr>
      <w:tr>
        <w:trPr>
          <w:trHeight w:val="226"/>
        </w:trPr>
        <w:tc>
          <w:tcPr>
            <w:tcW w:w="23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Fabian Gomez</w:t>
            </w:r>
          </w:p>
        </w:tc>
        <w:tc>
          <w:tcPr>
            <w:tcW w:w="88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Senior Vice President, Chief Operating Officer</w:t>
            </w:r>
          </w:p>
        </w:tc>
      </w:tr>
      <w:tr>
        <w:trPr>
          <w:trHeight w:val="225"/>
        </w:trPr>
        <w:tc>
          <w:tcPr>
            <w:tcW w:w="2360" w:type="dxa"/>
            <w:vAlign w:val="bottom"/>
            <w:gridSpan w:val="2"/>
          </w:tcPr>
          <w:p>
            <w:pPr>
              <w:ind w:left="420"/>
              <w:spacing w:after="0"/>
              <w:rPr>
                <w:sz w:val="20"/>
                <w:szCs w:val="20"/>
                <w:color w:val="auto"/>
              </w:rPr>
            </w:pPr>
            <w:r>
              <w:rPr>
                <w:rFonts w:ascii="Arial" w:cs="Arial" w:eastAsia="Arial" w:hAnsi="Arial"/>
                <w:sz w:val="18"/>
                <w:szCs w:val="18"/>
                <w:color w:val="auto"/>
              </w:rPr>
              <w:t>Julie K. Gerron</w:t>
            </w:r>
          </w:p>
        </w:tc>
        <w:tc>
          <w:tcPr>
            <w:tcW w:w="8840" w:type="dxa"/>
            <w:vAlign w:val="bottom"/>
          </w:tcPr>
          <w:p>
            <w:pPr>
              <w:ind w:left="400"/>
              <w:spacing w:after="0"/>
              <w:rPr>
                <w:sz w:val="20"/>
                <w:szCs w:val="20"/>
                <w:color w:val="auto"/>
              </w:rPr>
            </w:pPr>
            <w:r>
              <w:rPr>
                <w:rFonts w:ascii="Arial" w:cs="Arial" w:eastAsia="Arial" w:hAnsi="Arial"/>
                <w:sz w:val="18"/>
                <w:szCs w:val="18"/>
                <w:color w:val="auto"/>
              </w:rPr>
              <w:t>Senior Vice President, General Counsel, Chief Compliance Officer and Corporate Secretary</w:t>
            </w:r>
          </w:p>
        </w:tc>
      </w:tr>
      <w:tr>
        <w:trPr>
          <w:trHeight w:val="226"/>
        </w:trPr>
        <w:tc>
          <w:tcPr>
            <w:tcW w:w="23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Steven Paddon</w:t>
            </w:r>
          </w:p>
        </w:tc>
        <w:tc>
          <w:tcPr>
            <w:tcW w:w="88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Senior Vice President, Head of Distribution</w:t>
            </w:r>
          </w:p>
        </w:tc>
      </w:tr>
    </w:tbl>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17" w:lineRule="exact"/>
        <w:rPr>
          <w:sz w:val="20"/>
          <w:szCs w:val="20"/>
          <w:color w:val="auto"/>
        </w:rPr>
      </w:pPr>
    </w:p>
    <w:p>
      <w:pPr>
        <w:ind w:right="460" w:firstLine="398"/>
        <w:spacing w:after="0" w:line="366" w:lineRule="auto"/>
        <w:rPr>
          <w:sz w:val="20"/>
          <w:szCs w:val="20"/>
          <w:color w:val="auto"/>
        </w:rPr>
      </w:pPr>
      <w:r>
        <w:rPr>
          <w:rFonts w:ascii="Arial" w:cs="Arial" w:eastAsia="Arial" w:hAnsi="Arial"/>
          <w:sz w:val="15"/>
          <w:szCs w:val="15"/>
          <w:color w:val="auto"/>
        </w:rPr>
        <w:t>We are a focused investment management boutique and wealth management firm offering high-conviction and outcome-oriented solutions. Our investment services address a wide range of investment objectives and challenges for institutional investors, financial intermediaries and private clients.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1410335</wp:posOffset>
            </wp:positionH>
            <wp:positionV relativeFrom="paragraph">
              <wp:posOffset>10795</wp:posOffset>
            </wp:positionV>
            <wp:extent cx="4321175" cy="30492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321175" cy="3049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2021 Performance Highlights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Highlights of our 2021 performance include:</w:t>
      </w:r>
    </w:p>
    <w:p>
      <w:pPr>
        <w:spacing w:after="0" w:line="111" w:lineRule="exact"/>
        <w:rPr>
          <w:sz w:val="20"/>
          <w:szCs w:val="20"/>
          <w:color w:val="auto"/>
        </w:rPr>
      </w:pPr>
    </w:p>
    <w:p>
      <w:pPr>
        <w:ind w:left="800" w:right="320" w:hanging="316"/>
        <w:spacing w:after="0" w:line="265" w:lineRule="auto"/>
        <w:tabs>
          <w:tab w:leader="none" w:pos="795" w:val="left"/>
        </w:tabs>
        <w:numPr>
          <w:ilvl w:val="0"/>
          <w:numId w:val="37"/>
        </w:numPr>
        <w:rPr>
          <w:rFonts w:ascii="Arial" w:cs="Arial" w:eastAsia="Arial" w:hAnsi="Arial"/>
          <w:sz w:val="18"/>
          <w:szCs w:val="18"/>
          <w:color w:val="auto"/>
        </w:rPr>
      </w:pPr>
      <w:r>
        <w:rPr>
          <w:rFonts w:ascii="Arial" w:cs="Arial" w:eastAsia="Arial" w:hAnsi="Arial"/>
          <w:sz w:val="18"/>
          <w:szCs w:val="18"/>
          <w:color w:val="auto"/>
        </w:rPr>
        <w:t>AUM as of December 31, 2021 was $14.5 billion, a 11% increase compared to December 31, 2020. Quarterly average AUM increased 14% to $14.1 billion for 2021 compared to 2020, which contributed to a 12% increase in total revenue from 2020.</w:t>
      </w:r>
    </w:p>
    <w:p>
      <w:pPr>
        <w:spacing w:after="0" w:line="73" w:lineRule="exact"/>
        <w:rPr>
          <w:rFonts w:ascii="Arial" w:cs="Arial" w:eastAsia="Arial" w:hAnsi="Arial"/>
          <w:sz w:val="18"/>
          <w:szCs w:val="18"/>
          <w:color w:val="auto"/>
        </w:rPr>
      </w:pPr>
    </w:p>
    <w:p>
      <w:pPr>
        <w:ind w:left="800" w:right="360" w:hanging="316"/>
        <w:spacing w:after="0" w:line="265" w:lineRule="auto"/>
        <w:tabs>
          <w:tab w:leader="none" w:pos="795"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LargeCap Value, SmallCap Value, Alternative Income and Select Equity strategies exhibited strong performance by beating their primary benchmarks for the year.</w:t>
      </w:r>
    </w:p>
    <w:p>
      <w:pPr>
        <w:spacing w:after="0" w:line="73" w:lineRule="exact"/>
        <w:rPr>
          <w:rFonts w:ascii="Arial" w:cs="Arial" w:eastAsia="Arial" w:hAnsi="Arial"/>
          <w:sz w:val="18"/>
          <w:szCs w:val="18"/>
          <w:color w:val="auto"/>
        </w:rPr>
      </w:pPr>
    </w:p>
    <w:p>
      <w:pPr>
        <w:ind w:left="800" w:hanging="316"/>
        <w:spacing w:after="0"/>
        <w:tabs>
          <w:tab w:leader="none" w:pos="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paid $22.9 million of dividends to our common stockholders.</w:t>
      </w:r>
    </w:p>
    <w:p>
      <w:pPr>
        <w:spacing w:after="0" w:line="111" w:lineRule="exact"/>
        <w:rPr>
          <w:rFonts w:ascii="Arial" w:cs="Arial" w:eastAsia="Arial" w:hAnsi="Arial"/>
          <w:sz w:val="18"/>
          <w:szCs w:val="18"/>
          <w:color w:val="auto"/>
        </w:rPr>
      </w:pPr>
    </w:p>
    <w:p>
      <w:pPr>
        <w:ind w:left="800" w:hanging="316"/>
        <w:spacing w:after="0"/>
        <w:tabs>
          <w:tab w:leader="none" w:pos="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repurchased 182,549 shares of our common stock for an aggregate purchase price of $3.0 million.</w:t>
      </w:r>
    </w:p>
    <w:p>
      <w:pPr>
        <w:spacing w:after="0" w:line="111" w:lineRule="exact"/>
        <w:rPr>
          <w:rFonts w:ascii="Arial" w:cs="Arial" w:eastAsia="Arial" w:hAnsi="Arial"/>
          <w:sz w:val="18"/>
          <w:szCs w:val="18"/>
          <w:color w:val="auto"/>
        </w:rPr>
      </w:pPr>
    </w:p>
    <w:p>
      <w:pPr>
        <w:ind w:left="800" w:hanging="316"/>
        <w:spacing w:after="0"/>
        <w:tabs>
          <w:tab w:leader="none" w:pos="8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Our financial position remains strong with liquid cash and short-term investments of $80.2 million and no debt as of December 31, 2021</w:t>
      </w:r>
      <w:r>
        <w:rPr>
          <w:rFonts w:ascii="Arial" w:cs="Arial" w:eastAsia="Arial" w:hAnsi="Arial"/>
          <w:sz w:val="17"/>
          <w:szCs w:val="17"/>
          <w:i w:val="1"/>
          <w:iCs w:val="1"/>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Actions in Response to COVID-19 and Key 2021 Compensation Decisions for Named Executive Officers</w:t>
      </w:r>
    </w:p>
    <w:p>
      <w:pPr>
        <w:spacing w:after="0" w:line="11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00"/>
          </w:cols>
          <w:pgMar w:left="320" w:top="546" w:right="379" w:bottom="1440" w:gutter="0" w:footer="0" w:header="0"/>
        </w:sectPr>
      </w:pPr>
    </w:p>
    <w:bookmarkStart w:id="21" w:name="page22"/>
    <w:bookmarkEnd w:id="21"/>
    <w:p>
      <w:pPr>
        <w:ind w:right="240" w:firstLine="477"/>
        <w:spacing w:after="0" w:line="255" w:lineRule="auto"/>
        <w:rPr>
          <w:sz w:val="20"/>
          <w:szCs w:val="20"/>
          <w:color w:val="auto"/>
        </w:rPr>
      </w:pPr>
      <w:r>
        <w:rPr>
          <w:rFonts w:ascii="Arial" w:cs="Arial" w:eastAsia="Arial" w:hAnsi="Arial"/>
          <w:sz w:val="18"/>
          <w:szCs w:val="18"/>
          <w:color w:val="auto"/>
        </w:rPr>
        <w:t>The health and safety of our employees is a high priority, consistent with our operating philosophy of focusing on transparency, effective corporate governance, life principles and giving back to the communities in which we live and work. Our safety focus is evident in our response to the COVID-19 pandemic, including:</w:t>
      </w:r>
    </w:p>
    <w:p>
      <w:pPr>
        <w:spacing w:after="0" w:line="83" w:lineRule="exact"/>
        <w:rPr>
          <w:sz w:val="20"/>
          <w:szCs w:val="20"/>
          <w:color w:val="auto"/>
        </w:rPr>
      </w:pPr>
    </w:p>
    <w:p>
      <w:pPr>
        <w:ind w:left="960" w:hanging="317"/>
        <w:spacing w:after="0"/>
        <w:tabs>
          <w:tab w:leader="none" w:pos="9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increasing work from home flexibility;</w:t>
      </w:r>
    </w:p>
    <w:p>
      <w:pPr>
        <w:spacing w:after="0" w:line="111" w:lineRule="exact"/>
        <w:rPr>
          <w:rFonts w:ascii="Arial" w:cs="Arial" w:eastAsia="Arial" w:hAnsi="Arial"/>
          <w:sz w:val="18"/>
          <w:szCs w:val="18"/>
          <w:color w:val="auto"/>
        </w:rPr>
      </w:pPr>
    </w:p>
    <w:p>
      <w:pPr>
        <w:ind w:left="960" w:hanging="317"/>
        <w:spacing w:after="0"/>
        <w:tabs>
          <w:tab w:leader="none" w:pos="9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minimizing staff levels in all offices;</w:t>
      </w:r>
    </w:p>
    <w:p>
      <w:pPr>
        <w:spacing w:after="0" w:line="111" w:lineRule="exact"/>
        <w:rPr>
          <w:rFonts w:ascii="Arial" w:cs="Arial" w:eastAsia="Arial" w:hAnsi="Arial"/>
          <w:sz w:val="18"/>
          <w:szCs w:val="18"/>
          <w:color w:val="auto"/>
        </w:rPr>
      </w:pPr>
    </w:p>
    <w:p>
      <w:pPr>
        <w:ind w:left="960" w:hanging="317"/>
        <w:spacing w:after="0"/>
        <w:tabs>
          <w:tab w:leader="none" w:pos="9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improving office cleaning protocols;</w:t>
      </w:r>
    </w:p>
    <w:p>
      <w:pPr>
        <w:spacing w:after="0" w:line="111" w:lineRule="exact"/>
        <w:rPr>
          <w:rFonts w:ascii="Arial" w:cs="Arial" w:eastAsia="Arial" w:hAnsi="Arial"/>
          <w:sz w:val="18"/>
          <w:szCs w:val="18"/>
          <w:color w:val="auto"/>
        </w:rPr>
      </w:pPr>
    </w:p>
    <w:p>
      <w:pPr>
        <w:ind w:left="960" w:hanging="317"/>
        <w:spacing w:after="0"/>
        <w:tabs>
          <w:tab w:leader="none" w:pos="9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establishing new physical distancing guidelines for employees while onsite;</w:t>
      </w:r>
    </w:p>
    <w:p>
      <w:pPr>
        <w:spacing w:after="0" w:line="111" w:lineRule="exact"/>
        <w:rPr>
          <w:rFonts w:ascii="Arial" w:cs="Arial" w:eastAsia="Arial" w:hAnsi="Arial"/>
          <w:sz w:val="18"/>
          <w:szCs w:val="18"/>
          <w:color w:val="auto"/>
        </w:rPr>
      </w:pPr>
    </w:p>
    <w:p>
      <w:pPr>
        <w:ind w:left="960" w:hanging="317"/>
        <w:spacing w:after="0"/>
        <w:tabs>
          <w:tab w:leader="none" w:pos="9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initiating regular communications regarding impacts of the COVID-19 pandemic, including health and safety protocols and procedures;</w:t>
      </w:r>
    </w:p>
    <w:p>
      <w:pPr>
        <w:spacing w:after="0" w:line="122" w:lineRule="exact"/>
        <w:rPr>
          <w:rFonts w:ascii="Arial" w:cs="Arial" w:eastAsia="Arial" w:hAnsi="Arial"/>
          <w:sz w:val="17"/>
          <w:szCs w:val="17"/>
          <w:color w:val="auto"/>
        </w:rPr>
      </w:pPr>
    </w:p>
    <w:p>
      <w:pPr>
        <w:ind w:left="960" w:hanging="317"/>
        <w:spacing w:after="0"/>
        <w:tabs>
          <w:tab w:leader="none" w:pos="9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implementing protocols to address actual and suspected COVID-19 cases and potential exposure; and</w:t>
      </w:r>
    </w:p>
    <w:p>
      <w:pPr>
        <w:spacing w:after="0" w:line="111" w:lineRule="exact"/>
        <w:rPr>
          <w:rFonts w:ascii="Arial" w:cs="Arial" w:eastAsia="Arial" w:hAnsi="Arial"/>
          <w:sz w:val="18"/>
          <w:szCs w:val="18"/>
          <w:color w:val="auto"/>
        </w:rPr>
      </w:pPr>
    </w:p>
    <w:p>
      <w:pPr>
        <w:ind w:left="960" w:hanging="317"/>
        <w:spacing w:after="0"/>
        <w:tabs>
          <w:tab w:leader="none" w:pos="9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requiring masks to be worn in all offices.</w:t>
      </w:r>
    </w:p>
    <w:p>
      <w:pPr>
        <w:spacing w:after="0" w:line="111" w:lineRule="exact"/>
        <w:rPr>
          <w:sz w:val="20"/>
          <w:szCs w:val="20"/>
          <w:color w:val="auto"/>
        </w:rPr>
      </w:pPr>
    </w:p>
    <w:p>
      <w:pPr>
        <w:ind w:right="120" w:firstLine="398"/>
        <w:spacing w:after="0" w:line="277" w:lineRule="auto"/>
        <w:rPr>
          <w:sz w:val="20"/>
          <w:szCs w:val="20"/>
          <w:color w:val="auto"/>
        </w:rPr>
      </w:pPr>
      <w:r>
        <w:rPr>
          <w:rFonts w:ascii="Arial" w:cs="Arial" w:eastAsia="Arial" w:hAnsi="Arial"/>
          <w:sz w:val="17"/>
          <w:szCs w:val="17"/>
          <w:color w:val="auto"/>
        </w:rPr>
        <w:t>We are proud of the way our Westwood team stepped up, delivering strong performance across many products and serving our customers well in creative, socially-distant ways. Our focus on investing in technology is paying off in two ways: with improvements in the way we manage our business and communicate with customers, and in the support of our people who work from home or in remote locations.</w:t>
      </w:r>
    </w:p>
    <w:p>
      <w:pPr>
        <w:spacing w:after="0" w:line="66" w:lineRule="exact"/>
        <w:rPr>
          <w:sz w:val="20"/>
          <w:szCs w:val="20"/>
          <w:color w:val="auto"/>
        </w:rPr>
      </w:pPr>
    </w:p>
    <w:p>
      <w:pPr>
        <w:ind w:right="40" w:firstLine="398"/>
        <w:spacing w:after="0" w:line="265" w:lineRule="auto"/>
        <w:rPr>
          <w:sz w:val="20"/>
          <w:szCs w:val="20"/>
          <w:color w:val="auto"/>
        </w:rPr>
      </w:pPr>
      <w:r>
        <w:rPr>
          <w:rFonts w:ascii="Arial" w:cs="Arial" w:eastAsia="Arial" w:hAnsi="Arial"/>
          <w:sz w:val="18"/>
          <w:szCs w:val="18"/>
          <w:color w:val="auto"/>
        </w:rPr>
        <w:t>The Compensation Committee met during its regularly scheduled February 2022 meeting to approve compensation for our named executive officers as highlighted below.</w:t>
      </w:r>
    </w:p>
    <w:p>
      <w:pPr>
        <w:spacing w:after="0" w:line="74" w:lineRule="exact"/>
        <w:rPr>
          <w:sz w:val="20"/>
          <w:szCs w:val="20"/>
          <w:color w:val="auto"/>
        </w:rPr>
      </w:pPr>
    </w:p>
    <w:p>
      <w:pPr>
        <w:jc w:val="both"/>
        <w:ind w:left="640" w:right="60" w:hanging="316"/>
        <w:spacing w:after="0" w:line="277" w:lineRule="auto"/>
        <w:tabs>
          <w:tab w:leader="none" w:pos="635" w:val="left"/>
        </w:tabs>
        <w:numPr>
          <w:ilvl w:val="0"/>
          <w:numId w:val="39"/>
        </w:numPr>
        <w:rPr>
          <w:rFonts w:ascii="Arial" w:cs="Arial" w:eastAsia="Arial" w:hAnsi="Arial"/>
          <w:sz w:val="17"/>
          <w:szCs w:val="17"/>
          <w:color w:val="auto"/>
        </w:rPr>
      </w:pPr>
      <w:r>
        <w:rPr>
          <w:rFonts w:ascii="Arial" w:cs="Arial" w:eastAsia="Arial" w:hAnsi="Arial"/>
          <w:sz w:val="17"/>
          <w:szCs w:val="17"/>
          <w:u w:val="single" w:color="auto"/>
          <w:color w:val="auto"/>
        </w:rPr>
        <w:t>Compensation for the CEO:</w:t>
      </w:r>
      <w:r>
        <w:rPr>
          <w:rFonts w:ascii="Arial" w:cs="Arial" w:eastAsia="Arial" w:hAnsi="Arial"/>
          <w:sz w:val="17"/>
          <w:szCs w:val="17"/>
          <w:color w:val="auto"/>
        </w:rPr>
        <w:t xml:space="preserve"> For 2021, the Compensation Committee approved a total compensation package for Mr. Casey consisting of an annual base salary, participation in the annual cash incentive plan, equity-based compensation awards (opportunity tied to 2021 performance) and a 401(k) Company matching contribution. Mr. Casey's 2021 salary was not increased from 2020.</w:t>
      </w:r>
    </w:p>
    <w:p>
      <w:pPr>
        <w:spacing w:after="0" w:line="66" w:lineRule="exact"/>
        <w:rPr>
          <w:rFonts w:ascii="Arial" w:cs="Arial" w:eastAsia="Arial" w:hAnsi="Arial"/>
          <w:sz w:val="17"/>
          <w:szCs w:val="17"/>
          <w:color w:val="auto"/>
        </w:rPr>
      </w:pPr>
    </w:p>
    <w:p>
      <w:pPr>
        <w:ind w:left="640" w:right="140" w:hanging="316"/>
        <w:spacing w:after="0" w:line="252" w:lineRule="auto"/>
        <w:tabs>
          <w:tab w:leader="none" w:pos="635"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Compensation for Other Named Executive Officers</w:t>
      </w:r>
      <w:r>
        <w:rPr>
          <w:rFonts w:ascii="Arial" w:cs="Arial" w:eastAsia="Arial" w:hAnsi="Arial"/>
          <w:sz w:val="18"/>
          <w:szCs w:val="18"/>
          <w:color w:val="auto"/>
        </w:rPr>
        <w:t>: For the other named executive officers, the Compensation Committee approved a total compensation package consisting of annual base salaries, participation in the annual cash incentive plan, 401(k) Company matching contributions and grants of restricted stock with vesting terms consistent with awards granted in 2020. Base 2021 salaries for the other named executive officers were not increased from 2020.</w:t>
      </w:r>
    </w:p>
    <w:p>
      <w:pPr>
        <w:spacing w:after="0" w:line="86" w:lineRule="exact"/>
        <w:rPr>
          <w:sz w:val="20"/>
          <w:szCs w:val="20"/>
          <w:color w:val="auto"/>
        </w:rPr>
      </w:pPr>
    </w:p>
    <w:p>
      <w:pPr>
        <w:ind w:right="100" w:firstLine="398"/>
        <w:spacing w:after="0" w:line="255" w:lineRule="auto"/>
        <w:rPr>
          <w:sz w:val="20"/>
          <w:szCs w:val="20"/>
          <w:color w:val="auto"/>
        </w:rPr>
      </w:pPr>
      <w:r>
        <w:rPr>
          <w:rFonts w:ascii="Arial" w:cs="Arial" w:eastAsia="Arial" w:hAnsi="Arial"/>
          <w:sz w:val="18"/>
          <w:szCs w:val="18"/>
          <w:color w:val="auto"/>
        </w:rPr>
        <w:t>Also In its February 2022 meeting, the Compensation Committee approved annual cash incentive awards to other named executive officers in consideration of Company performance, individual performances, and the management team’s response to the pandemic. These compensation decisions are described further in the following sections.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our Executive Compensation Program</w:t>
      </w:r>
    </w:p>
    <w:p>
      <w:pPr>
        <w:spacing w:after="0" w:line="117" w:lineRule="exact"/>
        <w:rPr>
          <w:sz w:val="20"/>
          <w:szCs w:val="20"/>
          <w:color w:val="auto"/>
        </w:rPr>
      </w:pPr>
    </w:p>
    <w:p>
      <w:pPr>
        <w:ind w:right="60" w:firstLine="398"/>
        <w:spacing w:after="0" w:line="272" w:lineRule="auto"/>
        <w:rPr>
          <w:sz w:val="20"/>
          <w:szCs w:val="20"/>
          <w:color w:val="auto"/>
        </w:rPr>
      </w:pPr>
      <w:r>
        <w:rPr>
          <w:rFonts w:ascii="Arial" w:cs="Arial" w:eastAsia="Arial" w:hAnsi="Arial"/>
          <w:sz w:val="17"/>
          <w:szCs w:val="17"/>
          <w:color w:val="auto"/>
        </w:rPr>
        <w:t>The intellectual capabilities of our employees are among the most important assets of our firm. As an asset manager, our financial results are primarily based upon the level of assets we manage, which is dependent on our ability to generate competitive long-term investment performance, build strong relationships with clients, investment consulting firms and other financial intermediaries, provide attentive client service, and attract and develop new client relationships, all of which rely, in part, on the intellectual capabilities of our employees, including the named executive officers.</w:t>
      </w:r>
    </w:p>
    <w:p>
      <w:pPr>
        <w:spacing w:after="0" w:line="69" w:lineRule="exact"/>
        <w:rPr>
          <w:sz w:val="20"/>
          <w:szCs w:val="20"/>
          <w:color w:val="auto"/>
        </w:rPr>
      </w:pPr>
    </w:p>
    <w:p>
      <w:pPr>
        <w:jc w:val="both"/>
        <w:ind w:right="140" w:firstLine="398"/>
        <w:spacing w:after="0" w:line="330" w:lineRule="auto"/>
        <w:rPr>
          <w:sz w:val="20"/>
          <w:szCs w:val="20"/>
          <w:color w:val="auto"/>
        </w:rPr>
      </w:pPr>
      <w:r>
        <w:rPr>
          <w:rFonts w:ascii="Arial" w:cs="Arial" w:eastAsia="Arial" w:hAnsi="Arial"/>
          <w:sz w:val="15"/>
          <w:szCs w:val="15"/>
          <w:color w:val="auto"/>
        </w:rPr>
        <w:t>We believe that the quality, expertise and commitment of our named executive officers are critical to achieving our business objectives and strategies. Accordingly, a principal objective of our executive compensation program is to deliver competitive total direct compensation (i.e., base salary, annual cash incentive awards, and long-term equity awards) that attract, motivate and retain talented executives who can contribute to the success of our business.</w:t>
      </w:r>
    </w:p>
    <w:p>
      <w:pPr>
        <w:spacing w:after="0" w:line="31" w:lineRule="exact"/>
        <w:rPr>
          <w:sz w:val="20"/>
          <w:szCs w:val="20"/>
          <w:color w:val="auto"/>
        </w:rPr>
      </w:pPr>
    </w:p>
    <w:p>
      <w:pPr>
        <w:ind w:firstLine="398"/>
        <w:spacing w:after="0" w:line="255" w:lineRule="auto"/>
        <w:rPr>
          <w:sz w:val="20"/>
          <w:szCs w:val="20"/>
          <w:color w:val="auto"/>
        </w:rPr>
      </w:pPr>
      <w:r>
        <w:rPr>
          <w:rFonts w:ascii="Arial" w:cs="Arial" w:eastAsia="Arial" w:hAnsi="Arial"/>
          <w:sz w:val="18"/>
          <w:szCs w:val="18"/>
          <w:color w:val="auto"/>
        </w:rPr>
        <w:t>The Company's executive compensation and compensation-related governance policies and practices are designed to reward the named executive officers for the achievement of strategic and operational goals which we believe will lead to increases in stockholder returns, while discouraging unnecessary or excessive risk taking, and incorporate many best practices, including the following:</w:t>
      </w:r>
    </w:p>
    <w:p>
      <w:pPr>
        <w:spacing w:after="0" w:line="8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20"/>
          </w:cols>
          <w:pgMar w:left="320" w:top="552" w:right="45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39"/>
        </w:trPr>
        <w:tc>
          <w:tcPr>
            <w:tcW w:w="420" w:type="dxa"/>
            <w:vAlign w:val="bottom"/>
            <w:tcBorders>
              <w:right w:val="single" w:sz="8" w:color="auto"/>
            </w:tcBorders>
          </w:tcPr>
          <w:p>
            <w:pPr>
              <w:spacing w:after="0"/>
              <w:rPr>
                <w:sz w:val="20"/>
                <w:szCs w:val="20"/>
                <w:color w:val="auto"/>
              </w:rPr>
            </w:pPr>
          </w:p>
        </w:tc>
        <w:tc>
          <w:tcPr>
            <w:tcW w:w="5240" w:type="dxa"/>
            <w:vAlign w:val="bottom"/>
            <w:tcBorders>
              <w:top w:val="single" w:sz="8" w:color="auto"/>
              <w:bottom w:val="single" w:sz="8" w:color="auto"/>
              <w:right w:val="single" w:sz="8" w:color="auto"/>
            </w:tcBorders>
          </w:tcPr>
          <w:p>
            <w:pPr>
              <w:ind w:left="2320"/>
              <w:spacing w:after="0"/>
              <w:rPr>
                <w:sz w:val="20"/>
                <w:szCs w:val="20"/>
                <w:color w:val="auto"/>
              </w:rPr>
            </w:pPr>
            <w:r>
              <w:rPr>
                <w:rFonts w:ascii="Arial" w:cs="Arial" w:eastAsia="Arial" w:hAnsi="Arial"/>
                <w:sz w:val="18"/>
                <w:szCs w:val="18"/>
                <w:b w:val="1"/>
                <w:bCs w:val="1"/>
                <w:color w:val="auto"/>
              </w:rPr>
              <w:t>What We Do</w:t>
            </w:r>
          </w:p>
        </w:tc>
        <w:tc>
          <w:tcPr>
            <w:tcW w:w="5280" w:type="dxa"/>
            <w:vAlign w:val="bottom"/>
            <w:tcBorders>
              <w:top w:val="single" w:sz="8" w:color="auto"/>
              <w:bottom w:val="single" w:sz="8" w:color="auto"/>
              <w:right w:val="single" w:sz="8" w:color="auto"/>
            </w:tcBorders>
          </w:tcPr>
          <w:p>
            <w:pPr>
              <w:ind w:left="2040"/>
              <w:spacing w:after="0"/>
              <w:rPr>
                <w:sz w:val="20"/>
                <w:szCs w:val="20"/>
                <w:color w:val="auto"/>
              </w:rPr>
            </w:pPr>
            <w:r>
              <w:rPr>
                <w:rFonts w:ascii="Arial" w:cs="Arial" w:eastAsia="Arial" w:hAnsi="Arial"/>
                <w:sz w:val="18"/>
                <w:szCs w:val="18"/>
                <w:b w:val="1"/>
                <w:bCs w:val="1"/>
                <w:color w:val="auto"/>
              </w:rPr>
              <w:t>What We Do Not Do</w:t>
            </w:r>
          </w:p>
        </w:tc>
      </w:tr>
      <w:tr>
        <w:trPr>
          <w:trHeight w:val="167"/>
        </w:trPr>
        <w:tc>
          <w:tcPr>
            <w:tcW w:w="420" w:type="dxa"/>
            <w:vAlign w:val="bottom"/>
            <w:tcBorders>
              <w:right w:val="single" w:sz="8" w:color="auto"/>
            </w:tcBorders>
          </w:tcPr>
          <w:p>
            <w:pPr>
              <w:spacing w:after="0"/>
              <w:rPr>
                <w:sz w:val="14"/>
                <w:szCs w:val="14"/>
                <w:color w:val="auto"/>
              </w:rPr>
            </w:pPr>
          </w:p>
        </w:tc>
        <w:tc>
          <w:tcPr>
            <w:tcW w:w="5240" w:type="dxa"/>
            <w:vAlign w:val="bottom"/>
            <w:tcBorders>
              <w:right w:val="single" w:sz="8" w:color="auto"/>
            </w:tcBorders>
          </w:tcPr>
          <w:p>
            <w:pPr>
              <w:ind w:left="20"/>
              <w:spacing w:after="0" w:line="167" w:lineRule="exact"/>
              <w:rPr>
                <w:sz w:val="20"/>
                <w:szCs w:val="20"/>
                <w:color w:val="auto"/>
              </w:rPr>
            </w:pPr>
            <w:r>
              <w:rPr>
                <w:rFonts w:ascii="Arial" w:cs="Arial" w:eastAsia="Arial" w:hAnsi="Arial"/>
                <w:sz w:val="18"/>
                <w:szCs w:val="18"/>
                <w:color w:val="auto"/>
                <w:w w:val="97"/>
              </w:rPr>
              <w:t>ü Variable "at risk" compensation accounts for a significantly larger</w:t>
            </w:r>
          </w:p>
        </w:tc>
        <w:tc>
          <w:tcPr>
            <w:tcW w:w="5280" w:type="dxa"/>
            <w:vAlign w:val="bottom"/>
            <w:tcBorders>
              <w:right w:val="single" w:sz="8" w:color="auto"/>
            </w:tcBorders>
          </w:tcPr>
          <w:p>
            <w:pPr>
              <w:ind w:left="20"/>
              <w:spacing w:after="0" w:line="167" w:lineRule="exact"/>
              <w:rPr>
                <w:sz w:val="20"/>
                <w:szCs w:val="20"/>
                <w:color w:val="auto"/>
              </w:rPr>
            </w:pPr>
            <w:r>
              <w:rPr>
                <w:rFonts w:ascii="Arial" w:cs="Arial" w:eastAsia="Arial" w:hAnsi="Arial"/>
                <w:sz w:val="18"/>
                <w:szCs w:val="18"/>
                <w:color w:val="auto"/>
              </w:rPr>
              <w:t>û We do not provide significant perquisites to executives</w:t>
            </w:r>
          </w:p>
        </w:tc>
      </w:tr>
      <w:tr>
        <w:trPr>
          <w:trHeight w:val="224"/>
        </w:trPr>
        <w:tc>
          <w:tcPr>
            <w:tcW w:w="420" w:type="dxa"/>
            <w:vAlign w:val="bottom"/>
            <w:tcBorders>
              <w:right w:val="single" w:sz="8" w:color="auto"/>
            </w:tcBorders>
          </w:tcPr>
          <w:p>
            <w:pPr>
              <w:spacing w:after="0"/>
              <w:rPr>
                <w:sz w:val="19"/>
                <w:szCs w:val="19"/>
                <w:color w:val="auto"/>
              </w:rPr>
            </w:pPr>
          </w:p>
        </w:tc>
        <w:tc>
          <w:tcPr>
            <w:tcW w:w="5240" w:type="dxa"/>
            <w:vAlign w:val="bottom"/>
            <w:tcBorders>
              <w:bottom w:val="single" w:sz="8" w:color="auto"/>
              <w:right w:val="single" w:sz="8" w:color="auto"/>
            </w:tcBorders>
          </w:tcPr>
          <w:p>
            <w:pPr>
              <w:ind w:left="340"/>
              <w:spacing w:after="0"/>
              <w:rPr>
                <w:sz w:val="20"/>
                <w:szCs w:val="20"/>
                <w:color w:val="auto"/>
              </w:rPr>
            </w:pPr>
            <w:r>
              <w:rPr>
                <w:rFonts w:ascii="Arial" w:cs="Arial" w:eastAsia="Arial" w:hAnsi="Arial"/>
                <w:sz w:val="18"/>
                <w:szCs w:val="18"/>
                <w:color w:val="auto"/>
              </w:rPr>
              <w:t>portion of pay than fixed base salary</w:t>
            </w:r>
          </w:p>
        </w:tc>
        <w:tc>
          <w:tcPr>
            <w:tcW w:w="5280" w:type="dxa"/>
            <w:vAlign w:val="bottom"/>
            <w:tcBorders>
              <w:bottom w:val="single" w:sz="8" w:color="auto"/>
              <w:right w:val="single" w:sz="8" w:color="auto"/>
            </w:tcBorders>
          </w:tcPr>
          <w:p>
            <w:pPr>
              <w:spacing w:after="0"/>
              <w:rPr>
                <w:sz w:val="19"/>
                <w:szCs w:val="19"/>
                <w:color w:val="auto"/>
              </w:rPr>
            </w:pPr>
          </w:p>
        </w:tc>
      </w:tr>
      <w:tr>
        <w:trPr>
          <w:trHeight w:val="167"/>
        </w:trPr>
        <w:tc>
          <w:tcPr>
            <w:tcW w:w="420" w:type="dxa"/>
            <w:vAlign w:val="bottom"/>
            <w:tcBorders>
              <w:right w:val="single" w:sz="8" w:color="auto"/>
            </w:tcBorders>
          </w:tcPr>
          <w:p>
            <w:pPr>
              <w:spacing w:after="0"/>
              <w:rPr>
                <w:sz w:val="14"/>
                <w:szCs w:val="14"/>
                <w:color w:val="auto"/>
              </w:rPr>
            </w:pPr>
          </w:p>
        </w:tc>
        <w:tc>
          <w:tcPr>
            <w:tcW w:w="5240" w:type="dxa"/>
            <w:vAlign w:val="bottom"/>
            <w:tcBorders>
              <w:right w:val="single" w:sz="8" w:color="auto"/>
            </w:tcBorders>
          </w:tcPr>
          <w:p>
            <w:pPr>
              <w:ind w:left="20"/>
              <w:spacing w:after="0" w:line="167" w:lineRule="exact"/>
              <w:rPr>
                <w:sz w:val="20"/>
                <w:szCs w:val="20"/>
                <w:color w:val="auto"/>
              </w:rPr>
            </w:pPr>
            <w:r>
              <w:rPr>
                <w:rFonts w:ascii="Arial" w:cs="Arial" w:eastAsia="Arial" w:hAnsi="Arial"/>
                <w:sz w:val="18"/>
                <w:szCs w:val="18"/>
                <w:color w:val="auto"/>
                <w:w w:val="92"/>
              </w:rPr>
              <w:t>ü Compensation outcomes are aligned with performance achievement</w:t>
            </w:r>
          </w:p>
        </w:tc>
        <w:tc>
          <w:tcPr>
            <w:tcW w:w="5280" w:type="dxa"/>
            <w:vAlign w:val="bottom"/>
            <w:tcBorders>
              <w:right w:val="single" w:sz="8" w:color="auto"/>
            </w:tcBorders>
          </w:tcPr>
          <w:p>
            <w:pPr>
              <w:ind w:left="20"/>
              <w:spacing w:after="0" w:line="167" w:lineRule="exact"/>
              <w:rPr>
                <w:sz w:val="20"/>
                <w:szCs w:val="20"/>
                <w:color w:val="auto"/>
              </w:rPr>
            </w:pPr>
            <w:r>
              <w:rPr>
                <w:rFonts w:ascii="Arial" w:cs="Arial" w:eastAsia="Arial" w:hAnsi="Arial"/>
                <w:sz w:val="18"/>
                <w:szCs w:val="18"/>
                <w:color w:val="auto"/>
                <w:w w:val="92"/>
              </w:rPr>
              <w:t>û We prohibit hedging and short-sales of Company stock by executives</w:t>
            </w:r>
          </w:p>
        </w:tc>
      </w:tr>
      <w:tr>
        <w:trPr>
          <w:trHeight w:val="224"/>
        </w:trPr>
        <w:tc>
          <w:tcPr>
            <w:tcW w:w="420" w:type="dxa"/>
            <w:vAlign w:val="bottom"/>
            <w:tcBorders>
              <w:right w:val="single" w:sz="8" w:color="auto"/>
            </w:tcBorders>
          </w:tcPr>
          <w:p>
            <w:pPr>
              <w:spacing w:after="0"/>
              <w:rPr>
                <w:sz w:val="19"/>
                <w:szCs w:val="19"/>
                <w:color w:val="auto"/>
              </w:rPr>
            </w:pPr>
          </w:p>
        </w:tc>
        <w:tc>
          <w:tcPr>
            <w:tcW w:w="5240" w:type="dxa"/>
            <w:vAlign w:val="bottom"/>
            <w:tcBorders>
              <w:bottom w:val="single" w:sz="8" w:color="auto"/>
              <w:right w:val="single" w:sz="8" w:color="auto"/>
            </w:tcBorders>
          </w:tcPr>
          <w:p>
            <w:pPr>
              <w:spacing w:after="0"/>
              <w:rPr>
                <w:sz w:val="19"/>
                <w:szCs w:val="19"/>
                <w:color w:val="auto"/>
              </w:rPr>
            </w:pPr>
          </w:p>
        </w:tc>
        <w:tc>
          <w:tcPr>
            <w:tcW w:w="5280" w:type="dxa"/>
            <w:vAlign w:val="bottom"/>
            <w:tcBorders>
              <w:bottom w:val="single" w:sz="8" w:color="auto"/>
              <w:right w:val="single" w:sz="8" w:color="auto"/>
            </w:tcBorders>
          </w:tcPr>
          <w:p>
            <w:pPr>
              <w:ind w:left="340"/>
              <w:spacing w:after="0"/>
              <w:rPr>
                <w:sz w:val="20"/>
                <w:szCs w:val="20"/>
                <w:color w:val="auto"/>
              </w:rPr>
            </w:pPr>
            <w:r>
              <w:rPr>
                <w:rFonts w:ascii="Arial" w:cs="Arial" w:eastAsia="Arial" w:hAnsi="Arial"/>
                <w:sz w:val="18"/>
                <w:szCs w:val="18"/>
                <w:color w:val="auto"/>
              </w:rPr>
              <w:t>and directors</w:t>
            </w:r>
          </w:p>
        </w:tc>
      </w:tr>
      <w:tr>
        <w:trPr>
          <w:trHeight w:val="167"/>
        </w:trPr>
        <w:tc>
          <w:tcPr>
            <w:tcW w:w="420" w:type="dxa"/>
            <w:vAlign w:val="bottom"/>
            <w:tcBorders>
              <w:right w:val="single" w:sz="8" w:color="auto"/>
            </w:tcBorders>
          </w:tcPr>
          <w:p>
            <w:pPr>
              <w:spacing w:after="0"/>
              <w:rPr>
                <w:sz w:val="14"/>
                <w:szCs w:val="14"/>
                <w:color w:val="auto"/>
              </w:rPr>
            </w:pPr>
          </w:p>
        </w:tc>
        <w:tc>
          <w:tcPr>
            <w:tcW w:w="5240" w:type="dxa"/>
            <w:vAlign w:val="bottom"/>
            <w:tcBorders>
              <w:right w:val="single" w:sz="8" w:color="auto"/>
            </w:tcBorders>
          </w:tcPr>
          <w:p>
            <w:pPr>
              <w:ind w:left="20"/>
              <w:spacing w:after="0" w:line="167" w:lineRule="exact"/>
              <w:rPr>
                <w:sz w:val="20"/>
                <w:szCs w:val="20"/>
                <w:color w:val="auto"/>
              </w:rPr>
            </w:pPr>
            <w:r>
              <w:rPr>
                <w:rFonts w:ascii="Arial" w:cs="Arial" w:eastAsia="Arial" w:hAnsi="Arial"/>
                <w:sz w:val="18"/>
                <w:szCs w:val="18"/>
                <w:color w:val="auto"/>
                <w:w w:val="88"/>
              </w:rPr>
              <w:t>ü Incentive plan payouts for executives have caps on the amount that can</w:t>
            </w:r>
          </w:p>
        </w:tc>
        <w:tc>
          <w:tcPr>
            <w:tcW w:w="5280" w:type="dxa"/>
            <w:vAlign w:val="bottom"/>
            <w:tcBorders>
              <w:right w:val="single" w:sz="8" w:color="auto"/>
            </w:tcBorders>
          </w:tcPr>
          <w:p>
            <w:pPr>
              <w:ind w:left="20"/>
              <w:spacing w:after="0" w:line="167" w:lineRule="exact"/>
              <w:rPr>
                <w:sz w:val="20"/>
                <w:szCs w:val="20"/>
                <w:color w:val="auto"/>
              </w:rPr>
            </w:pPr>
            <w:r>
              <w:rPr>
                <w:rFonts w:ascii="Arial" w:cs="Arial" w:eastAsia="Arial" w:hAnsi="Arial"/>
                <w:sz w:val="18"/>
                <w:szCs w:val="18"/>
                <w:color w:val="auto"/>
                <w:w w:val="90"/>
              </w:rPr>
              <w:t>û We discourage executives and directors from pledging Company stock</w:t>
            </w:r>
          </w:p>
        </w:tc>
      </w:tr>
      <w:tr>
        <w:trPr>
          <w:trHeight w:val="224"/>
        </w:trPr>
        <w:tc>
          <w:tcPr>
            <w:tcW w:w="420" w:type="dxa"/>
            <w:vAlign w:val="bottom"/>
            <w:tcBorders>
              <w:right w:val="single" w:sz="8" w:color="auto"/>
            </w:tcBorders>
          </w:tcPr>
          <w:p>
            <w:pPr>
              <w:spacing w:after="0"/>
              <w:rPr>
                <w:sz w:val="19"/>
                <w:szCs w:val="19"/>
                <w:color w:val="auto"/>
              </w:rPr>
            </w:pPr>
          </w:p>
        </w:tc>
        <w:tc>
          <w:tcPr>
            <w:tcW w:w="5240" w:type="dxa"/>
            <w:vAlign w:val="bottom"/>
            <w:tcBorders>
              <w:bottom w:val="single" w:sz="8" w:color="auto"/>
              <w:right w:val="single" w:sz="8" w:color="auto"/>
            </w:tcBorders>
          </w:tcPr>
          <w:p>
            <w:pPr>
              <w:ind w:left="340"/>
              <w:spacing w:after="0"/>
              <w:rPr>
                <w:sz w:val="20"/>
                <w:szCs w:val="20"/>
                <w:color w:val="auto"/>
              </w:rPr>
            </w:pPr>
            <w:r>
              <w:rPr>
                <w:rFonts w:ascii="Arial" w:cs="Arial" w:eastAsia="Arial" w:hAnsi="Arial"/>
                <w:sz w:val="18"/>
                <w:szCs w:val="18"/>
                <w:color w:val="auto"/>
              </w:rPr>
              <w:t>be earned</w:t>
            </w:r>
          </w:p>
        </w:tc>
        <w:tc>
          <w:tcPr>
            <w:tcW w:w="5280" w:type="dxa"/>
            <w:vAlign w:val="bottom"/>
            <w:tcBorders>
              <w:bottom w:val="single" w:sz="8" w:color="auto"/>
              <w:right w:val="single" w:sz="8" w:color="auto"/>
            </w:tcBorders>
          </w:tcPr>
          <w:p>
            <w:pPr>
              <w:ind w:left="340"/>
              <w:spacing w:after="0"/>
              <w:rPr>
                <w:sz w:val="20"/>
                <w:szCs w:val="20"/>
                <w:color w:val="auto"/>
              </w:rPr>
            </w:pPr>
            <w:r>
              <w:rPr>
                <w:rFonts w:ascii="Arial" w:cs="Arial" w:eastAsia="Arial" w:hAnsi="Arial"/>
                <w:sz w:val="18"/>
                <w:szCs w:val="18"/>
                <w:color w:val="auto"/>
              </w:rPr>
              <w:t>or holding shares in a margin account</w:t>
            </w:r>
          </w:p>
        </w:tc>
      </w:tr>
      <w:tr>
        <w:trPr>
          <w:trHeight w:val="167"/>
        </w:trPr>
        <w:tc>
          <w:tcPr>
            <w:tcW w:w="420" w:type="dxa"/>
            <w:vAlign w:val="bottom"/>
            <w:tcBorders>
              <w:right w:val="single" w:sz="8" w:color="auto"/>
            </w:tcBorders>
          </w:tcPr>
          <w:p>
            <w:pPr>
              <w:spacing w:after="0"/>
              <w:rPr>
                <w:sz w:val="14"/>
                <w:szCs w:val="14"/>
                <w:color w:val="auto"/>
              </w:rPr>
            </w:pPr>
          </w:p>
        </w:tc>
        <w:tc>
          <w:tcPr>
            <w:tcW w:w="5240" w:type="dxa"/>
            <w:vAlign w:val="bottom"/>
            <w:tcBorders>
              <w:right w:val="single" w:sz="8" w:color="auto"/>
            </w:tcBorders>
          </w:tcPr>
          <w:p>
            <w:pPr>
              <w:ind w:left="20"/>
              <w:spacing w:after="0" w:line="167" w:lineRule="exact"/>
              <w:rPr>
                <w:sz w:val="20"/>
                <w:szCs w:val="20"/>
                <w:color w:val="auto"/>
              </w:rPr>
            </w:pPr>
            <w:r>
              <w:rPr>
                <w:rFonts w:ascii="Arial" w:cs="Arial" w:eastAsia="Arial" w:hAnsi="Arial"/>
                <w:sz w:val="18"/>
                <w:szCs w:val="18"/>
                <w:color w:val="auto"/>
              </w:rPr>
              <w:t>ü Change-in-control severance is "double trigger" for our CEO</w:t>
            </w:r>
          </w:p>
        </w:tc>
        <w:tc>
          <w:tcPr>
            <w:tcW w:w="5280" w:type="dxa"/>
            <w:vAlign w:val="bottom"/>
            <w:tcBorders>
              <w:right w:val="single" w:sz="8" w:color="auto"/>
            </w:tcBorders>
          </w:tcPr>
          <w:p>
            <w:pPr>
              <w:ind w:left="20"/>
              <w:spacing w:after="0" w:line="167" w:lineRule="exact"/>
              <w:rPr>
                <w:sz w:val="20"/>
                <w:szCs w:val="20"/>
                <w:color w:val="auto"/>
              </w:rPr>
            </w:pPr>
            <w:r>
              <w:rPr>
                <w:rFonts w:ascii="Arial" w:cs="Arial" w:eastAsia="Arial" w:hAnsi="Arial"/>
                <w:sz w:val="18"/>
                <w:szCs w:val="18"/>
                <w:color w:val="auto"/>
                <w:w w:val="96"/>
              </w:rPr>
              <w:t>û We do not pay dividends on unvested equity-based compensation</w:t>
            </w:r>
          </w:p>
        </w:tc>
      </w:tr>
      <w:tr>
        <w:trPr>
          <w:trHeight w:val="224"/>
        </w:trPr>
        <w:tc>
          <w:tcPr>
            <w:tcW w:w="420" w:type="dxa"/>
            <w:vAlign w:val="bottom"/>
            <w:tcBorders>
              <w:right w:val="single" w:sz="8" w:color="auto"/>
            </w:tcBorders>
          </w:tcPr>
          <w:p>
            <w:pPr>
              <w:spacing w:after="0"/>
              <w:rPr>
                <w:sz w:val="19"/>
                <w:szCs w:val="19"/>
                <w:color w:val="auto"/>
              </w:rPr>
            </w:pPr>
          </w:p>
        </w:tc>
        <w:tc>
          <w:tcPr>
            <w:tcW w:w="5240" w:type="dxa"/>
            <w:vAlign w:val="bottom"/>
            <w:tcBorders>
              <w:bottom w:val="single" w:sz="8" w:color="auto"/>
              <w:right w:val="single" w:sz="8" w:color="auto"/>
            </w:tcBorders>
          </w:tcPr>
          <w:p>
            <w:pPr>
              <w:spacing w:after="0"/>
              <w:rPr>
                <w:sz w:val="19"/>
                <w:szCs w:val="19"/>
                <w:color w:val="auto"/>
              </w:rPr>
            </w:pPr>
          </w:p>
        </w:tc>
        <w:tc>
          <w:tcPr>
            <w:tcW w:w="5280" w:type="dxa"/>
            <w:vAlign w:val="bottom"/>
            <w:tcBorders>
              <w:bottom w:val="single" w:sz="8" w:color="auto"/>
              <w:right w:val="single" w:sz="8" w:color="auto"/>
            </w:tcBorders>
          </w:tcPr>
          <w:p>
            <w:pPr>
              <w:ind w:left="340"/>
              <w:spacing w:after="0"/>
              <w:rPr>
                <w:sz w:val="20"/>
                <w:szCs w:val="20"/>
                <w:color w:val="auto"/>
              </w:rPr>
            </w:pPr>
            <w:r>
              <w:rPr>
                <w:rFonts w:ascii="Arial" w:cs="Arial" w:eastAsia="Arial" w:hAnsi="Arial"/>
                <w:sz w:val="18"/>
                <w:szCs w:val="18"/>
                <w:color w:val="auto"/>
              </w:rPr>
              <w:t>awards</w:t>
            </w:r>
          </w:p>
        </w:tc>
      </w:tr>
      <w:tr>
        <w:trPr>
          <w:trHeight w:val="167"/>
        </w:trPr>
        <w:tc>
          <w:tcPr>
            <w:tcW w:w="420" w:type="dxa"/>
            <w:vAlign w:val="bottom"/>
            <w:tcBorders>
              <w:right w:val="single" w:sz="8" w:color="auto"/>
            </w:tcBorders>
          </w:tcPr>
          <w:p>
            <w:pPr>
              <w:spacing w:after="0"/>
              <w:rPr>
                <w:sz w:val="14"/>
                <w:szCs w:val="14"/>
                <w:color w:val="auto"/>
              </w:rPr>
            </w:pPr>
          </w:p>
        </w:tc>
        <w:tc>
          <w:tcPr>
            <w:tcW w:w="5240" w:type="dxa"/>
            <w:vAlign w:val="bottom"/>
            <w:tcBorders>
              <w:right w:val="single" w:sz="8" w:color="auto"/>
            </w:tcBorders>
          </w:tcPr>
          <w:p>
            <w:pPr>
              <w:ind w:left="20"/>
              <w:spacing w:after="0" w:line="167" w:lineRule="exact"/>
              <w:rPr>
                <w:sz w:val="20"/>
                <w:szCs w:val="20"/>
                <w:color w:val="auto"/>
              </w:rPr>
            </w:pPr>
            <w:r>
              <w:rPr>
                <w:rFonts w:ascii="Arial" w:cs="Arial" w:eastAsia="Arial" w:hAnsi="Arial"/>
                <w:sz w:val="18"/>
                <w:szCs w:val="18"/>
                <w:color w:val="auto"/>
                <w:w w:val="98"/>
              </w:rPr>
              <w:t>ü Officers and directors are required to own significant amounts of</w:t>
            </w:r>
          </w:p>
        </w:tc>
        <w:tc>
          <w:tcPr>
            <w:tcW w:w="5280" w:type="dxa"/>
            <w:vAlign w:val="bottom"/>
            <w:tcBorders>
              <w:right w:val="single" w:sz="8" w:color="auto"/>
            </w:tcBorders>
          </w:tcPr>
          <w:p>
            <w:pPr>
              <w:ind w:left="20"/>
              <w:spacing w:after="0" w:line="167" w:lineRule="exact"/>
              <w:rPr>
                <w:sz w:val="20"/>
                <w:szCs w:val="20"/>
                <w:color w:val="auto"/>
              </w:rPr>
            </w:pPr>
            <w:r>
              <w:rPr>
                <w:rFonts w:ascii="Arial" w:cs="Arial" w:eastAsia="Arial" w:hAnsi="Arial"/>
                <w:sz w:val="18"/>
                <w:szCs w:val="18"/>
                <w:color w:val="auto"/>
                <w:w w:val="96"/>
              </w:rPr>
              <w:t>û We prohibit repricing of stock options without stockholder approval</w:t>
            </w:r>
          </w:p>
        </w:tc>
      </w:tr>
      <w:tr>
        <w:trPr>
          <w:trHeight w:val="224"/>
        </w:trPr>
        <w:tc>
          <w:tcPr>
            <w:tcW w:w="420" w:type="dxa"/>
            <w:vAlign w:val="bottom"/>
            <w:tcBorders>
              <w:right w:val="single" w:sz="8" w:color="auto"/>
            </w:tcBorders>
          </w:tcPr>
          <w:p>
            <w:pPr>
              <w:spacing w:after="0"/>
              <w:rPr>
                <w:sz w:val="19"/>
                <w:szCs w:val="19"/>
                <w:color w:val="auto"/>
              </w:rPr>
            </w:pPr>
          </w:p>
        </w:tc>
        <w:tc>
          <w:tcPr>
            <w:tcW w:w="5240" w:type="dxa"/>
            <w:vAlign w:val="bottom"/>
            <w:tcBorders>
              <w:bottom w:val="single" w:sz="8" w:color="auto"/>
              <w:right w:val="single" w:sz="8" w:color="auto"/>
            </w:tcBorders>
          </w:tcPr>
          <w:p>
            <w:pPr>
              <w:ind w:left="340"/>
              <w:spacing w:after="0"/>
              <w:rPr>
                <w:sz w:val="20"/>
                <w:szCs w:val="20"/>
                <w:color w:val="auto"/>
              </w:rPr>
            </w:pPr>
            <w:r>
              <w:rPr>
                <w:rFonts w:ascii="Arial" w:cs="Arial" w:eastAsia="Arial" w:hAnsi="Arial"/>
                <w:sz w:val="18"/>
                <w:szCs w:val="18"/>
                <w:color w:val="auto"/>
              </w:rPr>
              <w:t>Company stock</w:t>
            </w:r>
          </w:p>
        </w:tc>
        <w:tc>
          <w:tcPr>
            <w:tcW w:w="5280" w:type="dxa"/>
            <w:vAlign w:val="bottom"/>
            <w:tcBorders>
              <w:bottom w:val="single" w:sz="8" w:color="auto"/>
              <w:right w:val="single" w:sz="8" w:color="auto"/>
            </w:tcBorders>
          </w:tcPr>
          <w:p>
            <w:pPr>
              <w:spacing w:after="0"/>
              <w:rPr>
                <w:sz w:val="19"/>
                <w:szCs w:val="19"/>
                <w:color w:val="auto"/>
              </w:rPr>
            </w:pPr>
          </w:p>
        </w:tc>
      </w:tr>
      <w:tr>
        <w:trPr>
          <w:trHeight w:val="167"/>
        </w:trPr>
        <w:tc>
          <w:tcPr>
            <w:tcW w:w="420" w:type="dxa"/>
            <w:vAlign w:val="bottom"/>
            <w:tcBorders>
              <w:right w:val="single" w:sz="8" w:color="auto"/>
            </w:tcBorders>
          </w:tcPr>
          <w:p>
            <w:pPr>
              <w:spacing w:after="0"/>
              <w:rPr>
                <w:sz w:val="14"/>
                <w:szCs w:val="14"/>
                <w:color w:val="auto"/>
              </w:rPr>
            </w:pPr>
          </w:p>
        </w:tc>
        <w:tc>
          <w:tcPr>
            <w:tcW w:w="5240" w:type="dxa"/>
            <w:vAlign w:val="bottom"/>
            <w:tcBorders>
              <w:right w:val="single" w:sz="8" w:color="auto"/>
            </w:tcBorders>
          </w:tcPr>
          <w:p>
            <w:pPr>
              <w:ind w:left="20"/>
              <w:spacing w:after="0" w:line="167" w:lineRule="exact"/>
              <w:rPr>
                <w:sz w:val="20"/>
                <w:szCs w:val="20"/>
                <w:color w:val="auto"/>
              </w:rPr>
            </w:pPr>
            <w:r>
              <w:rPr>
                <w:rFonts w:ascii="Arial" w:cs="Arial" w:eastAsia="Arial" w:hAnsi="Arial"/>
                <w:sz w:val="18"/>
                <w:szCs w:val="18"/>
                <w:color w:val="auto"/>
              </w:rPr>
              <w:t>ü Clawback policy allowing recoupment of incentives for financial</w:t>
            </w:r>
          </w:p>
        </w:tc>
        <w:tc>
          <w:tcPr>
            <w:tcW w:w="5280" w:type="dxa"/>
            <w:vAlign w:val="bottom"/>
            <w:tcBorders>
              <w:right w:val="single" w:sz="8" w:color="auto"/>
            </w:tcBorders>
          </w:tcPr>
          <w:p>
            <w:pPr>
              <w:ind w:left="20"/>
              <w:spacing w:after="0" w:line="167" w:lineRule="exact"/>
              <w:rPr>
                <w:sz w:val="20"/>
                <w:szCs w:val="20"/>
                <w:color w:val="auto"/>
              </w:rPr>
            </w:pPr>
            <w:r>
              <w:rPr>
                <w:rFonts w:ascii="Arial" w:cs="Arial" w:eastAsia="Arial" w:hAnsi="Arial"/>
                <w:sz w:val="18"/>
                <w:szCs w:val="18"/>
                <w:color w:val="auto"/>
                <w:w w:val="94"/>
              </w:rPr>
              <w:t>û We do not gross-up change-in-control related benefits for excise tax</w:t>
            </w:r>
          </w:p>
        </w:tc>
      </w:tr>
      <w:tr>
        <w:trPr>
          <w:trHeight w:val="224"/>
        </w:trPr>
        <w:tc>
          <w:tcPr>
            <w:tcW w:w="420" w:type="dxa"/>
            <w:vAlign w:val="bottom"/>
            <w:tcBorders>
              <w:right w:val="single" w:sz="8" w:color="auto"/>
            </w:tcBorders>
          </w:tcPr>
          <w:p>
            <w:pPr>
              <w:spacing w:after="0"/>
              <w:rPr>
                <w:sz w:val="19"/>
                <w:szCs w:val="19"/>
                <w:color w:val="auto"/>
              </w:rPr>
            </w:pPr>
          </w:p>
        </w:tc>
        <w:tc>
          <w:tcPr>
            <w:tcW w:w="5240" w:type="dxa"/>
            <w:vAlign w:val="bottom"/>
            <w:tcBorders>
              <w:bottom w:val="single" w:sz="8" w:color="auto"/>
              <w:right w:val="single" w:sz="8" w:color="auto"/>
            </w:tcBorders>
          </w:tcPr>
          <w:p>
            <w:pPr>
              <w:ind w:left="340"/>
              <w:spacing w:after="0"/>
              <w:rPr>
                <w:sz w:val="20"/>
                <w:szCs w:val="20"/>
                <w:color w:val="auto"/>
              </w:rPr>
            </w:pPr>
            <w:r>
              <w:rPr>
                <w:rFonts w:ascii="Arial" w:cs="Arial" w:eastAsia="Arial" w:hAnsi="Arial"/>
                <w:sz w:val="18"/>
                <w:szCs w:val="18"/>
                <w:color w:val="auto"/>
              </w:rPr>
              <w:t>restatements due to misconduct or fraud</w:t>
            </w:r>
          </w:p>
        </w:tc>
        <w:tc>
          <w:tcPr>
            <w:tcW w:w="5280" w:type="dxa"/>
            <w:vAlign w:val="bottom"/>
            <w:tcBorders>
              <w:bottom w:val="single" w:sz="8" w:color="auto"/>
              <w:right w:val="single" w:sz="8" w:color="auto"/>
            </w:tcBorders>
          </w:tcPr>
          <w:p>
            <w:pPr>
              <w:spacing w:after="0"/>
              <w:rPr>
                <w:sz w:val="19"/>
                <w:szCs w:val="19"/>
                <w:color w:val="auto"/>
              </w:rPr>
            </w:pPr>
          </w:p>
        </w:tc>
      </w:tr>
      <w:tr>
        <w:trPr>
          <w:trHeight w:val="167"/>
        </w:trPr>
        <w:tc>
          <w:tcPr>
            <w:tcW w:w="420" w:type="dxa"/>
            <w:vAlign w:val="bottom"/>
            <w:tcBorders>
              <w:right w:val="single" w:sz="8" w:color="auto"/>
            </w:tcBorders>
          </w:tcPr>
          <w:p>
            <w:pPr>
              <w:spacing w:after="0"/>
              <w:rPr>
                <w:sz w:val="14"/>
                <w:szCs w:val="14"/>
                <w:color w:val="auto"/>
              </w:rPr>
            </w:pPr>
          </w:p>
        </w:tc>
        <w:tc>
          <w:tcPr>
            <w:tcW w:w="5240" w:type="dxa"/>
            <w:vAlign w:val="bottom"/>
            <w:tcBorders>
              <w:right w:val="single" w:sz="8" w:color="auto"/>
            </w:tcBorders>
          </w:tcPr>
          <w:p>
            <w:pPr>
              <w:ind w:left="20"/>
              <w:spacing w:after="0" w:line="167" w:lineRule="exact"/>
              <w:rPr>
                <w:sz w:val="20"/>
                <w:szCs w:val="20"/>
                <w:color w:val="auto"/>
              </w:rPr>
            </w:pPr>
            <w:r>
              <w:rPr>
                <w:rFonts w:ascii="Arial" w:cs="Arial" w:eastAsia="Arial" w:hAnsi="Arial"/>
                <w:sz w:val="18"/>
                <w:szCs w:val="18"/>
                <w:color w:val="auto"/>
              </w:rPr>
              <w:t>ü Provide reasonable post-employment and change-in-control</w:t>
            </w:r>
          </w:p>
        </w:tc>
        <w:tc>
          <w:tcPr>
            <w:tcW w:w="5280" w:type="dxa"/>
            <w:vAlign w:val="bottom"/>
          </w:tcPr>
          <w:p>
            <w:pPr>
              <w:spacing w:after="0"/>
              <w:rPr>
                <w:sz w:val="14"/>
                <w:szCs w:val="14"/>
                <w:color w:val="auto"/>
              </w:rPr>
            </w:pPr>
          </w:p>
        </w:tc>
      </w:tr>
      <w:tr>
        <w:trPr>
          <w:trHeight w:val="224"/>
        </w:trPr>
        <w:tc>
          <w:tcPr>
            <w:tcW w:w="420" w:type="dxa"/>
            <w:vAlign w:val="bottom"/>
            <w:tcBorders>
              <w:right w:val="single" w:sz="8" w:color="auto"/>
            </w:tcBorders>
          </w:tcPr>
          <w:p>
            <w:pPr>
              <w:spacing w:after="0"/>
              <w:rPr>
                <w:sz w:val="19"/>
                <w:szCs w:val="19"/>
                <w:color w:val="auto"/>
              </w:rPr>
            </w:pPr>
          </w:p>
        </w:tc>
        <w:tc>
          <w:tcPr>
            <w:tcW w:w="5240" w:type="dxa"/>
            <w:vAlign w:val="bottom"/>
            <w:tcBorders>
              <w:bottom w:val="single" w:sz="8" w:color="auto"/>
              <w:right w:val="single" w:sz="8" w:color="auto"/>
            </w:tcBorders>
          </w:tcPr>
          <w:p>
            <w:pPr>
              <w:ind w:left="340"/>
              <w:spacing w:after="0"/>
              <w:rPr>
                <w:sz w:val="20"/>
                <w:szCs w:val="20"/>
                <w:color w:val="auto"/>
              </w:rPr>
            </w:pPr>
            <w:r>
              <w:rPr>
                <w:rFonts w:ascii="Arial" w:cs="Arial" w:eastAsia="Arial" w:hAnsi="Arial"/>
                <w:sz w:val="18"/>
                <w:szCs w:val="18"/>
                <w:color w:val="auto"/>
              </w:rPr>
              <w:t>arrangements</w:t>
            </w:r>
          </w:p>
        </w:tc>
        <w:tc>
          <w:tcPr>
            <w:tcW w:w="5280" w:type="dxa"/>
            <w:vAlign w:val="bottom"/>
          </w:tcPr>
          <w:p>
            <w:pPr>
              <w:spacing w:after="0"/>
              <w:rPr>
                <w:sz w:val="19"/>
                <w:szCs w:val="19"/>
                <w:color w:val="auto"/>
              </w:rPr>
            </w:pPr>
          </w:p>
        </w:tc>
      </w:tr>
      <w:tr>
        <w:trPr>
          <w:trHeight w:val="167"/>
        </w:trPr>
        <w:tc>
          <w:tcPr>
            <w:tcW w:w="420" w:type="dxa"/>
            <w:vAlign w:val="bottom"/>
            <w:tcBorders>
              <w:right w:val="single" w:sz="8" w:color="auto"/>
            </w:tcBorders>
          </w:tcPr>
          <w:p>
            <w:pPr>
              <w:spacing w:after="0"/>
              <w:rPr>
                <w:sz w:val="14"/>
                <w:szCs w:val="14"/>
                <w:color w:val="auto"/>
              </w:rPr>
            </w:pPr>
          </w:p>
        </w:tc>
        <w:tc>
          <w:tcPr>
            <w:tcW w:w="5240" w:type="dxa"/>
            <w:vAlign w:val="bottom"/>
            <w:tcBorders>
              <w:right w:val="single" w:sz="8" w:color="auto"/>
            </w:tcBorders>
          </w:tcPr>
          <w:p>
            <w:pPr>
              <w:ind w:left="20"/>
              <w:spacing w:after="0" w:line="167" w:lineRule="exact"/>
              <w:rPr>
                <w:sz w:val="20"/>
                <w:szCs w:val="20"/>
                <w:color w:val="auto"/>
              </w:rPr>
            </w:pPr>
            <w:r>
              <w:rPr>
                <w:rFonts w:ascii="Arial" w:cs="Arial" w:eastAsia="Arial" w:hAnsi="Arial"/>
                <w:sz w:val="18"/>
                <w:szCs w:val="18"/>
                <w:color w:val="auto"/>
              </w:rPr>
              <w:t>ü The Committee reviews competitive compensation market data</w:t>
            </w:r>
          </w:p>
        </w:tc>
        <w:tc>
          <w:tcPr>
            <w:tcW w:w="5280" w:type="dxa"/>
            <w:vAlign w:val="bottom"/>
          </w:tcPr>
          <w:p>
            <w:pPr>
              <w:spacing w:after="0"/>
              <w:rPr>
                <w:sz w:val="14"/>
                <w:szCs w:val="14"/>
                <w:color w:val="auto"/>
              </w:rPr>
            </w:pPr>
          </w:p>
        </w:tc>
      </w:tr>
      <w:tr>
        <w:trPr>
          <w:trHeight w:val="224"/>
        </w:trPr>
        <w:tc>
          <w:tcPr>
            <w:tcW w:w="420" w:type="dxa"/>
            <w:vAlign w:val="bottom"/>
            <w:tcBorders>
              <w:right w:val="single" w:sz="8" w:color="auto"/>
            </w:tcBorders>
          </w:tcPr>
          <w:p>
            <w:pPr>
              <w:spacing w:after="0"/>
              <w:rPr>
                <w:sz w:val="19"/>
                <w:szCs w:val="19"/>
                <w:color w:val="auto"/>
              </w:rPr>
            </w:pPr>
          </w:p>
        </w:tc>
        <w:tc>
          <w:tcPr>
            <w:tcW w:w="5240" w:type="dxa"/>
            <w:vAlign w:val="bottom"/>
            <w:tcBorders>
              <w:bottom w:val="single" w:sz="8" w:color="auto"/>
              <w:right w:val="single" w:sz="8" w:color="auto"/>
            </w:tcBorders>
          </w:tcPr>
          <w:p>
            <w:pPr>
              <w:ind w:left="340"/>
              <w:spacing w:after="0"/>
              <w:rPr>
                <w:sz w:val="20"/>
                <w:szCs w:val="20"/>
                <w:color w:val="auto"/>
              </w:rPr>
            </w:pPr>
            <w:r>
              <w:rPr>
                <w:rFonts w:ascii="Arial" w:cs="Arial" w:eastAsia="Arial" w:hAnsi="Arial"/>
                <w:sz w:val="18"/>
                <w:szCs w:val="18"/>
                <w:color w:val="auto"/>
              </w:rPr>
              <w:t>relative to our peer group and our industry</w:t>
            </w:r>
          </w:p>
        </w:tc>
        <w:tc>
          <w:tcPr>
            <w:tcW w:w="5280" w:type="dxa"/>
            <w:vAlign w:val="bottom"/>
          </w:tcPr>
          <w:p>
            <w:pPr>
              <w:spacing w:after="0"/>
              <w:rPr>
                <w:sz w:val="19"/>
                <w:szCs w:val="19"/>
                <w:color w:val="auto"/>
              </w:rPr>
            </w:pPr>
          </w:p>
        </w:tc>
      </w:tr>
      <w:tr>
        <w:trPr>
          <w:trHeight w:val="749"/>
        </w:trPr>
        <w:tc>
          <w:tcPr>
            <w:tcW w:w="5660" w:type="dxa"/>
            <w:vAlign w:val="bottom"/>
            <w:gridSpan w:val="2"/>
          </w:tcPr>
          <w:p>
            <w:pPr>
              <w:spacing w:after="0"/>
              <w:rPr>
                <w:sz w:val="20"/>
                <w:szCs w:val="20"/>
                <w:color w:val="auto"/>
              </w:rPr>
            </w:pPr>
            <w:r>
              <w:rPr>
                <w:rFonts w:ascii="Arial" w:cs="Arial" w:eastAsia="Arial" w:hAnsi="Arial"/>
                <w:sz w:val="18"/>
                <w:szCs w:val="18"/>
                <w:b w:val="1"/>
                <w:bCs w:val="1"/>
                <w:color w:val="auto"/>
                <w:w w:val="90"/>
              </w:rPr>
              <w:t>Stockholders Advisory Vote on Executive Compensation ("Say-on-Pay")</w:t>
            </w:r>
          </w:p>
        </w:tc>
        <w:tc>
          <w:tcPr>
            <w:tcW w:w="5280" w:type="dxa"/>
            <w:vAlign w:val="bottom"/>
          </w:tcPr>
          <w:p>
            <w:pPr>
              <w:spacing w:after="0"/>
              <w:rPr>
                <w:sz w:val="24"/>
                <w:szCs w:val="24"/>
                <w:color w:val="auto"/>
              </w:rPr>
            </w:pPr>
          </w:p>
        </w:tc>
      </w:tr>
      <w:tr>
        <w:trPr>
          <w:trHeight w:val="318"/>
        </w:trPr>
        <w:tc>
          <w:tcPr>
            <w:tcW w:w="5660" w:type="dxa"/>
            <w:vAlign w:val="bottom"/>
            <w:gridSpan w:val="2"/>
          </w:tcPr>
          <w:p>
            <w:pPr>
              <w:spacing w:after="0"/>
              <w:rPr>
                <w:sz w:val="20"/>
                <w:szCs w:val="20"/>
                <w:color w:val="auto"/>
              </w:rPr>
            </w:pPr>
            <w:r>
              <w:rPr>
                <w:rFonts w:ascii="Arial" w:cs="Arial" w:eastAsia="Arial" w:hAnsi="Arial"/>
                <w:sz w:val="18"/>
                <w:szCs w:val="18"/>
                <w:i w:val="1"/>
                <w:iCs w:val="1"/>
                <w:color w:val="auto"/>
              </w:rPr>
              <w:t>Response to the 2021 Say-on-Pay Vote</w:t>
            </w:r>
          </w:p>
        </w:tc>
        <w:tc>
          <w:tcPr>
            <w:tcW w:w="5280" w:type="dxa"/>
            <w:vAlign w:val="bottom"/>
          </w:tcPr>
          <w:p>
            <w:pPr>
              <w:spacing w:after="0"/>
              <w:rPr>
                <w:sz w:val="24"/>
                <w:szCs w:val="24"/>
                <w:color w:val="auto"/>
              </w:rPr>
            </w:pPr>
          </w:p>
        </w:tc>
      </w:tr>
    </w:tbl>
    <w:p>
      <w:pPr>
        <w:spacing w:after="0" w:line="95" w:lineRule="exact"/>
        <w:rPr>
          <w:sz w:val="20"/>
          <w:szCs w:val="20"/>
          <w:color w:val="auto"/>
        </w:rPr>
      </w:pPr>
    </w:p>
    <w:p>
      <w:pPr>
        <w:ind w:firstLine="398"/>
        <w:spacing w:after="0" w:line="269" w:lineRule="auto"/>
        <w:rPr>
          <w:sz w:val="20"/>
          <w:szCs w:val="20"/>
          <w:color w:val="auto"/>
        </w:rPr>
      </w:pPr>
      <w:r>
        <w:rPr>
          <w:rFonts w:ascii="Arial" w:cs="Arial" w:eastAsia="Arial" w:hAnsi="Arial"/>
          <w:sz w:val="17"/>
          <w:szCs w:val="17"/>
          <w:color w:val="auto"/>
        </w:rPr>
        <w:t>At our 2021 Annual Meeting of Stockholders held in April 2021, over 97% of the votes cast (excluding abstentions and broker non-votes) on the say-on-pay proposal at the meeting were voted in favor of the proposal. The Compensation Committee attributed the significant increase from the under 50% support received in 2020 to increased stockholder outreach and broader compensation insights, as well as greater transparency on our compensation process. The Compensation Committee remains open to stockholder perspectives on our executive compensation program and will continue to consider the outcome of the Company's say-on-pay votes when making future compensation decisions for our executive officers.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Stockholder Engagement</w:t>
      </w:r>
    </w:p>
    <w:p>
      <w:pPr>
        <w:spacing w:after="0" w:line="111" w:lineRule="exact"/>
        <w:rPr>
          <w:sz w:val="20"/>
          <w:szCs w:val="20"/>
          <w:color w:val="auto"/>
        </w:rPr>
      </w:pPr>
    </w:p>
    <w:p>
      <w:pPr>
        <w:ind w:firstLine="398"/>
        <w:spacing w:after="0" w:line="255" w:lineRule="auto"/>
        <w:rPr>
          <w:sz w:val="20"/>
          <w:szCs w:val="20"/>
          <w:color w:val="auto"/>
        </w:rPr>
      </w:pPr>
      <w:r>
        <w:rPr>
          <w:rFonts w:ascii="Arial" w:cs="Arial" w:eastAsia="Arial" w:hAnsi="Arial"/>
          <w:sz w:val="18"/>
          <w:szCs w:val="18"/>
          <w:color w:val="auto"/>
        </w:rPr>
        <w:t>In 2021 and early 2022, we reached out to representatives from our largest 20 stockholders representing over 63% of the shares voted in order to obtain feedback on our executive compensation program. The Chair of the Compensation Committee, as well as other senior officers, excluding the CEO, engaged in discussions with stockholders responding to our request for meetings.</w:t>
      </w:r>
    </w:p>
    <w:p>
      <w:pPr>
        <w:spacing w:after="0" w:line="83" w:lineRule="exact"/>
        <w:rPr>
          <w:sz w:val="20"/>
          <w:szCs w:val="20"/>
          <w:color w:val="auto"/>
        </w:rPr>
      </w:pPr>
    </w:p>
    <w:p>
      <w:pPr>
        <w:ind w:right="320" w:firstLine="398"/>
        <w:spacing w:after="0" w:line="265" w:lineRule="auto"/>
        <w:rPr>
          <w:sz w:val="20"/>
          <w:szCs w:val="20"/>
          <w:color w:val="auto"/>
        </w:rPr>
      </w:pPr>
      <w:r>
        <w:rPr>
          <w:rFonts w:ascii="Arial" w:cs="Arial" w:eastAsia="Arial" w:hAnsi="Arial"/>
          <w:sz w:val="18"/>
          <w:szCs w:val="18"/>
          <w:color w:val="auto"/>
        </w:rPr>
        <w:t>Stockholders expressed their views and perspectives on our executive compensation program, with feedback generally focused on the following key themes:</w:t>
      </w:r>
    </w:p>
    <w:p>
      <w:pPr>
        <w:spacing w:after="0" w:line="74" w:lineRule="exact"/>
        <w:rPr>
          <w:sz w:val="20"/>
          <w:szCs w:val="20"/>
          <w:color w:val="auto"/>
        </w:rPr>
      </w:pPr>
    </w:p>
    <w:p>
      <w:pPr>
        <w:ind w:left="640" w:hanging="316"/>
        <w:spacing w:after="0"/>
        <w:tabs>
          <w:tab w:leader="none" w:pos="6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firm should provide additional detail in the proxy related to ESG initiatives, reflecting the ESG information provided on the firm wesbite,</w:t>
      </w:r>
    </w:p>
    <w:p>
      <w:pPr>
        <w:spacing w:after="0" w:line="122" w:lineRule="exact"/>
        <w:rPr>
          <w:rFonts w:ascii="Arial" w:cs="Arial" w:eastAsia="Arial" w:hAnsi="Arial"/>
          <w:sz w:val="17"/>
          <w:szCs w:val="17"/>
          <w:color w:val="auto"/>
        </w:rPr>
      </w:pPr>
    </w:p>
    <w:p>
      <w:pPr>
        <w:ind w:left="640" w:right="280" w:hanging="316"/>
        <w:spacing w:after="0" w:line="265" w:lineRule="auto"/>
        <w:tabs>
          <w:tab w:leader="none" w:pos="635"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firm should continue to enhance disclosures related to the process for establishing performance goals and better establishing the link between executive pay and Company performance, and</w:t>
      </w:r>
    </w:p>
    <w:p>
      <w:pPr>
        <w:spacing w:after="0" w:line="73" w:lineRule="exact"/>
        <w:rPr>
          <w:rFonts w:ascii="Arial" w:cs="Arial" w:eastAsia="Arial" w:hAnsi="Arial"/>
          <w:sz w:val="18"/>
          <w:szCs w:val="18"/>
          <w:color w:val="auto"/>
        </w:rPr>
      </w:pPr>
    </w:p>
    <w:p>
      <w:pPr>
        <w:ind w:left="640" w:right="140" w:hanging="316"/>
        <w:spacing w:after="0" w:line="265" w:lineRule="auto"/>
        <w:tabs>
          <w:tab w:leader="none" w:pos="635"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firm should continue to enhance disclosures related to the process behind the Compensation Committee’s decisions on executive compensation and the rationale for the existing structure and approach.</w:t>
      </w:r>
    </w:p>
    <w:p>
      <w:pPr>
        <w:spacing w:after="0" w:line="7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Compensation Committee values feedback from stockholders and is committed to the following actions in response:</w:t>
      </w:r>
    </w:p>
    <w:p>
      <w:pPr>
        <w:spacing w:after="0" w:line="111" w:lineRule="exact"/>
        <w:rPr>
          <w:sz w:val="20"/>
          <w:szCs w:val="20"/>
          <w:color w:val="auto"/>
        </w:rPr>
      </w:pPr>
    </w:p>
    <w:p>
      <w:pPr>
        <w:ind w:left="640" w:right="40" w:hanging="316"/>
        <w:spacing w:after="0" w:line="265" w:lineRule="auto"/>
        <w:tabs>
          <w:tab w:leader="none" w:pos="635"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will reach out to our large stockholders on an annual basis to engage in discussions regarding our executive compensation program and corporate governance structure and practices.</w:t>
      </w:r>
    </w:p>
    <w:p>
      <w:pPr>
        <w:spacing w:after="0" w:line="73" w:lineRule="exact"/>
        <w:rPr>
          <w:rFonts w:ascii="Arial" w:cs="Arial" w:eastAsia="Arial" w:hAnsi="Arial"/>
          <w:sz w:val="18"/>
          <w:szCs w:val="18"/>
          <w:color w:val="auto"/>
        </w:rPr>
      </w:pPr>
    </w:p>
    <w:p>
      <w:pPr>
        <w:ind w:left="640" w:right="140" w:hanging="316"/>
        <w:spacing w:after="0" w:line="265" w:lineRule="auto"/>
        <w:tabs>
          <w:tab w:leader="none" w:pos="635"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will evolve and improve the transparency of our philosophy, Compensation Committee process, and compensation decisions with respect to our named executive officers, starting with this proxy statement.</w:t>
      </w:r>
    </w:p>
    <w:p>
      <w:pPr>
        <w:spacing w:after="0" w:line="73" w:lineRule="exact"/>
        <w:rPr>
          <w:rFonts w:ascii="Arial" w:cs="Arial" w:eastAsia="Arial" w:hAnsi="Arial"/>
          <w:sz w:val="18"/>
          <w:szCs w:val="18"/>
          <w:color w:val="auto"/>
        </w:rPr>
      </w:pPr>
    </w:p>
    <w:p>
      <w:pPr>
        <w:ind w:left="640" w:hanging="316"/>
        <w:spacing w:after="0" w:line="255" w:lineRule="auto"/>
        <w:tabs>
          <w:tab w:leader="none" w:pos="635" w:val="left"/>
        </w:tabs>
        <w:numPr>
          <w:ilvl w:val="0"/>
          <w:numId w:val="41"/>
        </w:numPr>
        <w:rPr>
          <w:rFonts w:ascii="Arial" w:cs="Arial" w:eastAsia="Arial" w:hAnsi="Arial"/>
          <w:sz w:val="18"/>
          <w:szCs w:val="18"/>
          <w:color w:val="auto"/>
        </w:rPr>
      </w:pPr>
      <w:r>
        <w:rPr>
          <w:rFonts w:ascii="Arial" w:cs="Arial" w:eastAsia="Arial" w:hAnsi="Arial"/>
          <w:sz w:val="18"/>
          <w:szCs w:val="18"/>
          <w:color w:val="auto"/>
        </w:rPr>
        <w:t>For 2021, the short-term cash incentives for our named executive officers were tied to metrics consistent with increasing stockholder value, including earnings before taxes and strategic initiatives, and a portion of their compensation was at risk if certain target thresholds were not achieved. This evolution of our executive compensation</w:t>
      </w:r>
    </w:p>
    <w:p>
      <w:pPr>
        <w:spacing w:after="0" w:line="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20"/>
          </w:cols>
          <w:pgMar w:left="320" w:top="571" w:right="359" w:bottom="1440" w:gutter="0" w:footer="0" w:header="0"/>
        </w:sectPr>
      </w:pPr>
    </w:p>
    <w:bookmarkStart w:id="23" w:name="page24"/>
    <w:bookmarkEnd w:id="23"/>
    <w:p>
      <w:pPr>
        <w:ind w:left="640"/>
        <w:spacing w:after="0"/>
        <w:rPr>
          <w:sz w:val="20"/>
          <w:szCs w:val="20"/>
          <w:color w:val="auto"/>
        </w:rPr>
      </w:pPr>
      <w:r>
        <w:rPr>
          <w:rFonts w:ascii="Arial" w:cs="Arial" w:eastAsia="Arial" w:hAnsi="Arial"/>
          <w:sz w:val="18"/>
          <w:szCs w:val="18"/>
          <w:color w:val="auto"/>
        </w:rPr>
        <w:t>will continue for 2022, consistent with a comprehensive and ongoing evaluation of our future executive compensation plans.</w:t>
      </w:r>
    </w:p>
    <w:p>
      <w:pPr>
        <w:spacing w:after="0" w:line="111" w:lineRule="exact"/>
        <w:rPr>
          <w:sz w:val="20"/>
          <w:szCs w:val="20"/>
          <w:color w:val="auto"/>
        </w:rPr>
      </w:pPr>
    </w:p>
    <w:p>
      <w:pPr>
        <w:ind w:right="340" w:firstLine="398"/>
        <w:spacing w:after="0" w:line="265" w:lineRule="auto"/>
        <w:rPr>
          <w:sz w:val="20"/>
          <w:szCs w:val="20"/>
          <w:color w:val="auto"/>
        </w:rPr>
      </w:pPr>
      <w:r>
        <w:rPr>
          <w:rFonts w:ascii="Arial" w:cs="Arial" w:eastAsia="Arial" w:hAnsi="Arial"/>
          <w:sz w:val="18"/>
          <w:szCs w:val="18"/>
          <w:color w:val="auto"/>
        </w:rPr>
        <w:t>We remain committed to achieving consistently strong stockholder support for our compensation programs and trust that our engagement efforts and responsiveness will merit strong support from our stockholders.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Philosophy and Objectives</w:t>
      </w:r>
    </w:p>
    <w:p>
      <w:pPr>
        <w:spacing w:after="0" w:line="117" w:lineRule="exact"/>
        <w:rPr>
          <w:sz w:val="20"/>
          <w:szCs w:val="20"/>
          <w:color w:val="auto"/>
        </w:rPr>
      </w:pPr>
    </w:p>
    <w:p>
      <w:pPr>
        <w:ind w:right="760" w:firstLine="398"/>
        <w:spacing w:after="0" w:line="265" w:lineRule="auto"/>
        <w:rPr>
          <w:sz w:val="20"/>
          <w:szCs w:val="20"/>
          <w:color w:val="auto"/>
        </w:rPr>
      </w:pPr>
      <w:r>
        <w:rPr>
          <w:rFonts w:ascii="Arial" w:cs="Arial" w:eastAsia="Arial" w:hAnsi="Arial"/>
          <w:sz w:val="18"/>
          <w:szCs w:val="18"/>
          <w:color w:val="auto"/>
        </w:rPr>
        <w:t>In designing and implementing our executive compensation program, the Compensation Committee is guided by the following philosophy and objectives:</w:t>
      </w:r>
    </w:p>
    <w:p>
      <w:pPr>
        <w:spacing w:after="0" w:line="74" w:lineRule="exact"/>
        <w:rPr>
          <w:sz w:val="20"/>
          <w:szCs w:val="20"/>
          <w:color w:val="auto"/>
        </w:rPr>
      </w:pPr>
    </w:p>
    <w:p>
      <w:pPr>
        <w:ind w:left="640" w:right="360" w:hanging="316"/>
        <w:spacing w:after="0" w:line="265" w:lineRule="auto"/>
        <w:tabs>
          <w:tab w:leader="none" w:pos="635"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Deliver competitive total direct compensation at levels to attract, motivate and retain talented executives who can contribute to the success of our business;</w:t>
      </w:r>
    </w:p>
    <w:p>
      <w:pPr>
        <w:spacing w:after="0" w:line="73" w:lineRule="exact"/>
        <w:rPr>
          <w:rFonts w:ascii="Arial" w:cs="Arial" w:eastAsia="Arial" w:hAnsi="Arial"/>
          <w:sz w:val="18"/>
          <w:szCs w:val="18"/>
          <w:color w:val="auto"/>
        </w:rPr>
      </w:pPr>
    </w:p>
    <w:p>
      <w:pPr>
        <w:ind w:left="640" w:right="260" w:hanging="316"/>
        <w:spacing w:after="0" w:line="265" w:lineRule="auto"/>
        <w:tabs>
          <w:tab w:leader="none" w:pos="635" w:val="left"/>
        </w:tabs>
        <w:numPr>
          <w:ilvl w:val="0"/>
          <w:numId w:val="42"/>
        </w:numPr>
        <w:rPr>
          <w:rFonts w:ascii="Arial" w:cs="Arial" w:eastAsia="Arial" w:hAnsi="Arial"/>
          <w:sz w:val="18"/>
          <w:szCs w:val="18"/>
          <w:color w:val="auto"/>
        </w:rPr>
      </w:pPr>
      <w:r>
        <w:rPr>
          <w:rFonts w:ascii="Arial" w:cs="Arial" w:eastAsia="Arial" w:hAnsi="Arial"/>
          <w:sz w:val="18"/>
          <w:szCs w:val="18"/>
          <w:color w:val="auto"/>
        </w:rPr>
        <w:t>Award compensation that motivates and rewards short- and long-term individual and company performance but discourages excessive risk-taking; and</w:t>
      </w:r>
    </w:p>
    <w:p>
      <w:pPr>
        <w:spacing w:after="0" w:line="73" w:lineRule="exact"/>
        <w:rPr>
          <w:rFonts w:ascii="Arial" w:cs="Arial" w:eastAsia="Arial" w:hAnsi="Arial"/>
          <w:sz w:val="18"/>
          <w:szCs w:val="18"/>
          <w:color w:val="auto"/>
        </w:rPr>
      </w:pPr>
    </w:p>
    <w:p>
      <w:pPr>
        <w:ind w:left="640" w:hanging="316"/>
        <w:spacing w:after="0"/>
        <w:tabs>
          <w:tab w:leader="none" w:pos="6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Align named executive officers’ interests with those of our stockholders.</w:t>
      </w:r>
    </w:p>
    <w:p>
      <w:pPr>
        <w:spacing w:after="0" w:line="111" w:lineRule="exact"/>
        <w:rPr>
          <w:sz w:val="20"/>
          <w:szCs w:val="20"/>
          <w:color w:val="auto"/>
        </w:rPr>
      </w:pPr>
    </w:p>
    <w:p>
      <w:pPr>
        <w:ind w:right="40" w:firstLine="398"/>
        <w:spacing w:after="0" w:line="249" w:lineRule="auto"/>
        <w:rPr>
          <w:sz w:val="20"/>
          <w:szCs w:val="20"/>
          <w:color w:val="auto"/>
        </w:rPr>
      </w:pPr>
      <w:r>
        <w:rPr>
          <w:rFonts w:ascii="Arial" w:cs="Arial" w:eastAsia="Arial" w:hAnsi="Arial"/>
          <w:sz w:val="18"/>
          <w:szCs w:val="18"/>
          <w:color w:val="auto"/>
        </w:rPr>
        <w:t>As an executive's leadership role expands, and the scope, duties and responsibilities of the executive's position increase, the Compensation Committee believes (1) a greater portion of total compensation should be performance-based, (s) compensation plans should incentivize the retention of key executives, and (3) base salary should be a relatively smaller portion of total compensation. The committee believes that a named executive officer's ("NEO") realized compensation should be driven by a mix of Company and individual performance. As stated previously, CEO compensation in 2020 and 2019 did not follow this philosophy, as the Board and Mr. Casey mutually agreed to forego his upside potential compensation based on prevailing levels of corporate performance. However, Mr. Casey's significant holdings in Company stock continued to align his interests with other stockholders even in the absence of additional stock-based compensation.</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Executive Compensation Components</w:t>
      </w:r>
    </w:p>
    <w:p>
      <w:pPr>
        <w:spacing w:after="0" w:line="11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For 2021, the principal components of compensation for the named executive officers were:</w:t>
      </w:r>
    </w:p>
    <w:p>
      <w:pPr>
        <w:spacing w:after="0" w:line="24" w:lineRule="exact"/>
        <w:rPr>
          <w:sz w:val="20"/>
          <w:szCs w:val="20"/>
          <w:color w:val="auto"/>
        </w:rPr>
      </w:pPr>
    </w:p>
    <w:tbl>
      <w:tblPr>
        <w:tblLayout w:type="fixed"/>
        <w:tblInd w:w="10" w:type="dxa"/>
        <w:tblCellMar>
          <w:top w:w="0" w:type="dxa"/>
          <w:left w:w="0" w:type="dxa"/>
          <w:bottom w:w="0" w:type="dxa"/>
          <w:right w:w="0" w:type="dxa"/>
        </w:tblCellMar>
      </w:tblPr>
      <w:tr>
        <w:trPr>
          <w:trHeight w:val="239"/>
        </w:trPr>
        <w:tc>
          <w:tcPr>
            <w:tcW w:w="4680" w:type="dxa"/>
            <w:vAlign w:val="bottom"/>
            <w:tcBorders>
              <w:top w:val="single" w:sz="8" w:color="auto"/>
              <w:left w:val="single" w:sz="8" w:color="auto"/>
              <w:bottom w:val="single" w:sz="8" w:color="auto"/>
              <w:right w:val="single" w:sz="8" w:color="auto"/>
            </w:tcBorders>
          </w:tcPr>
          <w:p>
            <w:pPr>
              <w:ind w:left="1840"/>
              <w:spacing w:after="0"/>
              <w:rPr>
                <w:sz w:val="20"/>
                <w:szCs w:val="20"/>
                <w:color w:val="auto"/>
              </w:rPr>
            </w:pPr>
            <w:r>
              <w:rPr>
                <w:rFonts w:ascii="Arial" w:cs="Arial" w:eastAsia="Arial" w:hAnsi="Arial"/>
                <w:sz w:val="18"/>
                <w:szCs w:val="18"/>
                <w:b w:val="1"/>
                <w:bCs w:val="1"/>
                <w:color w:val="auto"/>
              </w:rPr>
              <w:t>Component of Pay</w:t>
            </w:r>
          </w:p>
        </w:tc>
        <w:tc>
          <w:tcPr>
            <w:tcW w:w="6580" w:type="dxa"/>
            <w:vAlign w:val="bottom"/>
            <w:tcBorders>
              <w:top w:val="single" w:sz="8" w:color="auto"/>
              <w:bottom w:val="single" w:sz="8" w:color="auto"/>
              <w:right w:val="single" w:sz="8" w:color="auto"/>
            </w:tcBorders>
          </w:tcPr>
          <w:p>
            <w:pPr>
              <w:ind w:left="2620"/>
              <w:spacing w:after="0"/>
              <w:rPr>
                <w:sz w:val="20"/>
                <w:szCs w:val="20"/>
                <w:color w:val="auto"/>
              </w:rPr>
            </w:pPr>
            <w:r>
              <w:rPr>
                <w:rFonts w:ascii="Arial" w:cs="Arial" w:eastAsia="Arial" w:hAnsi="Arial"/>
                <w:sz w:val="18"/>
                <w:szCs w:val="18"/>
                <w:b w:val="1"/>
                <w:bCs w:val="1"/>
                <w:color w:val="auto"/>
              </w:rPr>
              <w:t>Purpose and Rationale</w:t>
            </w:r>
          </w:p>
        </w:tc>
        <w:tc>
          <w:tcPr>
            <w:tcW w:w="0" w:type="dxa"/>
            <w:vAlign w:val="bottom"/>
          </w:tcPr>
          <w:p>
            <w:pPr>
              <w:spacing w:after="0"/>
              <w:rPr>
                <w:sz w:val="1"/>
                <w:szCs w:val="1"/>
                <w:color w:val="auto"/>
              </w:rPr>
            </w:pPr>
          </w:p>
        </w:tc>
      </w:tr>
      <w:tr>
        <w:trPr>
          <w:trHeight w:val="167"/>
        </w:trPr>
        <w:tc>
          <w:tcPr>
            <w:tcW w:w="4680" w:type="dxa"/>
            <w:vAlign w:val="bottom"/>
            <w:tcBorders>
              <w:left w:val="single" w:sz="8" w:color="auto"/>
              <w:right w:val="single" w:sz="8" w:color="auto"/>
            </w:tcBorders>
            <w:vMerge w:val="restart"/>
          </w:tcPr>
          <w:p>
            <w:pPr>
              <w:ind w:left="440"/>
              <w:spacing w:after="0"/>
              <w:rPr>
                <w:sz w:val="20"/>
                <w:szCs w:val="20"/>
                <w:color w:val="auto"/>
              </w:rPr>
            </w:pPr>
            <w:r>
              <w:rPr>
                <w:rFonts w:ascii="Arial" w:cs="Arial" w:eastAsia="Arial" w:hAnsi="Arial"/>
                <w:sz w:val="18"/>
                <w:szCs w:val="18"/>
                <w:color w:val="auto"/>
              </w:rPr>
              <w:t>Base salary</w:t>
            </w:r>
          </w:p>
        </w:tc>
        <w:tc>
          <w:tcPr>
            <w:tcW w:w="6580" w:type="dxa"/>
            <w:vAlign w:val="bottom"/>
            <w:tcBorders>
              <w:right w:val="single" w:sz="8" w:color="auto"/>
            </w:tcBorders>
          </w:tcPr>
          <w:p>
            <w:pPr>
              <w:ind w:left="420"/>
              <w:spacing w:after="0" w:line="167" w:lineRule="exact"/>
              <w:rPr>
                <w:sz w:val="20"/>
                <w:szCs w:val="20"/>
                <w:color w:val="auto"/>
              </w:rPr>
            </w:pPr>
            <w:r>
              <w:rPr>
                <w:rFonts w:ascii="Arial" w:cs="Arial" w:eastAsia="Arial" w:hAnsi="Arial"/>
                <w:sz w:val="18"/>
                <w:szCs w:val="18"/>
                <w:color w:val="auto"/>
                <w:w w:val="94"/>
              </w:rPr>
              <w:t>Fixed portion of compensation to pay for executing primary day-to-day duties and</w:t>
            </w:r>
          </w:p>
        </w:tc>
        <w:tc>
          <w:tcPr>
            <w:tcW w:w="0" w:type="dxa"/>
            <w:vAlign w:val="bottom"/>
          </w:tcPr>
          <w:p>
            <w:pPr>
              <w:spacing w:after="0"/>
              <w:rPr>
                <w:sz w:val="1"/>
                <w:szCs w:val="1"/>
                <w:color w:val="auto"/>
              </w:rPr>
            </w:pPr>
          </w:p>
        </w:tc>
      </w:tr>
      <w:tr>
        <w:trPr>
          <w:trHeight w:val="224"/>
        </w:trPr>
        <w:tc>
          <w:tcPr>
            <w:tcW w:w="46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6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responsibilities</w:t>
            </w:r>
          </w:p>
        </w:tc>
        <w:tc>
          <w:tcPr>
            <w:tcW w:w="0" w:type="dxa"/>
            <w:vAlign w:val="bottom"/>
          </w:tcPr>
          <w:p>
            <w:pPr>
              <w:spacing w:after="0"/>
              <w:rPr>
                <w:sz w:val="1"/>
                <w:szCs w:val="1"/>
                <w:color w:val="auto"/>
              </w:rPr>
            </w:pPr>
          </w:p>
        </w:tc>
      </w:tr>
      <w:tr>
        <w:trPr>
          <w:trHeight w:val="167"/>
        </w:trPr>
        <w:tc>
          <w:tcPr>
            <w:tcW w:w="4680" w:type="dxa"/>
            <w:vAlign w:val="bottom"/>
            <w:tcBorders>
              <w:left w:val="single" w:sz="8" w:color="auto"/>
              <w:right w:val="single" w:sz="8" w:color="auto"/>
            </w:tcBorders>
            <w:vMerge w:val="restart"/>
          </w:tcPr>
          <w:p>
            <w:pPr>
              <w:ind w:left="440"/>
              <w:spacing w:after="0"/>
              <w:rPr>
                <w:sz w:val="20"/>
                <w:szCs w:val="20"/>
                <w:color w:val="auto"/>
              </w:rPr>
            </w:pPr>
            <w:r>
              <w:rPr>
                <w:rFonts w:ascii="Arial" w:cs="Arial" w:eastAsia="Arial" w:hAnsi="Arial"/>
                <w:sz w:val="18"/>
                <w:szCs w:val="18"/>
                <w:color w:val="auto"/>
              </w:rPr>
              <w:t>Annual cash incentive awards</w:t>
            </w:r>
          </w:p>
        </w:tc>
        <w:tc>
          <w:tcPr>
            <w:tcW w:w="6580" w:type="dxa"/>
            <w:vAlign w:val="bottom"/>
            <w:tcBorders>
              <w:right w:val="single" w:sz="8" w:color="auto"/>
            </w:tcBorders>
          </w:tcPr>
          <w:p>
            <w:pPr>
              <w:ind w:left="420"/>
              <w:spacing w:after="0" w:line="167" w:lineRule="exact"/>
              <w:rPr>
                <w:sz w:val="20"/>
                <w:szCs w:val="20"/>
                <w:color w:val="auto"/>
              </w:rPr>
            </w:pPr>
            <w:r>
              <w:rPr>
                <w:rFonts w:ascii="Arial" w:cs="Arial" w:eastAsia="Arial" w:hAnsi="Arial"/>
                <w:sz w:val="18"/>
                <w:szCs w:val="18"/>
                <w:color w:val="auto"/>
                <w:w w:val="92"/>
              </w:rPr>
              <w:t>Variable at-risk element of pay to reward for achieving specific annual performance</w:t>
            </w:r>
          </w:p>
        </w:tc>
        <w:tc>
          <w:tcPr>
            <w:tcW w:w="0" w:type="dxa"/>
            <w:vAlign w:val="bottom"/>
          </w:tcPr>
          <w:p>
            <w:pPr>
              <w:spacing w:after="0"/>
              <w:rPr>
                <w:sz w:val="1"/>
                <w:szCs w:val="1"/>
                <w:color w:val="auto"/>
              </w:rPr>
            </w:pPr>
          </w:p>
        </w:tc>
      </w:tr>
      <w:tr>
        <w:trPr>
          <w:trHeight w:val="224"/>
        </w:trPr>
        <w:tc>
          <w:tcPr>
            <w:tcW w:w="46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6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goals</w:t>
            </w:r>
          </w:p>
        </w:tc>
        <w:tc>
          <w:tcPr>
            <w:tcW w:w="0" w:type="dxa"/>
            <w:vAlign w:val="bottom"/>
          </w:tcPr>
          <w:p>
            <w:pPr>
              <w:spacing w:after="0"/>
              <w:rPr>
                <w:sz w:val="1"/>
                <w:szCs w:val="1"/>
                <w:color w:val="auto"/>
              </w:rPr>
            </w:pPr>
          </w:p>
        </w:tc>
      </w:tr>
      <w:tr>
        <w:trPr>
          <w:trHeight w:val="167"/>
        </w:trPr>
        <w:tc>
          <w:tcPr>
            <w:tcW w:w="4680" w:type="dxa"/>
            <w:vAlign w:val="bottom"/>
            <w:tcBorders>
              <w:left w:val="single" w:sz="8" w:color="auto"/>
              <w:right w:val="single" w:sz="8" w:color="auto"/>
            </w:tcBorders>
          </w:tcPr>
          <w:p>
            <w:pPr>
              <w:spacing w:after="0"/>
              <w:rPr>
                <w:sz w:val="14"/>
                <w:szCs w:val="14"/>
                <w:color w:val="auto"/>
              </w:rPr>
            </w:pPr>
          </w:p>
        </w:tc>
        <w:tc>
          <w:tcPr>
            <w:tcW w:w="6580" w:type="dxa"/>
            <w:vAlign w:val="bottom"/>
            <w:tcBorders>
              <w:right w:val="single" w:sz="8" w:color="auto"/>
            </w:tcBorders>
          </w:tcPr>
          <w:p>
            <w:pPr>
              <w:ind w:left="420"/>
              <w:spacing w:after="0" w:line="167" w:lineRule="exact"/>
              <w:rPr>
                <w:sz w:val="20"/>
                <w:szCs w:val="20"/>
                <w:color w:val="auto"/>
              </w:rPr>
            </w:pPr>
            <w:r>
              <w:rPr>
                <w:rFonts w:ascii="Arial" w:cs="Arial" w:eastAsia="Arial" w:hAnsi="Arial"/>
                <w:sz w:val="18"/>
                <w:szCs w:val="18"/>
                <w:color w:val="auto"/>
              </w:rPr>
              <w:t>Variable at-risk element of pay to drive performance that delivers long-term</w:t>
            </w:r>
          </w:p>
        </w:tc>
        <w:tc>
          <w:tcPr>
            <w:tcW w:w="0" w:type="dxa"/>
            <w:vAlign w:val="bottom"/>
          </w:tcPr>
          <w:p>
            <w:pPr>
              <w:spacing w:after="0"/>
              <w:rPr>
                <w:sz w:val="1"/>
                <w:szCs w:val="1"/>
                <w:color w:val="auto"/>
              </w:rPr>
            </w:pPr>
          </w:p>
        </w:tc>
      </w:tr>
      <w:tr>
        <w:trPr>
          <w:trHeight w:val="172"/>
        </w:trPr>
        <w:tc>
          <w:tcPr>
            <w:tcW w:w="4680" w:type="dxa"/>
            <w:vAlign w:val="bottom"/>
            <w:tcBorders>
              <w:left w:val="single" w:sz="8" w:color="auto"/>
              <w:right w:val="single" w:sz="8" w:color="auto"/>
            </w:tcBorders>
            <w:vMerge w:val="restart"/>
          </w:tcPr>
          <w:p>
            <w:pPr>
              <w:ind w:left="440"/>
              <w:spacing w:after="0"/>
              <w:rPr>
                <w:sz w:val="20"/>
                <w:szCs w:val="20"/>
                <w:color w:val="auto"/>
              </w:rPr>
            </w:pPr>
            <w:r>
              <w:rPr>
                <w:rFonts w:ascii="Arial" w:cs="Arial" w:eastAsia="Arial" w:hAnsi="Arial"/>
                <w:sz w:val="18"/>
                <w:szCs w:val="18"/>
                <w:color w:val="auto"/>
              </w:rPr>
              <w:t>Long-term equity awards</w:t>
            </w:r>
          </w:p>
        </w:tc>
        <w:tc>
          <w:tcPr>
            <w:tcW w:w="6580" w:type="dxa"/>
            <w:vAlign w:val="bottom"/>
            <w:tcBorders>
              <w:right w:val="single" w:sz="8" w:color="auto"/>
            </w:tcBorders>
          </w:tcPr>
          <w:p>
            <w:pPr>
              <w:ind w:left="20"/>
              <w:spacing w:after="0" w:line="172" w:lineRule="exact"/>
              <w:rPr>
                <w:sz w:val="20"/>
                <w:szCs w:val="20"/>
                <w:color w:val="auto"/>
              </w:rPr>
            </w:pPr>
            <w:r>
              <w:rPr>
                <w:rFonts w:ascii="Arial" w:cs="Arial" w:eastAsia="Arial" w:hAnsi="Arial"/>
                <w:sz w:val="18"/>
                <w:szCs w:val="18"/>
                <w:color w:val="auto"/>
                <w:w w:val="90"/>
              </w:rPr>
              <w:t>stockholder value, links the interests of our executives and stockholders and retains critical</w:t>
            </w:r>
          </w:p>
        </w:tc>
        <w:tc>
          <w:tcPr>
            <w:tcW w:w="0" w:type="dxa"/>
            <w:vAlign w:val="bottom"/>
          </w:tcPr>
          <w:p>
            <w:pPr>
              <w:spacing w:after="0"/>
              <w:rPr>
                <w:sz w:val="1"/>
                <w:szCs w:val="1"/>
                <w:color w:val="auto"/>
              </w:rPr>
            </w:pPr>
          </w:p>
        </w:tc>
      </w:tr>
      <w:tr>
        <w:trPr>
          <w:trHeight w:val="224"/>
        </w:trPr>
        <w:tc>
          <w:tcPr>
            <w:tcW w:w="46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6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talent</w:t>
            </w:r>
          </w:p>
        </w:tc>
        <w:tc>
          <w:tcPr>
            <w:tcW w:w="0" w:type="dxa"/>
            <w:vAlign w:val="bottom"/>
          </w:tcPr>
          <w:p>
            <w:pPr>
              <w:spacing w:after="0"/>
              <w:rPr>
                <w:sz w:val="1"/>
                <w:szCs w:val="1"/>
                <w:color w:val="auto"/>
              </w:rPr>
            </w:pPr>
          </w:p>
        </w:tc>
      </w:tr>
      <w:tr>
        <w:trPr>
          <w:trHeight w:val="167"/>
        </w:trPr>
        <w:tc>
          <w:tcPr>
            <w:tcW w:w="4680" w:type="dxa"/>
            <w:vAlign w:val="bottom"/>
            <w:tcBorders>
              <w:left w:val="single" w:sz="8" w:color="auto"/>
              <w:right w:val="single" w:sz="8" w:color="auto"/>
            </w:tcBorders>
            <w:vMerge w:val="restart"/>
          </w:tcPr>
          <w:p>
            <w:pPr>
              <w:ind w:left="440"/>
              <w:spacing w:after="0"/>
              <w:rPr>
                <w:sz w:val="20"/>
                <w:szCs w:val="20"/>
                <w:color w:val="auto"/>
              </w:rPr>
            </w:pPr>
            <w:r>
              <w:rPr>
                <w:rFonts w:ascii="Arial" w:cs="Arial" w:eastAsia="Arial" w:hAnsi="Arial"/>
                <w:sz w:val="18"/>
                <w:szCs w:val="18"/>
                <w:color w:val="auto"/>
              </w:rPr>
              <w:t>Employee and post-retirement benefits</w:t>
            </w:r>
          </w:p>
        </w:tc>
        <w:tc>
          <w:tcPr>
            <w:tcW w:w="6580" w:type="dxa"/>
            <w:vAlign w:val="bottom"/>
            <w:tcBorders>
              <w:right w:val="single" w:sz="8" w:color="auto"/>
            </w:tcBorders>
          </w:tcPr>
          <w:p>
            <w:pPr>
              <w:ind w:left="420"/>
              <w:spacing w:after="0" w:line="167" w:lineRule="exact"/>
              <w:rPr>
                <w:sz w:val="20"/>
                <w:szCs w:val="20"/>
                <w:color w:val="auto"/>
              </w:rPr>
            </w:pPr>
            <w:r>
              <w:rPr>
                <w:rFonts w:ascii="Arial" w:cs="Arial" w:eastAsia="Arial" w:hAnsi="Arial"/>
                <w:sz w:val="18"/>
                <w:szCs w:val="18"/>
                <w:color w:val="auto"/>
                <w:w w:val="97"/>
              </w:rPr>
              <w:t>Market-competitive form of compensation to underpin the financial security and</w:t>
            </w:r>
          </w:p>
        </w:tc>
        <w:tc>
          <w:tcPr>
            <w:tcW w:w="0" w:type="dxa"/>
            <w:vAlign w:val="bottom"/>
          </w:tcPr>
          <w:p>
            <w:pPr>
              <w:spacing w:after="0"/>
              <w:rPr>
                <w:sz w:val="1"/>
                <w:szCs w:val="1"/>
                <w:color w:val="auto"/>
              </w:rPr>
            </w:pPr>
          </w:p>
        </w:tc>
      </w:tr>
      <w:tr>
        <w:trPr>
          <w:trHeight w:val="224"/>
        </w:trPr>
        <w:tc>
          <w:tcPr>
            <w:tcW w:w="46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6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health and welfare of our executives during and after employment with Westwood</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2" w:lineRule="exact"/>
        <w:rPr>
          <w:sz w:val="20"/>
          <w:szCs w:val="20"/>
          <w:color w:val="auto"/>
        </w:rPr>
      </w:pPr>
    </w:p>
    <w:p>
      <w:pPr>
        <w:ind w:right="100" w:firstLine="398"/>
        <w:spacing w:after="0" w:line="330" w:lineRule="auto"/>
        <w:rPr>
          <w:sz w:val="20"/>
          <w:szCs w:val="20"/>
          <w:color w:val="auto"/>
        </w:rPr>
      </w:pPr>
      <w:r>
        <w:rPr>
          <w:rFonts w:ascii="Arial" w:cs="Arial" w:eastAsia="Arial" w:hAnsi="Arial"/>
          <w:sz w:val="15"/>
          <w:szCs w:val="15"/>
          <w:color w:val="auto"/>
        </w:rPr>
        <w:t>There is no pre-established target for the allocation between (i) cash and equity-based compensation and (ii) short-term and long-term incentive compensation. The Compensation Committee considers, among other things, Company performance, individual performance, and market compensation data, as well as its own subjective judgment to determine the appropriate level and mix of each component of the executive compensation program.</w:t>
      </w:r>
    </w:p>
    <w:p>
      <w:pPr>
        <w:spacing w:after="0" w:line="31" w:lineRule="exact"/>
        <w:rPr>
          <w:sz w:val="20"/>
          <w:szCs w:val="20"/>
          <w:color w:val="auto"/>
        </w:rPr>
      </w:pPr>
    </w:p>
    <w:p>
      <w:pPr>
        <w:ind w:right="100" w:firstLine="398"/>
        <w:spacing w:after="0" w:line="255" w:lineRule="auto"/>
        <w:rPr>
          <w:sz w:val="20"/>
          <w:szCs w:val="20"/>
          <w:color w:val="auto"/>
        </w:rPr>
      </w:pPr>
      <w:r>
        <w:rPr>
          <w:rFonts w:ascii="Arial" w:cs="Arial" w:eastAsia="Arial" w:hAnsi="Arial"/>
          <w:sz w:val="18"/>
          <w:szCs w:val="18"/>
          <w:color w:val="auto"/>
        </w:rPr>
        <w:t>As shown in the Named Executive Officer Compensation Composition chart below, a significant portion, 64%, of average 2021 direct compensation for the named executive officers represented "at risk" compensation, delivered in the form of performance-based annual cash incentive awards and time-based long-term equity awards. This compensation range aligns with that of Mr. Casey, as shown below:</w:t>
      </w:r>
    </w:p>
    <w:p>
      <w:pPr>
        <w:spacing w:after="0" w:line="200" w:lineRule="exact"/>
        <w:rPr>
          <w:sz w:val="20"/>
          <w:szCs w:val="20"/>
          <w:color w:val="auto"/>
        </w:rPr>
      </w:pPr>
    </w:p>
    <w:p>
      <w:pPr>
        <w:spacing w:after="0" w:line="22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60"/>
          </w:cols>
          <w:pgMar w:left="320" w:top="552" w:right="319" w:bottom="1440" w:gutter="0" w:footer="0" w:header="0"/>
        </w:sectPr>
      </w:pPr>
    </w:p>
    <w:bookmarkStart w:id="24" w:name="page25"/>
    <w:bookmarkEnd w:id="2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1419860</wp:posOffset>
            </wp:positionH>
            <wp:positionV relativeFrom="page">
              <wp:posOffset>358140</wp:posOffset>
            </wp:positionV>
            <wp:extent cx="4970145" cy="60229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970145" cy="6022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Role of the Compensation Committee</w:t>
      </w:r>
    </w:p>
    <w:p>
      <w:pPr>
        <w:spacing w:after="0" w:line="117" w:lineRule="exact"/>
        <w:rPr>
          <w:sz w:val="20"/>
          <w:szCs w:val="20"/>
          <w:color w:val="auto"/>
        </w:rPr>
      </w:pPr>
    </w:p>
    <w:p>
      <w:pPr>
        <w:ind w:firstLine="637"/>
        <w:spacing w:after="0" w:line="265" w:lineRule="auto"/>
        <w:rPr>
          <w:sz w:val="20"/>
          <w:szCs w:val="20"/>
          <w:color w:val="auto"/>
        </w:rPr>
      </w:pPr>
      <w:r>
        <w:rPr>
          <w:rFonts w:ascii="Arial" w:cs="Arial" w:eastAsia="Arial" w:hAnsi="Arial"/>
          <w:sz w:val="18"/>
          <w:szCs w:val="18"/>
          <w:color w:val="auto"/>
        </w:rPr>
        <w:t>The Board of Directors oversees the goals and objectives of the Company and the CEO, evaluates succession planning with respect to the CEO and evaluates the CEO’s performance. The Compensation Committee supports the Board by:</w:t>
      </w:r>
    </w:p>
    <w:p>
      <w:pPr>
        <w:spacing w:after="0" w:line="95" w:lineRule="exact"/>
        <w:rPr>
          <w:sz w:val="20"/>
          <w:szCs w:val="20"/>
          <w:color w:val="auto"/>
        </w:rPr>
      </w:pPr>
    </w:p>
    <w:p>
      <w:pPr>
        <w:ind w:left="640" w:hanging="316"/>
        <w:spacing w:after="0"/>
        <w:tabs>
          <w:tab w:leader="none" w:pos="640" w:val="left"/>
        </w:tabs>
        <w:numPr>
          <w:ilvl w:val="0"/>
          <w:numId w:val="43"/>
        </w:numPr>
        <w:rPr>
          <w:rFonts w:ascii="Arial" w:cs="Arial" w:eastAsia="Arial" w:hAnsi="Arial"/>
          <w:sz w:val="21"/>
          <w:szCs w:val="21"/>
          <w:color w:val="auto"/>
        </w:rPr>
      </w:pPr>
      <w:r>
        <w:rPr>
          <w:rFonts w:ascii="Arial" w:cs="Arial" w:eastAsia="Arial" w:hAnsi="Arial"/>
          <w:sz w:val="18"/>
          <w:szCs w:val="18"/>
          <w:color w:val="auto"/>
        </w:rPr>
        <w:t>Establishing the executive compensation philosophy and objectives,</w:t>
      </w:r>
    </w:p>
    <w:p>
      <w:pPr>
        <w:spacing w:after="0" w:line="116" w:lineRule="exact"/>
        <w:rPr>
          <w:rFonts w:ascii="Arial" w:cs="Arial" w:eastAsia="Arial" w:hAnsi="Arial"/>
          <w:sz w:val="21"/>
          <w:szCs w:val="21"/>
          <w:color w:val="auto"/>
        </w:rPr>
      </w:pPr>
    </w:p>
    <w:p>
      <w:pPr>
        <w:ind w:left="640" w:hanging="316"/>
        <w:spacing w:after="0"/>
        <w:tabs>
          <w:tab w:leader="none" w:pos="640" w:val="left"/>
        </w:tabs>
        <w:numPr>
          <w:ilvl w:val="0"/>
          <w:numId w:val="43"/>
        </w:numPr>
        <w:rPr>
          <w:rFonts w:ascii="Arial" w:cs="Arial" w:eastAsia="Arial" w:hAnsi="Arial"/>
          <w:sz w:val="21"/>
          <w:szCs w:val="21"/>
          <w:color w:val="auto"/>
        </w:rPr>
      </w:pPr>
      <w:r>
        <w:rPr>
          <w:rFonts w:ascii="Arial" w:cs="Arial" w:eastAsia="Arial" w:hAnsi="Arial"/>
          <w:sz w:val="18"/>
          <w:szCs w:val="18"/>
          <w:color w:val="auto"/>
        </w:rPr>
        <w:t>Overseeing the development and implementation of the Company’s compensation and benefits policies,</w:t>
      </w:r>
    </w:p>
    <w:p>
      <w:pPr>
        <w:spacing w:after="0" w:line="128" w:lineRule="exact"/>
        <w:rPr>
          <w:rFonts w:ascii="Arial" w:cs="Arial" w:eastAsia="Arial" w:hAnsi="Arial"/>
          <w:sz w:val="21"/>
          <w:szCs w:val="21"/>
          <w:color w:val="auto"/>
        </w:rPr>
      </w:pPr>
    </w:p>
    <w:p>
      <w:pPr>
        <w:ind w:left="640" w:hanging="316"/>
        <w:spacing w:after="0"/>
        <w:tabs>
          <w:tab w:leader="none" w:pos="640" w:val="left"/>
        </w:tabs>
        <w:numPr>
          <w:ilvl w:val="0"/>
          <w:numId w:val="43"/>
        </w:numPr>
        <w:rPr>
          <w:rFonts w:ascii="Arial" w:cs="Arial" w:eastAsia="Arial" w:hAnsi="Arial"/>
          <w:sz w:val="20"/>
          <w:szCs w:val="20"/>
          <w:color w:val="auto"/>
        </w:rPr>
      </w:pPr>
      <w:r>
        <w:rPr>
          <w:rFonts w:ascii="Arial" w:cs="Arial" w:eastAsia="Arial" w:hAnsi="Arial"/>
          <w:sz w:val="17"/>
          <w:szCs w:val="17"/>
          <w:color w:val="auto"/>
        </w:rPr>
        <w:t>Reviewing and approving Company and individual goals relevant to the compensation of the CEO and other named executive officers,</w:t>
      </w:r>
    </w:p>
    <w:p>
      <w:pPr>
        <w:spacing w:after="0" w:line="116" w:lineRule="exact"/>
        <w:rPr>
          <w:rFonts w:ascii="Arial" w:cs="Arial" w:eastAsia="Arial" w:hAnsi="Arial"/>
          <w:sz w:val="20"/>
          <w:szCs w:val="20"/>
          <w:color w:val="auto"/>
        </w:rPr>
      </w:pPr>
    </w:p>
    <w:p>
      <w:pPr>
        <w:ind w:left="640" w:hanging="316"/>
        <w:spacing w:after="0"/>
        <w:tabs>
          <w:tab w:leader="none" w:pos="640" w:val="left"/>
        </w:tabs>
        <w:numPr>
          <w:ilvl w:val="0"/>
          <w:numId w:val="43"/>
        </w:numPr>
        <w:rPr>
          <w:rFonts w:ascii="Arial" w:cs="Arial" w:eastAsia="Arial" w:hAnsi="Arial"/>
          <w:sz w:val="21"/>
          <w:szCs w:val="21"/>
          <w:color w:val="auto"/>
        </w:rPr>
      </w:pPr>
      <w:r>
        <w:rPr>
          <w:rFonts w:ascii="Arial" w:cs="Arial" w:eastAsia="Arial" w:hAnsi="Arial"/>
          <w:sz w:val="18"/>
          <w:szCs w:val="18"/>
          <w:color w:val="auto"/>
        </w:rPr>
        <w:t>Approving the compensation of the CEO, subject to ratification by the Board of Directors, and</w:t>
      </w:r>
    </w:p>
    <w:p>
      <w:pPr>
        <w:spacing w:after="0" w:line="116" w:lineRule="exact"/>
        <w:rPr>
          <w:rFonts w:ascii="Arial" w:cs="Arial" w:eastAsia="Arial" w:hAnsi="Arial"/>
          <w:sz w:val="21"/>
          <w:szCs w:val="21"/>
          <w:color w:val="auto"/>
        </w:rPr>
      </w:pPr>
    </w:p>
    <w:p>
      <w:pPr>
        <w:ind w:left="640" w:hanging="316"/>
        <w:spacing w:after="0"/>
        <w:tabs>
          <w:tab w:leader="none" w:pos="640" w:val="left"/>
        </w:tabs>
        <w:numPr>
          <w:ilvl w:val="0"/>
          <w:numId w:val="43"/>
        </w:numPr>
        <w:rPr>
          <w:rFonts w:ascii="Arial" w:cs="Arial" w:eastAsia="Arial" w:hAnsi="Arial"/>
          <w:sz w:val="21"/>
          <w:szCs w:val="21"/>
          <w:color w:val="auto"/>
        </w:rPr>
      </w:pPr>
      <w:r>
        <w:rPr>
          <w:rFonts w:ascii="Arial" w:cs="Arial" w:eastAsia="Arial" w:hAnsi="Arial"/>
          <w:sz w:val="18"/>
          <w:szCs w:val="18"/>
          <w:color w:val="auto"/>
        </w:rPr>
        <w:t>Approving the compensation of the other named executive officers, and</w:t>
      </w:r>
    </w:p>
    <w:p>
      <w:pPr>
        <w:spacing w:after="0" w:line="94" w:lineRule="exact"/>
        <w:rPr>
          <w:rFonts w:ascii="Arial" w:cs="Arial" w:eastAsia="Arial" w:hAnsi="Arial"/>
          <w:sz w:val="21"/>
          <w:szCs w:val="21"/>
          <w:color w:val="auto"/>
        </w:rPr>
      </w:pPr>
    </w:p>
    <w:p>
      <w:pPr>
        <w:ind w:left="640" w:hanging="316"/>
        <w:spacing w:after="0"/>
        <w:tabs>
          <w:tab w:leader="none" w:pos="6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Reviewing management development and succession plans related to executive officers, and</w:t>
      </w:r>
    </w:p>
    <w:p>
      <w:pPr>
        <w:spacing w:after="0" w:line="111" w:lineRule="exact"/>
        <w:rPr>
          <w:rFonts w:ascii="Arial" w:cs="Arial" w:eastAsia="Arial" w:hAnsi="Arial"/>
          <w:sz w:val="18"/>
          <w:szCs w:val="18"/>
          <w:color w:val="auto"/>
        </w:rPr>
      </w:pPr>
    </w:p>
    <w:p>
      <w:pPr>
        <w:jc w:val="center"/>
        <w:ind w:left="5540" w:right="140" w:hanging="5216"/>
        <w:spacing w:after="0" w:line="388" w:lineRule="auto"/>
        <w:tabs>
          <w:tab w:leader="none" w:pos="643"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Reviewing the company’s initiatives related to human capital management, diversity, equity and inclusion programs and other workforce initiatives. 18</w:t>
      </w:r>
    </w:p>
    <w:p>
      <w:pPr>
        <w:sectPr>
          <w:pgSz w:w="11900" w:h="16838" w:orient="portrait"/>
          <w:cols w:equalWidth="0" w:num="1">
            <w:col w:w="11240"/>
          </w:cols>
          <w:pgMar w:left="320" w:top="1440" w:right="339" w:bottom="1440" w:gutter="0" w:footer="0" w:header="0"/>
        </w:sectPr>
      </w:pPr>
    </w:p>
    <w:bookmarkStart w:id="25" w:name="page26"/>
    <w:bookmarkEnd w:id="25"/>
    <w:p>
      <w:pPr>
        <w:ind w:right="100" w:firstLine="398"/>
        <w:spacing w:after="0" w:line="265" w:lineRule="auto"/>
        <w:rPr>
          <w:sz w:val="20"/>
          <w:szCs w:val="20"/>
          <w:color w:val="auto"/>
        </w:rPr>
      </w:pPr>
      <w:r>
        <w:rPr>
          <w:rFonts w:ascii="Arial" w:cs="Arial" w:eastAsia="Arial" w:hAnsi="Arial"/>
          <w:sz w:val="18"/>
          <w:szCs w:val="18"/>
          <w:color w:val="auto"/>
        </w:rPr>
        <w:t>The Compensation Committee’s responsibilities under its charter are further described in the “Corporate Governance Information—Board Committees” section of this proxy statement.</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Role of Senior Management</w:t>
      </w:r>
    </w:p>
    <w:p>
      <w:pPr>
        <w:spacing w:after="0" w:line="157" w:lineRule="exact"/>
        <w:rPr>
          <w:sz w:val="20"/>
          <w:szCs w:val="20"/>
          <w:color w:val="auto"/>
        </w:rPr>
      </w:pPr>
    </w:p>
    <w:p>
      <w:pPr>
        <w:ind w:right="60" w:firstLine="398"/>
        <w:spacing w:after="0" w:line="277" w:lineRule="auto"/>
        <w:rPr>
          <w:sz w:val="20"/>
          <w:szCs w:val="20"/>
          <w:color w:val="auto"/>
        </w:rPr>
      </w:pPr>
      <w:r>
        <w:rPr>
          <w:rFonts w:ascii="Arial" w:cs="Arial" w:eastAsia="Arial" w:hAnsi="Arial"/>
          <w:sz w:val="17"/>
          <w:szCs w:val="17"/>
          <w:color w:val="auto"/>
        </w:rPr>
        <w:t>The CEO, while not a member of the Compensation Committee, attended all of the meetings of the Compensation Committee held in 2021 to contribute to and understand the Committee’s oversight of, and decisions relating to, executive compensation. The CEO did not attend portions of the meetings relating to his own compensation. The Compensation Committee regularly conducts executive sessions without management present.</w:t>
      </w:r>
    </w:p>
    <w:p>
      <w:pPr>
        <w:spacing w:after="0" w:line="66" w:lineRule="exact"/>
        <w:rPr>
          <w:sz w:val="20"/>
          <w:szCs w:val="20"/>
          <w:color w:val="auto"/>
        </w:rPr>
      </w:pPr>
    </w:p>
    <w:p>
      <w:pPr>
        <w:ind w:right="160" w:firstLine="398"/>
        <w:spacing w:after="0" w:line="255" w:lineRule="auto"/>
        <w:rPr>
          <w:sz w:val="20"/>
          <w:szCs w:val="20"/>
          <w:color w:val="auto"/>
        </w:rPr>
      </w:pPr>
      <w:r>
        <w:rPr>
          <w:rFonts w:ascii="Arial" w:cs="Arial" w:eastAsia="Arial" w:hAnsi="Arial"/>
          <w:sz w:val="18"/>
          <w:szCs w:val="18"/>
          <w:color w:val="auto"/>
        </w:rPr>
        <w:t>The Compensation Committee also engages in an ongoing dialog with the CEO and the Committee’s independent compensation consultants in the evaluation and establishment of the elements of our executive compensation program. Further, the Committee received input from the Senior Vice President, Head of Human Capital in making executive compensation decisions.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Role of the Independent Compensation Consultant</w:t>
      </w:r>
    </w:p>
    <w:p>
      <w:pPr>
        <w:spacing w:after="0" w:line="117" w:lineRule="exact"/>
        <w:rPr>
          <w:sz w:val="20"/>
          <w:szCs w:val="20"/>
          <w:color w:val="auto"/>
        </w:rPr>
      </w:pPr>
    </w:p>
    <w:p>
      <w:pPr>
        <w:ind w:right="180" w:firstLine="398"/>
        <w:spacing w:after="0" w:line="267" w:lineRule="auto"/>
        <w:rPr>
          <w:sz w:val="20"/>
          <w:szCs w:val="20"/>
          <w:color w:val="auto"/>
        </w:rPr>
      </w:pPr>
      <w:r>
        <w:rPr>
          <w:rFonts w:ascii="Arial" w:cs="Arial" w:eastAsia="Arial" w:hAnsi="Arial"/>
          <w:sz w:val="17"/>
          <w:szCs w:val="17"/>
          <w:color w:val="auto"/>
        </w:rPr>
        <w:t>For 2021, the Compensation Committee retained Meridian Compensation Partners, LLC (“Meridian”) to serve as an independent consultant to the Committee to provide information and objective advice regarding executive compensation. The Committee did not direct Meridian to perform its services in any particular manner or under any particular method. The Committee has the final authority to hire and terminate the compensation consultant, and the Committee evaluates the compensation consultant annually. Meridian does not provide any services to the Company other than in its role as advisor to the Committee, and the Committee has determined that no conflicts of interest exist as a result of the engagement of Meridian. The Committee has also retained Meridian as its independent consultant on executive and director compensation for 2022.</w:t>
      </w:r>
    </w:p>
    <w:p>
      <w:pPr>
        <w:spacing w:after="0" w:line="75" w:lineRule="exact"/>
        <w:rPr>
          <w:sz w:val="20"/>
          <w:szCs w:val="20"/>
          <w:color w:val="auto"/>
        </w:rPr>
      </w:pPr>
    </w:p>
    <w:p>
      <w:pPr>
        <w:ind w:right="620" w:firstLine="398"/>
        <w:spacing w:after="0" w:line="295" w:lineRule="auto"/>
        <w:rPr>
          <w:sz w:val="20"/>
          <w:szCs w:val="20"/>
          <w:color w:val="auto"/>
        </w:rPr>
      </w:pPr>
      <w:r>
        <w:rPr>
          <w:rFonts w:ascii="Arial" w:cs="Arial" w:eastAsia="Arial" w:hAnsi="Arial"/>
          <w:sz w:val="17"/>
          <w:szCs w:val="17"/>
          <w:color w:val="auto"/>
        </w:rPr>
        <w:t>From time to time, Meridian contacts the Company's executive officers, and the Compensation Committee, for necessary information and makes presentations to and on behalf of the Compensation Committee that the Company's executive officers also receive.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Setting Executive Compensation</w:t>
      </w:r>
    </w:p>
    <w:p>
      <w:pPr>
        <w:spacing w:after="0" w:line="117" w:lineRule="exact"/>
        <w:rPr>
          <w:sz w:val="20"/>
          <w:szCs w:val="20"/>
          <w:color w:val="auto"/>
        </w:rPr>
      </w:pPr>
    </w:p>
    <w:p>
      <w:pPr>
        <w:ind w:right="100" w:firstLine="398"/>
        <w:spacing w:after="0" w:line="366" w:lineRule="auto"/>
        <w:rPr>
          <w:sz w:val="20"/>
          <w:szCs w:val="20"/>
          <w:color w:val="auto"/>
        </w:rPr>
      </w:pPr>
      <w:r>
        <w:rPr>
          <w:rFonts w:ascii="Arial" w:cs="Arial" w:eastAsia="Arial" w:hAnsi="Arial"/>
          <w:sz w:val="15"/>
          <w:szCs w:val="15"/>
          <w:color w:val="auto"/>
        </w:rPr>
        <w:t>Based on the foregoing philosophy and objectives, the Compensation Committee structures the executive compensation program to motivate our named executive officers to achieve the Company’s business objectives and strategies and to reward them for achieving such objectives and strategies.</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Compensation Committee’s Annual Review Process</w:t>
      </w:r>
    </w:p>
    <w:p>
      <w:pPr>
        <w:spacing w:after="0" w:line="111" w:lineRule="exact"/>
        <w:rPr>
          <w:sz w:val="20"/>
          <w:szCs w:val="20"/>
          <w:color w:val="auto"/>
        </w:rPr>
      </w:pPr>
    </w:p>
    <w:p>
      <w:pPr>
        <w:ind w:right="180" w:firstLine="398"/>
        <w:spacing w:after="0" w:line="255" w:lineRule="auto"/>
        <w:rPr>
          <w:sz w:val="20"/>
          <w:szCs w:val="20"/>
          <w:color w:val="auto"/>
        </w:rPr>
      </w:pPr>
      <w:r>
        <w:rPr>
          <w:rFonts w:ascii="Arial" w:cs="Arial" w:eastAsia="Arial" w:hAnsi="Arial"/>
          <w:sz w:val="18"/>
          <w:szCs w:val="18"/>
          <w:color w:val="auto"/>
        </w:rPr>
        <w:t>The Compensation Committee’s process for overseeing the executive compensation program is conducted throughout the year based on an annual calendar of review and approval activities. The table below provides an overview of key activities in the review and approval of our executive 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229235</wp:posOffset>
            </wp:positionV>
            <wp:extent cx="7143115" cy="17773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3115" cy="1777365"/>
                    </a:xfrm>
                    <a:prstGeom prst="rect">
                      <a:avLst/>
                    </a:prstGeom>
                    <a:noFill/>
                  </pic:spPr>
                </pic:pic>
              </a:graphicData>
            </a:graphic>
          </wp:anchor>
        </w:drawing>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20" w:type="dxa"/>
            <w:vAlign w:val="bottom"/>
          </w:tcPr>
          <w:p>
            <w:pPr>
              <w:ind w:left="40"/>
              <w:spacing w:after="0"/>
              <w:rPr>
                <w:sz w:val="20"/>
                <w:szCs w:val="20"/>
                <w:color w:val="auto"/>
              </w:rPr>
            </w:pPr>
            <w:r>
              <w:rPr>
                <w:rFonts w:ascii="Arial" w:cs="Arial" w:eastAsia="Arial" w:hAnsi="Arial"/>
                <w:sz w:val="18"/>
                <w:szCs w:val="18"/>
                <w:color w:val="auto"/>
              </w:rPr>
              <w:t>Establishing Target</w:t>
            </w:r>
          </w:p>
        </w:tc>
        <w:tc>
          <w:tcPr>
            <w:tcW w:w="9640" w:type="dxa"/>
            <w:vAlign w:val="bottom"/>
          </w:tcPr>
          <w:p>
            <w:pPr>
              <w:ind w:left="140"/>
              <w:spacing w:after="0"/>
              <w:rPr>
                <w:sz w:val="20"/>
                <w:szCs w:val="20"/>
                <w:color w:val="auto"/>
              </w:rPr>
            </w:pPr>
            <w:r>
              <w:rPr>
                <w:rFonts w:ascii="Arial" w:cs="Arial" w:eastAsia="Arial" w:hAnsi="Arial"/>
                <w:sz w:val="18"/>
                <w:szCs w:val="18"/>
                <w:color w:val="auto"/>
              </w:rPr>
              <w:t>• Review and approve annual budget and performance objectives presented by senior management</w:t>
            </w:r>
          </w:p>
        </w:tc>
        <w:tc>
          <w:tcPr>
            <w:tcW w:w="0" w:type="dxa"/>
            <w:vAlign w:val="bottom"/>
          </w:tcPr>
          <w:p>
            <w:pPr>
              <w:spacing w:after="0"/>
              <w:rPr>
                <w:sz w:val="1"/>
                <w:szCs w:val="1"/>
                <w:color w:val="auto"/>
              </w:rPr>
            </w:pPr>
          </w:p>
        </w:tc>
      </w:tr>
      <w:tr>
        <w:trPr>
          <w:trHeight w:val="172"/>
        </w:trPr>
        <w:tc>
          <w:tcPr>
            <w:tcW w:w="1620" w:type="dxa"/>
            <w:vAlign w:val="bottom"/>
          </w:tcPr>
          <w:p>
            <w:pPr>
              <w:ind w:left="40"/>
              <w:spacing w:after="0" w:line="172" w:lineRule="exact"/>
              <w:rPr>
                <w:sz w:val="20"/>
                <w:szCs w:val="20"/>
                <w:color w:val="auto"/>
              </w:rPr>
            </w:pPr>
            <w:r>
              <w:rPr>
                <w:rFonts w:ascii="Arial" w:cs="Arial" w:eastAsia="Arial" w:hAnsi="Arial"/>
                <w:sz w:val="18"/>
                <w:szCs w:val="18"/>
                <w:color w:val="auto"/>
              </w:rPr>
              <w:t>Compensation</w:t>
            </w:r>
          </w:p>
        </w:tc>
        <w:tc>
          <w:tcPr>
            <w:tcW w:w="9640" w:type="dxa"/>
            <w:vAlign w:val="bottom"/>
            <w:vMerge w:val="restart"/>
          </w:tcPr>
          <w:p>
            <w:pPr>
              <w:ind w:left="140"/>
              <w:spacing w:after="0"/>
              <w:rPr>
                <w:sz w:val="20"/>
                <w:szCs w:val="20"/>
                <w:color w:val="auto"/>
              </w:rPr>
            </w:pPr>
            <w:r>
              <w:rPr>
                <w:rFonts w:ascii="Arial" w:cs="Arial" w:eastAsia="Arial" w:hAnsi="Arial"/>
                <w:sz w:val="18"/>
                <w:szCs w:val="18"/>
                <w:color w:val="auto"/>
              </w:rPr>
              <w:t>• Review and approve design of short- and long-term incentive programs for the year</w:t>
            </w:r>
          </w:p>
        </w:tc>
        <w:tc>
          <w:tcPr>
            <w:tcW w:w="0" w:type="dxa"/>
            <w:vAlign w:val="bottom"/>
          </w:tcPr>
          <w:p>
            <w:pPr>
              <w:spacing w:after="0"/>
              <w:rPr>
                <w:sz w:val="1"/>
                <w:szCs w:val="1"/>
                <w:color w:val="auto"/>
              </w:rPr>
            </w:pPr>
          </w:p>
        </w:tc>
      </w:tr>
      <w:tr>
        <w:trPr>
          <w:trHeight w:val="117"/>
        </w:trPr>
        <w:tc>
          <w:tcPr>
            <w:tcW w:w="1620" w:type="dxa"/>
            <w:vAlign w:val="bottom"/>
            <w:vMerge w:val="restart"/>
          </w:tcPr>
          <w:p>
            <w:pPr>
              <w:ind w:left="40"/>
              <w:spacing w:after="0" w:line="172" w:lineRule="exact"/>
              <w:rPr>
                <w:sz w:val="20"/>
                <w:szCs w:val="20"/>
                <w:color w:val="auto"/>
              </w:rPr>
            </w:pPr>
            <w:r>
              <w:rPr>
                <w:rFonts w:ascii="Arial" w:cs="Arial" w:eastAsia="Arial" w:hAnsi="Arial"/>
                <w:sz w:val="18"/>
                <w:szCs w:val="18"/>
                <w:color w:val="auto"/>
              </w:rPr>
              <w:t>Opportunities and</w:t>
            </w:r>
          </w:p>
        </w:tc>
        <w:tc>
          <w:tcPr>
            <w:tcW w:w="9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5"/>
        </w:trPr>
        <w:tc>
          <w:tcPr>
            <w:tcW w:w="1620" w:type="dxa"/>
            <w:vAlign w:val="bottom"/>
            <w:vMerge w:val="continue"/>
          </w:tcPr>
          <w:p>
            <w:pPr>
              <w:spacing w:after="0"/>
              <w:rPr>
                <w:sz w:val="4"/>
                <w:szCs w:val="4"/>
                <w:color w:val="auto"/>
              </w:rPr>
            </w:pPr>
          </w:p>
        </w:tc>
        <w:tc>
          <w:tcPr>
            <w:tcW w:w="9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1620" w:type="dxa"/>
            <w:vAlign w:val="bottom"/>
          </w:tcPr>
          <w:p>
            <w:pPr>
              <w:ind w:left="40"/>
              <w:spacing w:after="0" w:line="172" w:lineRule="exact"/>
              <w:rPr>
                <w:sz w:val="20"/>
                <w:szCs w:val="20"/>
                <w:color w:val="auto"/>
              </w:rPr>
            </w:pPr>
            <w:r>
              <w:rPr>
                <w:rFonts w:ascii="Arial" w:cs="Arial" w:eastAsia="Arial" w:hAnsi="Arial"/>
                <w:sz w:val="18"/>
                <w:szCs w:val="18"/>
                <w:color w:val="auto"/>
              </w:rPr>
              <w:t>Performance</w:t>
            </w:r>
          </w:p>
        </w:tc>
        <w:tc>
          <w:tcPr>
            <w:tcW w:w="9640" w:type="dxa"/>
            <w:vAlign w:val="bottom"/>
            <w:vMerge w:val="restart"/>
          </w:tcPr>
          <w:p>
            <w:pPr>
              <w:ind w:left="140"/>
              <w:spacing w:after="0"/>
              <w:rPr>
                <w:sz w:val="20"/>
                <w:szCs w:val="20"/>
                <w:color w:val="auto"/>
              </w:rPr>
            </w:pPr>
            <w:r>
              <w:rPr>
                <w:rFonts w:ascii="Arial" w:cs="Arial" w:eastAsia="Arial" w:hAnsi="Arial"/>
                <w:sz w:val="18"/>
                <w:szCs w:val="18"/>
                <w:color w:val="auto"/>
              </w:rPr>
              <w:t>• Review and approve target compensation opportunities for the CEO, subject to ratification by the Board of Directors</w:t>
            </w:r>
          </w:p>
        </w:tc>
        <w:tc>
          <w:tcPr>
            <w:tcW w:w="0" w:type="dxa"/>
            <w:vAlign w:val="bottom"/>
          </w:tcPr>
          <w:p>
            <w:pPr>
              <w:spacing w:after="0"/>
              <w:rPr>
                <w:sz w:val="1"/>
                <w:szCs w:val="1"/>
                <w:color w:val="auto"/>
              </w:rPr>
            </w:pPr>
          </w:p>
        </w:tc>
      </w:tr>
      <w:tr>
        <w:trPr>
          <w:trHeight w:val="117"/>
        </w:trPr>
        <w:tc>
          <w:tcPr>
            <w:tcW w:w="1620" w:type="dxa"/>
            <w:vAlign w:val="bottom"/>
            <w:vMerge w:val="restart"/>
          </w:tcPr>
          <w:p>
            <w:pPr>
              <w:ind w:left="40"/>
              <w:spacing w:after="0"/>
              <w:rPr>
                <w:sz w:val="20"/>
                <w:szCs w:val="20"/>
                <w:color w:val="auto"/>
              </w:rPr>
            </w:pPr>
            <w:r>
              <w:rPr>
                <w:rFonts w:ascii="Arial" w:cs="Arial" w:eastAsia="Arial" w:hAnsi="Arial"/>
                <w:sz w:val="18"/>
                <w:szCs w:val="18"/>
                <w:color w:val="auto"/>
              </w:rPr>
              <w:t>Objectives</w:t>
            </w:r>
          </w:p>
        </w:tc>
        <w:tc>
          <w:tcPr>
            <w:tcW w:w="9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1620" w:type="dxa"/>
            <w:vAlign w:val="bottom"/>
            <w:vMerge w:val="continue"/>
          </w:tcPr>
          <w:p>
            <w:pPr>
              <w:spacing w:after="0"/>
              <w:rPr>
                <w:sz w:val="9"/>
                <w:szCs w:val="9"/>
                <w:color w:val="auto"/>
              </w:rPr>
            </w:pPr>
          </w:p>
        </w:tc>
        <w:tc>
          <w:tcPr>
            <w:tcW w:w="9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9"/>
        </w:trPr>
        <w:tc>
          <w:tcPr>
            <w:tcW w:w="1620" w:type="dxa"/>
            <w:vAlign w:val="bottom"/>
          </w:tcPr>
          <w:p>
            <w:pPr>
              <w:spacing w:after="0"/>
              <w:rPr>
                <w:sz w:val="20"/>
                <w:szCs w:val="20"/>
                <w:color w:val="auto"/>
              </w:rPr>
            </w:pPr>
          </w:p>
        </w:tc>
        <w:tc>
          <w:tcPr>
            <w:tcW w:w="9640" w:type="dxa"/>
            <w:vAlign w:val="bottom"/>
          </w:tcPr>
          <w:p>
            <w:pPr>
              <w:ind w:left="140"/>
              <w:spacing w:after="0"/>
              <w:rPr>
                <w:sz w:val="20"/>
                <w:szCs w:val="20"/>
                <w:color w:val="auto"/>
              </w:rPr>
            </w:pPr>
            <w:r>
              <w:rPr>
                <w:rFonts w:ascii="Arial" w:cs="Arial" w:eastAsia="Arial" w:hAnsi="Arial"/>
                <w:sz w:val="18"/>
                <w:szCs w:val="18"/>
                <w:color w:val="auto"/>
              </w:rPr>
              <w:t>• Review and approve target compensation opportunities for other named executive officers</w:t>
            </w:r>
          </w:p>
        </w:tc>
        <w:tc>
          <w:tcPr>
            <w:tcW w:w="0" w:type="dxa"/>
            <w:vAlign w:val="bottom"/>
          </w:tcPr>
          <w:p>
            <w:pPr>
              <w:spacing w:after="0"/>
              <w:rPr>
                <w:sz w:val="1"/>
                <w:szCs w:val="1"/>
                <w:color w:val="auto"/>
              </w:rPr>
            </w:pPr>
          </w:p>
        </w:tc>
      </w:tr>
      <w:tr>
        <w:trPr>
          <w:trHeight w:val="28"/>
        </w:trPr>
        <w:tc>
          <w:tcPr>
            <w:tcW w:w="1620" w:type="dxa"/>
            <w:vAlign w:val="bottom"/>
            <w:tcBorders>
              <w:bottom w:val="single" w:sz="8" w:color="auto"/>
            </w:tcBorders>
          </w:tcPr>
          <w:p>
            <w:pPr>
              <w:spacing w:after="0"/>
              <w:rPr>
                <w:sz w:val="2"/>
                <w:szCs w:val="2"/>
                <w:color w:val="auto"/>
              </w:rPr>
            </w:pPr>
          </w:p>
        </w:tc>
        <w:tc>
          <w:tcPr>
            <w:tcW w:w="9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1620" w:type="dxa"/>
            <w:vAlign w:val="bottom"/>
          </w:tcPr>
          <w:p>
            <w:pPr>
              <w:ind w:left="40"/>
              <w:spacing w:after="0" w:line="181" w:lineRule="exact"/>
              <w:rPr>
                <w:sz w:val="20"/>
                <w:szCs w:val="20"/>
                <w:color w:val="auto"/>
              </w:rPr>
            </w:pPr>
            <w:r>
              <w:rPr>
                <w:rFonts w:ascii="Arial" w:cs="Arial" w:eastAsia="Arial" w:hAnsi="Arial"/>
                <w:sz w:val="18"/>
                <w:szCs w:val="18"/>
                <w:color w:val="auto"/>
                <w:w w:val="99"/>
              </w:rPr>
              <w:t>Mid-Year Review of</w:t>
            </w:r>
          </w:p>
        </w:tc>
        <w:tc>
          <w:tcPr>
            <w:tcW w:w="9640" w:type="dxa"/>
            <w:vAlign w:val="bottom"/>
          </w:tcPr>
          <w:p>
            <w:pPr>
              <w:ind w:left="140"/>
              <w:spacing w:after="0" w:line="181" w:lineRule="exact"/>
              <w:rPr>
                <w:sz w:val="20"/>
                <w:szCs w:val="20"/>
                <w:color w:val="auto"/>
              </w:rPr>
            </w:pPr>
            <w:r>
              <w:rPr>
                <w:rFonts w:ascii="Arial" w:cs="Arial" w:eastAsia="Arial" w:hAnsi="Arial"/>
                <w:sz w:val="18"/>
                <w:szCs w:val="18"/>
                <w:color w:val="auto"/>
              </w:rPr>
              <w:t>• Review Company performance and progress toward performance objectives</w:t>
            </w:r>
          </w:p>
        </w:tc>
        <w:tc>
          <w:tcPr>
            <w:tcW w:w="0" w:type="dxa"/>
            <w:vAlign w:val="bottom"/>
          </w:tcPr>
          <w:p>
            <w:pPr>
              <w:spacing w:after="0"/>
              <w:rPr>
                <w:sz w:val="1"/>
                <w:szCs w:val="1"/>
                <w:color w:val="auto"/>
              </w:rPr>
            </w:pPr>
          </w:p>
        </w:tc>
      </w:tr>
    </w:tbl>
    <w:p>
      <w:pPr>
        <w:ind w:left="40" w:right="3120"/>
        <w:spacing w:after="0" w:line="186" w:lineRule="auto"/>
        <w:rPr>
          <w:sz w:val="20"/>
          <w:szCs w:val="20"/>
          <w:color w:val="auto"/>
        </w:rPr>
      </w:pPr>
      <w:r>
        <w:rPr>
          <w:rFonts w:ascii="Arial" w:cs="Arial" w:eastAsia="Arial" w:hAnsi="Arial"/>
          <w:sz w:val="26"/>
          <w:szCs w:val="26"/>
          <w:color w:val="auto"/>
          <w:vertAlign w:val="superscript"/>
        </w:rPr>
        <w:t>Compensation Program</w:t>
      </w:r>
      <w:r>
        <w:rPr>
          <w:rFonts w:ascii="Arial" w:cs="Arial" w:eastAsia="Arial" w:hAnsi="Arial"/>
          <w:sz w:val="14"/>
          <w:szCs w:val="14"/>
          <w:color w:val="auto"/>
        </w:rPr>
        <w:t xml:space="preserve"> • Review compensation market data and trends as compiled by the independent consultant and Market Trends</w:t>
      </w:r>
    </w:p>
    <w:p>
      <w:pPr>
        <w:spacing w:after="0" w:line="2" w:lineRule="exact"/>
        <w:rPr>
          <w:sz w:val="20"/>
          <w:szCs w:val="20"/>
          <w:color w:val="auto"/>
        </w:rPr>
      </w:pPr>
    </w:p>
    <w:p>
      <w:pPr>
        <w:ind w:left="1860" w:hanging="98"/>
        <w:spacing w:after="0"/>
        <w:tabs>
          <w:tab w:leader="none" w:pos="18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Review the compensation philosophy and compensation components</w:t>
      </w:r>
    </w:p>
    <w:p>
      <w:pPr>
        <w:spacing w:after="0" w:line="44" w:lineRule="exact"/>
        <w:rPr>
          <w:rFonts w:ascii="Arial" w:cs="Arial" w:eastAsia="Arial" w:hAnsi="Arial"/>
          <w:sz w:val="18"/>
          <w:szCs w:val="18"/>
          <w:color w:val="auto"/>
        </w:rPr>
      </w:pPr>
    </w:p>
    <w:p>
      <w:pPr>
        <w:ind w:left="1860" w:hanging="98"/>
        <w:spacing w:after="0"/>
        <w:tabs>
          <w:tab w:leader="none" w:pos="18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Consider the results of the say-on-pay vote and stockholder feedback</w:t>
      </w:r>
    </w:p>
    <w:p>
      <w:pPr>
        <w:spacing w:after="0" w:line="36"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560" w:type="dxa"/>
            <w:vAlign w:val="bottom"/>
          </w:tcPr>
          <w:p>
            <w:pPr>
              <w:spacing w:after="0"/>
              <w:rPr>
                <w:sz w:val="20"/>
                <w:szCs w:val="20"/>
                <w:color w:val="auto"/>
              </w:rPr>
            </w:pPr>
            <w:r>
              <w:rPr>
                <w:rFonts w:ascii="Arial" w:cs="Arial" w:eastAsia="Arial" w:hAnsi="Arial"/>
                <w:sz w:val="18"/>
                <w:szCs w:val="18"/>
                <w:color w:val="auto"/>
                <w:w w:val="94"/>
              </w:rPr>
              <w:t>Assessing Year-End</w:t>
            </w:r>
          </w:p>
        </w:tc>
        <w:tc>
          <w:tcPr>
            <w:tcW w:w="7280" w:type="dxa"/>
            <w:vAlign w:val="bottom"/>
          </w:tcPr>
          <w:p>
            <w:pPr>
              <w:ind w:left="160"/>
              <w:spacing w:after="0"/>
              <w:rPr>
                <w:sz w:val="20"/>
                <w:szCs w:val="20"/>
                <w:color w:val="auto"/>
              </w:rPr>
            </w:pPr>
            <w:r>
              <w:rPr>
                <w:rFonts w:ascii="Arial" w:cs="Arial" w:eastAsia="Arial" w:hAnsi="Arial"/>
                <w:sz w:val="18"/>
                <w:szCs w:val="18"/>
                <w:color w:val="auto"/>
                <w:w w:val="87"/>
              </w:rPr>
              <w:t>• Assess Company performance against approved objectives and determine annual incentive payouts</w:t>
            </w:r>
          </w:p>
        </w:tc>
        <w:tc>
          <w:tcPr>
            <w:tcW w:w="0" w:type="dxa"/>
            <w:vAlign w:val="bottom"/>
          </w:tcPr>
          <w:p>
            <w:pPr>
              <w:spacing w:after="0"/>
              <w:rPr>
                <w:sz w:val="1"/>
                <w:szCs w:val="1"/>
                <w:color w:val="auto"/>
              </w:rPr>
            </w:pPr>
          </w:p>
        </w:tc>
      </w:tr>
      <w:tr>
        <w:trPr>
          <w:trHeight w:val="224"/>
        </w:trPr>
        <w:tc>
          <w:tcPr>
            <w:tcW w:w="1560" w:type="dxa"/>
            <w:vAlign w:val="bottom"/>
          </w:tcPr>
          <w:p>
            <w:pPr>
              <w:spacing w:after="0"/>
              <w:rPr>
                <w:sz w:val="20"/>
                <w:szCs w:val="20"/>
                <w:color w:val="auto"/>
              </w:rPr>
            </w:pPr>
            <w:r>
              <w:rPr>
                <w:rFonts w:ascii="Arial" w:cs="Arial" w:eastAsia="Arial" w:hAnsi="Arial"/>
                <w:sz w:val="18"/>
                <w:szCs w:val="18"/>
                <w:color w:val="auto"/>
              </w:rPr>
              <w:t>Results</w:t>
            </w:r>
          </w:p>
        </w:tc>
        <w:tc>
          <w:tcPr>
            <w:tcW w:w="7280" w:type="dxa"/>
            <w:vAlign w:val="bottom"/>
            <w:vMerge w:val="restart"/>
          </w:tcPr>
          <w:p>
            <w:pPr>
              <w:ind w:left="160"/>
              <w:spacing w:after="0"/>
              <w:rPr>
                <w:sz w:val="20"/>
                <w:szCs w:val="20"/>
                <w:color w:val="auto"/>
              </w:rPr>
            </w:pPr>
            <w:r>
              <w:rPr>
                <w:rFonts w:ascii="Arial" w:cs="Arial" w:eastAsia="Arial" w:hAnsi="Arial"/>
                <w:sz w:val="18"/>
                <w:szCs w:val="18"/>
                <w:color w:val="auto"/>
                <w:w w:val="93"/>
              </w:rPr>
              <w:t>• Along with the Board, evaluate CEO performance and establish new goals for the coming year</w:t>
            </w:r>
          </w:p>
        </w:tc>
        <w:tc>
          <w:tcPr>
            <w:tcW w:w="0" w:type="dxa"/>
            <w:vAlign w:val="bottom"/>
          </w:tcPr>
          <w:p>
            <w:pPr>
              <w:spacing w:after="0"/>
              <w:rPr>
                <w:sz w:val="1"/>
                <w:szCs w:val="1"/>
                <w:color w:val="auto"/>
              </w:rPr>
            </w:pPr>
          </w:p>
        </w:tc>
      </w:tr>
      <w:tr>
        <w:trPr>
          <w:trHeight w:val="80"/>
        </w:trPr>
        <w:tc>
          <w:tcPr>
            <w:tcW w:w="1560" w:type="dxa"/>
            <w:vAlign w:val="bottom"/>
          </w:tcPr>
          <w:p>
            <w:pPr>
              <w:spacing w:after="0"/>
              <w:rPr>
                <w:sz w:val="6"/>
                <w:szCs w:val="6"/>
                <w:color w:val="auto"/>
              </w:rPr>
            </w:pPr>
          </w:p>
        </w:tc>
        <w:tc>
          <w:tcPr>
            <w:tcW w:w="7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6" w:lineRule="exact"/>
        <w:rPr>
          <w:sz w:val="20"/>
          <w:szCs w:val="20"/>
          <w:color w:val="auto"/>
        </w:rPr>
      </w:pPr>
    </w:p>
    <w:p>
      <w:pPr>
        <w:ind w:right="300" w:firstLine="398"/>
        <w:spacing w:after="0" w:line="366" w:lineRule="auto"/>
        <w:rPr>
          <w:sz w:val="20"/>
          <w:szCs w:val="20"/>
          <w:color w:val="auto"/>
        </w:rPr>
      </w:pPr>
      <w:r>
        <w:rPr>
          <w:rFonts w:ascii="Arial" w:cs="Arial" w:eastAsia="Arial" w:hAnsi="Arial"/>
          <w:sz w:val="15"/>
          <w:szCs w:val="15"/>
          <w:color w:val="auto"/>
        </w:rPr>
        <w:t>As a part of this ongoing review, the Compensation Committee reviews and considers the annual share usage, total compensation scorecards for each executive, applicable regulatory and legal issues, the policies of proxy advisors, and Company performance, among other things.</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 Compensation Data</w:t>
      </w:r>
      <w:r>
        <w:rPr>
          <w:rFonts w:ascii="Arial" w:cs="Arial" w:eastAsia="Arial" w:hAnsi="Arial"/>
          <w:sz w:val="18"/>
          <w:szCs w:val="18"/>
          <w:color w:val="auto"/>
        </w:rPr>
        <w:t>.</w:t>
      </w:r>
    </w:p>
    <w:p>
      <w:pPr>
        <w:spacing w:after="0" w:line="111" w:lineRule="exact"/>
        <w:rPr>
          <w:sz w:val="20"/>
          <w:szCs w:val="20"/>
          <w:color w:val="auto"/>
        </w:rPr>
      </w:pPr>
    </w:p>
    <w:p>
      <w:pPr>
        <w:jc w:val="both"/>
        <w:ind w:right="460" w:firstLine="398"/>
        <w:spacing w:after="0" w:line="255" w:lineRule="auto"/>
        <w:rPr>
          <w:sz w:val="20"/>
          <w:szCs w:val="20"/>
          <w:color w:val="auto"/>
        </w:rPr>
      </w:pPr>
      <w:r>
        <w:rPr>
          <w:rFonts w:ascii="Arial" w:cs="Arial" w:eastAsia="Arial" w:hAnsi="Arial"/>
          <w:sz w:val="18"/>
          <w:szCs w:val="18"/>
          <w:color w:val="auto"/>
        </w:rPr>
        <w:t>The Compensation Committee reviewed market compensation data from the McLagan 2021 Investment Management Survey–U.S., a widely-used source for compensation information within public and private investment firms (the "McLagan Survey") and a custom-designed peer group of publicly-traded asset management companies (collectively, the "Custom Peer Group").</w:t>
      </w:r>
    </w:p>
    <w:p>
      <w:pPr>
        <w:spacing w:after="0" w:line="83" w:lineRule="exact"/>
        <w:rPr>
          <w:sz w:val="20"/>
          <w:szCs w:val="20"/>
          <w:color w:val="auto"/>
        </w:rPr>
      </w:pPr>
    </w:p>
    <w:p>
      <w:pPr>
        <w:ind w:right="100" w:firstLine="398"/>
        <w:spacing w:after="0" w:line="265" w:lineRule="auto"/>
        <w:rPr>
          <w:sz w:val="20"/>
          <w:szCs w:val="20"/>
          <w:color w:val="auto"/>
        </w:rPr>
      </w:pPr>
      <w:r>
        <w:rPr>
          <w:rFonts w:ascii="Arial" w:cs="Arial" w:eastAsia="Arial" w:hAnsi="Arial"/>
          <w:sz w:val="18"/>
          <w:szCs w:val="18"/>
          <w:color w:val="auto"/>
        </w:rPr>
        <w:t>The McLagan Survey provides detailed analyses of compensation in greater depth for investment management employees than those available from our public peers and specifically focuses on the asset management industry. The McLagan Survey</w:t>
      </w:r>
    </w:p>
    <w:p>
      <w:pPr>
        <w:spacing w:after="0" w:line="7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60"/>
          </w:cols>
          <w:pgMar w:left="320" w:top="552" w:right="319" w:bottom="1440" w:gutter="0" w:footer="0" w:header="0"/>
        </w:sectPr>
      </w:pPr>
    </w:p>
    <w:bookmarkStart w:id="26" w:name="page27"/>
    <w:bookmarkEnd w:id="26"/>
    <w:p>
      <w:pPr>
        <w:ind w:right="480"/>
        <w:spacing w:after="0" w:line="252" w:lineRule="auto"/>
        <w:rPr>
          <w:sz w:val="20"/>
          <w:szCs w:val="20"/>
          <w:color w:val="auto"/>
        </w:rPr>
      </w:pPr>
      <w:r>
        <w:rPr>
          <w:rFonts w:ascii="Arial" w:cs="Arial" w:eastAsia="Arial" w:hAnsi="Arial"/>
          <w:sz w:val="18"/>
          <w:szCs w:val="18"/>
          <w:color w:val="auto"/>
        </w:rPr>
        <w:t>provides market compensation data for 219 public and private investment management firms. Compensation analysis for specific officer positions in the McLagan Survey does not identify individual investment management and advisory firms. Instead, market compensation data is presented in different groupings by headquarter location, range of assets under management and job function. Confidentiality obligations to McLagan Partners and its survey participants prevent the disclosure of the firms included in the survey.</w:t>
      </w:r>
    </w:p>
    <w:p>
      <w:pPr>
        <w:spacing w:after="0" w:line="8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For 2021, the companies comprising our Custom Peer Group were:</w:t>
      </w:r>
    </w:p>
    <w:p>
      <w:pPr>
        <w:spacing w:after="0" w:line="45" w:lineRule="exact"/>
        <w:rPr>
          <w:sz w:val="20"/>
          <w:szCs w:val="20"/>
          <w:color w:val="auto"/>
        </w:rPr>
      </w:pPr>
    </w:p>
    <w:tbl>
      <w:tblPr>
        <w:tblLayout w:type="fixed"/>
        <w:tblInd w:w="500" w:type="dxa"/>
        <w:tblCellMar>
          <w:top w:w="0" w:type="dxa"/>
          <w:left w:w="0" w:type="dxa"/>
          <w:bottom w:w="0" w:type="dxa"/>
          <w:right w:w="0" w:type="dxa"/>
        </w:tblCellMar>
      </w:tblPr>
      <w:tr>
        <w:trPr>
          <w:trHeight w:val="224"/>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3980" w:type="dxa"/>
            <w:vAlign w:val="bottom"/>
          </w:tcPr>
          <w:p>
            <w:pPr>
              <w:ind w:left="100"/>
              <w:spacing w:after="0"/>
              <w:rPr>
                <w:sz w:val="20"/>
                <w:szCs w:val="20"/>
                <w:color w:val="auto"/>
              </w:rPr>
            </w:pPr>
            <w:r>
              <w:rPr>
                <w:rFonts w:ascii="Arial" w:cs="Arial" w:eastAsia="Arial" w:hAnsi="Arial"/>
                <w:sz w:val="18"/>
                <w:szCs w:val="18"/>
                <w:color w:val="auto"/>
              </w:rPr>
              <w:t>Artisan Partners Asset Management</w:t>
            </w:r>
          </w:p>
        </w:tc>
        <w:tc>
          <w:tcPr>
            <w:tcW w:w="1340" w:type="dxa"/>
            <w:vAlign w:val="bottom"/>
          </w:tcPr>
          <w:p>
            <w:pPr>
              <w:ind w:left="1200"/>
              <w:spacing w:after="0"/>
              <w:rPr>
                <w:sz w:val="20"/>
                <w:szCs w:val="20"/>
                <w:color w:val="auto"/>
              </w:rPr>
            </w:pPr>
            <w:r>
              <w:rPr>
                <w:rFonts w:ascii="Arial" w:cs="Arial" w:eastAsia="Arial" w:hAnsi="Arial"/>
                <w:sz w:val="18"/>
                <w:szCs w:val="18"/>
                <w:color w:val="auto"/>
              </w:rPr>
              <w:t>•</w:t>
            </w:r>
          </w:p>
        </w:tc>
        <w:tc>
          <w:tcPr>
            <w:tcW w:w="3100" w:type="dxa"/>
            <w:vAlign w:val="bottom"/>
          </w:tcPr>
          <w:p>
            <w:pPr>
              <w:ind w:left="100"/>
              <w:spacing w:after="0"/>
              <w:rPr>
                <w:sz w:val="20"/>
                <w:szCs w:val="20"/>
                <w:color w:val="auto"/>
              </w:rPr>
            </w:pPr>
            <w:r>
              <w:rPr>
                <w:rFonts w:ascii="Arial" w:cs="Arial" w:eastAsia="Arial" w:hAnsi="Arial"/>
                <w:sz w:val="18"/>
                <w:szCs w:val="18"/>
                <w:color w:val="auto"/>
              </w:rPr>
              <w:t>Manning &amp; Napier</w:t>
            </w:r>
          </w:p>
        </w:tc>
      </w:tr>
      <w:tr>
        <w:trPr>
          <w:trHeight w:val="226"/>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3980" w:type="dxa"/>
            <w:vAlign w:val="bottom"/>
          </w:tcPr>
          <w:p>
            <w:pPr>
              <w:ind w:left="100"/>
              <w:spacing w:after="0"/>
              <w:rPr>
                <w:sz w:val="20"/>
                <w:szCs w:val="20"/>
                <w:color w:val="auto"/>
              </w:rPr>
            </w:pPr>
            <w:r>
              <w:rPr>
                <w:rFonts w:ascii="Arial" w:cs="Arial" w:eastAsia="Arial" w:hAnsi="Arial"/>
                <w:sz w:val="18"/>
                <w:szCs w:val="18"/>
                <w:color w:val="auto"/>
              </w:rPr>
              <w:t>BrightSphere Investment Group</w:t>
            </w:r>
          </w:p>
        </w:tc>
        <w:tc>
          <w:tcPr>
            <w:tcW w:w="4440" w:type="dxa"/>
            <w:vAlign w:val="bottom"/>
            <w:gridSpan w:val="2"/>
          </w:tcPr>
          <w:p>
            <w:pPr>
              <w:ind w:left="1200"/>
              <w:spacing w:after="0"/>
              <w:rPr>
                <w:sz w:val="20"/>
                <w:szCs w:val="20"/>
                <w:color w:val="auto"/>
              </w:rPr>
            </w:pPr>
            <w:r>
              <w:rPr>
                <w:rFonts w:ascii="Arial" w:cs="Arial" w:eastAsia="Arial" w:hAnsi="Arial"/>
                <w:sz w:val="18"/>
                <w:szCs w:val="18"/>
                <w:color w:val="auto"/>
              </w:rPr>
              <w:t>•  Pzena Investment Management, Inc.</w:t>
            </w:r>
          </w:p>
        </w:tc>
      </w:tr>
      <w:tr>
        <w:trPr>
          <w:trHeight w:val="226"/>
        </w:trPr>
        <w:tc>
          <w:tcPr>
            <w:tcW w:w="4120" w:type="dxa"/>
            <w:vAlign w:val="bottom"/>
            <w:gridSpan w:val="2"/>
          </w:tcPr>
          <w:p>
            <w:pPr>
              <w:spacing w:after="0"/>
              <w:rPr>
                <w:sz w:val="20"/>
                <w:szCs w:val="20"/>
                <w:color w:val="auto"/>
              </w:rPr>
            </w:pPr>
            <w:r>
              <w:rPr>
                <w:rFonts w:ascii="Arial" w:cs="Arial" w:eastAsia="Arial" w:hAnsi="Arial"/>
                <w:sz w:val="18"/>
                <w:szCs w:val="18"/>
                <w:color w:val="auto"/>
              </w:rPr>
              <w:t>•  Diamond Hill Investment Group, Inc.</w:t>
            </w:r>
          </w:p>
        </w:tc>
        <w:tc>
          <w:tcPr>
            <w:tcW w:w="4440" w:type="dxa"/>
            <w:vAlign w:val="bottom"/>
            <w:gridSpan w:val="2"/>
          </w:tcPr>
          <w:p>
            <w:pPr>
              <w:ind w:left="1200"/>
              <w:spacing w:after="0"/>
              <w:rPr>
                <w:sz w:val="20"/>
                <w:szCs w:val="20"/>
                <w:color w:val="auto"/>
              </w:rPr>
            </w:pPr>
            <w:r>
              <w:rPr>
                <w:rFonts w:ascii="Arial" w:cs="Arial" w:eastAsia="Arial" w:hAnsi="Arial"/>
                <w:sz w:val="18"/>
                <w:szCs w:val="18"/>
                <w:color w:val="auto"/>
                <w:w w:val="90"/>
              </w:rPr>
              <w:t>•  Silvercrest Asset Management Group, Inc.</w:t>
            </w:r>
          </w:p>
        </w:tc>
      </w:tr>
      <w:tr>
        <w:trPr>
          <w:trHeight w:val="226"/>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3980" w:type="dxa"/>
            <w:vAlign w:val="bottom"/>
          </w:tcPr>
          <w:p>
            <w:pPr>
              <w:ind w:left="100"/>
              <w:spacing w:after="0"/>
              <w:rPr>
                <w:sz w:val="20"/>
                <w:szCs w:val="20"/>
                <w:color w:val="auto"/>
              </w:rPr>
            </w:pPr>
            <w:r>
              <w:rPr>
                <w:rFonts w:ascii="Arial" w:cs="Arial" w:eastAsia="Arial" w:hAnsi="Arial"/>
                <w:sz w:val="18"/>
                <w:szCs w:val="18"/>
                <w:color w:val="auto"/>
              </w:rPr>
              <w:t>GAMCO Investors, Inc.</w:t>
            </w:r>
          </w:p>
        </w:tc>
        <w:tc>
          <w:tcPr>
            <w:tcW w:w="1340" w:type="dxa"/>
            <w:vAlign w:val="bottom"/>
          </w:tcPr>
          <w:p>
            <w:pPr>
              <w:ind w:left="1200"/>
              <w:spacing w:after="0"/>
              <w:rPr>
                <w:sz w:val="20"/>
                <w:szCs w:val="20"/>
                <w:color w:val="auto"/>
              </w:rPr>
            </w:pPr>
            <w:r>
              <w:rPr>
                <w:rFonts w:ascii="Arial" w:cs="Arial" w:eastAsia="Arial" w:hAnsi="Arial"/>
                <w:sz w:val="18"/>
                <w:szCs w:val="18"/>
                <w:color w:val="auto"/>
              </w:rPr>
              <w:t>•</w:t>
            </w:r>
          </w:p>
        </w:tc>
        <w:tc>
          <w:tcPr>
            <w:tcW w:w="3100" w:type="dxa"/>
            <w:vAlign w:val="bottom"/>
          </w:tcPr>
          <w:p>
            <w:pPr>
              <w:ind w:left="100"/>
              <w:spacing w:after="0"/>
              <w:rPr>
                <w:sz w:val="20"/>
                <w:szCs w:val="20"/>
                <w:color w:val="auto"/>
              </w:rPr>
            </w:pPr>
            <w:r>
              <w:rPr>
                <w:rFonts w:ascii="Arial" w:cs="Arial" w:eastAsia="Arial" w:hAnsi="Arial"/>
                <w:sz w:val="18"/>
                <w:szCs w:val="18"/>
                <w:color w:val="auto"/>
              </w:rPr>
              <w:t>Victory Capital Holdings</w:t>
            </w:r>
          </w:p>
        </w:tc>
      </w:tr>
      <w:tr>
        <w:trPr>
          <w:trHeight w:val="226"/>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3980" w:type="dxa"/>
            <w:vAlign w:val="bottom"/>
          </w:tcPr>
          <w:p>
            <w:pPr>
              <w:ind w:left="100"/>
              <w:spacing w:after="0"/>
              <w:rPr>
                <w:sz w:val="20"/>
                <w:szCs w:val="20"/>
                <w:color w:val="auto"/>
              </w:rPr>
            </w:pPr>
            <w:r>
              <w:rPr>
                <w:rFonts w:ascii="Arial" w:cs="Arial" w:eastAsia="Arial" w:hAnsi="Arial"/>
                <w:sz w:val="18"/>
                <w:szCs w:val="18"/>
                <w:color w:val="auto"/>
              </w:rPr>
              <w:t>Hennessy Advisors, Inc.</w:t>
            </w:r>
          </w:p>
        </w:tc>
        <w:tc>
          <w:tcPr>
            <w:tcW w:w="4440" w:type="dxa"/>
            <w:vAlign w:val="bottom"/>
            <w:gridSpan w:val="2"/>
          </w:tcPr>
          <w:p>
            <w:pPr>
              <w:ind w:left="1200"/>
              <w:spacing w:after="0"/>
              <w:rPr>
                <w:sz w:val="20"/>
                <w:szCs w:val="20"/>
                <w:color w:val="auto"/>
              </w:rPr>
            </w:pPr>
            <w:r>
              <w:rPr>
                <w:rFonts w:ascii="Arial" w:cs="Arial" w:eastAsia="Arial" w:hAnsi="Arial"/>
                <w:sz w:val="18"/>
                <w:szCs w:val="18"/>
                <w:color w:val="auto"/>
              </w:rPr>
              <w:t>•  Virtus Investment Partners, Inc.</w:t>
            </w:r>
          </w:p>
        </w:tc>
      </w:tr>
    </w:tbl>
    <w:p>
      <w:pPr>
        <w:spacing w:after="0" w:line="188" w:lineRule="exact"/>
        <w:rPr>
          <w:sz w:val="20"/>
          <w:szCs w:val="20"/>
          <w:color w:val="auto"/>
        </w:rPr>
      </w:pPr>
    </w:p>
    <w:p>
      <w:pPr>
        <w:ind w:right="100" w:firstLine="398"/>
        <w:spacing w:after="0" w:line="277" w:lineRule="auto"/>
        <w:rPr>
          <w:sz w:val="20"/>
          <w:szCs w:val="20"/>
          <w:color w:val="auto"/>
        </w:rPr>
      </w:pPr>
      <w:r>
        <w:rPr>
          <w:rFonts w:ascii="Arial" w:cs="Arial" w:eastAsia="Arial" w:hAnsi="Arial"/>
          <w:sz w:val="17"/>
          <w:szCs w:val="17"/>
          <w:color w:val="auto"/>
        </w:rPr>
        <w:t>The peer companies were selected by us primarily based upon their (i) industry (asset management or financial advisory services), (ii) equity market capitalization and (iii) assets under management, using publicly available information from 2018 to 2021. The Compensation Committee believes the relative size, nature and operations and assets under management provide meaningful compensation and performance information.</w:t>
      </w:r>
    </w:p>
    <w:p>
      <w:pPr>
        <w:spacing w:after="0" w:line="66" w:lineRule="exact"/>
        <w:rPr>
          <w:sz w:val="20"/>
          <w:szCs w:val="20"/>
          <w:color w:val="auto"/>
        </w:rPr>
      </w:pPr>
    </w:p>
    <w:p>
      <w:pPr>
        <w:ind w:right="60" w:firstLine="398"/>
        <w:spacing w:after="0" w:line="330" w:lineRule="auto"/>
        <w:rPr>
          <w:sz w:val="20"/>
          <w:szCs w:val="20"/>
          <w:color w:val="auto"/>
        </w:rPr>
      </w:pPr>
      <w:r>
        <w:rPr>
          <w:rFonts w:ascii="Arial" w:cs="Arial" w:eastAsia="Arial" w:hAnsi="Arial"/>
          <w:sz w:val="15"/>
          <w:szCs w:val="15"/>
          <w:color w:val="auto"/>
        </w:rPr>
        <w:t>We have few direct peers that are public and similar in size and complexity to Westwood. Most companies that comprise the Custom Peer Group are somewhat larger than Westwood in terms of revenues and assets under management. The Compensation Committee considers this size disparity when looking at market compensation data derived from the Custom Peer Group in the context of evaluating and approving compensation for the named executive officers.</w:t>
      </w:r>
    </w:p>
    <w:p>
      <w:pPr>
        <w:spacing w:after="0" w:line="31" w:lineRule="exact"/>
        <w:rPr>
          <w:sz w:val="20"/>
          <w:szCs w:val="20"/>
          <w:color w:val="auto"/>
        </w:rPr>
      </w:pPr>
    </w:p>
    <w:p>
      <w:pPr>
        <w:ind w:right="40" w:firstLine="398"/>
        <w:spacing w:after="0" w:line="250" w:lineRule="auto"/>
        <w:rPr>
          <w:sz w:val="20"/>
          <w:szCs w:val="20"/>
          <w:color w:val="auto"/>
        </w:rPr>
      </w:pPr>
      <w:r>
        <w:rPr>
          <w:rFonts w:ascii="Arial" w:cs="Arial" w:eastAsia="Arial" w:hAnsi="Arial"/>
          <w:sz w:val="18"/>
          <w:szCs w:val="18"/>
          <w:color w:val="auto"/>
        </w:rPr>
        <w:t>The Compensation Committee considers the market compensation data derived from the McLagan Survey and the Custom Peer Group to be relevant, with neither source of information being the determinative factor in setting executive compensation levels. The Compensation Committee refers to both sources of information to ensure, in its subjective judgment, that individual pay components remain competitive. The Compensation Committee does not target any individual pay component of the named executive officers to fall within a specific range or percentile of the market compensation data derived from the McLagan Survey or the Custom Peer Group.</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2021 Executive Compensation Decisions</w:t>
      </w:r>
    </w:p>
    <w:p>
      <w:pPr>
        <w:spacing w:after="0" w:line="117" w:lineRule="exact"/>
        <w:rPr>
          <w:sz w:val="20"/>
          <w:szCs w:val="20"/>
          <w:color w:val="auto"/>
        </w:rPr>
      </w:pPr>
    </w:p>
    <w:p>
      <w:pPr>
        <w:jc w:val="both"/>
        <w:ind w:right="660" w:firstLine="398"/>
        <w:spacing w:after="0" w:line="255" w:lineRule="auto"/>
        <w:rPr>
          <w:sz w:val="20"/>
          <w:szCs w:val="20"/>
          <w:color w:val="auto"/>
        </w:rPr>
      </w:pPr>
      <w:r>
        <w:rPr>
          <w:rFonts w:ascii="Arial" w:cs="Arial" w:eastAsia="Arial" w:hAnsi="Arial"/>
          <w:sz w:val="18"/>
          <w:szCs w:val="18"/>
          <w:color w:val="auto"/>
        </w:rPr>
        <w:t>In 2021 we continued to focus on financial results and strategic goals. Performance targets in each area were established for the relevant parties, reflecting our efforts to attract new investors, reverse Institutional outflows, drive operational efficiencies and innovate through strategic initiatives in technology, product innovation, and expansion of services.</w:t>
      </w:r>
    </w:p>
    <w:p>
      <w:pPr>
        <w:spacing w:after="0" w:line="8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Primary targets for these areas include:</w:t>
      </w:r>
    </w:p>
    <w:p>
      <w:pPr>
        <w:spacing w:after="0" w:line="24" w:lineRule="exact"/>
        <w:rPr>
          <w:sz w:val="20"/>
          <w:szCs w:val="20"/>
          <w:color w:val="auto"/>
        </w:rPr>
      </w:pPr>
    </w:p>
    <w:tbl>
      <w:tblPr>
        <w:tblLayout w:type="fixed"/>
        <w:tblInd w:w="10" w:type="dxa"/>
        <w:tblCellMar>
          <w:top w:w="0" w:type="dxa"/>
          <w:left w:w="0" w:type="dxa"/>
          <w:bottom w:w="0" w:type="dxa"/>
          <w:right w:w="0" w:type="dxa"/>
        </w:tblCellMar>
      </w:tblPr>
      <w:tr>
        <w:trPr>
          <w:trHeight w:val="239"/>
        </w:trPr>
        <w:tc>
          <w:tcPr>
            <w:tcW w:w="2780" w:type="dxa"/>
            <w:vAlign w:val="bottom"/>
            <w:tcBorders>
              <w:top w:val="single" w:sz="8" w:color="auto"/>
              <w:left w:val="single" w:sz="8" w:color="auto"/>
              <w:bottom w:val="single" w:sz="8" w:color="auto"/>
              <w:right w:val="single" w:sz="8" w:color="auto"/>
            </w:tcBorders>
          </w:tcPr>
          <w:p>
            <w:pPr>
              <w:ind w:left="440"/>
              <w:spacing w:after="0"/>
              <w:rPr>
                <w:sz w:val="20"/>
                <w:szCs w:val="20"/>
                <w:color w:val="auto"/>
              </w:rPr>
            </w:pPr>
            <w:r>
              <w:rPr>
                <w:rFonts w:ascii="Arial" w:cs="Arial" w:eastAsia="Arial" w:hAnsi="Arial"/>
                <w:sz w:val="18"/>
                <w:szCs w:val="18"/>
                <w:b w:val="1"/>
                <w:bCs w:val="1"/>
                <w:color w:val="auto"/>
              </w:rPr>
              <w:t>Category</w:t>
            </w:r>
          </w:p>
        </w:tc>
        <w:tc>
          <w:tcPr>
            <w:tcW w:w="8480" w:type="dxa"/>
            <w:vAlign w:val="bottom"/>
            <w:tcBorders>
              <w:top w:val="single" w:sz="8" w:color="auto"/>
              <w:bottom w:val="single" w:sz="8" w:color="auto"/>
              <w:right w:val="single" w:sz="8" w:color="auto"/>
            </w:tcBorders>
          </w:tcPr>
          <w:p>
            <w:pPr>
              <w:ind w:left="420"/>
              <w:spacing w:after="0"/>
              <w:rPr>
                <w:sz w:val="20"/>
                <w:szCs w:val="20"/>
                <w:color w:val="auto"/>
              </w:rPr>
            </w:pPr>
            <w:r>
              <w:rPr>
                <w:rFonts w:ascii="Arial" w:cs="Arial" w:eastAsia="Arial" w:hAnsi="Arial"/>
                <w:sz w:val="18"/>
                <w:szCs w:val="18"/>
                <w:b w:val="1"/>
                <w:bCs w:val="1"/>
                <w:color w:val="auto"/>
              </w:rPr>
              <w:t>Metric</w:t>
            </w:r>
          </w:p>
        </w:tc>
        <w:tc>
          <w:tcPr>
            <w:tcW w:w="0" w:type="dxa"/>
            <w:vAlign w:val="bottom"/>
          </w:tcPr>
          <w:p>
            <w:pPr>
              <w:spacing w:after="0"/>
              <w:rPr>
                <w:sz w:val="1"/>
                <w:szCs w:val="1"/>
                <w:color w:val="auto"/>
              </w:rPr>
            </w:pPr>
          </w:p>
        </w:tc>
      </w:tr>
      <w:tr>
        <w:trPr>
          <w:trHeight w:val="219"/>
        </w:trPr>
        <w:tc>
          <w:tcPr>
            <w:tcW w:w="2780" w:type="dxa"/>
            <w:vAlign w:val="bottom"/>
            <w:tcBorders>
              <w:left w:val="single" w:sz="8" w:color="auto"/>
              <w:bottom w:val="single" w:sz="8" w:color="auto"/>
              <w:right w:val="single" w:sz="8" w:color="auto"/>
            </w:tcBorders>
          </w:tcPr>
          <w:p>
            <w:pPr>
              <w:ind w:left="440"/>
              <w:spacing w:after="0" w:line="219" w:lineRule="exact"/>
              <w:rPr>
                <w:sz w:val="20"/>
                <w:szCs w:val="20"/>
                <w:color w:val="auto"/>
              </w:rPr>
            </w:pPr>
            <w:r>
              <w:rPr>
                <w:rFonts w:ascii="Arial" w:cs="Arial" w:eastAsia="Arial" w:hAnsi="Arial"/>
                <w:sz w:val="18"/>
                <w:szCs w:val="18"/>
                <w:color w:val="auto"/>
              </w:rPr>
              <w:t>Financial Results</w:t>
            </w:r>
            <w:r>
              <w:rPr>
                <w:rFonts w:ascii="Arial" w:cs="Arial" w:eastAsia="Arial" w:hAnsi="Arial"/>
                <w:sz w:val="22"/>
                <w:szCs w:val="22"/>
                <w:color w:val="auto"/>
                <w:vertAlign w:val="superscript"/>
              </w:rPr>
              <w:t>(1), (2)</w:t>
            </w:r>
          </w:p>
        </w:tc>
        <w:tc>
          <w:tcPr>
            <w:tcW w:w="8480" w:type="dxa"/>
            <w:vAlign w:val="bottom"/>
            <w:tcBorders>
              <w:bottom w:val="single" w:sz="8" w:color="auto"/>
              <w:right w:val="single" w:sz="8" w:color="auto"/>
            </w:tcBorders>
          </w:tcPr>
          <w:p>
            <w:pPr>
              <w:ind w:left="420"/>
              <w:spacing w:after="0"/>
              <w:rPr>
                <w:sz w:val="20"/>
                <w:szCs w:val="20"/>
                <w:color w:val="auto"/>
              </w:rPr>
            </w:pPr>
            <w:r>
              <w:rPr>
                <w:rFonts w:ascii="Arial" w:cs="Arial" w:eastAsia="Arial" w:hAnsi="Arial"/>
                <w:sz w:val="18"/>
                <w:szCs w:val="18"/>
                <w:color w:val="auto"/>
              </w:rPr>
              <w:t>Earnings before taxes</w:t>
            </w:r>
          </w:p>
        </w:tc>
        <w:tc>
          <w:tcPr>
            <w:tcW w:w="0" w:type="dxa"/>
            <w:vAlign w:val="bottom"/>
          </w:tcPr>
          <w:p>
            <w:pPr>
              <w:spacing w:after="0"/>
              <w:rPr>
                <w:sz w:val="1"/>
                <w:szCs w:val="1"/>
                <w:color w:val="auto"/>
              </w:rPr>
            </w:pPr>
          </w:p>
        </w:tc>
      </w:tr>
      <w:tr>
        <w:trPr>
          <w:trHeight w:val="167"/>
        </w:trPr>
        <w:tc>
          <w:tcPr>
            <w:tcW w:w="2780" w:type="dxa"/>
            <w:vAlign w:val="bottom"/>
            <w:tcBorders>
              <w:left w:val="single" w:sz="8" w:color="auto"/>
              <w:right w:val="single" w:sz="8" w:color="auto"/>
            </w:tcBorders>
            <w:vMerge w:val="restart"/>
          </w:tcPr>
          <w:p>
            <w:pPr>
              <w:ind w:left="440"/>
              <w:spacing w:after="0"/>
              <w:rPr>
                <w:sz w:val="20"/>
                <w:szCs w:val="20"/>
                <w:color w:val="auto"/>
              </w:rPr>
            </w:pPr>
            <w:r>
              <w:rPr>
                <w:rFonts w:ascii="Arial" w:cs="Arial" w:eastAsia="Arial" w:hAnsi="Arial"/>
                <w:sz w:val="18"/>
                <w:szCs w:val="18"/>
                <w:color w:val="auto"/>
              </w:rPr>
              <w:t>Corporate Strategic</w:t>
            </w:r>
            <w:r>
              <w:rPr>
                <w:rFonts w:ascii="Arial" w:cs="Arial" w:eastAsia="Arial" w:hAnsi="Arial"/>
                <w:sz w:val="22"/>
                <w:szCs w:val="22"/>
                <w:color w:val="auto"/>
                <w:vertAlign w:val="superscript"/>
              </w:rPr>
              <w:t>(1), (2)</w:t>
            </w:r>
          </w:p>
        </w:tc>
        <w:tc>
          <w:tcPr>
            <w:tcW w:w="8480" w:type="dxa"/>
            <w:vAlign w:val="bottom"/>
            <w:tcBorders>
              <w:right w:val="single" w:sz="8" w:color="auto"/>
            </w:tcBorders>
          </w:tcPr>
          <w:p>
            <w:pPr>
              <w:ind w:left="420"/>
              <w:spacing w:after="0" w:line="167" w:lineRule="exact"/>
              <w:rPr>
                <w:sz w:val="20"/>
                <w:szCs w:val="20"/>
                <w:color w:val="auto"/>
              </w:rPr>
            </w:pPr>
            <w:r>
              <w:rPr>
                <w:rFonts w:ascii="Arial" w:cs="Arial" w:eastAsia="Arial" w:hAnsi="Arial"/>
                <w:sz w:val="18"/>
                <w:szCs w:val="18"/>
                <w:color w:val="auto"/>
                <w:w w:val="90"/>
              </w:rPr>
              <w:t>Continue to partner with InvestCloud to explore strategic opportunities available through InvestCloud's Financial</w:t>
            </w:r>
          </w:p>
        </w:tc>
        <w:tc>
          <w:tcPr>
            <w:tcW w:w="0" w:type="dxa"/>
            <w:vAlign w:val="bottom"/>
          </w:tcPr>
          <w:p>
            <w:pPr>
              <w:spacing w:after="0"/>
              <w:rPr>
                <w:sz w:val="1"/>
                <w:szCs w:val="1"/>
                <w:color w:val="auto"/>
              </w:rPr>
            </w:pPr>
          </w:p>
        </w:tc>
      </w:tr>
      <w:tr>
        <w:trPr>
          <w:trHeight w:val="226"/>
        </w:trPr>
        <w:tc>
          <w:tcPr>
            <w:tcW w:w="2780" w:type="dxa"/>
            <w:vAlign w:val="bottom"/>
            <w:tcBorders>
              <w:left w:val="single" w:sz="8" w:color="auto"/>
              <w:right w:val="single" w:sz="8" w:color="auto"/>
            </w:tcBorders>
            <w:vMerge w:val="continue"/>
          </w:tcPr>
          <w:p>
            <w:pPr>
              <w:spacing w:after="0"/>
              <w:rPr>
                <w:sz w:val="19"/>
                <w:szCs w:val="19"/>
                <w:color w:val="auto"/>
              </w:rPr>
            </w:pPr>
          </w:p>
        </w:tc>
        <w:tc>
          <w:tcPr>
            <w:tcW w:w="8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Supermarket</w:t>
            </w:r>
          </w:p>
        </w:tc>
        <w:tc>
          <w:tcPr>
            <w:tcW w:w="0" w:type="dxa"/>
            <w:vAlign w:val="bottom"/>
          </w:tcPr>
          <w:p>
            <w:pPr>
              <w:spacing w:after="0"/>
              <w:rPr>
                <w:sz w:val="1"/>
                <w:szCs w:val="1"/>
                <w:color w:val="auto"/>
              </w:rPr>
            </w:pPr>
          </w:p>
        </w:tc>
      </w:tr>
      <w:tr>
        <w:trPr>
          <w:trHeight w:val="172"/>
        </w:trPr>
        <w:tc>
          <w:tcPr>
            <w:tcW w:w="2780" w:type="dxa"/>
            <w:vAlign w:val="bottom"/>
            <w:tcBorders>
              <w:left w:val="single" w:sz="8" w:color="auto"/>
              <w:right w:val="single" w:sz="8" w:color="auto"/>
            </w:tcBorders>
          </w:tcPr>
          <w:p>
            <w:pPr>
              <w:spacing w:after="0"/>
              <w:rPr>
                <w:sz w:val="14"/>
                <w:szCs w:val="14"/>
                <w:color w:val="auto"/>
              </w:rPr>
            </w:pPr>
          </w:p>
        </w:tc>
        <w:tc>
          <w:tcPr>
            <w:tcW w:w="8480" w:type="dxa"/>
            <w:vAlign w:val="bottom"/>
            <w:tcBorders>
              <w:right w:val="single" w:sz="8" w:color="auto"/>
            </w:tcBorders>
          </w:tcPr>
          <w:p>
            <w:pPr>
              <w:ind w:left="420"/>
              <w:spacing w:after="0" w:line="172" w:lineRule="exact"/>
              <w:rPr>
                <w:sz w:val="20"/>
                <w:szCs w:val="20"/>
                <w:color w:val="auto"/>
              </w:rPr>
            </w:pPr>
            <w:r>
              <w:rPr>
                <w:rFonts w:ascii="Arial" w:cs="Arial" w:eastAsia="Arial" w:hAnsi="Arial"/>
                <w:sz w:val="18"/>
                <w:szCs w:val="18"/>
                <w:color w:val="auto"/>
                <w:w w:val="99"/>
              </w:rPr>
              <w:t>Promote the culture of client service through communication and measurement of outcomes for every</w:t>
            </w:r>
          </w:p>
        </w:tc>
        <w:tc>
          <w:tcPr>
            <w:tcW w:w="0" w:type="dxa"/>
            <w:vAlign w:val="bottom"/>
          </w:tcPr>
          <w:p>
            <w:pPr>
              <w:spacing w:after="0"/>
              <w:rPr>
                <w:sz w:val="1"/>
                <w:szCs w:val="1"/>
                <w:color w:val="auto"/>
              </w:rPr>
            </w:pPr>
          </w:p>
        </w:tc>
      </w:tr>
      <w:tr>
        <w:trPr>
          <w:trHeight w:val="224"/>
        </w:trPr>
        <w:tc>
          <w:tcPr>
            <w:tcW w:w="2780" w:type="dxa"/>
            <w:vAlign w:val="bottom"/>
            <w:tcBorders>
              <w:left w:val="single" w:sz="8" w:color="auto"/>
              <w:right w:val="single" w:sz="8" w:color="auto"/>
            </w:tcBorders>
          </w:tcPr>
          <w:p>
            <w:pPr>
              <w:spacing w:after="0"/>
              <w:rPr>
                <w:sz w:val="19"/>
                <w:szCs w:val="19"/>
                <w:color w:val="auto"/>
              </w:rPr>
            </w:pPr>
          </w:p>
        </w:tc>
        <w:tc>
          <w:tcPr>
            <w:tcW w:w="8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department</w:t>
            </w:r>
          </w:p>
        </w:tc>
        <w:tc>
          <w:tcPr>
            <w:tcW w:w="0" w:type="dxa"/>
            <w:vAlign w:val="bottom"/>
          </w:tcPr>
          <w:p>
            <w:pPr>
              <w:spacing w:after="0"/>
              <w:rPr>
                <w:sz w:val="1"/>
                <w:szCs w:val="1"/>
                <w:color w:val="auto"/>
              </w:rPr>
            </w:pPr>
          </w:p>
        </w:tc>
      </w:tr>
      <w:tr>
        <w:trPr>
          <w:trHeight w:val="226"/>
        </w:trPr>
        <w:tc>
          <w:tcPr>
            <w:tcW w:w="2780" w:type="dxa"/>
            <w:vAlign w:val="bottom"/>
            <w:tcBorders>
              <w:left w:val="single" w:sz="8" w:color="auto"/>
              <w:right w:val="single" w:sz="8" w:color="auto"/>
            </w:tcBorders>
          </w:tcPr>
          <w:p>
            <w:pPr>
              <w:spacing w:after="0"/>
              <w:rPr>
                <w:sz w:val="19"/>
                <w:szCs w:val="19"/>
                <w:color w:val="auto"/>
              </w:rPr>
            </w:pPr>
          </w:p>
        </w:tc>
        <w:tc>
          <w:tcPr>
            <w:tcW w:w="848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Rollout the InvestCloud portal for three business lines</w:t>
            </w:r>
          </w:p>
        </w:tc>
        <w:tc>
          <w:tcPr>
            <w:tcW w:w="0" w:type="dxa"/>
            <w:vAlign w:val="bottom"/>
          </w:tcPr>
          <w:p>
            <w:pPr>
              <w:spacing w:after="0"/>
              <w:rPr>
                <w:sz w:val="1"/>
                <w:szCs w:val="1"/>
                <w:color w:val="auto"/>
              </w:rPr>
            </w:pPr>
          </w:p>
        </w:tc>
      </w:tr>
      <w:tr>
        <w:trPr>
          <w:trHeight w:val="226"/>
        </w:trPr>
        <w:tc>
          <w:tcPr>
            <w:tcW w:w="2780" w:type="dxa"/>
            <w:vAlign w:val="bottom"/>
            <w:tcBorders>
              <w:left w:val="single" w:sz="8" w:color="auto"/>
              <w:right w:val="single" w:sz="8" w:color="auto"/>
            </w:tcBorders>
          </w:tcPr>
          <w:p>
            <w:pPr>
              <w:spacing w:after="0"/>
              <w:rPr>
                <w:sz w:val="19"/>
                <w:szCs w:val="19"/>
                <w:color w:val="auto"/>
              </w:rPr>
            </w:pPr>
          </w:p>
        </w:tc>
        <w:tc>
          <w:tcPr>
            <w:tcW w:w="848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Create and implement internal ESG initiatives and expand external messaging</w:t>
            </w:r>
          </w:p>
        </w:tc>
        <w:tc>
          <w:tcPr>
            <w:tcW w:w="0" w:type="dxa"/>
            <w:vAlign w:val="bottom"/>
          </w:tcPr>
          <w:p>
            <w:pPr>
              <w:spacing w:after="0"/>
              <w:rPr>
                <w:sz w:val="1"/>
                <w:szCs w:val="1"/>
                <w:color w:val="auto"/>
              </w:rPr>
            </w:pPr>
          </w:p>
        </w:tc>
      </w:tr>
      <w:tr>
        <w:trPr>
          <w:trHeight w:val="226"/>
        </w:trPr>
        <w:tc>
          <w:tcPr>
            <w:tcW w:w="2780" w:type="dxa"/>
            <w:vAlign w:val="bottom"/>
            <w:tcBorders>
              <w:left w:val="single" w:sz="8" w:color="auto"/>
              <w:right w:val="single" w:sz="8" w:color="auto"/>
            </w:tcBorders>
          </w:tcPr>
          <w:p>
            <w:pPr>
              <w:spacing w:after="0"/>
              <w:rPr>
                <w:sz w:val="19"/>
                <w:szCs w:val="19"/>
                <w:color w:val="auto"/>
              </w:rPr>
            </w:pPr>
          </w:p>
        </w:tc>
        <w:tc>
          <w:tcPr>
            <w:tcW w:w="848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Maintain a high level of cybersecurity</w:t>
            </w:r>
          </w:p>
        </w:tc>
        <w:tc>
          <w:tcPr>
            <w:tcW w:w="0" w:type="dxa"/>
            <w:vAlign w:val="bottom"/>
          </w:tcPr>
          <w:p>
            <w:pPr>
              <w:spacing w:after="0"/>
              <w:rPr>
                <w:sz w:val="1"/>
                <w:szCs w:val="1"/>
                <w:color w:val="auto"/>
              </w:rPr>
            </w:pPr>
          </w:p>
        </w:tc>
      </w:tr>
      <w:tr>
        <w:trPr>
          <w:trHeight w:val="226"/>
        </w:trPr>
        <w:tc>
          <w:tcPr>
            <w:tcW w:w="2780" w:type="dxa"/>
            <w:vAlign w:val="bottom"/>
            <w:tcBorders>
              <w:left w:val="single" w:sz="8" w:color="auto"/>
              <w:right w:val="single" w:sz="8" w:color="auto"/>
            </w:tcBorders>
          </w:tcPr>
          <w:p>
            <w:pPr>
              <w:spacing w:after="0"/>
              <w:rPr>
                <w:sz w:val="19"/>
                <w:szCs w:val="19"/>
                <w:color w:val="auto"/>
              </w:rPr>
            </w:pPr>
          </w:p>
        </w:tc>
        <w:tc>
          <w:tcPr>
            <w:tcW w:w="848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Continue to expand our product offerings for clients across our business</w:t>
            </w:r>
          </w:p>
        </w:tc>
        <w:tc>
          <w:tcPr>
            <w:tcW w:w="0" w:type="dxa"/>
            <w:vAlign w:val="bottom"/>
          </w:tcPr>
          <w:p>
            <w:pPr>
              <w:spacing w:after="0"/>
              <w:rPr>
                <w:sz w:val="1"/>
                <w:szCs w:val="1"/>
                <w:color w:val="auto"/>
              </w:rPr>
            </w:pPr>
          </w:p>
        </w:tc>
      </w:tr>
      <w:tr>
        <w:trPr>
          <w:trHeight w:val="226"/>
        </w:trPr>
        <w:tc>
          <w:tcPr>
            <w:tcW w:w="2780" w:type="dxa"/>
            <w:vAlign w:val="bottom"/>
            <w:tcBorders>
              <w:left w:val="single" w:sz="8" w:color="auto"/>
              <w:bottom w:val="single" w:sz="8" w:color="auto"/>
              <w:right w:val="single" w:sz="8" w:color="auto"/>
            </w:tcBorders>
          </w:tcPr>
          <w:p>
            <w:pPr>
              <w:spacing w:after="0"/>
              <w:rPr>
                <w:sz w:val="19"/>
                <w:szCs w:val="19"/>
                <w:color w:val="auto"/>
              </w:rPr>
            </w:pPr>
          </w:p>
        </w:tc>
        <w:tc>
          <w:tcPr>
            <w:tcW w:w="8480" w:type="dxa"/>
            <w:vAlign w:val="bottom"/>
            <w:tcBorders>
              <w:bottom w:val="single" w:sz="8" w:color="auto"/>
              <w:right w:val="single" w:sz="8" w:color="auto"/>
            </w:tcBorders>
          </w:tcPr>
          <w:p>
            <w:pPr>
              <w:ind w:left="420"/>
              <w:spacing w:after="0"/>
              <w:rPr>
                <w:sz w:val="20"/>
                <w:szCs w:val="20"/>
                <w:color w:val="auto"/>
              </w:rPr>
            </w:pPr>
            <w:r>
              <w:rPr>
                <w:rFonts w:ascii="Arial" w:cs="Arial" w:eastAsia="Arial" w:hAnsi="Arial"/>
                <w:sz w:val="18"/>
                <w:szCs w:val="18"/>
                <w:color w:val="auto"/>
              </w:rPr>
              <w:t>Expansion of services to clients through Westwood Private Bank</w:t>
            </w:r>
          </w:p>
        </w:tc>
        <w:tc>
          <w:tcPr>
            <w:tcW w:w="0" w:type="dxa"/>
            <w:vAlign w:val="bottom"/>
          </w:tcPr>
          <w:p>
            <w:pPr>
              <w:spacing w:after="0"/>
              <w:rPr>
                <w:sz w:val="1"/>
                <w:szCs w:val="1"/>
                <w:color w:val="auto"/>
              </w:rPr>
            </w:pPr>
          </w:p>
        </w:tc>
      </w:tr>
      <w:tr>
        <w:trPr>
          <w:trHeight w:val="219"/>
        </w:trPr>
        <w:tc>
          <w:tcPr>
            <w:tcW w:w="2780" w:type="dxa"/>
            <w:vAlign w:val="bottom"/>
            <w:tcBorders>
              <w:left w:val="single" w:sz="8" w:color="auto"/>
              <w:bottom w:val="single" w:sz="8" w:color="auto"/>
              <w:right w:val="single" w:sz="8" w:color="auto"/>
            </w:tcBorders>
          </w:tcPr>
          <w:p>
            <w:pPr>
              <w:ind w:left="440"/>
              <w:spacing w:after="0" w:line="220" w:lineRule="exact"/>
              <w:rPr>
                <w:sz w:val="20"/>
                <w:szCs w:val="20"/>
                <w:color w:val="auto"/>
              </w:rPr>
            </w:pPr>
            <w:r>
              <w:rPr>
                <w:rFonts w:ascii="Arial" w:cs="Arial" w:eastAsia="Arial" w:hAnsi="Arial"/>
                <w:sz w:val="18"/>
                <w:szCs w:val="18"/>
                <w:color w:val="auto"/>
              </w:rPr>
              <w:t>Department Goals</w:t>
            </w:r>
            <w:r>
              <w:rPr>
                <w:rFonts w:ascii="Arial" w:cs="Arial" w:eastAsia="Arial" w:hAnsi="Arial"/>
                <w:sz w:val="22"/>
                <w:szCs w:val="22"/>
                <w:color w:val="auto"/>
                <w:vertAlign w:val="superscript"/>
              </w:rPr>
              <w:t>(1)</w:t>
            </w:r>
          </w:p>
        </w:tc>
        <w:tc>
          <w:tcPr>
            <w:tcW w:w="8480" w:type="dxa"/>
            <w:vAlign w:val="bottom"/>
            <w:tcBorders>
              <w:bottom w:val="single" w:sz="8" w:color="auto"/>
              <w:right w:val="single" w:sz="8" w:color="auto"/>
            </w:tcBorders>
          </w:tcPr>
          <w:p>
            <w:pPr>
              <w:ind w:left="420"/>
              <w:spacing w:after="0"/>
              <w:rPr>
                <w:sz w:val="20"/>
                <w:szCs w:val="20"/>
                <w:color w:val="auto"/>
              </w:rPr>
            </w:pPr>
            <w:r>
              <w:rPr>
                <w:rFonts w:ascii="Arial" w:cs="Arial" w:eastAsia="Arial" w:hAnsi="Arial"/>
                <w:sz w:val="18"/>
                <w:szCs w:val="18"/>
                <w:color w:val="auto"/>
              </w:rPr>
              <w:t>Department-specific initiatives across the organization</w:t>
            </w:r>
          </w:p>
        </w:tc>
        <w:tc>
          <w:tcPr>
            <w:tcW w:w="0" w:type="dxa"/>
            <w:vAlign w:val="bottom"/>
          </w:tcPr>
          <w:p>
            <w:pPr>
              <w:spacing w:after="0"/>
              <w:rPr>
                <w:sz w:val="1"/>
                <w:szCs w:val="1"/>
                <w:color w:val="auto"/>
              </w:rPr>
            </w:pPr>
          </w:p>
        </w:tc>
      </w:tr>
    </w:tbl>
    <w:p>
      <w:pPr>
        <w:ind w:left="600" w:hanging="178"/>
        <w:spacing w:after="0"/>
        <w:tabs>
          <w:tab w:leader="none" w:pos="600" w:val="left"/>
        </w:tabs>
        <w:numPr>
          <w:ilvl w:val="0"/>
          <w:numId w:val="45"/>
        </w:numPr>
        <w:rPr>
          <w:rFonts w:ascii="Arial" w:cs="Arial" w:eastAsia="Arial" w:hAnsi="Arial"/>
          <w:sz w:val="12"/>
          <w:szCs w:val="12"/>
          <w:color w:val="auto"/>
        </w:rPr>
      </w:pPr>
      <w:r>
        <w:rPr>
          <w:rFonts w:ascii="Arial" w:cs="Arial" w:eastAsia="Arial" w:hAnsi="Arial"/>
          <w:sz w:val="12"/>
          <w:szCs w:val="12"/>
          <w:color w:val="auto"/>
        </w:rPr>
        <w:t>Measurement basis for NEO compensation</w:t>
      </w:r>
    </w:p>
    <w:p>
      <w:pPr>
        <w:spacing w:after="0" w:line="33" w:lineRule="exact"/>
        <w:rPr>
          <w:rFonts w:ascii="Arial" w:cs="Arial" w:eastAsia="Arial" w:hAnsi="Arial"/>
          <w:sz w:val="12"/>
          <w:szCs w:val="12"/>
          <w:color w:val="auto"/>
        </w:rPr>
      </w:pPr>
    </w:p>
    <w:p>
      <w:pPr>
        <w:ind w:left="600" w:hanging="178"/>
        <w:spacing w:after="0"/>
        <w:tabs>
          <w:tab w:leader="none" w:pos="600" w:val="left"/>
        </w:tabs>
        <w:numPr>
          <w:ilvl w:val="0"/>
          <w:numId w:val="45"/>
        </w:numPr>
        <w:rPr>
          <w:rFonts w:ascii="Arial" w:cs="Arial" w:eastAsia="Arial" w:hAnsi="Arial"/>
          <w:sz w:val="12"/>
          <w:szCs w:val="12"/>
          <w:color w:val="auto"/>
        </w:rPr>
      </w:pPr>
      <w:r>
        <w:rPr>
          <w:rFonts w:ascii="Arial" w:cs="Arial" w:eastAsia="Arial" w:hAnsi="Arial"/>
          <w:sz w:val="12"/>
          <w:szCs w:val="12"/>
          <w:color w:val="auto"/>
        </w:rPr>
        <w:t>Measurement basis for CEO compensation</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for the CEO</w:t>
      </w:r>
    </w:p>
    <w:p>
      <w:pPr>
        <w:spacing w:after="0" w:line="11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Mr. Casey's compensation is based on achievement of the aforementioned Financial Results and Strategic Goals.</w:t>
      </w:r>
    </w:p>
    <w:p>
      <w:pPr>
        <w:spacing w:after="0" w:line="111" w:lineRule="exact"/>
        <w:rPr>
          <w:sz w:val="20"/>
          <w:szCs w:val="20"/>
          <w:color w:val="auto"/>
        </w:rPr>
      </w:pPr>
    </w:p>
    <w:p>
      <w:pPr>
        <w:ind w:right="100" w:firstLine="398"/>
        <w:spacing w:after="0" w:line="313" w:lineRule="auto"/>
        <w:rPr>
          <w:sz w:val="20"/>
          <w:szCs w:val="20"/>
          <w:color w:val="auto"/>
        </w:rPr>
      </w:pPr>
      <w:r>
        <w:rPr>
          <w:rFonts w:ascii="Arial" w:cs="Arial" w:eastAsia="Arial" w:hAnsi="Arial"/>
          <w:sz w:val="15"/>
          <w:szCs w:val="15"/>
          <w:color w:val="auto"/>
        </w:rPr>
        <w:t>As noted above, in 2019 and 2020, Mr Casey did not receive any incentive compensation. Given the financial condition of the company and the outlook in each of these years, his earnings were limited to base salary. For 2021, the Compensation Committee determined that Mr. Casey should again participate in these incentive programs, given the renewed optimism in the company’s 2021 operating plan and our objectives for at-risk compensation for executive officers. As a result, his compensation for 2021 differs considerably from the immediately preceding two years, demonstrating the alignment of the Compensation Committee’s decisions regarding Mr. Casey’s compensation with company performance and stockholder returns.</w:t>
      </w:r>
    </w:p>
    <w:p>
      <w:pPr>
        <w:spacing w:after="0" w:line="4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60"/>
          </w:cols>
          <w:pgMar w:left="320" w:top="552" w:right="319" w:bottom="1440" w:gutter="0" w:footer="0" w:header="0"/>
        </w:sectPr>
      </w:pPr>
    </w:p>
    <w:bookmarkStart w:id="27" w:name="page28"/>
    <w:bookmarkEnd w:id="27"/>
    <w:p>
      <w:pPr>
        <w:ind w:right="20" w:firstLine="398"/>
        <w:spacing w:after="0" w:line="252" w:lineRule="auto"/>
        <w:rPr>
          <w:sz w:val="20"/>
          <w:szCs w:val="20"/>
          <w:color w:val="auto"/>
        </w:rPr>
      </w:pPr>
      <w:r>
        <w:rPr>
          <w:rFonts w:ascii="Arial" w:cs="Arial" w:eastAsia="Arial" w:hAnsi="Arial"/>
          <w:sz w:val="18"/>
          <w:szCs w:val="18"/>
          <w:color w:val="auto"/>
        </w:rPr>
        <w:t>It may be useful to supplement the information provided in the 2021 Summary Compensation Table by reporting the amounts he actually realized during recent years. The table below compares our income before income taxes to Mr. Casey's "realized pay" for each of the last five years, illustrating the strong correlation between our financial performance and compensation he actually received. Realized pay is defined as compensation received in the fiscal year including any cash short-term incentive payouts.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1040130</wp:posOffset>
            </wp:positionH>
            <wp:positionV relativeFrom="paragraph">
              <wp:posOffset>104140</wp:posOffset>
            </wp:positionV>
            <wp:extent cx="5323840" cy="40601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323840" cy="4060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00"/>
        <w:spacing w:after="0"/>
        <w:rPr>
          <w:sz w:val="20"/>
          <w:szCs w:val="20"/>
          <w:color w:val="auto"/>
        </w:rPr>
      </w:pPr>
      <w:r>
        <w:rPr>
          <w:rFonts w:ascii="Arial" w:cs="Arial" w:eastAsia="Arial" w:hAnsi="Arial"/>
          <w:sz w:val="14"/>
          <w:szCs w:val="14"/>
          <w:color w:val="auto"/>
        </w:rPr>
        <w:t>__________</w:t>
      </w:r>
    </w:p>
    <w:p>
      <w:pPr>
        <w:spacing w:after="0" w:line="10" w:lineRule="exact"/>
        <w:rPr>
          <w:sz w:val="20"/>
          <w:szCs w:val="20"/>
          <w:color w:val="auto"/>
        </w:rPr>
      </w:pPr>
    </w:p>
    <w:p>
      <w:pPr>
        <w:ind w:left="400"/>
        <w:spacing w:after="0"/>
        <w:rPr>
          <w:sz w:val="20"/>
          <w:szCs w:val="20"/>
          <w:color w:val="auto"/>
        </w:rPr>
      </w:pPr>
      <w:r>
        <w:rPr>
          <w:rFonts w:ascii="Arial" w:cs="Arial" w:eastAsia="Arial" w:hAnsi="Arial"/>
          <w:sz w:val="14"/>
          <w:szCs w:val="14"/>
          <w:color w:val="auto"/>
        </w:rPr>
        <w:t>* At the Compensation Committee's discretion, 2017 Income before income taxes excludes a $4.0 million legal settlement charge.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Base Salary</w:t>
      </w:r>
    </w:p>
    <w:p>
      <w:pPr>
        <w:spacing w:after="0" w:line="111" w:lineRule="exact"/>
        <w:rPr>
          <w:sz w:val="20"/>
          <w:szCs w:val="20"/>
          <w:color w:val="auto"/>
        </w:rPr>
      </w:pPr>
    </w:p>
    <w:p>
      <w:pPr>
        <w:ind w:firstLine="398"/>
        <w:spacing w:after="0" w:line="295" w:lineRule="auto"/>
        <w:rPr>
          <w:sz w:val="20"/>
          <w:szCs w:val="20"/>
          <w:color w:val="auto"/>
        </w:rPr>
      </w:pPr>
      <w:r>
        <w:rPr>
          <w:rFonts w:ascii="Arial" w:cs="Arial" w:eastAsia="Arial" w:hAnsi="Arial"/>
          <w:sz w:val="17"/>
          <w:szCs w:val="17"/>
          <w:color w:val="auto"/>
        </w:rPr>
        <w:t>Base salary is the fixed component of the named executive officers’ annual cash compensation. The Company provides its named executive officers with a base salary to compensate them for services rendered during the year and in recognition of their expertise, knowledge and experience.</w:t>
      </w:r>
    </w:p>
    <w:p>
      <w:pPr>
        <w:spacing w:after="0" w:line="50" w:lineRule="exact"/>
        <w:rPr>
          <w:sz w:val="20"/>
          <w:szCs w:val="20"/>
          <w:color w:val="auto"/>
        </w:rPr>
      </w:pPr>
    </w:p>
    <w:p>
      <w:pPr>
        <w:ind w:right="100" w:firstLine="398"/>
        <w:spacing w:after="0" w:line="265" w:lineRule="auto"/>
        <w:rPr>
          <w:sz w:val="20"/>
          <w:szCs w:val="20"/>
          <w:color w:val="auto"/>
        </w:rPr>
      </w:pPr>
      <w:r>
        <w:rPr>
          <w:rFonts w:ascii="Arial" w:cs="Arial" w:eastAsia="Arial" w:hAnsi="Arial"/>
          <w:sz w:val="18"/>
          <w:szCs w:val="18"/>
          <w:color w:val="auto"/>
        </w:rPr>
        <w:t>Salary levels are typically addressed annually as part of our performance review process, as well as upon promotions, changes in job responsibilities, or in connection with the terms of initial employment.</w:t>
      </w:r>
    </w:p>
    <w:p>
      <w:pPr>
        <w:spacing w:after="0" w:line="74"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Base salaries of the named executive officers as of the beginning and end of 2021, including any adjustments made during the year, were as follows: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552" w:right="339" w:bottom="1440" w:gutter="0" w:footer="0" w:header="0"/>
        </w:sectPr>
      </w:pPr>
    </w:p>
    <w:bookmarkStart w:id="28" w:name="page29"/>
    <w:bookmarkEnd w:id="28"/>
    <w:tbl>
      <w:tblPr>
        <w:tblLayout w:type="fixed"/>
        <w:tblInd w:w="40" w:type="dxa"/>
        <w:tblCellMar>
          <w:top w:w="0" w:type="dxa"/>
          <w:left w:w="0" w:type="dxa"/>
          <w:bottom w:w="0" w:type="dxa"/>
          <w:right w:w="0" w:type="dxa"/>
        </w:tblCellMar>
      </w:tblPr>
      <w:tr>
        <w:trPr>
          <w:trHeight w:val="161"/>
        </w:trPr>
        <w:tc>
          <w:tcPr>
            <w:tcW w:w="7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Base Salary</w:t>
            </w:r>
          </w:p>
        </w:tc>
        <w:tc>
          <w:tcPr>
            <w:tcW w:w="180" w:type="dxa"/>
            <w:vAlign w:val="bottom"/>
          </w:tcPr>
          <w:p>
            <w:pPr>
              <w:spacing w:after="0"/>
              <w:rPr>
                <w:sz w:val="14"/>
                <w:szCs w:val="14"/>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Base Salary</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7280" w:type="dxa"/>
            <w:vAlign w:val="bottom"/>
            <w:vMerge w:val="restart"/>
          </w:tcPr>
          <w:p>
            <w:pPr>
              <w:ind w:left="2860"/>
              <w:spacing w:after="0"/>
              <w:rPr>
                <w:sz w:val="20"/>
                <w:szCs w:val="20"/>
                <w:color w:val="auto"/>
              </w:rPr>
            </w:pPr>
            <w:r>
              <w:rPr>
                <w:rFonts w:ascii="Arial" w:cs="Arial" w:eastAsia="Arial" w:hAnsi="Arial"/>
                <w:sz w:val="14"/>
                <w:szCs w:val="14"/>
                <w:b w:val="1"/>
                <w:bCs w:val="1"/>
                <w:color w:val="auto"/>
              </w:rPr>
              <w:t>Named Executive Officers</w:t>
            </w:r>
          </w:p>
        </w:tc>
        <w:tc>
          <w:tcPr>
            <w:tcW w:w="120" w:type="dxa"/>
            <w:vAlign w:val="bottom"/>
            <w:vMerge w:val="restart"/>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jc w:val="center"/>
              <w:ind w:right="280"/>
              <w:spacing w:after="0" w:line="133" w:lineRule="exact"/>
              <w:rPr>
                <w:sz w:val="20"/>
                <w:szCs w:val="20"/>
                <w:color w:val="auto"/>
              </w:rPr>
            </w:pPr>
            <w:r>
              <w:rPr>
                <w:rFonts w:ascii="Arial" w:cs="Arial" w:eastAsia="Arial" w:hAnsi="Arial"/>
                <w:sz w:val="14"/>
                <w:szCs w:val="14"/>
                <w:b w:val="1"/>
                <w:bCs w:val="1"/>
                <w:color w:val="auto"/>
                <w:w w:val="85"/>
              </w:rPr>
              <w:t>as of</w:t>
            </w:r>
          </w:p>
        </w:tc>
        <w:tc>
          <w:tcPr>
            <w:tcW w:w="180" w:type="dxa"/>
            <w:vAlign w:val="bottom"/>
          </w:tcPr>
          <w:p>
            <w:pPr>
              <w:spacing w:after="0"/>
              <w:rPr>
                <w:sz w:val="11"/>
                <w:szCs w:val="11"/>
                <w:color w:val="auto"/>
              </w:rPr>
            </w:pPr>
          </w:p>
        </w:tc>
        <w:tc>
          <w:tcPr>
            <w:tcW w:w="1160" w:type="dxa"/>
            <w:vAlign w:val="bottom"/>
            <w:gridSpan w:val="2"/>
          </w:tcPr>
          <w:p>
            <w:pPr>
              <w:jc w:val="center"/>
              <w:ind w:right="280"/>
              <w:spacing w:after="0" w:line="133" w:lineRule="exact"/>
              <w:rPr>
                <w:sz w:val="20"/>
                <w:szCs w:val="20"/>
                <w:color w:val="auto"/>
              </w:rPr>
            </w:pPr>
            <w:r>
              <w:rPr>
                <w:rFonts w:ascii="Arial" w:cs="Arial" w:eastAsia="Arial" w:hAnsi="Arial"/>
                <w:sz w:val="14"/>
                <w:szCs w:val="14"/>
                <w:b w:val="1"/>
                <w:bCs w:val="1"/>
                <w:color w:val="auto"/>
                <w:w w:val="85"/>
              </w:rPr>
              <w:t>as of</w:t>
            </w:r>
          </w:p>
        </w:tc>
        <w:tc>
          <w:tcPr>
            <w:tcW w:w="112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5"/>
        </w:trPr>
        <w:tc>
          <w:tcPr>
            <w:tcW w:w="72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92"/>
              </w:rPr>
              <w:t>1/1/21</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91"/>
              </w:rPr>
              <w:t>12/31/21</w:t>
            </w:r>
          </w:p>
        </w:tc>
        <w:tc>
          <w:tcPr>
            <w:tcW w:w="1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7400" w:type="dxa"/>
            <w:vAlign w:val="bottom"/>
            <w:gridSpan w:val="2"/>
            <w:shd w:val="clear" w:color="auto" w:fill="CCEEFF"/>
          </w:tcPr>
          <w:p>
            <w:pPr>
              <w:ind w:left="20"/>
              <w:spacing w:after="0" w:line="168" w:lineRule="exact"/>
              <w:rPr>
                <w:sz w:val="20"/>
                <w:szCs w:val="20"/>
                <w:color w:val="auto"/>
              </w:rPr>
            </w:pPr>
            <w:r>
              <w:rPr>
                <w:rFonts w:ascii="Arial" w:cs="Arial" w:eastAsia="Arial" w:hAnsi="Arial"/>
                <w:sz w:val="18"/>
                <w:szCs w:val="18"/>
                <w:color w:val="auto"/>
              </w:rPr>
              <w:t>Brian O. Casey,</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12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12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ind w:left="720"/>
              <w:spacing w:after="0"/>
              <w:rPr>
                <w:sz w:val="20"/>
                <w:szCs w:val="20"/>
                <w:color w:val="auto"/>
              </w:rPr>
            </w:pPr>
            <w:r>
              <w:rPr>
                <w:rFonts w:ascii="Arial" w:cs="Arial" w:eastAsia="Arial" w:hAnsi="Arial"/>
                <w:sz w:val="18"/>
                <w:szCs w:val="18"/>
                <w:color w:val="auto"/>
                <w:w w:val="97"/>
              </w:rPr>
              <w:t>— %</w:t>
            </w:r>
          </w:p>
        </w:tc>
        <w:tc>
          <w:tcPr>
            <w:tcW w:w="0" w:type="dxa"/>
            <w:vAlign w:val="bottom"/>
          </w:tcPr>
          <w:p>
            <w:pPr>
              <w:spacing w:after="0"/>
              <w:rPr>
                <w:sz w:val="1"/>
                <w:szCs w:val="1"/>
                <w:color w:val="auto"/>
              </w:rPr>
            </w:pPr>
          </w:p>
        </w:tc>
      </w:tr>
      <w:tr>
        <w:trPr>
          <w:trHeight w:val="225"/>
        </w:trPr>
        <w:tc>
          <w:tcPr>
            <w:tcW w:w="7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President &amp; Chief Executive Officer</w:t>
            </w:r>
          </w:p>
        </w:tc>
        <w:tc>
          <w:tcPr>
            <w:tcW w:w="180" w:type="dxa"/>
            <w:vAlign w:val="bottom"/>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7400" w:type="dxa"/>
            <w:vAlign w:val="bottom"/>
            <w:gridSpan w:val="2"/>
          </w:tcPr>
          <w:p>
            <w:pPr>
              <w:ind w:left="20"/>
              <w:spacing w:after="0" w:line="173" w:lineRule="exact"/>
              <w:rPr>
                <w:sz w:val="20"/>
                <w:szCs w:val="20"/>
                <w:color w:val="auto"/>
              </w:rPr>
            </w:pPr>
            <w:r>
              <w:rPr>
                <w:rFonts w:ascii="Arial" w:cs="Arial" w:eastAsia="Arial" w:hAnsi="Arial"/>
                <w:sz w:val="18"/>
                <w:szCs w:val="18"/>
                <w:color w:val="auto"/>
              </w:rPr>
              <w:t>Terry Forbes,</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250,000</w:t>
            </w:r>
          </w:p>
        </w:tc>
        <w:tc>
          <w:tcPr>
            <w:tcW w:w="120" w:type="dxa"/>
            <w:vAlign w:val="bottom"/>
          </w:tcPr>
          <w:p>
            <w:pPr>
              <w:spacing w:after="0"/>
              <w:rPr>
                <w:sz w:val="15"/>
                <w:szCs w:val="15"/>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250,000</w:t>
            </w:r>
          </w:p>
        </w:tc>
        <w:tc>
          <w:tcPr>
            <w:tcW w:w="120" w:type="dxa"/>
            <w:vAlign w:val="bottom"/>
          </w:tcPr>
          <w:p>
            <w:pPr>
              <w:spacing w:after="0"/>
              <w:rPr>
                <w:sz w:val="15"/>
                <w:szCs w:val="15"/>
                <w:color w:val="auto"/>
              </w:rPr>
            </w:pPr>
          </w:p>
        </w:tc>
        <w:tc>
          <w:tcPr>
            <w:tcW w:w="1120" w:type="dxa"/>
            <w:vAlign w:val="bottom"/>
            <w:vMerge w:val="restart"/>
          </w:tcPr>
          <w:p>
            <w:pPr>
              <w:ind w:left="720"/>
              <w:spacing w:after="0"/>
              <w:rPr>
                <w:sz w:val="20"/>
                <w:szCs w:val="20"/>
                <w:color w:val="auto"/>
              </w:rPr>
            </w:pPr>
            <w:r>
              <w:rPr>
                <w:rFonts w:ascii="Arial" w:cs="Arial" w:eastAsia="Arial" w:hAnsi="Arial"/>
                <w:sz w:val="18"/>
                <w:szCs w:val="18"/>
                <w:color w:val="auto"/>
                <w:w w:val="97"/>
              </w:rPr>
              <w:t>— %</w:t>
            </w:r>
          </w:p>
        </w:tc>
        <w:tc>
          <w:tcPr>
            <w:tcW w:w="0" w:type="dxa"/>
            <w:vAlign w:val="bottom"/>
          </w:tcPr>
          <w:p>
            <w:pPr>
              <w:spacing w:after="0"/>
              <w:rPr>
                <w:sz w:val="1"/>
                <w:szCs w:val="1"/>
                <w:color w:val="auto"/>
              </w:rPr>
            </w:pPr>
          </w:p>
        </w:tc>
      </w:tr>
      <w:tr>
        <w:trPr>
          <w:trHeight w:val="224"/>
        </w:trPr>
        <w:tc>
          <w:tcPr>
            <w:tcW w:w="7400" w:type="dxa"/>
            <w:vAlign w:val="bottom"/>
            <w:gridSpan w:val="2"/>
          </w:tcPr>
          <w:p>
            <w:pPr>
              <w:ind w:left="20"/>
              <w:spacing w:after="0"/>
              <w:rPr>
                <w:sz w:val="20"/>
                <w:szCs w:val="20"/>
                <w:color w:val="auto"/>
              </w:rPr>
            </w:pPr>
            <w:r>
              <w:rPr>
                <w:rFonts w:ascii="Arial" w:cs="Arial" w:eastAsia="Arial" w:hAnsi="Arial"/>
                <w:sz w:val="18"/>
                <w:szCs w:val="18"/>
                <w:color w:val="auto"/>
              </w:rPr>
              <w:t>Senior Vice President, Chief Financial Officer &amp; Treasurer</w:t>
            </w:r>
          </w:p>
        </w:tc>
        <w:tc>
          <w:tcPr>
            <w:tcW w:w="180" w:type="dxa"/>
            <w:vAlign w:val="bottom"/>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740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8"/>
                <w:szCs w:val="18"/>
                <w:color w:val="auto"/>
              </w:rPr>
              <w:t>Fabian Gomez,</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275,000</w:t>
            </w:r>
          </w:p>
        </w:tc>
        <w:tc>
          <w:tcPr>
            <w:tcW w:w="12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275,000</w:t>
            </w:r>
          </w:p>
        </w:tc>
        <w:tc>
          <w:tcPr>
            <w:tcW w:w="12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ind w:left="720"/>
              <w:spacing w:after="0"/>
              <w:rPr>
                <w:sz w:val="20"/>
                <w:szCs w:val="20"/>
                <w:color w:val="auto"/>
              </w:rPr>
            </w:pPr>
            <w:r>
              <w:rPr>
                <w:rFonts w:ascii="Arial" w:cs="Arial" w:eastAsia="Arial" w:hAnsi="Arial"/>
                <w:sz w:val="18"/>
                <w:szCs w:val="18"/>
                <w:color w:val="auto"/>
                <w:w w:val="97"/>
              </w:rPr>
              <w:t>— %</w:t>
            </w:r>
          </w:p>
        </w:tc>
        <w:tc>
          <w:tcPr>
            <w:tcW w:w="0" w:type="dxa"/>
            <w:vAlign w:val="bottom"/>
          </w:tcPr>
          <w:p>
            <w:pPr>
              <w:spacing w:after="0"/>
              <w:rPr>
                <w:sz w:val="1"/>
                <w:szCs w:val="1"/>
                <w:color w:val="auto"/>
              </w:rPr>
            </w:pPr>
          </w:p>
        </w:tc>
      </w:tr>
      <w:tr>
        <w:trPr>
          <w:trHeight w:val="225"/>
        </w:trPr>
        <w:tc>
          <w:tcPr>
            <w:tcW w:w="7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Senior Vice President &amp; Chief Operating Officer</w:t>
            </w:r>
          </w:p>
        </w:tc>
        <w:tc>
          <w:tcPr>
            <w:tcW w:w="180" w:type="dxa"/>
            <w:vAlign w:val="bottom"/>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7400" w:type="dxa"/>
            <w:vAlign w:val="bottom"/>
            <w:gridSpan w:val="2"/>
          </w:tcPr>
          <w:p>
            <w:pPr>
              <w:ind w:left="20"/>
              <w:spacing w:after="0" w:line="173" w:lineRule="exact"/>
              <w:rPr>
                <w:sz w:val="20"/>
                <w:szCs w:val="20"/>
                <w:color w:val="auto"/>
              </w:rPr>
            </w:pPr>
            <w:r>
              <w:rPr>
                <w:rFonts w:ascii="Arial" w:cs="Arial" w:eastAsia="Arial" w:hAnsi="Arial"/>
                <w:sz w:val="18"/>
                <w:szCs w:val="18"/>
                <w:color w:val="auto"/>
              </w:rPr>
              <w:t>Julie K. Gerron,</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250,000</w:t>
            </w:r>
          </w:p>
        </w:tc>
        <w:tc>
          <w:tcPr>
            <w:tcW w:w="120" w:type="dxa"/>
            <w:vAlign w:val="bottom"/>
          </w:tcPr>
          <w:p>
            <w:pPr>
              <w:spacing w:after="0"/>
              <w:rPr>
                <w:sz w:val="15"/>
                <w:szCs w:val="15"/>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250,000</w:t>
            </w:r>
          </w:p>
        </w:tc>
        <w:tc>
          <w:tcPr>
            <w:tcW w:w="120" w:type="dxa"/>
            <w:vAlign w:val="bottom"/>
          </w:tcPr>
          <w:p>
            <w:pPr>
              <w:spacing w:after="0"/>
              <w:rPr>
                <w:sz w:val="15"/>
                <w:szCs w:val="15"/>
                <w:color w:val="auto"/>
              </w:rPr>
            </w:pPr>
          </w:p>
        </w:tc>
        <w:tc>
          <w:tcPr>
            <w:tcW w:w="1120" w:type="dxa"/>
            <w:vAlign w:val="bottom"/>
            <w:vMerge w:val="restart"/>
          </w:tcPr>
          <w:p>
            <w:pPr>
              <w:ind w:left="720"/>
              <w:spacing w:after="0"/>
              <w:rPr>
                <w:sz w:val="20"/>
                <w:szCs w:val="20"/>
                <w:color w:val="auto"/>
              </w:rPr>
            </w:pPr>
            <w:r>
              <w:rPr>
                <w:rFonts w:ascii="Arial" w:cs="Arial" w:eastAsia="Arial" w:hAnsi="Arial"/>
                <w:sz w:val="18"/>
                <w:szCs w:val="18"/>
                <w:color w:val="auto"/>
                <w:w w:val="97"/>
              </w:rPr>
              <w:t>— %</w:t>
            </w:r>
          </w:p>
        </w:tc>
        <w:tc>
          <w:tcPr>
            <w:tcW w:w="0" w:type="dxa"/>
            <w:vAlign w:val="bottom"/>
          </w:tcPr>
          <w:p>
            <w:pPr>
              <w:spacing w:after="0"/>
              <w:rPr>
                <w:sz w:val="1"/>
                <w:szCs w:val="1"/>
                <w:color w:val="auto"/>
              </w:rPr>
            </w:pPr>
          </w:p>
        </w:tc>
      </w:tr>
      <w:tr>
        <w:trPr>
          <w:trHeight w:val="224"/>
        </w:trPr>
        <w:tc>
          <w:tcPr>
            <w:tcW w:w="7400" w:type="dxa"/>
            <w:vAlign w:val="bottom"/>
            <w:gridSpan w:val="2"/>
          </w:tcPr>
          <w:p>
            <w:pPr>
              <w:ind w:left="20"/>
              <w:spacing w:after="0"/>
              <w:rPr>
                <w:sz w:val="20"/>
                <w:szCs w:val="20"/>
                <w:color w:val="auto"/>
              </w:rPr>
            </w:pPr>
            <w:r>
              <w:rPr>
                <w:rFonts w:ascii="Arial" w:cs="Arial" w:eastAsia="Arial" w:hAnsi="Arial"/>
                <w:sz w:val="18"/>
                <w:szCs w:val="18"/>
                <w:color w:val="auto"/>
              </w:rPr>
              <w:t>Senior Vice President, General Counsel, Chief Compliance Officer &amp; Corporate Secretary</w:t>
            </w:r>
          </w:p>
        </w:tc>
        <w:tc>
          <w:tcPr>
            <w:tcW w:w="180" w:type="dxa"/>
            <w:vAlign w:val="bottom"/>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740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8"/>
                <w:szCs w:val="18"/>
                <w:color w:val="auto"/>
              </w:rPr>
              <w:t>Steven Paddon,</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275,000</w:t>
            </w:r>
          </w:p>
        </w:tc>
        <w:tc>
          <w:tcPr>
            <w:tcW w:w="12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275,000</w:t>
            </w:r>
          </w:p>
        </w:tc>
        <w:tc>
          <w:tcPr>
            <w:tcW w:w="12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ind w:left="720"/>
              <w:spacing w:after="0"/>
              <w:rPr>
                <w:sz w:val="20"/>
                <w:szCs w:val="20"/>
                <w:color w:val="auto"/>
              </w:rPr>
            </w:pPr>
            <w:r>
              <w:rPr>
                <w:rFonts w:ascii="Arial" w:cs="Arial" w:eastAsia="Arial" w:hAnsi="Arial"/>
                <w:sz w:val="18"/>
                <w:szCs w:val="18"/>
                <w:color w:val="auto"/>
                <w:w w:val="97"/>
              </w:rPr>
              <w:t>— %</w:t>
            </w:r>
          </w:p>
        </w:tc>
        <w:tc>
          <w:tcPr>
            <w:tcW w:w="0" w:type="dxa"/>
            <w:vAlign w:val="bottom"/>
          </w:tcPr>
          <w:p>
            <w:pPr>
              <w:spacing w:after="0"/>
              <w:rPr>
                <w:sz w:val="1"/>
                <w:szCs w:val="1"/>
                <w:color w:val="auto"/>
              </w:rPr>
            </w:pPr>
          </w:p>
        </w:tc>
      </w:tr>
      <w:tr>
        <w:trPr>
          <w:trHeight w:val="225"/>
        </w:trPr>
        <w:tc>
          <w:tcPr>
            <w:tcW w:w="7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Senior Vice President, Head of Distribution</w:t>
            </w:r>
          </w:p>
        </w:tc>
        <w:tc>
          <w:tcPr>
            <w:tcW w:w="180" w:type="dxa"/>
            <w:vAlign w:val="bottom"/>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Annual Cash Incentive Awards</w:t>
      </w:r>
    </w:p>
    <w:p>
      <w:pPr>
        <w:spacing w:after="0" w:line="111" w:lineRule="exact"/>
        <w:rPr>
          <w:sz w:val="20"/>
          <w:szCs w:val="20"/>
          <w:color w:val="auto"/>
        </w:rPr>
      </w:pPr>
    </w:p>
    <w:p>
      <w:pPr>
        <w:ind w:right="140" w:firstLine="398"/>
        <w:spacing w:after="0" w:line="366" w:lineRule="auto"/>
        <w:rPr>
          <w:sz w:val="20"/>
          <w:szCs w:val="20"/>
          <w:color w:val="auto"/>
        </w:rPr>
      </w:pPr>
      <w:r>
        <w:rPr>
          <w:rFonts w:ascii="Arial" w:cs="Arial" w:eastAsia="Arial" w:hAnsi="Arial"/>
          <w:sz w:val="15"/>
          <w:szCs w:val="15"/>
          <w:color w:val="auto"/>
        </w:rPr>
        <w:t>The Compensation Committee approves annual cash incentive awards for each of the named executive officers. These awards are intended to focus the named executive officers on achieving short-term business objectives and strategies and to enable them to participate in our growth and profitability.</w:t>
      </w:r>
    </w:p>
    <w:p>
      <w:pPr>
        <w:spacing w:after="0" w:line="5" w:lineRule="exact"/>
        <w:rPr>
          <w:sz w:val="20"/>
          <w:szCs w:val="20"/>
          <w:color w:val="auto"/>
        </w:rPr>
      </w:pPr>
    </w:p>
    <w:p>
      <w:pPr>
        <w:jc w:val="both"/>
        <w:ind w:right="80" w:firstLine="398"/>
        <w:spacing w:after="0" w:line="255" w:lineRule="auto"/>
        <w:rPr>
          <w:sz w:val="20"/>
          <w:szCs w:val="20"/>
          <w:color w:val="auto"/>
        </w:rPr>
      </w:pPr>
      <w:r>
        <w:rPr>
          <w:rFonts w:ascii="Arial" w:cs="Arial" w:eastAsia="Arial" w:hAnsi="Arial"/>
          <w:sz w:val="18"/>
          <w:szCs w:val="18"/>
          <w:color w:val="auto"/>
        </w:rPr>
        <w:t>The Compensation Committee reviews the bonus pool for executive officers annually to ensure that, in its judgment, its levels reflect industry practices, it will adequately fund potential bonuses and provide sufficient capacity to reward extraordinary performance. The amount and calculation of the bonus pool are subject to change at the discretion of the Compensation Committee.</w:t>
      </w:r>
    </w:p>
    <w:p>
      <w:pPr>
        <w:spacing w:after="0" w:line="8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February 2022 annual incentive payouts were payable from the 2021 bonus pool:</w:t>
      </w:r>
    </w:p>
    <w:p>
      <w:pPr>
        <w:spacing w:after="0" w:line="16" w:lineRule="exact"/>
        <w:rPr>
          <w:sz w:val="20"/>
          <w:szCs w:val="20"/>
          <w:color w:val="auto"/>
        </w:rPr>
      </w:pPr>
    </w:p>
    <w:tbl>
      <w:tblPr>
        <w:tblLayout w:type="fixed"/>
        <w:tblInd w:w="800" w:type="dxa"/>
        <w:tblCellMar>
          <w:top w:w="0" w:type="dxa"/>
          <w:left w:w="0" w:type="dxa"/>
          <w:bottom w:w="0" w:type="dxa"/>
          <w:right w:w="0" w:type="dxa"/>
        </w:tblCellMar>
      </w:tblPr>
      <w:tr>
        <w:trPr>
          <w:trHeight w:val="161"/>
        </w:trPr>
        <w:tc>
          <w:tcPr>
            <w:tcW w:w="78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3420" w:type="dxa"/>
            <w:vAlign w:val="bottom"/>
          </w:tcPr>
          <w:p>
            <w:pPr>
              <w:ind w:left="740"/>
              <w:spacing w:after="0"/>
              <w:rPr>
                <w:sz w:val="20"/>
                <w:szCs w:val="20"/>
                <w:color w:val="auto"/>
              </w:rPr>
            </w:pPr>
            <w:r>
              <w:rPr>
                <w:rFonts w:ascii="Arial" w:cs="Arial" w:eastAsia="Arial" w:hAnsi="Arial"/>
                <w:sz w:val="14"/>
                <w:szCs w:val="14"/>
                <w:b w:val="1"/>
                <w:bCs w:val="1"/>
                <w:color w:val="auto"/>
              </w:rPr>
              <w:t>2021 Annual</w:t>
            </w:r>
          </w:p>
        </w:tc>
        <w:tc>
          <w:tcPr>
            <w:tcW w:w="3180" w:type="dxa"/>
            <w:vAlign w:val="bottom"/>
            <w:vMerge w:val="restart"/>
          </w:tcPr>
          <w:p>
            <w:pPr>
              <w:ind w:left="1920"/>
              <w:spacing w:after="0"/>
              <w:rPr>
                <w:sz w:val="20"/>
                <w:szCs w:val="20"/>
                <w:color w:val="auto"/>
              </w:rPr>
            </w:pPr>
            <w:r>
              <w:rPr>
                <w:rFonts w:ascii="Arial" w:cs="Arial" w:eastAsia="Arial" w:hAnsi="Arial"/>
                <w:sz w:val="14"/>
                <w:szCs w:val="14"/>
                <w:b w:val="1"/>
                <w:bCs w:val="1"/>
                <w:color w:val="auto"/>
                <w:w w:val="91"/>
              </w:rPr>
              <w:t>Determining Factors</w:t>
            </w:r>
          </w:p>
        </w:tc>
        <w:tc>
          <w:tcPr>
            <w:tcW w:w="0" w:type="dxa"/>
            <w:vAlign w:val="bottom"/>
          </w:tcPr>
          <w:p>
            <w:pPr>
              <w:spacing w:after="0"/>
              <w:rPr>
                <w:sz w:val="1"/>
                <w:szCs w:val="1"/>
                <w:color w:val="auto"/>
              </w:rPr>
            </w:pPr>
          </w:p>
        </w:tc>
      </w:tr>
      <w:tr>
        <w:trPr>
          <w:trHeight w:val="184"/>
        </w:trPr>
        <w:tc>
          <w:tcPr>
            <w:tcW w:w="780" w:type="dxa"/>
            <w:vAlign w:val="bottom"/>
            <w:vMerge w:val="continue"/>
          </w:tcPr>
          <w:p>
            <w:pPr>
              <w:spacing w:after="0"/>
              <w:rPr>
                <w:sz w:val="16"/>
                <w:szCs w:val="16"/>
                <w:color w:val="auto"/>
              </w:rPr>
            </w:pPr>
          </w:p>
        </w:tc>
        <w:tc>
          <w:tcPr>
            <w:tcW w:w="3420" w:type="dxa"/>
            <w:vAlign w:val="bottom"/>
          </w:tcPr>
          <w:p>
            <w:pPr>
              <w:ind w:left="420"/>
              <w:spacing w:after="0"/>
              <w:rPr>
                <w:sz w:val="20"/>
                <w:szCs w:val="20"/>
                <w:color w:val="auto"/>
              </w:rPr>
            </w:pPr>
            <w:r>
              <w:rPr>
                <w:rFonts w:ascii="Arial" w:cs="Arial" w:eastAsia="Arial" w:hAnsi="Arial"/>
                <w:sz w:val="14"/>
                <w:szCs w:val="14"/>
                <w:b w:val="1"/>
                <w:bCs w:val="1"/>
                <w:color w:val="auto"/>
              </w:rPr>
              <w:t>Incentive Payout</w:t>
            </w:r>
          </w:p>
        </w:tc>
        <w:tc>
          <w:tcPr>
            <w:tcW w:w="3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560" w:type="dxa"/>
            <w:vAlign w:val="bottom"/>
            <w:tcBorders>
              <w:top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w w:val="91"/>
              </w:rPr>
              <w:t>Brian O. Casey</w:t>
            </w:r>
          </w:p>
        </w:tc>
        <w:tc>
          <w:tcPr>
            <w:tcW w:w="10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937,500</w:t>
            </w:r>
          </w:p>
        </w:tc>
        <w:tc>
          <w:tcPr>
            <w:tcW w:w="12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ind w:left="420"/>
              <w:spacing w:after="0"/>
              <w:rPr>
                <w:sz w:val="20"/>
                <w:szCs w:val="20"/>
                <w:color w:val="auto"/>
              </w:rPr>
            </w:pPr>
            <w:r>
              <w:rPr>
                <w:rFonts w:ascii="Arial" w:cs="Arial" w:eastAsia="Arial" w:hAnsi="Arial"/>
                <w:sz w:val="12"/>
                <w:szCs w:val="12"/>
                <w:color w:val="auto"/>
              </w:rPr>
              <w:t>●</w:t>
            </w:r>
          </w:p>
        </w:tc>
        <w:tc>
          <w:tcPr>
            <w:tcW w:w="7260" w:type="dxa"/>
            <w:vAlign w:val="bottom"/>
            <w:tcBorders>
              <w:top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2021 earnings before taxes; and</w:t>
            </w:r>
          </w:p>
        </w:tc>
        <w:tc>
          <w:tcPr>
            <w:tcW w:w="0" w:type="dxa"/>
            <w:vAlign w:val="bottom"/>
          </w:tcPr>
          <w:p>
            <w:pPr>
              <w:spacing w:after="0"/>
              <w:rPr>
                <w:sz w:val="1"/>
                <w:szCs w:val="1"/>
                <w:color w:val="auto"/>
              </w:rPr>
            </w:pPr>
          </w:p>
        </w:tc>
      </w:tr>
      <w:tr>
        <w:trPr>
          <w:trHeight w:val="226"/>
        </w:trPr>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ind w:left="420"/>
              <w:spacing w:after="0"/>
              <w:rPr>
                <w:sz w:val="20"/>
                <w:szCs w:val="20"/>
                <w:color w:val="auto"/>
              </w:rPr>
            </w:pPr>
            <w:r>
              <w:rPr>
                <w:rFonts w:ascii="Arial" w:cs="Arial" w:eastAsia="Arial" w:hAnsi="Arial"/>
                <w:sz w:val="12"/>
                <w:szCs w:val="12"/>
                <w:color w:val="auto"/>
              </w:rPr>
              <w:t>●</w:t>
            </w:r>
          </w:p>
        </w:tc>
        <w:tc>
          <w:tcPr>
            <w:tcW w:w="72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Achievement of corporate strategic goals.</w:t>
            </w:r>
          </w:p>
        </w:tc>
        <w:tc>
          <w:tcPr>
            <w:tcW w:w="0" w:type="dxa"/>
            <w:vAlign w:val="bottom"/>
          </w:tcPr>
          <w:p>
            <w:pPr>
              <w:spacing w:after="0"/>
              <w:rPr>
                <w:sz w:val="1"/>
                <w:szCs w:val="1"/>
                <w:color w:val="auto"/>
              </w:rPr>
            </w:pPr>
          </w:p>
        </w:tc>
      </w:tr>
      <w:tr>
        <w:trPr>
          <w:trHeight w:val="155"/>
        </w:trPr>
        <w:tc>
          <w:tcPr>
            <w:tcW w:w="1560" w:type="dxa"/>
            <w:vAlign w:val="bottom"/>
            <w:vMerge w:val="restart"/>
          </w:tcPr>
          <w:p>
            <w:pPr>
              <w:ind w:left="420"/>
              <w:spacing w:after="0"/>
              <w:rPr>
                <w:sz w:val="20"/>
                <w:szCs w:val="20"/>
                <w:color w:val="auto"/>
              </w:rPr>
            </w:pPr>
            <w:r>
              <w:rPr>
                <w:rFonts w:ascii="Arial" w:cs="Arial" w:eastAsia="Arial" w:hAnsi="Arial"/>
                <w:sz w:val="18"/>
                <w:szCs w:val="18"/>
                <w:color w:val="auto"/>
              </w:rPr>
              <w:t>Terry Forbes</w:t>
            </w:r>
          </w:p>
        </w:tc>
        <w:tc>
          <w:tcPr>
            <w:tcW w:w="880" w:type="dxa"/>
            <w:vAlign w:val="bottom"/>
            <w:gridSpan w:val="2"/>
            <w:vMerge w:val="restart"/>
          </w:tcPr>
          <w:p>
            <w:pPr>
              <w:jc w:val="right"/>
              <w:ind w:right="192"/>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167,578</w:t>
            </w:r>
          </w:p>
        </w:tc>
        <w:tc>
          <w:tcPr>
            <w:tcW w:w="120" w:type="dxa"/>
            <w:vAlign w:val="bottom"/>
          </w:tcPr>
          <w:p>
            <w:pPr>
              <w:spacing w:after="0"/>
              <w:rPr>
                <w:sz w:val="13"/>
                <w:szCs w:val="13"/>
                <w:color w:val="auto"/>
              </w:rPr>
            </w:pPr>
          </w:p>
        </w:tc>
        <w:tc>
          <w:tcPr>
            <w:tcW w:w="520" w:type="dxa"/>
            <w:vAlign w:val="bottom"/>
          </w:tcPr>
          <w:p>
            <w:pPr>
              <w:ind w:left="420"/>
              <w:spacing w:after="0"/>
              <w:rPr>
                <w:sz w:val="20"/>
                <w:szCs w:val="20"/>
                <w:color w:val="auto"/>
              </w:rPr>
            </w:pPr>
            <w:r>
              <w:rPr>
                <w:rFonts w:ascii="Arial" w:cs="Arial" w:eastAsia="Arial" w:hAnsi="Arial"/>
                <w:sz w:val="12"/>
                <w:szCs w:val="12"/>
                <w:color w:val="auto"/>
              </w:rPr>
              <w:t>●</w:t>
            </w:r>
          </w:p>
        </w:tc>
        <w:tc>
          <w:tcPr>
            <w:tcW w:w="7260" w:type="dxa"/>
            <w:vAlign w:val="bottom"/>
            <w:vMerge w:val="restart"/>
          </w:tcPr>
          <w:p>
            <w:pPr>
              <w:ind w:left="400"/>
              <w:spacing w:after="0"/>
              <w:rPr>
                <w:sz w:val="20"/>
                <w:szCs w:val="20"/>
                <w:color w:val="auto"/>
              </w:rPr>
            </w:pPr>
            <w:r>
              <w:rPr>
                <w:rFonts w:ascii="Arial" w:cs="Arial" w:eastAsia="Arial" w:hAnsi="Arial"/>
                <w:sz w:val="18"/>
                <w:szCs w:val="18"/>
                <w:color w:val="auto"/>
              </w:rPr>
              <w:t>Achievement of department goals; and</w:t>
            </w:r>
          </w:p>
        </w:tc>
        <w:tc>
          <w:tcPr>
            <w:tcW w:w="0" w:type="dxa"/>
            <w:vAlign w:val="bottom"/>
          </w:tcPr>
          <w:p>
            <w:pPr>
              <w:spacing w:after="0"/>
              <w:rPr>
                <w:sz w:val="1"/>
                <w:szCs w:val="1"/>
                <w:color w:val="auto"/>
              </w:rPr>
            </w:pPr>
          </w:p>
        </w:tc>
      </w:tr>
      <w:tr>
        <w:trPr>
          <w:trHeight w:val="82"/>
        </w:trPr>
        <w:tc>
          <w:tcPr>
            <w:tcW w:w="1560" w:type="dxa"/>
            <w:vAlign w:val="bottom"/>
            <w:vMerge w:val="continue"/>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9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72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ind w:left="420"/>
              <w:spacing w:after="0"/>
              <w:rPr>
                <w:sz w:val="20"/>
                <w:szCs w:val="20"/>
                <w:color w:val="auto"/>
              </w:rPr>
            </w:pPr>
            <w:r>
              <w:rPr>
                <w:rFonts w:ascii="Arial" w:cs="Arial" w:eastAsia="Arial" w:hAnsi="Arial"/>
                <w:sz w:val="12"/>
                <w:szCs w:val="12"/>
                <w:color w:val="auto"/>
              </w:rPr>
              <w:t>●</w:t>
            </w:r>
          </w:p>
        </w:tc>
        <w:tc>
          <w:tcPr>
            <w:tcW w:w="7260" w:type="dxa"/>
            <w:vAlign w:val="bottom"/>
          </w:tcPr>
          <w:p>
            <w:pPr>
              <w:ind w:left="400"/>
              <w:spacing w:after="0"/>
              <w:rPr>
                <w:sz w:val="20"/>
                <w:szCs w:val="20"/>
                <w:color w:val="auto"/>
              </w:rPr>
            </w:pPr>
            <w:r>
              <w:rPr>
                <w:rFonts w:ascii="Arial" w:cs="Arial" w:eastAsia="Arial" w:hAnsi="Arial"/>
                <w:sz w:val="18"/>
                <w:szCs w:val="18"/>
                <w:color w:val="auto"/>
              </w:rPr>
              <w:t>Achievement of corporate strategic goals; and</w:t>
            </w:r>
          </w:p>
        </w:tc>
        <w:tc>
          <w:tcPr>
            <w:tcW w:w="0" w:type="dxa"/>
            <w:vAlign w:val="bottom"/>
          </w:tcPr>
          <w:p>
            <w:pPr>
              <w:spacing w:after="0"/>
              <w:rPr>
                <w:sz w:val="1"/>
                <w:szCs w:val="1"/>
                <w:color w:val="auto"/>
              </w:rPr>
            </w:pPr>
          </w:p>
        </w:tc>
      </w:tr>
      <w:tr>
        <w:trPr>
          <w:trHeight w:val="265"/>
        </w:trPr>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ind w:left="420"/>
              <w:spacing w:after="0"/>
              <w:rPr>
                <w:sz w:val="20"/>
                <w:szCs w:val="20"/>
                <w:color w:val="auto"/>
              </w:rPr>
            </w:pPr>
            <w:r>
              <w:rPr>
                <w:rFonts w:ascii="Arial" w:cs="Arial" w:eastAsia="Arial" w:hAnsi="Arial"/>
                <w:sz w:val="12"/>
                <w:szCs w:val="12"/>
                <w:color w:val="auto"/>
              </w:rPr>
              <w:t>●</w:t>
            </w:r>
          </w:p>
        </w:tc>
        <w:tc>
          <w:tcPr>
            <w:tcW w:w="7260" w:type="dxa"/>
            <w:vAlign w:val="bottom"/>
          </w:tcPr>
          <w:p>
            <w:pPr>
              <w:ind w:left="400"/>
              <w:spacing w:after="0"/>
              <w:rPr>
                <w:sz w:val="20"/>
                <w:szCs w:val="20"/>
                <w:color w:val="auto"/>
              </w:rPr>
            </w:pPr>
            <w:r>
              <w:rPr>
                <w:rFonts w:ascii="Arial" w:cs="Arial" w:eastAsia="Arial" w:hAnsi="Arial"/>
                <w:sz w:val="18"/>
                <w:szCs w:val="18"/>
                <w:color w:val="auto"/>
              </w:rPr>
              <w:t>Achievement of financial results.</w:t>
            </w:r>
          </w:p>
        </w:tc>
        <w:tc>
          <w:tcPr>
            <w:tcW w:w="0" w:type="dxa"/>
            <w:vAlign w:val="bottom"/>
          </w:tcPr>
          <w:p>
            <w:pPr>
              <w:spacing w:after="0"/>
              <w:rPr>
                <w:sz w:val="1"/>
                <w:szCs w:val="1"/>
                <w:color w:val="auto"/>
              </w:rPr>
            </w:pPr>
          </w:p>
        </w:tc>
      </w:tr>
      <w:tr>
        <w:trPr>
          <w:trHeight w:val="54"/>
        </w:trPr>
        <w:tc>
          <w:tcPr>
            <w:tcW w:w="1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7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156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4"/>
              </w:rPr>
              <w:t>Fabian Gomez</w:t>
            </w:r>
          </w:p>
        </w:tc>
        <w:tc>
          <w:tcPr>
            <w:tcW w:w="88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282,813</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ind w:left="420"/>
              <w:spacing w:after="0"/>
              <w:rPr>
                <w:sz w:val="20"/>
                <w:szCs w:val="20"/>
                <w:color w:val="auto"/>
              </w:rPr>
            </w:pPr>
            <w:r>
              <w:rPr>
                <w:rFonts w:ascii="Arial" w:cs="Arial" w:eastAsia="Arial" w:hAnsi="Arial"/>
                <w:sz w:val="12"/>
                <w:szCs w:val="12"/>
                <w:color w:val="auto"/>
              </w:rPr>
              <w:t>●</w:t>
            </w:r>
          </w:p>
        </w:tc>
        <w:tc>
          <w:tcPr>
            <w:tcW w:w="72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Achievement of department goals; and</w:t>
            </w:r>
          </w:p>
        </w:tc>
        <w:tc>
          <w:tcPr>
            <w:tcW w:w="0" w:type="dxa"/>
            <w:vAlign w:val="bottom"/>
          </w:tcPr>
          <w:p>
            <w:pPr>
              <w:spacing w:after="0"/>
              <w:rPr>
                <w:sz w:val="1"/>
                <w:szCs w:val="1"/>
                <w:color w:val="auto"/>
              </w:rPr>
            </w:pPr>
          </w:p>
        </w:tc>
      </w:tr>
      <w:tr>
        <w:trPr>
          <w:trHeight w:val="265"/>
        </w:trPr>
        <w:tc>
          <w:tcPr>
            <w:tcW w:w="1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ind w:left="420"/>
              <w:spacing w:after="0"/>
              <w:rPr>
                <w:sz w:val="20"/>
                <w:szCs w:val="20"/>
                <w:color w:val="auto"/>
              </w:rPr>
            </w:pPr>
            <w:r>
              <w:rPr>
                <w:rFonts w:ascii="Arial" w:cs="Arial" w:eastAsia="Arial" w:hAnsi="Arial"/>
                <w:sz w:val="12"/>
                <w:szCs w:val="12"/>
                <w:color w:val="auto"/>
              </w:rPr>
              <w:t>●</w:t>
            </w:r>
          </w:p>
        </w:tc>
        <w:tc>
          <w:tcPr>
            <w:tcW w:w="72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Achievement of corporate strategic goals; and</w:t>
            </w:r>
          </w:p>
        </w:tc>
        <w:tc>
          <w:tcPr>
            <w:tcW w:w="0" w:type="dxa"/>
            <w:vAlign w:val="bottom"/>
          </w:tcPr>
          <w:p>
            <w:pPr>
              <w:spacing w:after="0"/>
              <w:rPr>
                <w:sz w:val="1"/>
                <w:szCs w:val="1"/>
                <w:color w:val="auto"/>
              </w:rPr>
            </w:pPr>
          </w:p>
        </w:tc>
      </w:tr>
      <w:tr>
        <w:trPr>
          <w:trHeight w:val="286"/>
        </w:trPr>
        <w:tc>
          <w:tcPr>
            <w:tcW w:w="15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2"/>
                <w:szCs w:val="12"/>
                <w:color w:val="auto"/>
              </w:rPr>
              <w:t>●</w:t>
            </w:r>
          </w:p>
        </w:tc>
        <w:tc>
          <w:tcPr>
            <w:tcW w:w="72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Achievement of financial results.</w:t>
            </w:r>
          </w:p>
        </w:tc>
        <w:tc>
          <w:tcPr>
            <w:tcW w:w="0" w:type="dxa"/>
            <w:vAlign w:val="bottom"/>
          </w:tcPr>
          <w:p>
            <w:pPr>
              <w:spacing w:after="0"/>
              <w:rPr>
                <w:sz w:val="1"/>
                <w:szCs w:val="1"/>
                <w:color w:val="auto"/>
              </w:rPr>
            </w:pPr>
          </w:p>
        </w:tc>
      </w:tr>
      <w:tr>
        <w:trPr>
          <w:trHeight w:val="224"/>
        </w:trPr>
        <w:tc>
          <w:tcPr>
            <w:tcW w:w="1560" w:type="dxa"/>
            <w:vAlign w:val="bottom"/>
          </w:tcPr>
          <w:p>
            <w:pPr>
              <w:ind w:left="420"/>
              <w:spacing w:after="0"/>
              <w:rPr>
                <w:sz w:val="20"/>
                <w:szCs w:val="20"/>
                <w:color w:val="auto"/>
              </w:rPr>
            </w:pPr>
            <w:r>
              <w:rPr>
                <w:rFonts w:ascii="Arial" w:cs="Arial" w:eastAsia="Arial" w:hAnsi="Arial"/>
                <w:sz w:val="18"/>
                <w:szCs w:val="18"/>
                <w:color w:val="auto"/>
                <w:w w:val="93"/>
              </w:rPr>
              <w:t>Julie K. Gerron</w:t>
            </w:r>
          </w:p>
        </w:tc>
        <w:tc>
          <w:tcPr>
            <w:tcW w:w="880" w:type="dxa"/>
            <w:vAlign w:val="bottom"/>
            <w:gridSpan w:val="2"/>
          </w:tcPr>
          <w:p>
            <w:pPr>
              <w:jc w:val="right"/>
              <w:ind w:right="192"/>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206,250</w:t>
            </w:r>
          </w:p>
        </w:tc>
        <w:tc>
          <w:tcPr>
            <w:tcW w:w="120" w:type="dxa"/>
            <w:vAlign w:val="bottom"/>
          </w:tcPr>
          <w:p>
            <w:pPr>
              <w:spacing w:after="0"/>
              <w:rPr>
                <w:sz w:val="19"/>
                <w:szCs w:val="19"/>
                <w:color w:val="auto"/>
              </w:rPr>
            </w:pPr>
          </w:p>
        </w:tc>
        <w:tc>
          <w:tcPr>
            <w:tcW w:w="520" w:type="dxa"/>
            <w:vAlign w:val="bottom"/>
          </w:tcPr>
          <w:p>
            <w:pPr>
              <w:ind w:left="420"/>
              <w:spacing w:after="0"/>
              <w:rPr>
                <w:sz w:val="20"/>
                <w:szCs w:val="20"/>
                <w:color w:val="auto"/>
              </w:rPr>
            </w:pPr>
            <w:r>
              <w:rPr>
                <w:rFonts w:ascii="Arial" w:cs="Arial" w:eastAsia="Arial" w:hAnsi="Arial"/>
                <w:sz w:val="12"/>
                <w:szCs w:val="12"/>
                <w:color w:val="auto"/>
              </w:rPr>
              <w:t>●</w:t>
            </w:r>
          </w:p>
        </w:tc>
        <w:tc>
          <w:tcPr>
            <w:tcW w:w="7260" w:type="dxa"/>
            <w:vAlign w:val="bottom"/>
          </w:tcPr>
          <w:p>
            <w:pPr>
              <w:ind w:left="400"/>
              <w:spacing w:after="0"/>
              <w:rPr>
                <w:sz w:val="20"/>
                <w:szCs w:val="20"/>
                <w:color w:val="auto"/>
              </w:rPr>
            </w:pPr>
            <w:r>
              <w:rPr>
                <w:rFonts w:ascii="Arial" w:cs="Arial" w:eastAsia="Arial" w:hAnsi="Arial"/>
                <w:sz w:val="18"/>
                <w:szCs w:val="18"/>
                <w:color w:val="auto"/>
              </w:rPr>
              <w:t>Achievement of department goals; and</w:t>
            </w:r>
          </w:p>
        </w:tc>
        <w:tc>
          <w:tcPr>
            <w:tcW w:w="0" w:type="dxa"/>
            <w:vAlign w:val="bottom"/>
          </w:tcPr>
          <w:p>
            <w:pPr>
              <w:spacing w:after="0"/>
              <w:rPr>
                <w:sz w:val="1"/>
                <w:szCs w:val="1"/>
                <w:color w:val="auto"/>
              </w:rPr>
            </w:pPr>
          </w:p>
        </w:tc>
      </w:tr>
      <w:tr>
        <w:trPr>
          <w:trHeight w:val="196"/>
        </w:trPr>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ind w:left="420"/>
              <w:spacing w:after="0"/>
              <w:rPr>
                <w:sz w:val="20"/>
                <w:szCs w:val="20"/>
                <w:color w:val="auto"/>
              </w:rPr>
            </w:pPr>
            <w:r>
              <w:rPr>
                <w:rFonts w:ascii="Arial" w:cs="Arial" w:eastAsia="Arial" w:hAnsi="Arial"/>
                <w:sz w:val="12"/>
                <w:szCs w:val="12"/>
                <w:color w:val="auto"/>
              </w:rPr>
              <w:t>●</w:t>
            </w:r>
          </w:p>
        </w:tc>
        <w:tc>
          <w:tcPr>
            <w:tcW w:w="7260" w:type="dxa"/>
            <w:vAlign w:val="bottom"/>
            <w:vMerge w:val="restart"/>
          </w:tcPr>
          <w:p>
            <w:pPr>
              <w:ind w:left="400"/>
              <w:spacing w:after="0"/>
              <w:rPr>
                <w:sz w:val="20"/>
                <w:szCs w:val="20"/>
                <w:color w:val="auto"/>
              </w:rPr>
            </w:pPr>
            <w:r>
              <w:rPr>
                <w:rFonts w:ascii="Arial" w:cs="Arial" w:eastAsia="Arial" w:hAnsi="Arial"/>
                <w:sz w:val="18"/>
                <w:szCs w:val="18"/>
                <w:color w:val="auto"/>
              </w:rPr>
              <w:t>Achievement of corporate strategic goals; and</w:t>
            </w:r>
          </w:p>
        </w:tc>
        <w:tc>
          <w:tcPr>
            <w:tcW w:w="0" w:type="dxa"/>
            <w:vAlign w:val="bottom"/>
          </w:tcPr>
          <w:p>
            <w:pPr>
              <w:spacing w:after="0"/>
              <w:rPr>
                <w:sz w:val="1"/>
                <w:szCs w:val="1"/>
                <w:color w:val="auto"/>
              </w:rPr>
            </w:pPr>
          </w:p>
        </w:tc>
      </w:tr>
      <w:tr>
        <w:trPr>
          <w:trHeight w:val="82"/>
        </w:trPr>
        <w:tc>
          <w:tcPr>
            <w:tcW w:w="1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72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3"/>
        </w:trPr>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ind w:left="420"/>
              <w:spacing w:after="0"/>
              <w:rPr>
                <w:sz w:val="20"/>
                <w:szCs w:val="20"/>
                <w:color w:val="auto"/>
              </w:rPr>
            </w:pPr>
            <w:r>
              <w:rPr>
                <w:rFonts w:ascii="Arial" w:cs="Arial" w:eastAsia="Arial" w:hAnsi="Arial"/>
                <w:sz w:val="12"/>
                <w:szCs w:val="12"/>
                <w:color w:val="auto"/>
              </w:rPr>
              <w:t>●</w:t>
            </w:r>
          </w:p>
        </w:tc>
        <w:tc>
          <w:tcPr>
            <w:tcW w:w="7260" w:type="dxa"/>
            <w:vAlign w:val="bottom"/>
            <w:vMerge w:val="restart"/>
          </w:tcPr>
          <w:p>
            <w:pPr>
              <w:ind w:left="400"/>
              <w:spacing w:after="0"/>
              <w:rPr>
                <w:sz w:val="20"/>
                <w:szCs w:val="20"/>
                <w:color w:val="auto"/>
              </w:rPr>
            </w:pPr>
            <w:r>
              <w:rPr>
                <w:rFonts w:ascii="Arial" w:cs="Arial" w:eastAsia="Arial" w:hAnsi="Arial"/>
                <w:sz w:val="18"/>
                <w:szCs w:val="18"/>
                <w:color w:val="auto"/>
              </w:rPr>
              <w:t>Achievement of financial results.</w:t>
            </w:r>
          </w:p>
        </w:tc>
        <w:tc>
          <w:tcPr>
            <w:tcW w:w="0" w:type="dxa"/>
            <w:vAlign w:val="bottom"/>
          </w:tcPr>
          <w:p>
            <w:pPr>
              <w:spacing w:after="0"/>
              <w:rPr>
                <w:sz w:val="1"/>
                <w:szCs w:val="1"/>
                <w:color w:val="auto"/>
              </w:rPr>
            </w:pPr>
          </w:p>
        </w:tc>
      </w:tr>
      <w:tr>
        <w:trPr>
          <w:trHeight w:val="82"/>
        </w:trPr>
        <w:tc>
          <w:tcPr>
            <w:tcW w:w="1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72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
        </w:trPr>
        <w:tc>
          <w:tcPr>
            <w:tcW w:w="1560" w:type="dxa"/>
            <w:vAlign w:val="bottom"/>
            <w:vMerge w:val="restart"/>
          </w:tcPr>
          <w:p>
            <w:pPr>
              <w:ind w:left="420"/>
              <w:spacing w:after="0"/>
              <w:rPr>
                <w:sz w:val="20"/>
                <w:szCs w:val="20"/>
                <w:color w:val="auto"/>
              </w:rPr>
            </w:pPr>
            <w:r>
              <w:rPr>
                <w:rFonts w:ascii="Arial" w:cs="Arial" w:eastAsia="Arial" w:hAnsi="Arial"/>
                <w:sz w:val="18"/>
                <w:szCs w:val="18"/>
                <w:color w:val="auto"/>
                <w:w w:val="90"/>
              </w:rPr>
              <w:t>Steven Paddon</w:t>
            </w:r>
          </w:p>
        </w:tc>
        <w:tc>
          <w:tcPr>
            <w:tcW w:w="880" w:type="dxa"/>
            <w:vAlign w:val="bottom"/>
            <w:gridSpan w:val="2"/>
            <w:vMerge w:val="restart"/>
          </w:tcPr>
          <w:p>
            <w:pPr>
              <w:jc w:val="right"/>
              <w:ind w:right="192"/>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440,415</w:t>
            </w: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7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1560" w:type="dxa"/>
            <w:vAlign w:val="bottom"/>
            <w:vMerge w:val="continue"/>
          </w:tcPr>
          <w:p>
            <w:pPr>
              <w:spacing w:after="0"/>
              <w:rPr>
                <w:sz w:val="21"/>
                <w:szCs w:val="21"/>
                <w:color w:val="auto"/>
              </w:rPr>
            </w:pPr>
          </w:p>
        </w:tc>
        <w:tc>
          <w:tcPr>
            <w:tcW w:w="880" w:type="dxa"/>
            <w:vAlign w:val="bottom"/>
            <w:gridSpan w:val="2"/>
            <w:vMerge w:val="continue"/>
          </w:tcPr>
          <w:p>
            <w:pPr>
              <w:spacing w:after="0"/>
              <w:rPr>
                <w:sz w:val="21"/>
                <w:szCs w:val="21"/>
                <w:color w:val="auto"/>
              </w:rPr>
            </w:pPr>
          </w:p>
        </w:tc>
        <w:tc>
          <w:tcPr>
            <w:tcW w:w="900" w:type="dxa"/>
            <w:vAlign w:val="bottom"/>
            <w:vMerge w:val="continue"/>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2"/>
                <w:szCs w:val="12"/>
                <w:color w:val="auto"/>
              </w:rPr>
              <w:t>●</w:t>
            </w:r>
          </w:p>
        </w:tc>
        <w:tc>
          <w:tcPr>
            <w:tcW w:w="72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Achievement of department goals; and</w:t>
            </w:r>
          </w:p>
        </w:tc>
        <w:tc>
          <w:tcPr>
            <w:tcW w:w="0" w:type="dxa"/>
            <w:vAlign w:val="bottom"/>
          </w:tcPr>
          <w:p>
            <w:pPr>
              <w:spacing w:after="0"/>
              <w:rPr>
                <w:sz w:val="1"/>
                <w:szCs w:val="1"/>
                <w:color w:val="auto"/>
              </w:rPr>
            </w:pPr>
          </w:p>
        </w:tc>
      </w:tr>
      <w:tr>
        <w:trPr>
          <w:trHeight w:val="155"/>
        </w:trPr>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shd w:val="clear" w:color="auto" w:fill="CCEEFF"/>
          </w:tcPr>
          <w:p>
            <w:pPr>
              <w:ind w:left="420"/>
              <w:spacing w:after="0"/>
              <w:rPr>
                <w:sz w:val="20"/>
                <w:szCs w:val="20"/>
                <w:color w:val="auto"/>
              </w:rPr>
            </w:pPr>
            <w:r>
              <w:rPr>
                <w:rFonts w:ascii="Arial" w:cs="Arial" w:eastAsia="Arial" w:hAnsi="Arial"/>
                <w:sz w:val="12"/>
                <w:szCs w:val="12"/>
                <w:color w:val="auto"/>
              </w:rPr>
              <w:t>●</w:t>
            </w:r>
          </w:p>
        </w:tc>
        <w:tc>
          <w:tcPr>
            <w:tcW w:w="7260" w:type="dxa"/>
            <w:vAlign w:val="bottom"/>
            <w:vMerge w:val="restart"/>
            <w:shd w:val="clear" w:color="auto" w:fill="CCEEFF"/>
          </w:tcPr>
          <w:p>
            <w:pPr>
              <w:ind w:left="400"/>
              <w:spacing w:after="0"/>
              <w:rPr>
                <w:sz w:val="20"/>
                <w:szCs w:val="20"/>
                <w:color w:val="auto"/>
              </w:rPr>
            </w:pPr>
            <w:r>
              <w:rPr>
                <w:rFonts w:ascii="Arial" w:cs="Arial" w:eastAsia="Arial" w:hAnsi="Arial"/>
                <w:sz w:val="18"/>
                <w:szCs w:val="18"/>
                <w:color w:val="auto"/>
              </w:rPr>
              <w:t>Achievement of corporate strategic goals; and</w:t>
            </w:r>
          </w:p>
        </w:tc>
        <w:tc>
          <w:tcPr>
            <w:tcW w:w="0" w:type="dxa"/>
            <w:vAlign w:val="bottom"/>
          </w:tcPr>
          <w:p>
            <w:pPr>
              <w:spacing w:after="0"/>
              <w:rPr>
                <w:sz w:val="1"/>
                <w:szCs w:val="1"/>
                <w:color w:val="auto"/>
              </w:rPr>
            </w:pPr>
          </w:p>
        </w:tc>
      </w:tr>
      <w:tr>
        <w:trPr>
          <w:trHeight w:val="110"/>
        </w:trPr>
        <w:tc>
          <w:tcPr>
            <w:tcW w:w="1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726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-336550</wp:posOffset>
            </wp:positionV>
            <wp:extent cx="7134860" cy="5054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4860" cy="505460"/>
                    </a:xfrm>
                    <a:prstGeom prst="rect">
                      <a:avLst/>
                    </a:prstGeom>
                    <a:noFill/>
                  </pic:spPr>
                </pic:pic>
              </a:graphicData>
            </a:graphic>
          </wp:anchor>
        </w:drawing>
      </w:r>
    </w:p>
    <w:tbl>
      <w:tblPr>
        <w:tblLayout w:type="fixed"/>
        <w:tblInd w:w="3880" w:type="dxa"/>
        <w:tblCellMar>
          <w:top w:w="0" w:type="dxa"/>
          <w:left w:w="0" w:type="dxa"/>
          <w:bottom w:w="0" w:type="dxa"/>
          <w:right w:w="0" w:type="dxa"/>
        </w:tblCellMar>
      </w:tblPr>
      <w:tr>
        <w:trPr>
          <w:trHeight w:val="148"/>
        </w:trPr>
        <w:tc>
          <w:tcPr>
            <w:tcW w:w="280" w:type="dxa"/>
            <w:vAlign w:val="bottom"/>
          </w:tcPr>
          <w:p>
            <w:pPr>
              <w:spacing w:after="0"/>
              <w:rPr>
                <w:sz w:val="20"/>
                <w:szCs w:val="20"/>
                <w:color w:val="auto"/>
              </w:rPr>
            </w:pPr>
            <w:r>
              <w:rPr>
                <w:rFonts w:ascii="Arial" w:cs="Arial" w:eastAsia="Arial" w:hAnsi="Arial"/>
                <w:sz w:val="12"/>
                <w:szCs w:val="12"/>
                <w:color w:val="auto"/>
              </w:rPr>
              <w:t>●</w:t>
            </w:r>
          </w:p>
        </w:tc>
        <w:tc>
          <w:tcPr>
            <w:tcW w:w="2580" w:type="dxa"/>
            <w:vAlign w:val="bottom"/>
            <w:vMerge w:val="restart"/>
          </w:tcPr>
          <w:p>
            <w:pPr>
              <w:ind w:left="220"/>
              <w:spacing w:after="0"/>
              <w:rPr>
                <w:sz w:val="20"/>
                <w:szCs w:val="20"/>
                <w:color w:val="auto"/>
              </w:rPr>
            </w:pPr>
            <w:r>
              <w:rPr>
                <w:rFonts w:ascii="Arial" w:cs="Arial" w:eastAsia="Arial" w:hAnsi="Arial"/>
                <w:sz w:val="18"/>
                <w:szCs w:val="18"/>
                <w:color w:val="auto"/>
                <w:w w:val="90"/>
              </w:rPr>
              <w:t>Achievement of financial results.</w:t>
            </w:r>
          </w:p>
        </w:tc>
        <w:tc>
          <w:tcPr>
            <w:tcW w:w="0" w:type="dxa"/>
            <w:vAlign w:val="bottom"/>
          </w:tcPr>
          <w:p>
            <w:pPr>
              <w:spacing w:after="0"/>
              <w:rPr>
                <w:sz w:val="1"/>
                <w:szCs w:val="1"/>
                <w:color w:val="auto"/>
              </w:rPr>
            </w:pPr>
          </w:p>
        </w:tc>
      </w:tr>
      <w:tr>
        <w:trPr>
          <w:trHeight w:val="109"/>
        </w:trPr>
        <w:tc>
          <w:tcPr>
            <w:tcW w:w="280" w:type="dxa"/>
            <w:vAlign w:val="bottom"/>
          </w:tcPr>
          <w:p>
            <w:pPr>
              <w:spacing w:after="0"/>
              <w:rPr>
                <w:sz w:val="9"/>
                <w:szCs w:val="9"/>
                <w:color w:val="auto"/>
              </w:rPr>
            </w:pPr>
          </w:p>
        </w:tc>
        <w:tc>
          <w:tcPr>
            <w:tcW w:w="2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Equity Awards</w:t>
      </w:r>
    </w:p>
    <w:p>
      <w:pPr>
        <w:spacing w:after="0" w:line="111" w:lineRule="exact"/>
        <w:rPr>
          <w:sz w:val="20"/>
          <w:szCs w:val="20"/>
          <w:color w:val="auto"/>
        </w:rPr>
      </w:pPr>
    </w:p>
    <w:p>
      <w:pPr>
        <w:ind w:right="340" w:firstLine="398"/>
        <w:spacing w:after="0" w:line="252" w:lineRule="auto"/>
        <w:rPr>
          <w:sz w:val="20"/>
          <w:szCs w:val="20"/>
          <w:color w:val="auto"/>
        </w:rPr>
      </w:pPr>
      <w:r>
        <w:rPr>
          <w:rFonts w:ascii="Arial" w:cs="Arial" w:eastAsia="Arial" w:hAnsi="Arial"/>
          <w:sz w:val="18"/>
          <w:szCs w:val="18"/>
          <w:color w:val="auto"/>
        </w:rPr>
        <w:t>Each year, the Compensation Committee grants long-term equity awards to our named executive officers under the Westwood Holdings Group, Inc. Stock Incentive Plan (the "Stock Incentive Plan"). These equity awards are intended to attract, retain and motivate our named executive officers as well as focus them on our long-term performance, however, the primary goal of these awards currently is to retain our named executive officers as the Company continues its upward trajectory.</w:t>
      </w:r>
    </w:p>
    <w:p>
      <w:pPr>
        <w:spacing w:after="0" w:line="86" w:lineRule="exact"/>
        <w:rPr>
          <w:sz w:val="20"/>
          <w:szCs w:val="20"/>
          <w:color w:val="auto"/>
        </w:rPr>
      </w:pPr>
    </w:p>
    <w:p>
      <w:pPr>
        <w:ind w:right="420" w:firstLine="398"/>
        <w:spacing w:after="0" w:line="265" w:lineRule="auto"/>
        <w:rPr>
          <w:sz w:val="20"/>
          <w:szCs w:val="20"/>
          <w:color w:val="auto"/>
        </w:rPr>
      </w:pPr>
      <w:r>
        <w:rPr>
          <w:rFonts w:ascii="Arial" w:cs="Arial" w:eastAsia="Arial" w:hAnsi="Arial"/>
          <w:sz w:val="18"/>
          <w:szCs w:val="18"/>
          <w:color w:val="auto"/>
        </w:rPr>
        <w:t>The Compensation Committee determines long-term equity awards to reward achievement of short- and long-term performance goals and financial results. The Compensation Committee also performs periodic benchmarking against our peers.</w:t>
      </w:r>
    </w:p>
    <w:p>
      <w:pPr>
        <w:spacing w:after="0" w:line="74" w:lineRule="exact"/>
        <w:rPr>
          <w:sz w:val="20"/>
          <w:szCs w:val="20"/>
          <w:color w:val="auto"/>
        </w:rPr>
      </w:pPr>
    </w:p>
    <w:p>
      <w:pPr>
        <w:ind w:right="380" w:firstLine="398"/>
        <w:spacing w:after="0" w:line="265" w:lineRule="auto"/>
        <w:rPr>
          <w:sz w:val="20"/>
          <w:szCs w:val="20"/>
          <w:color w:val="auto"/>
        </w:rPr>
      </w:pPr>
      <w:r>
        <w:rPr>
          <w:rFonts w:ascii="Arial" w:cs="Arial" w:eastAsia="Arial" w:hAnsi="Arial"/>
          <w:sz w:val="18"/>
          <w:szCs w:val="18"/>
          <w:color w:val="auto"/>
        </w:rPr>
        <w:t>While the Stock Incentive Plan authorizes the grant of several types of equity awards, the Compensation Committee awarded only time-based stock awards to named executive officers in 2021.</w:t>
      </w:r>
    </w:p>
    <w:p>
      <w:pPr>
        <w:spacing w:after="0" w:line="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509" w:right="339" w:bottom="1440" w:gutter="0" w:footer="0" w:header="0"/>
        </w:sectPr>
      </w:pPr>
    </w:p>
    <w:bookmarkStart w:id="29" w:name="page30"/>
    <w:bookmarkEnd w:id="29"/>
    <w:p>
      <w:pPr>
        <w:ind w:right="440" w:firstLine="398"/>
        <w:spacing w:after="0" w:line="330" w:lineRule="auto"/>
        <w:rPr>
          <w:sz w:val="20"/>
          <w:szCs w:val="20"/>
          <w:color w:val="auto"/>
        </w:rPr>
      </w:pPr>
      <w:r>
        <w:rPr>
          <w:rFonts w:ascii="Arial" w:cs="Arial" w:eastAsia="Arial" w:hAnsi="Arial"/>
          <w:sz w:val="15"/>
          <w:szCs w:val="15"/>
          <w:color w:val="auto"/>
        </w:rPr>
        <w:t>Unless the Compensation Committee determines otherwise, recipients of restricted stock awards will generally have the right to vote underlying restricted shares. Dividends on restricted stock awards are accrued and payable to the recipient only when underlying restricted shares vest. Any accrued dividends on forfeited shares are not paid. Restricted shares may not be sold, transferred, or pledged during the restricted period.</w:t>
      </w:r>
    </w:p>
    <w:p>
      <w:pPr>
        <w:spacing w:after="0" w:line="31" w:lineRule="exact"/>
        <w:rPr>
          <w:sz w:val="20"/>
          <w:szCs w:val="20"/>
          <w:color w:val="auto"/>
        </w:rPr>
      </w:pPr>
    </w:p>
    <w:p>
      <w:pPr>
        <w:ind w:firstLine="398"/>
        <w:spacing w:after="0" w:line="252" w:lineRule="auto"/>
        <w:rPr>
          <w:sz w:val="20"/>
          <w:szCs w:val="20"/>
          <w:color w:val="auto"/>
        </w:rPr>
      </w:pPr>
      <w:r>
        <w:rPr>
          <w:rFonts w:ascii="Arial" w:cs="Arial" w:eastAsia="Arial" w:hAnsi="Arial"/>
          <w:sz w:val="18"/>
          <w:szCs w:val="18"/>
          <w:color w:val="auto"/>
        </w:rPr>
        <w:t>The Company does not have a formal policy on timing equity compensation grants in connection with the release of material non-public information that may affect the value of compensation. In the event that material non-public information becomes known prior to granting equity awards, the Compensation Committee will consider such information in order to assess whether or not to delay the grant of the award to avoid any impropriety or appearance of impropriety.</w:t>
      </w:r>
    </w:p>
    <w:p>
      <w:pPr>
        <w:spacing w:after="0" w:line="86" w:lineRule="exact"/>
        <w:rPr>
          <w:sz w:val="20"/>
          <w:szCs w:val="20"/>
          <w:color w:val="auto"/>
        </w:rPr>
      </w:pPr>
    </w:p>
    <w:p>
      <w:pPr>
        <w:ind w:right="300" w:firstLine="398"/>
        <w:spacing w:after="0" w:line="255" w:lineRule="auto"/>
        <w:rPr>
          <w:sz w:val="20"/>
          <w:szCs w:val="20"/>
          <w:color w:val="auto"/>
        </w:rPr>
      </w:pPr>
      <w:r>
        <w:rPr>
          <w:rFonts w:ascii="Arial" w:cs="Arial" w:eastAsia="Arial" w:hAnsi="Arial"/>
          <w:sz w:val="18"/>
          <w:szCs w:val="18"/>
          <w:color w:val="auto"/>
        </w:rPr>
        <w:t>The Compensation Committee believes that restricted stock awards align the interests of our named executive officers with those of our stockholders because their value is tied to the market value of our common stock. In 2021, the vesting schedule was adjusted so that time-based awards are generally subject to ratable vesting over three years based on the following schedule:</w:t>
      </w:r>
    </w:p>
    <w:p>
      <w:pPr>
        <w:spacing w:after="0" w:line="83" w:lineRule="exact"/>
        <w:rPr>
          <w:sz w:val="20"/>
          <w:szCs w:val="20"/>
          <w:color w:val="auto"/>
        </w:rPr>
      </w:pPr>
    </w:p>
    <w:p>
      <w:pPr>
        <w:ind w:left="640" w:hanging="316"/>
        <w:spacing w:after="0"/>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34% of awards vest upon the first anniversary of the grant date;</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33% of awards vest upon the second anniversary of the grant date; and</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33% of awards vest upon the third anniversary of the grant date.</w:t>
      </w:r>
    </w:p>
    <w:p>
      <w:pPr>
        <w:spacing w:after="0" w:line="111" w:lineRule="exact"/>
        <w:rPr>
          <w:sz w:val="20"/>
          <w:szCs w:val="20"/>
          <w:color w:val="auto"/>
        </w:rPr>
      </w:pPr>
    </w:p>
    <w:p>
      <w:pPr>
        <w:ind w:right="340" w:firstLine="398"/>
        <w:spacing w:after="0" w:line="255" w:lineRule="auto"/>
        <w:rPr>
          <w:sz w:val="20"/>
          <w:szCs w:val="20"/>
          <w:color w:val="auto"/>
        </w:rPr>
      </w:pPr>
      <w:r>
        <w:rPr>
          <w:rFonts w:ascii="Arial" w:cs="Arial" w:eastAsia="Arial" w:hAnsi="Arial"/>
          <w:sz w:val="18"/>
          <w:szCs w:val="18"/>
          <w:color w:val="auto"/>
        </w:rPr>
        <w:t>Restricted stock award sizes are determined as a component of total compensation for each executive and are designed to retain and motivate our employees, and tie them to Company performance. In February 2022, the Compensation Committee evaluated the following criteria regarding time-based restricted stock grants:</w:t>
      </w:r>
    </w:p>
    <w:p>
      <w:pPr>
        <w:spacing w:after="0" w:line="83" w:lineRule="exact"/>
        <w:rPr>
          <w:sz w:val="20"/>
          <w:szCs w:val="20"/>
          <w:color w:val="auto"/>
        </w:rPr>
      </w:pPr>
    </w:p>
    <w:p>
      <w:pPr>
        <w:ind w:left="640" w:hanging="316"/>
        <w:spacing w:after="0"/>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Overall company performance in 2021;</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Performance and accomplishments of individuals in 2021;</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Market data;</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Overall Company dilution and share utilization;</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Company's recent stock price performance; and</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size of historical award grants.</w:t>
      </w:r>
    </w:p>
    <w:p>
      <w:pPr>
        <w:spacing w:after="0" w:line="11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Accordingly, the Compensation Committee awarded the following time-based restricted stock grants to our named executive officers: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660" w:type="dxa"/>
            <w:vAlign w:val="bottom"/>
            <w:tcBorders>
              <w:bottom w:val="single" w:sz="8" w:color="auto"/>
            </w:tcBorders>
          </w:tcPr>
          <w:p>
            <w:pPr>
              <w:ind w:left="1860"/>
              <w:spacing w:after="0"/>
              <w:rPr>
                <w:sz w:val="20"/>
                <w:szCs w:val="20"/>
                <w:color w:val="auto"/>
              </w:rPr>
            </w:pPr>
            <w:r>
              <w:rPr>
                <w:rFonts w:ascii="Arial" w:cs="Arial" w:eastAsia="Arial" w:hAnsi="Arial"/>
                <w:sz w:val="14"/>
                <w:szCs w:val="14"/>
                <w:b w:val="1"/>
                <w:bCs w:val="1"/>
                <w:color w:val="auto"/>
              </w:rPr>
              <w:t>Name</w:t>
            </w:r>
          </w:p>
        </w:tc>
        <w:tc>
          <w:tcPr>
            <w:tcW w:w="100" w:type="dxa"/>
            <w:vAlign w:val="bottom"/>
            <w:tcBorders>
              <w:bottom w:val="single" w:sz="8" w:color="CCEEFF"/>
            </w:tcBorders>
          </w:tcPr>
          <w:p>
            <w:pPr>
              <w:spacing w:after="0"/>
              <w:rPr>
                <w:sz w:val="16"/>
                <w:szCs w:val="16"/>
                <w:color w:val="auto"/>
              </w:rPr>
            </w:pPr>
          </w:p>
        </w:tc>
        <w:tc>
          <w:tcPr>
            <w:tcW w:w="366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Number of Restricted Shares Granted (#)</w:t>
            </w:r>
          </w:p>
        </w:tc>
        <w:tc>
          <w:tcPr>
            <w:tcW w:w="100" w:type="dxa"/>
            <w:vAlign w:val="bottom"/>
            <w:tcBorders>
              <w:bottom w:val="single" w:sz="8" w:color="CCEEFF"/>
            </w:tcBorders>
          </w:tcPr>
          <w:p>
            <w:pPr>
              <w:spacing w:after="0"/>
              <w:rPr>
                <w:sz w:val="16"/>
                <w:szCs w:val="16"/>
                <w:color w:val="auto"/>
              </w:rPr>
            </w:pPr>
          </w:p>
        </w:tc>
        <w:tc>
          <w:tcPr>
            <w:tcW w:w="368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Grant Date Fair Value of Shares ($) (1)</w:t>
            </w:r>
          </w:p>
        </w:tc>
      </w:tr>
      <w:tr>
        <w:trPr>
          <w:trHeight w:val="224"/>
        </w:trPr>
        <w:tc>
          <w:tcPr>
            <w:tcW w:w="3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Brian O. Casey</w:t>
            </w:r>
          </w:p>
        </w:tc>
        <w:tc>
          <w:tcPr>
            <w:tcW w:w="3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18,657</w:t>
            </w:r>
          </w:p>
        </w:tc>
        <w:tc>
          <w:tcPr>
            <w:tcW w:w="100" w:type="dxa"/>
            <w:vAlign w:val="bottom"/>
            <w:shd w:val="clear" w:color="auto" w:fill="CCEEFF"/>
          </w:tcPr>
          <w:p>
            <w:pPr>
              <w:spacing w:after="0"/>
              <w:rPr>
                <w:sz w:val="19"/>
                <w:szCs w:val="19"/>
                <w:color w:val="auto"/>
              </w:rPr>
            </w:pPr>
          </w:p>
        </w:tc>
        <w:tc>
          <w:tcPr>
            <w:tcW w:w="3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312,505</w:t>
            </w:r>
          </w:p>
        </w:tc>
      </w:tr>
      <w:tr>
        <w:trPr>
          <w:trHeight w:val="225"/>
        </w:trPr>
        <w:tc>
          <w:tcPr>
            <w:tcW w:w="3760" w:type="dxa"/>
            <w:vAlign w:val="bottom"/>
            <w:gridSpan w:val="2"/>
          </w:tcPr>
          <w:p>
            <w:pPr>
              <w:ind w:left="420"/>
              <w:spacing w:after="0"/>
              <w:rPr>
                <w:sz w:val="20"/>
                <w:szCs w:val="20"/>
                <w:color w:val="auto"/>
              </w:rPr>
            </w:pPr>
            <w:r>
              <w:rPr>
                <w:rFonts w:ascii="Arial" w:cs="Arial" w:eastAsia="Arial" w:hAnsi="Arial"/>
                <w:sz w:val="18"/>
                <w:szCs w:val="18"/>
                <w:color w:val="auto"/>
              </w:rPr>
              <w:t>Terry Forbes</w:t>
            </w:r>
          </w:p>
        </w:tc>
        <w:tc>
          <w:tcPr>
            <w:tcW w:w="3660" w:type="dxa"/>
            <w:vAlign w:val="bottom"/>
          </w:tcPr>
          <w:p>
            <w:pPr>
              <w:jc w:val="right"/>
              <w:spacing w:after="0"/>
              <w:rPr>
                <w:sz w:val="20"/>
                <w:szCs w:val="20"/>
                <w:color w:val="auto"/>
              </w:rPr>
            </w:pPr>
            <w:r>
              <w:rPr>
                <w:rFonts w:ascii="Arial" w:cs="Arial" w:eastAsia="Arial" w:hAnsi="Arial"/>
                <w:sz w:val="18"/>
                <w:szCs w:val="18"/>
                <w:color w:val="auto"/>
              </w:rPr>
              <w:t>10,005</w:t>
            </w:r>
          </w:p>
        </w:tc>
        <w:tc>
          <w:tcPr>
            <w:tcW w:w="100" w:type="dxa"/>
            <w:vAlign w:val="bottom"/>
          </w:tcPr>
          <w:p>
            <w:pPr>
              <w:spacing w:after="0"/>
              <w:rPr>
                <w:sz w:val="19"/>
                <w:szCs w:val="19"/>
                <w:color w:val="auto"/>
              </w:rPr>
            </w:pPr>
          </w:p>
        </w:tc>
        <w:tc>
          <w:tcPr>
            <w:tcW w:w="3680" w:type="dxa"/>
            <w:vAlign w:val="bottom"/>
          </w:tcPr>
          <w:p>
            <w:pPr>
              <w:jc w:val="right"/>
              <w:spacing w:after="0"/>
              <w:rPr>
                <w:sz w:val="20"/>
                <w:szCs w:val="20"/>
                <w:color w:val="auto"/>
              </w:rPr>
            </w:pPr>
            <w:r>
              <w:rPr>
                <w:rFonts w:ascii="Arial" w:cs="Arial" w:eastAsia="Arial" w:hAnsi="Arial"/>
                <w:sz w:val="18"/>
                <w:szCs w:val="18"/>
                <w:color w:val="auto"/>
              </w:rPr>
              <w:t>167,584</w:t>
            </w:r>
          </w:p>
        </w:tc>
      </w:tr>
      <w:tr>
        <w:trPr>
          <w:trHeight w:val="226"/>
        </w:trPr>
        <w:tc>
          <w:tcPr>
            <w:tcW w:w="3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Fabian Gomez</w:t>
            </w:r>
          </w:p>
        </w:tc>
        <w:tc>
          <w:tcPr>
            <w:tcW w:w="3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15,392</w:t>
            </w:r>
          </w:p>
        </w:tc>
        <w:tc>
          <w:tcPr>
            <w:tcW w:w="100" w:type="dxa"/>
            <w:vAlign w:val="bottom"/>
            <w:shd w:val="clear" w:color="auto" w:fill="CCEEFF"/>
          </w:tcPr>
          <w:p>
            <w:pPr>
              <w:spacing w:after="0"/>
              <w:rPr>
                <w:sz w:val="19"/>
                <w:szCs w:val="19"/>
                <w:color w:val="auto"/>
              </w:rPr>
            </w:pPr>
          </w:p>
        </w:tc>
        <w:tc>
          <w:tcPr>
            <w:tcW w:w="3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257,816</w:t>
            </w:r>
          </w:p>
        </w:tc>
      </w:tr>
      <w:tr>
        <w:trPr>
          <w:trHeight w:val="225"/>
        </w:trPr>
        <w:tc>
          <w:tcPr>
            <w:tcW w:w="3760" w:type="dxa"/>
            <w:vAlign w:val="bottom"/>
            <w:gridSpan w:val="2"/>
          </w:tcPr>
          <w:p>
            <w:pPr>
              <w:ind w:left="420"/>
              <w:spacing w:after="0"/>
              <w:rPr>
                <w:sz w:val="20"/>
                <w:szCs w:val="20"/>
                <w:color w:val="auto"/>
              </w:rPr>
            </w:pPr>
            <w:r>
              <w:rPr>
                <w:rFonts w:ascii="Arial" w:cs="Arial" w:eastAsia="Arial" w:hAnsi="Arial"/>
                <w:sz w:val="18"/>
                <w:szCs w:val="18"/>
                <w:color w:val="auto"/>
              </w:rPr>
              <w:t>Julie K. Gerron</w:t>
            </w:r>
          </w:p>
        </w:tc>
        <w:tc>
          <w:tcPr>
            <w:tcW w:w="3660" w:type="dxa"/>
            <w:vAlign w:val="bottom"/>
          </w:tcPr>
          <w:p>
            <w:pPr>
              <w:jc w:val="right"/>
              <w:spacing w:after="0"/>
              <w:rPr>
                <w:sz w:val="20"/>
                <w:szCs w:val="20"/>
                <w:color w:val="auto"/>
              </w:rPr>
            </w:pPr>
            <w:r>
              <w:rPr>
                <w:rFonts w:ascii="Arial" w:cs="Arial" w:eastAsia="Arial" w:hAnsi="Arial"/>
                <w:sz w:val="18"/>
                <w:szCs w:val="18"/>
                <w:color w:val="auto"/>
              </w:rPr>
              <w:t>12,314</w:t>
            </w:r>
          </w:p>
        </w:tc>
        <w:tc>
          <w:tcPr>
            <w:tcW w:w="100" w:type="dxa"/>
            <w:vAlign w:val="bottom"/>
          </w:tcPr>
          <w:p>
            <w:pPr>
              <w:spacing w:after="0"/>
              <w:rPr>
                <w:sz w:val="19"/>
                <w:szCs w:val="19"/>
                <w:color w:val="auto"/>
              </w:rPr>
            </w:pPr>
          </w:p>
        </w:tc>
        <w:tc>
          <w:tcPr>
            <w:tcW w:w="3680" w:type="dxa"/>
            <w:vAlign w:val="bottom"/>
          </w:tcPr>
          <w:p>
            <w:pPr>
              <w:jc w:val="right"/>
              <w:spacing w:after="0"/>
              <w:rPr>
                <w:sz w:val="20"/>
                <w:szCs w:val="20"/>
                <w:color w:val="auto"/>
              </w:rPr>
            </w:pPr>
            <w:r>
              <w:rPr>
                <w:rFonts w:ascii="Arial" w:cs="Arial" w:eastAsia="Arial" w:hAnsi="Arial"/>
                <w:sz w:val="18"/>
                <w:szCs w:val="18"/>
                <w:color w:val="auto"/>
              </w:rPr>
              <w:t>206,260</w:t>
            </w:r>
          </w:p>
        </w:tc>
      </w:tr>
      <w:tr>
        <w:trPr>
          <w:trHeight w:val="226"/>
        </w:trPr>
        <w:tc>
          <w:tcPr>
            <w:tcW w:w="3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Steven Paddon</w:t>
            </w:r>
          </w:p>
        </w:tc>
        <w:tc>
          <w:tcPr>
            <w:tcW w:w="3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26,294</w:t>
            </w:r>
          </w:p>
        </w:tc>
        <w:tc>
          <w:tcPr>
            <w:tcW w:w="100" w:type="dxa"/>
            <w:vAlign w:val="bottom"/>
            <w:shd w:val="clear" w:color="auto" w:fill="CCEEFF"/>
          </w:tcPr>
          <w:p>
            <w:pPr>
              <w:spacing w:after="0"/>
              <w:rPr>
                <w:sz w:val="19"/>
                <w:szCs w:val="19"/>
                <w:color w:val="auto"/>
              </w:rPr>
            </w:pPr>
          </w:p>
        </w:tc>
        <w:tc>
          <w:tcPr>
            <w:tcW w:w="3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440,425</w:t>
            </w:r>
          </w:p>
        </w:tc>
      </w:tr>
    </w:tbl>
    <w:p>
      <w:pPr>
        <w:spacing w:after="0" w:line="194" w:lineRule="exact"/>
        <w:rPr>
          <w:sz w:val="20"/>
          <w:szCs w:val="20"/>
          <w:color w:val="auto"/>
        </w:rPr>
      </w:pPr>
    </w:p>
    <w:p>
      <w:pPr>
        <w:ind w:left="400"/>
        <w:spacing w:after="0"/>
        <w:rPr>
          <w:sz w:val="20"/>
          <w:szCs w:val="20"/>
          <w:color w:val="auto"/>
        </w:rPr>
      </w:pPr>
      <w:r>
        <w:rPr>
          <w:rFonts w:ascii="Arial" w:cs="Arial" w:eastAsia="Arial" w:hAnsi="Arial"/>
          <w:sz w:val="9"/>
          <w:szCs w:val="9"/>
          <w:color w:val="auto"/>
        </w:rPr>
        <w:t>___________________</w:t>
      </w:r>
    </w:p>
    <w:p>
      <w:pPr>
        <w:spacing w:after="0" w:line="95" w:lineRule="exact"/>
        <w:rPr>
          <w:sz w:val="20"/>
          <w:szCs w:val="20"/>
          <w:color w:val="auto"/>
        </w:rPr>
      </w:pPr>
    </w:p>
    <w:p>
      <w:pPr>
        <w:ind w:left="640" w:right="260" w:hanging="634"/>
        <w:spacing w:after="0" w:line="246" w:lineRule="auto"/>
        <w:tabs>
          <w:tab w:leader="none" w:pos="302" w:val="left"/>
        </w:tabs>
        <w:numPr>
          <w:ilvl w:val="0"/>
          <w:numId w:val="48"/>
        </w:numPr>
        <w:rPr>
          <w:rFonts w:ascii="Arial" w:cs="Arial" w:eastAsia="Arial" w:hAnsi="Arial"/>
          <w:sz w:val="14"/>
          <w:szCs w:val="14"/>
          <w:color w:val="auto"/>
        </w:rPr>
      </w:pPr>
      <w:r>
        <w:rPr>
          <w:rFonts w:ascii="Arial" w:cs="Arial" w:eastAsia="Arial" w:hAnsi="Arial"/>
          <w:sz w:val="14"/>
          <w:szCs w:val="14"/>
          <w:color w:val="auto"/>
        </w:rPr>
        <w:t>Amounts reflect the grant date fair value of time-vested restricted stock awards granted to Messrs. Casey, Forbes, Gomez and Paddon and Ms. Gerron in 2022, computed in accordance with ASC 718. The assumptions used in the valuation of the restricted stock awards are discussed in Note 7 "Employee Benefits" of our audited financial statements, included in our 2021 Form 10-K. The grant date fair value for these time-vested awards was based on $16.75 per share, which was the closing price of our common stock on the grant date of February 23, 2022, adjusted for the accrual of dividends on unvested shares.</w:t>
      </w:r>
    </w:p>
    <w:p>
      <w:pPr>
        <w:spacing w:after="0" w:line="89" w:lineRule="exact"/>
        <w:rPr>
          <w:sz w:val="20"/>
          <w:szCs w:val="20"/>
          <w:color w:val="auto"/>
        </w:rPr>
      </w:pPr>
    </w:p>
    <w:p>
      <w:pPr>
        <w:ind w:left="400"/>
        <w:spacing w:after="0"/>
        <w:rPr>
          <w:sz w:val="20"/>
          <w:szCs w:val="20"/>
          <w:color w:val="auto"/>
        </w:rPr>
      </w:pPr>
      <w:r>
        <w:rPr>
          <w:rFonts w:ascii="Arial" w:cs="Arial" w:eastAsia="Arial" w:hAnsi="Arial"/>
          <w:sz w:val="18"/>
          <w:szCs w:val="18"/>
          <w:u w:val="single" w:color="auto"/>
          <w:color w:val="auto"/>
        </w:rPr>
        <w:t>Other Benefits and Perquisites</w:t>
      </w:r>
    </w:p>
    <w:p>
      <w:pPr>
        <w:spacing w:after="0" w:line="111"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Employee Benefits</w:t>
      </w:r>
    </w:p>
    <w:p>
      <w:pPr>
        <w:spacing w:after="0" w:line="111" w:lineRule="exact"/>
        <w:rPr>
          <w:sz w:val="20"/>
          <w:szCs w:val="20"/>
          <w:color w:val="auto"/>
        </w:rPr>
      </w:pPr>
    </w:p>
    <w:p>
      <w:pPr>
        <w:ind w:right="80" w:firstLine="398"/>
        <w:spacing w:after="0" w:line="313" w:lineRule="auto"/>
        <w:rPr>
          <w:sz w:val="20"/>
          <w:szCs w:val="20"/>
          <w:color w:val="auto"/>
        </w:rPr>
      </w:pPr>
      <w:r>
        <w:rPr>
          <w:rFonts w:ascii="Arial" w:cs="Arial" w:eastAsia="Arial" w:hAnsi="Arial"/>
          <w:sz w:val="15"/>
          <w:szCs w:val="15"/>
          <w:color w:val="auto"/>
        </w:rPr>
        <w:t>We offer employee and post-retirement benefits to all full-time employees, including the named executive officers, in order to provide them with financial support in the event of injury, illness or disability and to help them accumulate retirement savings on a tax-favored basis. All employees are generally eligible to participate in benefit programs including medical, dental, vision, disability and life insurance. In addition, all employees are generally eligible to participate in applicable health savings or flexible spending accounts. The cost of health insurance and savings plans is partially borne by the Company, including costs for the named executive officers. We bear the cost of disability insurance and a set amount of term life insurance for all employees.</w:t>
      </w:r>
    </w:p>
    <w:p>
      <w:pPr>
        <w:spacing w:after="0" w:line="43"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Savings Plan and Matching Contributions</w:t>
      </w:r>
    </w:p>
    <w:p>
      <w:pPr>
        <w:spacing w:after="0" w:line="111" w:lineRule="exact"/>
        <w:rPr>
          <w:sz w:val="20"/>
          <w:szCs w:val="20"/>
          <w:color w:val="auto"/>
        </w:rPr>
      </w:pPr>
    </w:p>
    <w:p>
      <w:pPr>
        <w:ind w:right="80" w:firstLine="398"/>
        <w:spacing w:after="0" w:line="330" w:lineRule="auto"/>
        <w:rPr>
          <w:sz w:val="20"/>
          <w:szCs w:val="20"/>
          <w:color w:val="auto"/>
        </w:rPr>
      </w:pPr>
      <w:r>
        <w:rPr>
          <w:rFonts w:ascii="Arial" w:cs="Arial" w:eastAsia="Arial" w:hAnsi="Arial"/>
          <w:sz w:val="15"/>
          <w:szCs w:val="15"/>
          <w:color w:val="auto"/>
        </w:rPr>
        <w:t>Under the Company’s Westwood Holdings Group, Inc. Savings Plan (the "Savings Plan"), all U.S. employees, including the named executive officers, are eligible to make 401(k) contributions to their plan accounts subject to annual IRS limits. We fully match employee contributions up to 6% of their eligible compensation (subject to IRS limits). Employees are vested immediately in their 401(k) contributions as well as in the Company matching portion.</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552" w:right="339" w:bottom="1440" w:gutter="0" w:footer="0" w:header="0"/>
        </w:sectPr>
      </w:pPr>
    </w:p>
    <w:bookmarkStart w:id="30" w:name="page31"/>
    <w:bookmarkEnd w:id="30"/>
    <w:p>
      <w:pPr>
        <w:ind w:right="720" w:firstLine="398"/>
        <w:spacing w:after="0" w:line="265" w:lineRule="auto"/>
        <w:rPr>
          <w:sz w:val="20"/>
          <w:szCs w:val="20"/>
          <w:color w:val="auto"/>
        </w:rPr>
      </w:pPr>
      <w:r>
        <w:rPr>
          <w:rFonts w:ascii="Arial" w:cs="Arial" w:eastAsia="Arial" w:hAnsi="Arial"/>
          <w:sz w:val="18"/>
          <w:szCs w:val="18"/>
          <w:color w:val="auto"/>
        </w:rPr>
        <w:t>For 2021, the Company made 401(k) Company matching contributions of $17,400 for each of Messrs. Casey, Forbes, Gomez and Paddon, and Ms. Gerron.</w:t>
      </w:r>
    </w:p>
    <w:p>
      <w:pPr>
        <w:spacing w:after="0" w:line="74"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Profit Sharing Contributions</w:t>
      </w:r>
    </w:p>
    <w:p>
      <w:pPr>
        <w:spacing w:after="0" w:line="111" w:lineRule="exact"/>
        <w:rPr>
          <w:sz w:val="20"/>
          <w:szCs w:val="20"/>
          <w:color w:val="auto"/>
        </w:rPr>
      </w:pPr>
    </w:p>
    <w:p>
      <w:pPr>
        <w:ind w:firstLine="398"/>
        <w:spacing w:after="0" w:line="252" w:lineRule="auto"/>
        <w:rPr>
          <w:sz w:val="20"/>
          <w:szCs w:val="20"/>
          <w:color w:val="auto"/>
        </w:rPr>
      </w:pPr>
      <w:r>
        <w:rPr>
          <w:rFonts w:ascii="Arial" w:cs="Arial" w:eastAsia="Arial" w:hAnsi="Arial"/>
          <w:sz w:val="18"/>
          <w:szCs w:val="18"/>
          <w:color w:val="auto"/>
        </w:rPr>
        <w:t>The Company’s Savings Plan authorizes us to make discretionary annual contributions to U.S. employees’ Savings Plan accounts based on our profitability and performance. The profit sharing component of the Savings Plan is broad-based and all employees, including the named executive officers, are eligible for discretionary profit sharing contributions. Profit sharing contributions are subject to a four-year graded vesting schedule based on an employee's years of service.</w:t>
      </w:r>
    </w:p>
    <w:p>
      <w:pPr>
        <w:spacing w:after="0" w:line="8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Company did not make any profit sharing contributions during 2021.</w:t>
      </w:r>
    </w:p>
    <w:p>
      <w:pPr>
        <w:spacing w:after="0" w:line="111"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Perquisites</w:t>
      </w:r>
    </w:p>
    <w:p>
      <w:pPr>
        <w:spacing w:after="0" w:line="11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We did not provide significant perquisites to our named executive officers during 2021.</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Compensation Policies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Ownership Guidelines</w:t>
      </w:r>
    </w:p>
    <w:p>
      <w:pPr>
        <w:spacing w:after="0" w:line="111"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Board has established stock ownership guidelines for the CEO and certain other executives requiring the following minimum holdings:</w:t>
      </w:r>
    </w:p>
    <w:p>
      <w:pPr>
        <w:spacing w:after="0" w:line="123" w:lineRule="exact"/>
        <w:rPr>
          <w:sz w:val="20"/>
          <w:szCs w:val="20"/>
          <w:color w:val="auto"/>
        </w:rPr>
      </w:pPr>
    </w:p>
    <w:p>
      <w:pPr>
        <w:ind w:left="640" w:hanging="316"/>
        <w:spacing w:after="0"/>
        <w:tabs>
          <w:tab w:leader="none" w:pos="6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CEO holdings equal 6x base salary; and</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Named executive officers reporting directly to the CEO holdings equal 3x base salary.</w:t>
      </w:r>
    </w:p>
    <w:p>
      <w:pPr>
        <w:spacing w:after="0" w:line="111" w:lineRule="exact"/>
        <w:rPr>
          <w:sz w:val="20"/>
          <w:szCs w:val="20"/>
          <w:color w:val="auto"/>
        </w:rPr>
      </w:pPr>
    </w:p>
    <w:p>
      <w:pPr>
        <w:ind w:firstLine="398"/>
        <w:spacing w:after="0" w:line="265" w:lineRule="auto"/>
        <w:rPr>
          <w:sz w:val="20"/>
          <w:szCs w:val="20"/>
          <w:color w:val="auto"/>
        </w:rPr>
      </w:pPr>
      <w:r>
        <w:rPr>
          <w:rFonts w:ascii="Arial" w:cs="Arial" w:eastAsia="Arial" w:hAnsi="Arial"/>
          <w:sz w:val="17"/>
          <w:szCs w:val="17"/>
          <w:color w:val="auto"/>
        </w:rPr>
        <w:t>Executives subject to the stock ownership guidelines are required to hold 50% of net shares acquired through vesting of equity-based compensation programs until the minimum guideline level is met. In the event a decline in the price of the Company's common stock causes a executive’s holdings to fall below the applicable threshold, the executive will not be required to purchase additional shares to meet the threshold but is required to hold 50% of net shares acquired through vesting of equity-based compensation programs until holdings above the threshold have again been achieved. Compliance with these stock ownership guidelines is evaluated periodically as determined by our Board of Directors. Given the significant decline in the price of the Company's stock over the course of 2021, the value of shares held by certain executives fell below the minimum holding requirements. Mr. Casey, Mr. Paddon, and Ms. Gerron had met the stock ownership holding requirement as of March 4, 2022. All NEOs are in compliance with the policy by holding the required net vested shares until such time as the minimum is once again achieved.</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and Accounting Implications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Compliance with Section 162(m) of the Internal Revenue Code</w:t>
      </w:r>
    </w:p>
    <w:p>
      <w:pPr>
        <w:spacing w:after="0" w:line="111" w:lineRule="exact"/>
        <w:rPr>
          <w:sz w:val="20"/>
          <w:szCs w:val="20"/>
          <w:color w:val="auto"/>
        </w:rPr>
      </w:pPr>
    </w:p>
    <w:p>
      <w:pPr>
        <w:ind w:right="60" w:firstLine="398"/>
        <w:spacing w:after="0" w:line="264" w:lineRule="auto"/>
        <w:rPr>
          <w:sz w:val="20"/>
          <w:szCs w:val="20"/>
          <w:color w:val="auto"/>
        </w:rPr>
      </w:pPr>
      <w:r>
        <w:rPr>
          <w:rFonts w:ascii="Arial" w:cs="Arial" w:eastAsia="Arial" w:hAnsi="Arial"/>
          <w:sz w:val="17"/>
          <w:szCs w:val="17"/>
          <w:color w:val="auto"/>
        </w:rPr>
        <w:t>Section 162(m) of the Internal Revenue Code (“Code”) limits the U.S. federal income tax deduction for compensation paid to our Chief Executive Officer and certain other highly compensated executive officers. Beginning in 2018, the maximum U.S. federal income tax deduction that we may receive for annual compensation paid to any officer, including the Chief Financial Officer, covered by Section 162(m) of the Code is $1 million per covered officer. For years prior to 2018, we were permitted to receive a tax deduction for “performance-based” compensation as defined under Section 162(m) of the Code without regard to the $1 million limitation, however recent U.S. tax legislation eliminated the performance-based exception. These new rules were effective starting in 2018 except that certain equity awards granted on or before November 2, 2017, could still qualify as performance-based compensation. To the extent that in 2018, or any later year, the aggregate amount of any covered officer’s salary, bonus, and amount realized from equity awards and other compensation amounts that are recognized as taxable income by the covered officer exceeds $1 million in any year, we will not be entitled to a U.S. federal income tax deduction for the amount that exceeds $1 million in that year.</w:t>
      </w:r>
    </w:p>
    <w:p>
      <w:pPr>
        <w:spacing w:after="0" w:line="81" w:lineRule="exact"/>
        <w:rPr>
          <w:sz w:val="20"/>
          <w:szCs w:val="20"/>
          <w:color w:val="auto"/>
        </w:rPr>
      </w:pPr>
    </w:p>
    <w:p>
      <w:pPr>
        <w:ind w:right="200" w:firstLine="398"/>
        <w:spacing w:after="0" w:line="319" w:lineRule="auto"/>
        <w:rPr>
          <w:sz w:val="20"/>
          <w:szCs w:val="20"/>
          <w:color w:val="auto"/>
        </w:rPr>
      </w:pPr>
      <w:r>
        <w:rPr>
          <w:rFonts w:ascii="Arial" w:cs="Arial" w:eastAsia="Arial" w:hAnsi="Arial"/>
          <w:sz w:val="15"/>
          <w:szCs w:val="15"/>
          <w:color w:val="auto"/>
        </w:rPr>
        <w:t>When establishing cash and equity incentive compensation programs for our executive officers, the Compensation Committee believes that potential deductibility of amounts payable should be only one of the relevant factors taken into account. Therefore, the Compensation Committee may decide to provide one or more executive officers with the opportunity to earn incentive compensation, via cash incentive awards or equity incentive awards as well as other forms of compensation, even if all or part of that compensation may not be deductible under current provisions of the Code.</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20"/>
          </w:cols>
          <w:pgMar w:left="320" w:top="552" w:right="359" w:bottom="1440" w:gutter="0" w:footer="0" w:header="0"/>
        </w:sectPr>
      </w:pPr>
    </w:p>
    <w:bookmarkStart w:id="31" w:name="page32"/>
    <w:bookmarkEnd w:id="31"/>
    <w:p>
      <w:pPr>
        <w:jc w:val="center"/>
        <w:ind w:right="-139"/>
        <w:spacing w:after="0"/>
        <w:rPr>
          <w:sz w:val="20"/>
          <w:szCs w:val="20"/>
          <w:color w:val="auto"/>
        </w:rPr>
      </w:pPr>
      <w:r>
        <w:rPr>
          <w:rFonts w:ascii="Arial" w:cs="Arial" w:eastAsia="Arial" w:hAnsi="Arial"/>
          <w:sz w:val="18"/>
          <w:szCs w:val="18"/>
          <w:b w:val="1"/>
          <w:bCs w:val="1"/>
          <w:color w:val="auto"/>
        </w:rPr>
        <w:t>COMPENSATION COMMITTEE REPORT</w:t>
      </w:r>
    </w:p>
    <w:p>
      <w:pPr>
        <w:spacing w:after="0" w:line="117" w:lineRule="exact"/>
        <w:rPr>
          <w:sz w:val="20"/>
          <w:szCs w:val="20"/>
          <w:color w:val="auto"/>
        </w:rPr>
      </w:pPr>
    </w:p>
    <w:p>
      <w:pPr>
        <w:ind w:firstLine="398"/>
        <w:spacing w:after="0" w:line="255" w:lineRule="auto"/>
        <w:rPr>
          <w:sz w:val="20"/>
          <w:szCs w:val="20"/>
          <w:color w:val="auto"/>
        </w:rPr>
      </w:pPr>
      <w:r>
        <w:rPr>
          <w:rFonts w:ascii="Arial" w:cs="Arial" w:eastAsia="Arial" w:hAnsi="Arial"/>
          <w:sz w:val="18"/>
          <w:szCs w:val="18"/>
          <w:color w:val="auto"/>
        </w:rPr>
        <w:t>The Compensation Committee has reviewed and discussed the Compensation Discussion and Analysis required by Item 402(b) of Regulation S-K with management and, based on such review and discussions, the Compensation Committee recommended to the Board that the Compensation Discussion and Analysis be included in this proxy statement.</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color w:val="auto"/>
        </w:rPr>
        <w:t>COMPENSATION COMMITTEE</w:t>
      </w:r>
    </w:p>
    <w:p>
      <w:pPr>
        <w:spacing w:after="0" w:line="85" w:lineRule="exact"/>
        <w:rPr>
          <w:sz w:val="20"/>
          <w:szCs w:val="20"/>
          <w:color w:val="auto"/>
        </w:rPr>
      </w:pPr>
    </w:p>
    <w:p>
      <w:pPr>
        <w:ind w:left="60"/>
        <w:spacing w:after="0"/>
        <w:rPr>
          <w:sz w:val="20"/>
          <w:szCs w:val="20"/>
          <w:color w:val="auto"/>
        </w:rPr>
      </w:pPr>
      <w:r>
        <w:rPr>
          <w:rFonts w:ascii="Arial" w:cs="Arial" w:eastAsia="Arial" w:hAnsi="Arial"/>
          <w:sz w:val="18"/>
          <w:szCs w:val="18"/>
          <w:color w:val="auto"/>
        </w:rPr>
        <w:t>Richard M. Frank, Chairman</w:t>
      </w:r>
    </w:p>
    <w:p>
      <w:pPr>
        <w:spacing w:after="0" w:line="17" w:lineRule="exact"/>
        <w:rPr>
          <w:sz w:val="20"/>
          <w:szCs w:val="20"/>
          <w:color w:val="auto"/>
        </w:rPr>
      </w:pPr>
    </w:p>
    <w:p>
      <w:pPr>
        <w:ind w:left="60"/>
        <w:spacing w:after="0"/>
        <w:rPr>
          <w:sz w:val="20"/>
          <w:szCs w:val="20"/>
          <w:color w:val="auto"/>
        </w:rPr>
      </w:pPr>
      <w:r>
        <w:rPr>
          <w:rFonts w:ascii="Arial" w:cs="Arial" w:eastAsia="Arial" w:hAnsi="Arial"/>
          <w:sz w:val="18"/>
          <w:szCs w:val="18"/>
          <w:color w:val="auto"/>
        </w:rPr>
        <w:t>Ellen H. Masterson</w:t>
      </w:r>
    </w:p>
    <w:p>
      <w:pPr>
        <w:spacing w:after="0" w:line="5" w:lineRule="exact"/>
        <w:rPr>
          <w:sz w:val="20"/>
          <w:szCs w:val="20"/>
          <w:color w:val="auto"/>
        </w:rPr>
      </w:pPr>
    </w:p>
    <w:p>
      <w:pPr>
        <w:ind w:left="60"/>
        <w:spacing w:after="0"/>
        <w:rPr>
          <w:sz w:val="20"/>
          <w:szCs w:val="20"/>
          <w:color w:val="auto"/>
        </w:rPr>
      </w:pPr>
      <w:r>
        <w:rPr>
          <w:rFonts w:ascii="Arial" w:cs="Arial" w:eastAsia="Arial" w:hAnsi="Arial"/>
          <w:sz w:val="18"/>
          <w:szCs w:val="18"/>
          <w:color w:val="auto"/>
        </w:rPr>
        <w:t>Geoffrey R. Norman</w:t>
      </w:r>
    </w:p>
    <w:p>
      <w:pPr>
        <w:spacing w:after="0" w:line="5" w:lineRule="exact"/>
        <w:rPr>
          <w:sz w:val="20"/>
          <w:szCs w:val="20"/>
          <w:color w:val="auto"/>
        </w:rPr>
      </w:pPr>
    </w:p>
    <w:p>
      <w:pPr>
        <w:ind w:left="60"/>
        <w:spacing w:after="0"/>
        <w:rPr>
          <w:sz w:val="20"/>
          <w:szCs w:val="20"/>
          <w:color w:val="auto"/>
        </w:rPr>
      </w:pPr>
      <w:r>
        <w:rPr>
          <w:rFonts w:ascii="Arial" w:cs="Arial" w:eastAsia="Arial" w:hAnsi="Arial"/>
          <w:sz w:val="18"/>
          <w:szCs w:val="18"/>
          <w:color w:val="auto"/>
        </w:rPr>
        <w:t>Randy A. Bowman</w:t>
      </w:r>
    </w:p>
    <w:p>
      <w:pPr>
        <w:spacing w:after="0" w:line="5" w:lineRule="exact"/>
        <w:rPr>
          <w:sz w:val="20"/>
          <w:szCs w:val="20"/>
          <w:color w:val="auto"/>
        </w:rPr>
      </w:pPr>
    </w:p>
    <w:p>
      <w:pPr>
        <w:ind w:left="60"/>
        <w:spacing w:after="0"/>
        <w:rPr>
          <w:sz w:val="20"/>
          <w:szCs w:val="20"/>
          <w:color w:val="auto"/>
        </w:rPr>
      </w:pPr>
      <w:r>
        <w:rPr>
          <w:rFonts w:ascii="Arial" w:cs="Arial" w:eastAsia="Arial" w:hAnsi="Arial"/>
          <w:sz w:val="18"/>
          <w:szCs w:val="18"/>
          <w:color w:val="auto"/>
        </w:rPr>
        <w:t>Raymond E. Wooldridge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20"/>
          </w:cols>
          <w:pgMar w:left="320" w:top="439" w:right="45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2021 Summary Compensation Table</w:t>
      </w:r>
    </w:p>
    <w:p>
      <w:pPr>
        <w:spacing w:after="0" w:line="9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summarizes all compensation earned by our named executive officers for the years indicated.</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Stock</w:t>
            </w:r>
          </w:p>
        </w:tc>
        <w:tc>
          <w:tcPr>
            <w:tcW w:w="12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Non-Equity</w:t>
            </w:r>
          </w:p>
        </w:tc>
        <w:tc>
          <w:tcPr>
            <w:tcW w:w="13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All</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9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Name and</w:t>
            </w:r>
          </w:p>
        </w:tc>
        <w:tc>
          <w:tcPr>
            <w:tcW w:w="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0"/>
              </w:rPr>
              <w:t>Salary</w:t>
            </w:r>
          </w:p>
        </w:tc>
        <w:tc>
          <w:tcPr>
            <w:tcW w:w="10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87"/>
              </w:rPr>
              <w:t>Bonus</w:t>
            </w:r>
          </w:p>
        </w:tc>
        <w:tc>
          <w:tcPr>
            <w:tcW w:w="1160" w:type="dxa"/>
            <w:vAlign w:val="bottom"/>
            <w:gridSpan w:val="2"/>
            <w:vMerge w:val="continue"/>
          </w:tcPr>
          <w:p>
            <w:pPr>
              <w:spacing w:after="0"/>
              <w:rPr>
                <w:sz w:val="11"/>
                <w:szCs w:val="11"/>
                <w:color w:val="auto"/>
              </w:rPr>
            </w:pPr>
          </w:p>
        </w:tc>
        <w:tc>
          <w:tcPr>
            <w:tcW w:w="1280" w:type="dxa"/>
            <w:vAlign w:val="bottom"/>
            <w:gridSpan w:val="2"/>
          </w:tcPr>
          <w:p>
            <w:pPr>
              <w:jc w:val="center"/>
              <w:ind w:right="80"/>
              <w:spacing w:after="0" w:line="133" w:lineRule="exact"/>
              <w:rPr>
                <w:sz w:val="20"/>
                <w:szCs w:val="20"/>
                <w:color w:val="auto"/>
              </w:rPr>
            </w:pPr>
            <w:r>
              <w:rPr>
                <w:rFonts w:ascii="Arial" w:cs="Arial" w:eastAsia="Arial" w:hAnsi="Arial"/>
                <w:sz w:val="14"/>
                <w:szCs w:val="14"/>
                <w:b w:val="1"/>
                <w:bCs w:val="1"/>
                <w:color w:val="auto"/>
                <w:w w:val="92"/>
              </w:rPr>
              <w:t>Incentive</w:t>
            </w:r>
          </w:p>
        </w:tc>
        <w:tc>
          <w:tcPr>
            <w:tcW w:w="1320" w:type="dxa"/>
            <w:vAlign w:val="bottom"/>
            <w:gridSpan w:val="2"/>
          </w:tcPr>
          <w:p>
            <w:pPr>
              <w:jc w:val="center"/>
              <w:ind w:right="80"/>
              <w:spacing w:after="0" w:line="133" w:lineRule="exact"/>
              <w:rPr>
                <w:sz w:val="20"/>
                <w:szCs w:val="20"/>
                <w:color w:val="auto"/>
              </w:rPr>
            </w:pPr>
            <w:r>
              <w:rPr>
                <w:rFonts w:ascii="Arial" w:cs="Arial" w:eastAsia="Arial" w:hAnsi="Arial"/>
                <w:sz w:val="14"/>
                <w:szCs w:val="14"/>
                <w:b w:val="1"/>
                <w:bCs w:val="1"/>
                <w:color w:val="auto"/>
                <w:w w:val="96"/>
              </w:rPr>
              <w:t>Other</w:t>
            </w: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9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16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90"/>
              </w:rPr>
              <w:t>Awards</w:t>
            </w:r>
          </w:p>
        </w:tc>
        <w:tc>
          <w:tcPr>
            <w:tcW w:w="128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87"/>
              </w:rPr>
              <w:t>Plan</w:t>
            </w:r>
          </w:p>
        </w:tc>
        <w:tc>
          <w:tcPr>
            <w:tcW w:w="1320" w:type="dxa"/>
            <w:vAlign w:val="bottom"/>
            <w:gridSpan w:val="2"/>
          </w:tcPr>
          <w:p>
            <w:pPr>
              <w:jc w:val="center"/>
              <w:ind w:right="80"/>
              <w:spacing w:after="0" w:line="133" w:lineRule="exact"/>
              <w:rPr>
                <w:sz w:val="20"/>
                <w:szCs w:val="20"/>
                <w:color w:val="auto"/>
              </w:rPr>
            </w:pPr>
            <w:r>
              <w:rPr>
                <w:rFonts w:ascii="Arial" w:cs="Arial" w:eastAsia="Arial" w:hAnsi="Arial"/>
                <w:sz w:val="14"/>
                <w:szCs w:val="14"/>
                <w:b w:val="1"/>
                <w:bCs w:val="1"/>
                <w:color w:val="auto"/>
                <w:w w:val="90"/>
              </w:rPr>
              <w:t>Compensation</w:t>
            </w:r>
          </w:p>
        </w:tc>
        <w:tc>
          <w:tcPr>
            <w:tcW w:w="1120" w:type="dxa"/>
            <w:vAlign w:val="bottom"/>
            <w:vMerge w:val="restart"/>
          </w:tcPr>
          <w:p>
            <w:pPr>
              <w:jc w:val="right"/>
              <w:ind w:right="31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3"/>
        </w:trPr>
        <w:tc>
          <w:tcPr>
            <w:tcW w:w="29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4"/>
              </w:rPr>
              <w:t>Principal</w:t>
            </w:r>
          </w:p>
        </w:tc>
        <w:tc>
          <w:tcPr>
            <w:tcW w:w="80" w:type="dxa"/>
            <w:vAlign w:val="bottom"/>
          </w:tcPr>
          <w:p>
            <w:pPr>
              <w:spacing w:after="0"/>
              <w:rPr>
                <w:sz w:val="11"/>
                <w:szCs w:val="11"/>
                <w:color w:val="auto"/>
              </w:rPr>
            </w:pPr>
          </w:p>
        </w:tc>
        <w:tc>
          <w:tcPr>
            <w:tcW w:w="1260" w:type="dxa"/>
            <w:vAlign w:val="bottom"/>
            <w:gridSpan w:val="2"/>
            <w:vMerge w:val="restart"/>
          </w:tcPr>
          <w:p>
            <w:pPr>
              <w:ind w:left="440"/>
              <w:spacing w:after="0"/>
              <w:rPr>
                <w:sz w:val="20"/>
                <w:szCs w:val="20"/>
                <w:color w:val="auto"/>
              </w:rPr>
            </w:pPr>
            <w:r>
              <w:rPr>
                <w:rFonts w:ascii="Arial" w:cs="Arial" w:eastAsia="Arial" w:hAnsi="Arial"/>
                <w:sz w:val="14"/>
                <w:szCs w:val="14"/>
                <w:b w:val="1"/>
                <w:bCs w:val="1"/>
                <w:color w:val="auto"/>
              </w:rPr>
              <w:t>Year</w:t>
            </w:r>
          </w:p>
        </w:tc>
        <w:tc>
          <w:tcPr>
            <w:tcW w:w="9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1"/>
                <w:szCs w:val="11"/>
                <w:color w:val="auto"/>
              </w:rPr>
            </w:pPr>
          </w:p>
        </w:tc>
        <w:tc>
          <w:tcPr>
            <w:tcW w:w="92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1"/>
                <w:szCs w:val="11"/>
                <w:color w:val="auto"/>
              </w:rPr>
            </w:pPr>
          </w:p>
        </w:tc>
        <w:tc>
          <w:tcPr>
            <w:tcW w:w="10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1"/>
                <w:szCs w:val="11"/>
                <w:color w:val="auto"/>
              </w:rPr>
            </w:pPr>
          </w:p>
        </w:tc>
        <w:tc>
          <w:tcPr>
            <w:tcW w:w="128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88"/>
              </w:rPr>
              <w:t>Compensation</w:t>
            </w:r>
          </w:p>
        </w:tc>
        <w:tc>
          <w:tcPr>
            <w:tcW w:w="12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3"/>
              </w:rPr>
              <w:t>($)</w:t>
            </w:r>
          </w:p>
        </w:tc>
        <w:tc>
          <w:tcPr>
            <w:tcW w:w="8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9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86"/>
              </w:rPr>
              <w:t>Position</w:t>
            </w:r>
          </w:p>
        </w:tc>
        <w:tc>
          <w:tcPr>
            <w:tcW w:w="8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104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81"/>
              </w:rPr>
              <w:t>(c)</w:t>
            </w:r>
          </w:p>
        </w:tc>
        <w:tc>
          <w:tcPr>
            <w:tcW w:w="102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89"/>
              </w:rPr>
              <w:t>(d)</w:t>
            </w:r>
          </w:p>
        </w:tc>
        <w:tc>
          <w:tcPr>
            <w:tcW w:w="116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81"/>
              </w:rPr>
              <w:t>(e)</w:t>
            </w:r>
          </w:p>
        </w:tc>
        <w:tc>
          <w:tcPr>
            <w:tcW w:w="11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1"/>
                <w:szCs w:val="11"/>
                <w:color w:val="auto"/>
              </w:rPr>
            </w:pPr>
          </w:p>
        </w:tc>
        <w:tc>
          <w:tcPr>
            <w:tcW w:w="1320" w:type="dxa"/>
            <w:vAlign w:val="bottom"/>
            <w:gridSpan w:val="2"/>
          </w:tcPr>
          <w:p>
            <w:pPr>
              <w:jc w:val="center"/>
              <w:ind w:right="80"/>
              <w:spacing w:after="0" w:line="133" w:lineRule="exact"/>
              <w:rPr>
                <w:sz w:val="20"/>
                <w:szCs w:val="20"/>
                <w:color w:val="auto"/>
              </w:rPr>
            </w:pPr>
            <w:r>
              <w:rPr>
                <w:rFonts w:ascii="Arial" w:cs="Arial" w:eastAsia="Arial" w:hAnsi="Arial"/>
                <w:sz w:val="14"/>
                <w:szCs w:val="14"/>
                <w:b w:val="1"/>
                <w:bCs w:val="1"/>
                <w:color w:val="auto"/>
                <w:w w:val="89"/>
              </w:rPr>
              <w:t>(g)</w:t>
            </w:r>
          </w:p>
        </w:tc>
        <w:tc>
          <w:tcPr>
            <w:tcW w:w="1120" w:type="dxa"/>
            <w:vAlign w:val="bottom"/>
          </w:tcPr>
          <w:p>
            <w:pPr>
              <w:jc w:val="right"/>
              <w:ind w:right="395"/>
              <w:spacing w:after="0" w:line="133"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5"/>
        </w:trPr>
        <w:tc>
          <w:tcPr>
            <w:tcW w:w="2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w:t>
            </w:r>
          </w:p>
        </w:tc>
        <w:tc>
          <w:tcPr>
            <w:tcW w:w="8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(b)</w:t>
            </w:r>
          </w:p>
        </w:tc>
        <w:tc>
          <w:tcPr>
            <w:tcW w:w="1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(1)</w:t>
            </w: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(2)</w:t>
            </w:r>
          </w:p>
        </w:tc>
        <w:tc>
          <w:tcPr>
            <w:tcW w:w="1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(3)</w:t>
            </w:r>
          </w:p>
        </w:tc>
        <w:tc>
          <w:tcPr>
            <w:tcW w:w="10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(f)</w:t>
            </w: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(4)</w:t>
            </w:r>
          </w:p>
        </w:tc>
        <w:tc>
          <w:tcPr>
            <w:tcW w:w="8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(h)</w:t>
            </w:r>
          </w:p>
        </w:tc>
        <w:tc>
          <w:tcPr>
            <w:tcW w:w="0" w:type="dxa"/>
            <w:vAlign w:val="bottom"/>
          </w:tcPr>
          <w:p>
            <w:pPr>
              <w:spacing w:after="0"/>
              <w:rPr>
                <w:sz w:val="1"/>
                <w:szCs w:val="1"/>
                <w:color w:val="auto"/>
              </w:rPr>
            </w:pPr>
          </w:p>
        </w:tc>
      </w:tr>
      <w:tr>
        <w:trPr>
          <w:trHeight w:val="219"/>
        </w:trPr>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Brian O. Casey</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2021</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937,500</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312,500</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17,400</w:t>
            </w: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2,017,400</w:t>
            </w:r>
          </w:p>
        </w:tc>
        <w:tc>
          <w:tcPr>
            <w:tcW w:w="0" w:type="dxa"/>
            <w:vAlign w:val="bottom"/>
          </w:tcPr>
          <w:p>
            <w:pPr>
              <w:spacing w:after="0"/>
              <w:rPr>
                <w:sz w:val="1"/>
                <w:szCs w:val="1"/>
                <w:color w:val="auto"/>
              </w:rPr>
            </w:pPr>
          </w:p>
        </w:tc>
      </w:tr>
      <w:tr>
        <w:trPr>
          <w:trHeight w:val="226"/>
        </w:trPr>
        <w:tc>
          <w:tcPr>
            <w:tcW w:w="296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4"/>
              </w:rPr>
              <w:t>President and Chief Executive Officer</w:t>
            </w: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2020</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733,333</w:t>
            </w: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17,100</w:t>
            </w: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750,433</w:t>
            </w:r>
          </w:p>
        </w:tc>
        <w:tc>
          <w:tcPr>
            <w:tcW w:w="0" w:type="dxa"/>
            <w:vAlign w:val="bottom"/>
          </w:tcPr>
          <w:p>
            <w:pPr>
              <w:spacing w:after="0"/>
              <w:rPr>
                <w:sz w:val="1"/>
                <w:szCs w:val="1"/>
                <w:color w:val="auto"/>
              </w:rPr>
            </w:pPr>
          </w:p>
        </w:tc>
      </w:tr>
      <w:tr>
        <w:trPr>
          <w:trHeight w:val="280"/>
        </w:trPr>
        <w:tc>
          <w:tcPr>
            <w:tcW w:w="29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650,000</w:t>
            </w:r>
          </w:p>
        </w:tc>
        <w:tc>
          <w:tcPr>
            <w:tcW w:w="10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16,800</w:t>
            </w:r>
          </w:p>
        </w:tc>
        <w:tc>
          <w:tcPr>
            <w:tcW w:w="8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666,800</w:t>
            </w:r>
          </w:p>
        </w:tc>
        <w:tc>
          <w:tcPr>
            <w:tcW w:w="0" w:type="dxa"/>
            <w:vAlign w:val="bottom"/>
          </w:tcPr>
          <w:p>
            <w:pPr>
              <w:spacing w:after="0"/>
              <w:rPr>
                <w:sz w:val="1"/>
                <w:szCs w:val="1"/>
                <w:color w:val="auto"/>
              </w:rPr>
            </w:pPr>
          </w:p>
        </w:tc>
      </w:tr>
      <w:tr>
        <w:trPr>
          <w:trHeight w:val="218"/>
        </w:trPr>
        <w:tc>
          <w:tcPr>
            <w:tcW w:w="29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Terry Forbes</w:t>
            </w:r>
          </w:p>
        </w:tc>
        <w:tc>
          <w:tcPr>
            <w:tcW w:w="80" w:type="dxa"/>
            <w:vAlign w:val="bottom"/>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250,000</w:t>
            </w:r>
          </w:p>
        </w:tc>
        <w:tc>
          <w:tcPr>
            <w:tcW w:w="100" w:type="dxa"/>
            <w:vAlign w:val="bottom"/>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167,578</w:t>
            </w:r>
          </w:p>
        </w:tc>
        <w:tc>
          <w:tcPr>
            <w:tcW w:w="100" w:type="dxa"/>
            <w:vAlign w:val="bottom"/>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167,578</w:t>
            </w:r>
          </w:p>
        </w:tc>
        <w:tc>
          <w:tcPr>
            <w:tcW w:w="100" w:type="dxa"/>
            <w:vAlign w:val="bottom"/>
          </w:tcPr>
          <w:p>
            <w:pPr>
              <w:spacing w:after="0"/>
              <w:rPr>
                <w:sz w:val="18"/>
                <w:szCs w:val="18"/>
                <w:color w:val="auto"/>
              </w:rPr>
            </w:pPr>
          </w:p>
        </w:tc>
        <w:tc>
          <w:tcPr>
            <w:tcW w:w="1180" w:type="dxa"/>
            <w:vAlign w:val="bottom"/>
            <w:tcBorders>
              <w:top w:val="single" w:sz="8" w:color="auto"/>
            </w:tcBorders>
          </w:tcPr>
          <w:p>
            <w:pPr>
              <w:ind w:left="9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17,400</w:t>
            </w:r>
          </w:p>
        </w:tc>
        <w:tc>
          <w:tcPr>
            <w:tcW w:w="80" w:type="dxa"/>
            <w:vAlign w:val="bottom"/>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602,556</w:t>
            </w:r>
          </w:p>
        </w:tc>
        <w:tc>
          <w:tcPr>
            <w:tcW w:w="0" w:type="dxa"/>
            <w:vAlign w:val="bottom"/>
          </w:tcPr>
          <w:p>
            <w:pPr>
              <w:spacing w:after="0"/>
              <w:rPr>
                <w:sz w:val="1"/>
                <w:szCs w:val="1"/>
                <w:color w:val="auto"/>
              </w:rPr>
            </w:pPr>
          </w:p>
        </w:tc>
      </w:tr>
      <w:tr>
        <w:trPr>
          <w:trHeight w:val="200"/>
        </w:trPr>
        <w:tc>
          <w:tcPr>
            <w:tcW w:w="2960" w:type="dxa"/>
            <w:vAlign w:val="bottom"/>
          </w:tcPr>
          <w:p>
            <w:pPr>
              <w:ind w:left="120"/>
              <w:spacing w:after="0" w:line="200" w:lineRule="exact"/>
              <w:rPr>
                <w:sz w:val="20"/>
                <w:szCs w:val="20"/>
                <w:color w:val="auto"/>
              </w:rPr>
            </w:pPr>
            <w:r>
              <w:rPr>
                <w:rFonts w:ascii="Arial" w:cs="Arial" w:eastAsia="Arial" w:hAnsi="Arial"/>
                <w:sz w:val="18"/>
                <w:szCs w:val="18"/>
                <w:color w:val="auto"/>
                <w:w w:val="93"/>
              </w:rPr>
              <w:t>Senior Vice President, Chief Financial</w:t>
            </w:r>
          </w:p>
        </w:tc>
        <w:tc>
          <w:tcPr>
            <w:tcW w:w="1240" w:type="dxa"/>
            <w:vAlign w:val="bottom"/>
            <w:gridSpan w:val="2"/>
          </w:tcPr>
          <w:p>
            <w:pPr>
              <w:jc w:val="right"/>
              <w:spacing w:after="0" w:line="200" w:lineRule="exact"/>
              <w:rPr>
                <w:sz w:val="20"/>
                <w:szCs w:val="20"/>
                <w:color w:val="auto"/>
              </w:rPr>
            </w:pPr>
            <w:r>
              <w:rPr>
                <w:rFonts w:ascii="Arial" w:cs="Arial" w:eastAsia="Arial" w:hAnsi="Arial"/>
                <w:sz w:val="18"/>
                <w:szCs w:val="18"/>
                <w:color w:val="auto"/>
              </w:rPr>
              <w:t>2020</w:t>
            </w:r>
          </w:p>
        </w:tc>
        <w:tc>
          <w:tcPr>
            <w:tcW w:w="100" w:type="dxa"/>
            <w:vAlign w:val="bottom"/>
          </w:tcPr>
          <w:p>
            <w:pPr>
              <w:spacing w:after="0"/>
              <w:rPr>
                <w:sz w:val="17"/>
                <w:szCs w:val="17"/>
                <w:color w:val="auto"/>
              </w:rPr>
            </w:pPr>
          </w:p>
        </w:tc>
        <w:tc>
          <w:tcPr>
            <w:tcW w:w="940" w:type="dxa"/>
            <w:vAlign w:val="bottom"/>
          </w:tcPr>
          <w:p>
            <w:pPr>
              <w:jc w:val="right"/>
              <w:spacing w:after="0" w:line="200" w:lineRule="exact"/>
              <w:rPr>
                <w:sz w:val="20"/>
                <w:szCs w:val="20"/>
                <w:color w:val="auto"/>
              </w:rPr>
            </w:pPr>
            <w:r>
              <w:rPr>
                <w:rFonts w:ascii="Arial" w:cs="Arial" w:eastAsia="Arial" w:hAnsi="Arial"/>
                <w:sz w:val="18"/>
                <w:szCs w:val="18"/>
                <w:color w:val="auto"/>
              </w:rPr>
              <w:t>245,833</w:t>
            </w:r>
          </w:p>
        </w:tc>
        <w:tc>
          <w:tcPr>
            <w:tcW w:w="100" w:type="dxa"/>
            <w:vAlign w:val="bottom"/>
          </w:tcPr>
          <w:p>
            <w:pPr>
              <w:spacing w:after="0"/>
              <w:rPr>
                <w:sz w:val="17"/>
                <w:szCs w:val="17"/>
                <w:color w:val="auto"/>
              </w:rPr>
            </w:pPr>
          </w:p>
        </w:tc>
        <w:tc>
          <w:tcPr>
            <w:tcW w:w="920" w:type="dxa"/>
            <w:vAlign w:val="bottom"/>
          </w:tcPr>
          <w:p>
            <w:pPr>
              <w:jc w:val="right"/>
              <w:spacing w:after="0" w:line="200" w:lineRule="exact"/>
              <w:rPr>
                <w:sz w:val="20"/>
                <w:szCs w:val="20"/>
                <w:color w:val="auto"/>
              </w:rPr>
            </w:pPr>
            <w:r>
              <w:rPr>
                <w:rFonts w:ascii="Arial" w:cs="Arial" w:eastAsia="Arial" w:hAnsi="Arial"/>
                <w:sz w:val="18"/>
                <w:szCs w:val="18"/>
                <w:color w:val="auto"/>
              </w:rPr>
              <w:t>150,000</w:t>
            </w:r>
          </w:p>
        </w:tc>
        <w:tc>
          <w:tcPr>
            <w:tcW w:w="100" w:type="dxa"/>
            <w:vAlign w:val="bottom"/>
          </w:tcPr>
          <w:p>
            <w:pPr>
              <w:spacing w:after="0"/>
              <w:rPr>
                <w:sz w:val="17"/>
                <w:szCs w:val="17"/>
                <w:color w:val="auto"/>
              </w:rPr>
            </w:pPr>
          </w:p>
        </w:tc>
        <w:tc>
          <w:tcPr>
            <w:tcW w:w="1060" w:type="dxa"/>
            <w:vAlign w:val="bottom"/>
          </w:tcPr>
          <w:p>
            <w:pPr>
              <w:jc w:val="right"/>
              <w:spacing w:after="0" w:line="200" w:lineRule="exact"/>
              <w:rPr>
                <w:sz w:val="20"/>
                <w:szCs w:val="20"/>
                <w:color w:val="auto"/>
              </w:rPr>
            </w:pPr>
            <w:r>
              <w:rPr>
                <w:rFonts w:ascii="Arial" w:cs="Arial" w:eastAsia="Arial" w:hAnsi="Arial"/>
                <w:sz w:val="18"/>
                <w:szCs w:val="18"/>
                <w:color w:val="auto"/>
              </w:rPr>
              <w:t>150,000</w:t>
            </w:r>
          </w:p>
        </w:tc>
        <w:tc>
          <w:tcPr>
            <w:tcW w:w="100" w:type="dxa"/>
            <w:vAlign w:val="bottom"/>
          </w:tcPr>
          <w:p>
            <w:pPr>
              <w:spacing w:after="0"/>
              <w:rPr>
                <w:sz w:val="17"/>
                <w:szCs w:val="17"/>
                <w:color w:val="auto"/>
              </w:rPr>
            </w:pPr>
          </w:p>
        </w:tc>
        <w:tc>
          <w:tcPr>
            <w:tcW w:w="1280" w:type="dxa"/>
            <w:vAlign w:val="bottom"/>
            <w:gridSpan w:val="2"/>
          </w:tcPr>
          <w:p>
            <w:pPr>
              <w:ind w:left="940"/>
              <w:spacing w:after="0" w:line="200" w:lineRule="exact"/>
              <w:rPr>
                <w:sz w:val="20"/>
                <w:szCs w:val="20"/>
                <w:color w:val="auto"/>
              </w:rPr>
            </w:pPr>
            <w:r>
              <w:rPr>
                <w:rFonts w:ascii="Arial" w:cs="Arial" w:eastAsia="Arial" w:hAnsi="Arial"/>
                <w:sz w:val="18"/>
                <w:szCs w:val="18"/>
                <w:color w:val="auto"/>
              </w:rPr>
              <w:t>—</w:t>
            </w:r>
          </w:p>
        </w:tc>
        <w:tc>
          <w:tcPr>
            <w:tcW w:w="1240" w:type="dxa"/>
            <w:vAlign w:val="bottom"/>
          </w:tcPr>
          <w:p>
            <w:pPr>
              <w:jc w:val="right"/>
              <w:spacing w:after="0" w:line="200" w:lineRule="exact"/>
              <w:rPr>
                <w:sz w:val="20"/>
                <w:szCs w:val="20"/>
                <w:color w:val="auto"/>
              </w:rPr>
            </w:pPr>
            <w:r>
              <w:rPr>
                <w:rFonts w:ascii="Arial" w:cs="Arial" w:eastAsia="Arial" w:hAnsi="Arial"/>
                <w:sz w:val="18"/>
                <w:szCs w:val="18"/>
                <w:color w:val="auto"/>
              </w:rPr>
              <w:t>17,100</w:t>
            </w:r>
          </w:p>
        </w:tc>
        <w:tc>
          <w:tcPr>
            <w:tcW w:w="80" w:type="dxa"/>
            <w:vAlign w:val="bottom"/>
          </w:tcPr>
          <w:p>
            <w:pPr>
              <w:spacing w:after="0"/>
              <w:rPr>
                <w:sz w:val="17"/>
                <w:szCs w:val="17"/>
                <w:color w:val="auto"/>
              </w:rPr>
            </w:pPr>
          </w:p>
        </w:tc>
        <w:tc>
          <w:tcPr>
            <w:tcW w:w="1120" w:type="dxa"/>
            <w:vAlign w:val="bottom"/>
          </w:tcPr>
          <w:p>
            <w:pPr>
              <w:jc w:val="right"/>
              <w:spacing w:after="0" w:line="200" w:lineRule="exact"/>
              <w:rPr>
                <w:sz w:val="20"/>
                <w:szCs w:val="20"/>
                <w:color w:val="auto"/>
              </w:rPr>
            </w:pPr>
            <w:r>
              <w:rPr>
                <w:rFonts w:ascii="Arial" w:cs="Arial" w:eastAsia="Arial" w:hAnsi="Arial"/>
                <w:sz w:val="18"/>
                <w:szCs w:val="18"/>
                <w:color w:val="auto"/>
              </w:rPr>
              <w:t>562,933</w:t>
            </w:r>
          </w:p>
        </w:tc>
        <w:tc>
          <w:tcPr>
            <w:tcW w:w="0" w:type="dxa"/>
            <w:vAlign w:val="bottom"/>
          </w:tcPr>
          <w:p>
            <w:pPr>
              <w:spacing w:after="0"/>
              <w:rPr>
                <w:sz w:val="1"/>
                <w:szCs w:val="1"/>
                <w:color w:val="auto"/>
              </w:rPr>
            </w:pPr>
          </w:p>
        </w:tc>
      </w:tr>
      <w:tr>
        <w:trPr>
          <w:trHeight w:val="224"/>
        </w:trPr>
        <w:tc>
          <w:tcPr>
            <w:tcW w:w="2960" w:type="dxa"/>
            <w:vAlign w:val="bottom"/>
          </w:tcPr>
          <w:p>
            <w:pPr>
              <w:ind w:left="120"/>
              <w:spacing w:after="0"/>
              <w:rPr>
                <w:sz w:val="20"/>
                <w:szCs w:val="20"/>
                <w:color w:val="auto"/>
              </w:rPr>
            </w:pPr>
            <w:r>
              <w:rPr>
                <w:rFonts w:ascii="Arial" w:cs="Arial" w:eastAsia="Arial" w:hAnsi="Arial"/>
                <w:sz w:val="18"/>
                <w:szCs w:val="18"/>
                <w:color w:val="auto"/>
              </w:rPr>
              <w:t>Officer &amp; Treasurer</w:t>
            </w:r>
          </w:p>
        </w:tc>
        <w:tc>
          <w:tcPr>
            <w:tcW w:w="80" w:type="dxa"/>
            <w:vAlign w:val="bottom"/>
            <w:vMerge w:val="restart"/>
          </w:tcPr>
          <w:p>
            <w:pPr>
              <w:spacing w:after="0"/>
              <w:rPr>
                <w:sz w:val="19"/>
                <w:szCs w:val="19"/>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19"/>
                <w:szCs w:val="19"/>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225,000</w:t>
            </w:r>
          </w:p>
        </w:tc>
        <w:tc>
          <w:tcPr>
            <w:tcW w:w="100" w:type="dxa"/>
            <w:vAlign w:val="bottom"/>
          </w:tcPr>
          <w:p>
            <w:pPr>
              <w:spacing w:after="0"/>
              <w:rPr>
                <w:sz w:val="19"/>
                <w:szCs w:val="19"/>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137,000</w:t>
            </w:r>
          </w:p>
        </w:tc>
        <w:tc>
          <w:tcPr>
            <w:tcW w:w="100" w:type="dxa"/>
            <w:vAlign w:val="bottom"/>
          </w:tcPr>
          <w:p>
            <w:pPr>
              <w:spacing w:after="0"/>
              <w:rPr>
                <w:sz w:val="19"/>
                <w:szCs w:val="19"/>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119,140</w:t>
            </w:r>
          </w:p>
        </w:tc>
        <w:tc>
          <w:tcPr>
            <w:tcW w:w="100" w:type="dxa"/>
            <w:vAlign w:val="bottom"/>
          </w:tcPr>
          <w:p>
            <w:pPr>
              <w:spacing w:after="0"/>
              <w:rPr>
                <w:sz w:val="19"/>
                <w:szCs w:val="19"/>
                <w:color w:val="auto"/>
              </w:rPr>
            </w:pPr>
          </w:p>
        </w:tc>
        <w:tc>
          <w:tcPr>
            <w:tcW w:w="1180" w:type="dxa"/>
            <w:vAlign w:val="bottom"/>
            <w:vMerge w:val="restart"/>
          </w:tcPr>
          <w:p>
            <w:pPr>
              <w:ind w:left="940"/>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spacing w:after="0"/>
              <w:rPr>
                <w:sz w:val="19"/>
                <w:szCs w:val="19"/>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16,800</w:t>
            </w:r>
          </w:p>
        </w:tc>
        <w:tc>
          <w:tcPr>
            <w:tcW w:w="80" w:type="dxa"/>
            <w:vAlign w:val="bottom"/>
          </w:tcPr>
          <w:p>
            <w:pPr>
              <w:spacing w:after="0"/>
              <w:rPr>
                <w:sz w:val="19"/>
                <w:szCs w:val="19"/>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497,940</w:t>
            </w:r>
          </w:p>
        </w:tc>
        <w:tc>
          <w:tcPr>
            <w:tcW w:w="0" w:type="dxa"/>
            <w:vAlign w:val="bottom"/>
          </w:tcPr>
          <w:p>
            <w:pPr>
              <w:spacing w:after="0"/>
              <w:rPr>
                <w:sz w:val="1"/>
                <w:szCs w:val="1"/>
                <w:color w:val="auto"/>
              </w:rPr>
            </w:pPr>
          </w:p>
        </w:tc>
      </w:tr>
      <w:tr>
        <w:trPr>
          <w:trHeight w:val="81"/>
        </w:trPr>
        <w:tc>
          <w:tcPr>
            <w:tcW w:w="2960" w:type="dxa"/>
            <w:vAlign w:val="bottom"/>
            <w:tcBorders>
              <w:bottom w:val="single" w:sz="8" w:color="auto"/>
            </w:tcBorders>
          </w:tcPr>
          <w:p>
            <w:pPr>
              <w:spacing w:after="0"/>
              <w:rPr>
                <w:sz w:val="7"/>
                <w:szCs w:val="7"/>
                <w:color w:val="auto"/>
              </w:rPr>
            </w:pPr>
          </w:p>
        </w:tc>
        <w:tc>
          <w:tcPr>
            <w:tcW w:w="80" w:type="dxa"/>
            <w:vAlign w:val="bottom"/>
            <w:tcBorders>
              <w:bottom w:val="single" w:sz="8" w:color="CCEEFF"/>
            </w:tcBorders>
            <w:vMerge w:val="continue"/>
          </w:tcPr>
          <w:p>
            <w:pPr>
              <w:spacing w:after="0"/>
              <w:rPr>
                <w:sz w:val="7"/>
                <w:szCs w:val="7"/>
                <w:color w:val="auto"/>
              </w:rPr>
            </w:pPr>
          </w:p>
        </w:tc>
        <w:tc>
          <w:tcPr>
            <w:tcW w:w="1160" w:type="dxa"/>
            <w:vAlign w:val="bottom"/>
            <w:tcBorders>
              <w:bottom w:val="single" w:sz="8" w:color="auto"/>
            </w:tcBorders>
            <w:vMerge w:val="continue"/>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940" w:type="dxa"/>
            <w:vAlign w:val="bottom"/>
            <w:tcBorders>
              <w:bottom w:val="single" w:sz="8" w:color="auto"/>
            </w:tcBorders>
            <w:vMerge w:val="continue"/>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920" w:type="dxa"/>
            <w:vAlign w:val="bottom"/>
            <w:tcBorders>
              <w:bottom w:val="single" w:sz="8" w:color="auto"/>
            </w:tcBorders>
            <w:vMerge w:val="continue"/>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060" w:type="dxa"/>
            <w:vAlign w:val="bottom"/>
            <w:tcBorders>
              <w:bottom w:val="single" w:sz="8" w:color="auto"/>
            </w:tcBorders>
            <w:vMerge w:val="continue"/>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180" w:type="dxa"/>
            <w:vAlign w:val="bottom"/>
            <w:tcBorders>
              <w:bottom w:val="single" w:sz="8" w:color="auto"/>
            </w:tcBorders>
            <w:vMerge w:val="continue"/>
          </w:tcPr>
          <w:p>
            <w:pPr>
              <w:spacing w:after="0"/>
              <w:rPr>
                <w:sz w:val="7"/>
                <w:szCs w:val="7"/>
                <w:color w:val="auto"/>
              </w:rPr>
            </w:pPr>
          </w:p>
        </w:tc>
        <w:tc>
          <w:tcPr>
            <w:tcW w:w="100" w:type="dxa"/>
            <w:vAlign w:val="bottom"/>
            <w:tcBorders>
              <w:bottom w:val="single" w:sz="8" w:color="CCEEFF"/>
            </w:tcBorders>
            <w:vMerge w:val="continue"/>
          </w:tcPr>
          <w:p>
            <w:pPr>
              <w:spacing w:after="0"/>
              <w:rPr>
                <w:sz w:val="7"/>
                <w:szCs w:val="7"/>
                <w:color w:val="auto"/>
              </w:rPr>
            </w:pPr>
          </w:p>
        </w:tc>
        <w:tc>
          <w:tcPr>
            <w:tcW w:w="1240" w:type="dxa"/>
            <w:vAlign w:val="bottom"/>
            <w:tcBorders>
              <w:bottom w:val="single" w:sz="8" w:color="auto"/>
            </w:tcBorders>
            <w:vMerge w:val="continue"/>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112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Fabian Gomez</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2021</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275,000</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282,813</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257,813</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17,400</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833,026</w:t>
            </w:r>
          </w:p>
        </w:tc>
        <w:tc>
          <w:tcPr>
            <w:tcW w:w="0" w:type="dxa"/>
            <w:vAlign w:val="bottom"/>
          </w:tcPr>
          <w:p>
            <w:pPr>
              <w:spacing w:after="0"/>
              <w:rPr>
                <w:sz w:val="1"/>
                <w:szCs w:val="1"/>
                <w:color w:val="auto"/>
              </w:rPr>
            </w:pPr>
          </w:p>
        </w:tc>
      </w:tr>
      <w:tr>
        <w:trPr>
          <w:trHeight w:val="200"/>
        </w:trPr>
        <w:tc>
          <w:tcPr>
            <w:tcW w:w="2960" w:type="dxa"/>
            <w:vAlign w:val="bottom"/>
            <w:shd w:val="clear" w:color="auto" w:fill="CCEEFF"/>
          </w:tcPr>
          <w:p>
            <w:pPr>
              <w:ind w:left="120"/>
              <w:spacing w:after="0" w:line="200" w:lineRule="exact"/>
              <w:rPr>
                <w:sz w:val="20"/>
                <w:szCs w:val="20"/>
                <w:color w:val="auto"/>
              </w:rPr>
            </w:pPr>
            <w:r>
              <w:rPr>
                <w:rFonts w:ascii="Arial" w:cs="Arial" w:eastAsia="Arial" w:hAnsi="Arial"/>
                <w:sz w:val="18"/>
                <w:szCs w:val="18"/>
                <w:color w:val="auto"/>
                <w:w w:val="91"/>
              </w:rPr>
              <w:t>Senior Vice President, Chief Operating</w:t>
            </w: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2020</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272,500</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225,000</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225,000</w:t>
            </w: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ind w:left="940"/>
              <w:spacing w:after="0" w:line="200" w:lineRule="exact"/>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17,100</w:t>
            </w: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739,600</w:t>
            </w:r>
          </w:p>
        </w:tc>
        <w:tc>
          <w:tcPr>
            <w:tcW w:w="0" w:type="dxa"/>
            <w:vAlign w:val="bottom"/>
          </w:tcPr>
          <w:p>
            <w:pPr>
              <w:spacing w:after="0"/>
              <w:rPr>
                <w:sz w:val="1"/>
                <w:szCs w:val="1"/>
                <w:color w:val="auto"/>
              </w:rPr>
            </w:pPr>
          </w:p>
        </w:tc>
      </w:tr>
      <w:tr>
        <w:trPr>
          <w:trHeight w:val="224"/>
        </w:trPr>
        <w:tc>
          <w:tcPr>
            <w:tcW w:w="2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Officer</w:t>
            </w:r>
          </w:p>
        </w:tc>
        <w:tc>
          <w:tcPr>
            <w:tcW w:w="80" w:type="dxa"/>
            <w:vAlign w:val="bottom"/>
            <w:shd w:val="clear" w:color="auto" w:fill="CCEEFF"/>
          </w:tcPr>
          <w:p>
            <w:pPr>
              <w:spacing w:after="0"/>
              <w:rPr>
                <w:sz w:val="19"/>
                <w:szCs w:val="19"/>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2019</w:t>
            </w:r>
          </w:p>
        </w:tc>
        <w:tc>
          <w:tcPr>
            <w:tcW w:w="100" w:type="dxa"/>
            <w:vAlign w:val="bottom"/>
            <w:shd w:val="clear" w:color="auto" w:fill="CCEEFF"/>
          </w:tcPr>
          <w:p>
            <w:pPr>
              <w:spacing w:after="0"/>
              <w:rPr>
                <w:sz w:val="19"/>
                <w:szCs w:val="19"/>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260,000</w:t>
            </w:r>
          </w:p>
        </w:tc>
        <w:tc>
          <w:tcPr>
            <w:tcW w:w="100" w:type="dxa"/>
            <w:vAlign w:val="bottom"/>
            <w:shd w:val="clear" w:color="auto" w:fill="CCEEFF"/>
          </w:tcPr>
          <w:p>
            <w:pPr>
              <w:spacing w:after="0"/>
              <w:rPr>
                <w:sz w:val="19"/>
                <w:szCs w:val="19"/>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100" w:type="dxa"/>
            <w:vAlign w:val="bottom"/>
            <w:shd w:val="clear" w:color="auto" w:fill="CCEEFF"/>
          </w:tcPr>
          <w:p>
            <w:pPr>
              <w:spacing w:after="0"/>
              <w:rPr>
                <w:sz w:val="19"/>
                <w:szCs w:val="19"/>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198,541</w:t>
            </w:r>
          </w:p>
        </w:tc>
        <w:tc>
          <w:tcPr>
            <w:tcW w:w="100" w:type="dxa"/>
            <w:vAlign w:val="bottom"/>
            <w:shd w:val="clear" w:color="auto" w:fill="CCEEFF"/>
          </w:tcPr>
          <w:p>
            <w:pPr>
              <w:spacing w:after="0"/>
              <w:rPr>
                <w:sz w:val="19"/>
                <w:szCs w:val="19"/>
                <w:color w:val="auto"/>
              </w:rPr>
            </w:pPr>
          </w:p>
        </w:tc>
        <w:tc>
          <w:tcPr>
            <w:tcW w:w="1180" w:type="dxa"/>
            <w:vAlign w:val="bottom"/>
            <w:vMerge w:val="restart"/>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00" w:type="dxa"/>
            <w:vAlign w:val="bottom"/>
            <w:vMerge w:val="restart"/>
            <w:shd w:val="clear" w:color="auto" w:fill="CCEEFF"/>
          </w:tcPr>
          <w:p>
            <w:pPr>
              <w:spacing w:after="0"/>
              <w:rPr>
                <w:sz w:val="19"/>
                <w:szCs w:val="19"/>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16,800</w:t>
            </w:r>
          </w:p>
        </w:tc>
        <w:tc>
          <w:tcPr>
            <w:tcW w:w="80" w:type="dxa"/>
            <w:vAlign w:val="bottom"/>
            <w:shd w:val="clear" w:color="auto" w:fill="CCEEFF"/>
          </w:tcPr>
          <w:p>
            <w:pPr>
              <w:spacing w:after="0"/>
              <w:rPr>
                <w:sz w:val="19"/>
                <w:szCs w:val="19"/>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675,341</w:t>
            </w:r>
          </w:p>
        </w:tc>
        <w:tc>
          <w:tcPr>
            <w:tcW w:w="0" w:type="dxa"/>
            <w:vAlign w:val="bottom"/>
          </w:tcPr>
          <w:p>
            <w:pPr>
              <w:spacing w:after="0"/>
              <w:rPr>
                <w:sz w:val="1"/>
                <w:szCs w:val="1"/>
                <w:color w:val="auto"/>
              </w:rPr>
            </w:pPr>
          </w:p>
        </w:tc>
      </w:tr>
      <w:tr>
        <w:trPr>
          <w:trHeight w:val="81"/>
        </w:trPr>
        <w:tc>
          <w:tcPr>
            <w:tcW w:w="2960" w:type="dxa"/>
            <w:vAlign w:val="bottom"/>
            <w:tcBorders>
              <w:bottom w:val="single" w:sz="8" w:color="auto"/>
            </w:tcBorders>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160" w:type="dxa"/>
            <w:vAlign w:val="bottom"/>
            <w:tcBorders>
              <w:bottom w:val="single" w:sz="8" w:color="auto"/>
            </w:tcBorders>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940" w:type="dxa"/>
            <w:vAlign w:val="bottom"/>
            <w:tcBorders>
              <w:bottom w:val="single" w:sz="8" w:color="auto"/>
            </w:tcBorders>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920" w:type="dxa"/>
            <w:vAlign w:val="bottom"/>
            <w:tcBorders>
              <w:bottom w:val="single" w:sz="8" w:color="auto"/>
            </w:tcBorders>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60" w:type="dxa"/>
            <w:vAlign w:val="bottom"/>
            <w:tcBorders>
              <w:bottom w:val="single" w:sz="8" w:color="auto"/>
            </w:tcBorders>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180" w:type="dxa"/>
            <w:vAlign w:val="bottom"/>
            <w:tcBorders>
              <w:bottom w:val="single" w:sz="8" w:color="auto"/>
            </w:tcBorders>
            <w:vMerge w:val="continue"/>
            <w:shd w:val="clear" w:color="auto" w:fill="CCEEFF"/>
          </w:tcPr>
          <w:p>
            <w:pPr>
              <w:spacing w:after="0"/>
              <w:rPr>
                <w:sz w:val="7"/>
                <w:szCs w:val="7"/>
                <w:color w:val="auto"/>
              </w:rPr>
            </w:pPr>
          </w:p>
        </w:tc>
        <w:tc>
          <w:tcPr>
            <w:tcW w:w="100" w:type="dxa"/>
            <w:vAlign w:val="bottom"/>
            <w:vMerge w:val="continue"/>
            <w:shd w:val="clear" w:color="auto" w:fill="CCEEFF"/>
          </w:tcPr>
          <w:p>
            <w:pPr>
              <w:spacing w:after="0"/>
              <w:rPr>
                <w:sz w:val="7"/>
                <w:szCs w:val="7"/>
                <w:color w:val="auto"/>
              </w:rPr>
            </w:pPr>
          </w:p>
        </w:tc>
        <w:tc>
          <w:tcPr>
            <w:tcW w:w="1240" w:type="dxa"/>
            <w:vAlign w:val="bottom"/>
            <w:tcBorders>
              <w:bottom w:val="single" w:sz="8" w:color="auto"/>
            </w:tcBorders>
            <w:vMerge w:val="continue"/>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120" w:type="dxa"/>
            <w:vAlign w:val="bottom"/>
            <w:tcBorders>
              <w:bottom w:val="single" w:sz="8" w:color="auto"/>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960" w:type="dxa"/>
            <w:vAlign w:val="bottom"/>
          </w:tcPr>
          <w:p>
            <w:pPr>
              <w:ind w:left="20"/>
              <w:spacing w:after="0"/>
              <w:rPr>
                <w:sz w:val="20"/>
                <w:szCs w:val="20"/>
                <w:color w:val="auto"/>
              </w:rPr>
            </w:pPr>
            <w:r>
              <w:rPr>
                <w:rFonts w:ascii="Arial" w:cs="Arial" w:eastAsia="Arial" w:hAnsi="Arial"/>
                <w:sz w:val="18"/>
                <w:szCs w:val="18"/>
                <w:color w:val="auto"/>
              </w:rPr>
              <w:t>Julie K. Gerron</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250,000</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206,250</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206,250</w:t>
            </w:r>
          </w:p>
        </w:tc>
        <w:tc>
          <w:tcPr>
            <w:tcW w:w="100" w:type="dxa"/>
            <w:vAlign w:val="bottom"/>
          </w:tcPr>
          <w:p>
            <w:pPr>
              <w:spacing w:after="0"/>
              <w:rPr>
                <w:sz w:val="18"/>
                <w:szCs w:val="18"/>
                <w:color w:val="auto"/>
              </w:rPr>
            </w:pPr>
          </w:p>
        </w:tc>
        <w:tc>
          <w:tcPr>
            <w:tcW w:w="128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17,400</w:t>
            </w: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679,900</w:t>
            </w:r>
          </w:p>
        </w:tc>
        <w:tc>
          <w:tcPr>
            <w:tcW w:w="0" w:type="dxa"/>
            <w:vAlign w:val="bottom"/>
          </w:tcPr>
          <w:p>
            <w:pPr>
              <w:spacing w:after="0"/>
              <w:rPr>
                <w:sz w:val="1"/>
                <w:szCs w:val="1"/>
                <w:color w:val="auto"/>
              </w:rPr>
            </w:pPr>
          </w:p>
        </w:tc>
      </w:tr>
      <w:tr>
        <w:trPr>
          <w:trHeight w:val="174"/>
        </w:trPr>
        <w:tc>
          <w:tcPr>
            <w:tcW w:w="2960" w:type="dxa"/>
            <w:vAlign w:val="bottom"/>
          </w:tcPr>
          <w:p>
            <w:pPr>
              <w:ind w:left="120"/>
              <w:spacing w:after="0" w:line="175" w:lineRule="exact"/>
              <w:rPr>
                <w:sz w:val="20"/>
                <w:szCs w:val="20"/>
                <w:color w:val="auto"/>
              </w:rPr>
            </w:pPr>
            <w:r>
              <w:rPr>
                <w:rFonts w:ascii="Arial" w:cs="Arial" w:eastAsia="Arial" w:hAnsi="Arial"/>
                <w:sz w:val="18"/>
                <w:szCs w:val="18"/>
                <w:color w:val="auto"/>
              </w:rPr>
              <w:t>Senior Vice President, General</w:t>
            </w:r>
          </w:p>
        </w:tc>
        <w:tc>
          <w:tcPr>
            <w:tcW w:w="1240" w:type="dxa"/>
            <w:vAlign w:val="bottom"/>
            <w:gridSpan w:val="2"/>
          </w:tcPr>
          <w:p>
            <w:pPr>
              <w:jc w:val="right"/>
              <w:spacing w:after="0" w:line="175" w:lineRule="exact"/>
              <w:rPr>
                <w:sz w:val="20"/>
                <w:szCs w:val="20"/>
                <w:color w:val="auto"/>
              </w:rPr>
            </w:pPr>
            <w:r>
              <w:rPr>
                <w:rFonts w:ascii="Arial" w:cs="Arial" w:eastAsia="Arial" w:hAnsi="Arial"/>
                <w:sz w:val="18"/>
                <w:szCs w:val="18"/>
                <w:color w:val="auto"/>
              </w:rPr>
              <w:t>2020</w:t>
            </w:r>
          </w:p>
        </w:tc>
        <w:tc>
          <w:tcPr>
            <w:tcW w:w="100" w:type="dxa"/>
            <w:vAlign w:val="bottom"/>
          </w:tcPr>
          <w:p>
            <w:pPr>
              <w:spacing w:after="0"/>
              <w:rPr>
                <w:sz w:val="15"/>
                <w:szCs w:val="15"/>
                <w:color w:val="auto"/>
              </w:rPr>
            </w:pPr>
          </w:p>
        </w:tc>
        <w:tc>
          <w:tcPr>
            <w:tcW w:w="940" w:type="dxa"/>
            <w:vAlign w:val="bottom"/>
          </w:tcPr>
          <w:p>
            <w:pPr>
              <w:jc w:val="right"/>
              <w:spacing w:after="0" w:line="175" w:lineRule="exact"/>
              <w:rPr>
                <w:sz w:val="20"/>
                <w:szCs w:val="20"/>
                <w:color w:val="auto"/>
              </w:rPr>
            </w:pPr>
            <w:r>
              <w:rPr>
                <w:rFonts w:ascii="Arial" w:cs="Arial" w:eastAsia="Arial" w:hAnsi="Arial"/>
                <w:sz w:val="18"/>
                <w:szCs w:val="18"/>
                <w:color w:val="auto"/>
              </w:rPr>
              <w:t>250,000</w:t>
            </w:r>
          </w:p>
        </w:tc>
        <w:tc>
          <w:tcPr>
            <w:tcW w:w="100" w:type="dxa"/>
            <w:vAlign w:val="bottom"/>
          </w:tcPr>
          <w:p>
            <w:pPr>
              <w:spacing w:after="0"/>
              <w:rPr>
                <w:sz w:val="15"/>
                <w:szCs w:val="15"/>
                <w:color w:val="auto"/>
              </w:rPr>
            </w:pPr>
          </w:p>
        </w:tc>
        <w:tc>
          <w:tcPr>
            <w:tcW w:w="920" w:type="dxa"/>
            <w:vAlign w:val="bottom"/>
          </w:tcPr>
          <w:p>
            <w:pPr>
              <w:jc w:val="right"/>
              <w:spacing w:after="0" w:line="175" w:lineRule="exact"/>
              <w:rPr>
                <w:sz w:val="20"/>
                <w:szCs w:val="20"/>
                <w:color w:val="auto"/>
              </w:rPr>
            </w:pPr>
            <w:r>
              <w:rPr>
                <w:rFonts w:ascii="Arial" w:cs="Arial" w:eastAsia="Arial" w:hAnsi="Arial"/>
                <w:sz w:val="18"/>
                <w:szCs w:val="18"/>
                <w:color w:val="auto"/>
              </w:rPr>
              <w:t>185,000</w:t>
            </w:r>
          </w:p>
        </w:tc>
        <w:tc>
          <w:tcPr>
            <w:tcW w:w="100" w:type="dxa"/>
            <w:vAlign w:val="bottom"/>
          </w:tcPr>
          <w:p>
            <w:pPr>
              <w:spacing w:after="0"/>
              <w:rPr>
                <w:sz w:val="15"/>
                <w:szCs w:val="15"/>
                <w:color w:val="auto"/>
              </w:rPr>
            </w:pPr>
          </w:p>
        </w:tc>
        <w:tc>
          <w:tcPr>
            <w:tcW w:w="1060" w:type="dxa"/>
            <w:vAlign w:val="bottom"/>
          </w:tcPr>
          <w:p>
            <w:pPr>
              <w:jc w:val="right"/>
              <w:spacing w:after="0" w:line="175" w:lineRule="exact"/>
              <w:rPr>
                <w:sz w:val="20"/>
                <w:szCs w:val="20"/>
                <w:color w:val="auto"/>
              </w:rPr>
            </w:pPr>
            <w:r>
              <w:rPr>
                <w:rFonts w:ascii="Arial" w:cs="Arial" w:eastAsia="Arial" w:hAnsi="Arial"/>
                <w:sz w:val="18"/>
                <w:szCs w:val="18"/>
                <w:color w:val="auto"/>
              </w:rPr>
              <w:t>185,000</w:t>
            </w:r>
          </w:p>
        </w:tc>
        <w:tc>
          <w:tcPr>
            <w:tcW w:w="100" w:type="dxa"/>
            <w:vAlign w:val="bottom"/>
          </w:tcPr>
          <w:p>
            <w:pPr>
              <w:spacing w:after="0"/>
              <w:rPr>
                <w:sz w:val="15"/>
                <w:szCs w:val="15"/>
                <w:color w:val="auto"/>
              </w:rPr>
            </w:pPr>
          </w:p>
        </w:tc>
        <w:tc>
          <w:tcPr>
            <w:tcW w:w="1280" w:type="dxa"/>
            <w:vAlign w:val="bottom"/>
            <w:gridSpan w:val="2"/>
          </w:tcPr>
          <w:p>
            <w:pPr>
              <w:ind w:left="940"/>
              <w:spacing w:after="0" w:line="175" w:lineRule="exact"/>
              <w:rPr>
                <w:sz w:val="20"/>
                <w:szCs w:val="20"/>
                <w:color w:val="auto"/>
              </w:rPr>
            </w:pPr>
            <w:r>
              <w:rPr>
                <w:rFonts w:ascii="Arial" w:cs="Arial" w:eastAsia="Arial" w:hAnsi="Arial"/>
                <w:sz w:val="18"/>
                <w:szCs w:val="18"/>
                <w:color w:val="auto"/>
              </w:rPr>
              <w:t>—</w:t>
            </w:r>
          </w:p>
        </w:tc>
        <w:tc>
          <w:tcPr>
            <w:tcW w:w="1240" w:type="dxa"/>
            <w:vAlign w:val="bottom"/>
          </w:tcPr>
          <w:p>
            <w:pPr>
              <w:jc w:val="right"/>
              <w:spacing w:after="0" w:line="175" w:lineRule="exact"/>
              <w:rPr>
                <w:sz w:val="20"/>
                <w:szCs w:val="20"/>
                <w:color w:val="auto"/>
              </w:rPr>
            </w:pPr>
            <w:r>
              <w:rPr>
                <w:rFonts w:ascii="Arial" w:cs="Arial" w:eastAsia="Arial" w:hAnsi="Arial"/>
                <w:sz w:val="18"/>
                <w:szCs w:val="18"/>
                <w:color w:val="auto"/>
              </w:rPr>
              <w:t>17,100</w:t>
            </w:r>
          </w:p>
        </w:tc>
        <w:tc>
          <w:tcPr>
            <w:tcW w:w="80" w:type="dxa"/>
            <w:vAlign w:val="bottom"/>
          </w:tcPr>
          <w:p>
            <w:pPr>
              <w:spacing w:after="0"/>
              <w:rPr>
                <w:sz w:val="15"/>
                <w:szCs w:val="15"/>
                <w:color w:val="auto"/>
              </w:rPr>
            </w:pPr>
          </w:p>
        </w:tc>
        <w:tc>
          <w:tcPr>
            <w:tcW w:w="1120" w:type="dxa"/>
            <w:vAlign w:val="bottom"/>
          </w:tcPr>
          <w:p>
            <w:pPr>
              <w:jc w:val="right"/>
              <w:spacing w:after="0" w:line="175" w:lineRule="exact"/>
              <w:rPr>
                <w:sz w:val="20"/>
                <w:szCs w:val="20"/>
                <w:color w:val="auto"/>
              </w:rPr>
            </w:pPr>
            <w:r>
              <w:rPr>
                <w:rFonts w:ascii="Arial" w:cs="Arial" w:eastAsia="Arial" w:hAnsi="Arial"/>
                <w:sz w:val="18"/>
                <w:szCs w:val="18"/>
                <w:color w:val="auto"/>
              </w:rPr>
              <w:t>637,100</w:t>
            </w:r>
          </w:p>
        </w:tc>
        <w:tc>
          <w:tcPr>
            <w:tcW w:w="0" w:type="dxa"/>
            <w:vAlign w:val="bottom"/>
          </w:tcPr>
          <w:p>
            <w:pPr>
              <w:spacing w:after="0"/>
              <w:rPr>
                <w:sz w:val="1"/>
                <w:szCs w:val="1"/>
                <w:color w:val="auto"/>
              </w:rPr>
            </w:pPr>
          </w:p>
        </w:tc>
      </w:tr>
      <w:tr>
        <w:trPr>
          <w:trHeight w:val="172"/>
        </w:trPr>
        <w:tc>
          <w:tcPr>
            <w:tcW w:w="2960" w:type="dxa"/>
            <w:vAlign w:val="bottom"/>
          </w:tcPr>
          <w:p>
            <w:pPr>
              <w:ind w:left="120"/>
              <w:spacing w:after="0" w:line="172" w:lineRule="exact"/>
              <w:rPr>
                <w:sz w:val="20"/>
                <w:szCs w:val="20"/>
                <w:color w:val="auto"/>
              </w:rPr>
            </w:pPr>
            <w:r>
              <w:rPr>
                <w:rFonts w:ascii="Arial" w:cs="Arial" w:eastAsia="Arial" w:hAnsi="Arial"/>
                <w:sz w:val="18"/>
                <w:szCs w:val="18"/>
                <w:color w:val="auto"/>
              </w:rPr>
              <w:t>Counsel, Chief Compliance Officer</w:t>
            </w:r>
          </w:p>
        </w:tc>
        <w:tc>
          <w:tcPr>
            <w:tcW w:w="1240" w:type="dxa"/>
            <w:vAlign w:val="bottom"/>
            <w:gridSpan w:val="2"/>
            <w:vMerge w:val="restart"/>
          </w:tcPr>
          <w:p>
            <w:pPr>
              <w:jc w:val="right"/>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250,000</w:t>
            </w:r>
          </w:p>
        </w:tc>
        <w:tc>
          <w:tcPr>
            <w:tcW w:w="10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175,000</w:t>
            </w:r>
          </w:p>
        </w:tc>
        <w:tc>
          <w:tcPr>
            <w:tcW w:w="10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173,728</w:t>
            </w:r>
          </w:p>
        </w:tc>
        <w:tc>
          <w:tcPr>
            <w:tcW w:w="100" w:type="dxa"/>
            <w:vAlign w:val="bottom"/>
          </w:tcPr>
          <w:p>
            <w:pPr>
              <w:spacing w:after="0"/>
              <w:rPr>
                <w:sz w:val="14"/>
                <w:szCs w:val="14"/>
                <w:color w:val="auto"/>
              </w:rPr>
            </w:pPr>
          </w:p>
        </w:tc>
        <w:tc>
          <w:tcPr>
            <w:tcW w:w="1280" w:type="dxa"/>
            <w:vAlign w:val="bottom"/>
            <w:gridSpan w:val="2"/>
            <w:vMerge w:val="restart"/>
          </w:tcPr>
          <w:p>
            <w:pPr>
              <w:ind w:left="940"/>
              <w:spacing w:after="0"/>
              <w:rPr>
                <w:sz w:val="20"/>
                <w:szCs w:val="20"/>
                <w:color w:val="auto"/>
              </w:rPr>
            </w:pPr>
            <w:r>
              <w:rPr>
                <w:rFonts w:ascii="Arial" w:cs="Arial" w:eastAsia="Arial" w:hAnsi="Arial"/>
                <w:sz w:val="18"/>
                <w:szCs w:val="18"/>
                <w:color w:val="auto"/>
              </w:rPr>
              <w:t>—</w:t>
            </w: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16,800</w:t>
            </w:r>
          </w:p>
        </w:tc>
        <w:tc>
          <w:tcPr>
            <w:tcW w:w="8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615,528</w:t>
            </w:r>
          </w:p>
        </w:tc>
        <w:tc>
          <w:tcPr>
            <w:tcW w:w="0" w:type="dxa"/>
            <w:vAlign w:val="bottom"/>
          </w:tcPr>
          <w:p>
            <w:pPr>
              <w:spacing w:after="0"/>
              <w:rPr>
                <w:sz w:val="1"/>
                <w:szCs w:val="1"/>
                <w:color w:val="auto"/>
              </w:rPr>
            </w:pPr>
          </w:p>
        </w:tc>
      </w:tr>
      <w:tr>
        <w:trPr>
          <w:trHeight w:val="224"/>
        </w:trPr>
        <w:tc>
          <w:tcPr>
            <w:tcW w:w="2960" w:type="dxa"/>
            <w:vAlign w:val="bottom"/>
          </w:tcPr>
          <w:p>
            <w:pPr>
              <w:ind w:left="120"/>
              <w:spacing w:after="0"/>
              <w:rPr>
                <w:sz w:val="20"/>
                <w:szCs w:val="20"/>
                <w:color w:val="auto"/>
              </w:rPr>
            </w:pPr>
            <w:r>
              <w:rPr>
                <w:rFonts w:ascii="Arial" w:cs="Arial" w:eastAsia="Arial" w:hAnsi="Arial"/>
                <w:sz w:val="18"/>
                <w:szCs w:val="18"/>
                <w:color w:val="auto"/>
              </w:rPr>
              <w:t>and Corporate Secretary</w:t>
            </w:r>
          </w:p>
        </w:tc>
        <w:tc>
          <w:tcPr>
            <w:tcW w:w="124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12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67"/>
        </w:trPr>
        <w:tc>
          <w:tcPr>
            <w:tcW w:w="2960" w:type="dxa"/>
            <w:vAlign w:val="bottom"/>
            <w:tcBorders>
              <w:bottom w:val="single" w:sz="8" w:color="auto"/>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8"/>
        </w:trPr>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Steven Paddon</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2021</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275,000</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440,415</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440,415</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17,400</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1,173,230</w:t>
            </w:r>
          </w:p>
        </w:tc>
        <w:tc>
          <w:tcPr>
            <w:tcW w:w="0" w:type="dxa"/>
            <w:vAlign w:val="bottom"/>
          </w:tcPr>
          <w:p>
            <w:pPr>
              <w:spacing w:after="0"/>
              <w:rPr>
                <w:sz w:val="1"/>
                <w:szCs w:val="1"/>
                <w:color w:val="auto"/>
              </w:rPr>
            </w:pPr>
          </w:p>
        </w:tc>
      </w:tr>
      <w:tr>
        <w:trPr>
          <w:trHeight w:val="174"/>
        </w:trPr>
        <w:tc>
          <w:tcPr>
            <w:tcW w:w="2960" w:type="dxa"/>
            <w:vAlign w:val="bottom"/>
            <w:shd w:val="clear" w:color="auto" w:fill="CCEEFF"/>
          </w:tcPr>
          <w:p>
            <w:pPr>
              <w:ind w:left="120"/>
              <w:spacing w:after="0" w:line="175" w:lineRule="exact"/>
              <w:rPr>
                <w:sz w:val="20"/>
                <w:szCs w:val="20"/>
                <w:color w:val="auto"/>
              </w:rPr>
            </w:pPr>
            <w:r>
              <w:rPr>
                <w:rFonts w:ascii="Arial" w:cs="Arial" w:eastAsia="Arial" w:hAnsi="Arial"/>
                <w:sz w:val="18"/>
                <w:szCs w:val="18"/>
                <w:color w:val="auto"/>
              </w:rPr>
              <w:t>Senior Vice President, Head of</w:t>
            </w: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line="175" w:lineRule="exact"/>
              <w:rPr>
                <w:sz w:val="20"/>
                <w:szCs w:val="20"/>
                <w:color w:val="auto"/>
              </w:rPr>
            </w:pPr>
            <w:r>
              <w:rPr>
                <w:rFonts w:ascii="Arial" w:cs="Arial" w:eastAsia="Arial" w:hAnsi="Arial"/>
                <w:sz w:val="18"/>
                <w:szCs w:val="18"/>
                <w:color w:val="auto"/>
              </w:rPr>
              <w:t>2020</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line="175" w:lineRule="exact"/>
              <w:rPr>
                <w:sz w:val="20"/>
                <w:szCs w:val="20"/>
                <w:color w:val="auto"/>
              </w:rPr>
            </w:pPr>
            <w:r>
              <w:rPr>
                <w:rFonts w:ascii="Arial" w:cs="Arial" w:eastAsia="Arial" w:hAnsi="Arial"/>
                <w:sz w:val="18"/>
                <w:szCs w:val="18"/>
                <w:color w:val="auto"/>
              </w:rPr>
              <w:t>275,000</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75" w:lineRule="exact"/>
              <w:rPr>
                <w:sz w:val="20"/>
                <w:szCs w:val="20"/>
                <w:color w:val="auto"/>
              </w:rPr>
            </w:pPr>
            <w:r>
              <w:rPr>
                <w:rFonts w:ascii="Arial" w:cs="Arial" w:eastAsia="Arial" w:hAnsi="Arial"/>
                <w:sz w:val="18"/>
                <w:szCs w:val="18"/>
                <w:color w:val="auto"/>
              </w:rPr>
              <w:t>237,500</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line="175" w:lineRule="exact"/>
              <w:rPr>
                <w:sz w:val="20"/>
                <w:szCs w:val="20"/>
                <w:color w:val="auto"/>
              </w:rPr>
            </w:pPr>
            <w:r>
              <w:rPr>
                <w:rFonts w:ascii="Arial" w:cs="Arial" w:eastAsia="Arial" w:hAnsi="Arial"/>
                <w:sz w:val="18"/>
                <w:szCs w:val="18"/>
                <w:color w:val="auto"/>
              </w:rPr>
              <w:t>237,500</w:t>
            </w:r>
          </w:p>
        </w:tc>
        <w:tc>
          <w:tcPr>
            <w:tcW w:w="10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ind w:left="940"/>
              <w:spacing w:after="0" w:line="175" w:lineRule="exact"/>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line="175" w:lineRule="exact"/>
              <w:rPr>
                <w:sz w:val="20"/>
                <w:szCs w:val="20"/>
                <w:color w:val="auto"/>
              </w:rPr>
            </w:pPr>
            <w:r>
              <w:rPr>
                <w:rFonts w:ascii="Arial" w:cs="Arial" w:eastAsia="Arial" w:hAnsi="Arial"/>
                <w:sz w:val="18"/>
                <w:szCs w:val="18"/>
                <w:color w:val="auto"/>
              </w:rPr>
              <w:t>17,100</w:t>
            </w: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75" w:lineRule="exact"/>
              <w:rPr>
                <w:sz w:val="20"/>
                <w:szCs w:val="20"/>
                <w:color w:val="auto"/>
              </w:rPr>
            </w:pPr>
            <w:r>
              <w:rPr>
                <w:rFonts w:ascii="Arial" w:cs="Arial" w:eastAsia="Arial" w:hAnsi="Arial"/>
                <w:sz w:val="18"/>
                <w:szCs w:val="18"/>
                <w:color w:val="auto"/>
              </w:rPr>
              <w:t>767,100</w:t>
            </w:r>
          </w:p>
        </w:tc>
        <w:tc>
          <w:tcPr>
            <w:tcW w:w="0" w:type="dxa"/>
            <w:vAlign w:val="bottom"/>
          </w:tcPr>
          <w:p>
            <w:pPr>
              <w:spacing w:after="0"/>
              <w:rPr>
                <w:sz w:val="1"/>
                <w:szCs w:val="1"/>
                <w:color w:val="auto"/>
              </w:rPr>
            </w:pPr>
          </w:p>
        </w:tc>
      </w:tr>
      <w:tr>
        <w:trPr>
          <w:trHeight w:val="224"/>
        </w:trPr>
        <w:tc>
          <w:tcPr>
            <w:tcW w:w="2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Distribution</w:t>
            </w:r>
          </w:p>
        </w:tc>
        <w:tc>
          <w:tcPr>
            <w:tcW w:w="80" w:type="dxa"/>
            <w:vAlign w:val="bottom"/>
            <w:shd w:val="clear" w:color="auto" w:fill="CCEEFF"/>
          </w:tcPr>
          <w:p>
            <w:pPr>
              <w:spacing w:after="0"/>
              <w:rPr>
                <w:sz w:val="19"/>
                <w:szCs w:val="19"/>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2019</w:t>
            </w:r>
          </w:p>
        </w:tc>
        <w:tc>
          <w:tcPr>
            <w:tcW w:w="100" w:type="dxa"/>
            <w:vAlign w:val="bottom"/>
            <w:shd w:val="clear" w:color="auto" w:fill="CCEEFF"/>
          </w:tcPr>
          <w:p>
            <w:pPr>
              <w:spacing w:after="0"/>
              <w:rPr>
                <w:sz w:val="19"/>
                <w:szCs w:val="19"/>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270,833</w:t>
            </w:r>
          </w:p>
        </w:tc>
        <w:tc>
          <w:tcPr>
            <w:tcW w:w="100" w:type="dxa"/>
            <w:vAlign w:val="bottom"/>
            <w:shd w:val="clear" w:color="auto" w:fill="CCEEFF"/>
          </w:tcPr>
          <w:p>
            <w:pPr>
              <w:spacing w:after="0"/>
              <w:rPr>
                <w:sz w:val="19"/>
                <w:szCs w:val="19"/>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175,000</w:t>
            </w:r>
          </w:p>
        </w:tc>
        <w:tc>
          <w:tcPr>
            <w:tcW w:w="100" w:type="dxa"/>
            <w:vAlign w:val="bottom"/>
            <w:shd w:val="clear" w:color="auto" w:fill="CCEEFF"/>
          </w:tcPr>
          <w:p>
            <w:pPr>
              <w:spacing w:after="0"/>
              <w:rPr>
                <w:sz w:val="19"/>
                <w:szCs w:val="19"/>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223,354</w:t>
            </w:r>
          </w:p>
        </w:tc>
        <w:tc>
          <w:tcPr>
            <w:tcW w:w="100" w:type="dxa"/>
            <w:vAlign w:val="bottom"/>
            <w:shd w:val="clear" w:color="auto" w:fill="CCEEFF"/>
          </w:tcPr>
          <w:p>
            <w:pPr>
              <w:spacing w:after="0"/>
              <w:rPr>
                <w:sz w:val="19"/>
                <w:szCs w:val="19"/>
                <w:color w:val="auto"/>
              </w:rPr>
            </w:pPr>
          </w:p>
        </w:tc>
        <w:tc>
          <w:tcPr>
            <w:tcW w:w="1280" w:type="dxa"/>
            <w:vAlign w:val="bottom"/>
            <w:gridSpan w:val="2"/>
            <w:vMerge w:val="restart"/>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16,800</w:t>
            </w:r>
          </w:p>
        </w:tc>
        <w:tc>
          <w:tcPr>
            <w:tcW w:w="80" w:type="dxa"/>
            <w:vAlign w:val="bottom"/>
            <w:shd w:val="clear" w:color="auto" w:fill="CCEEFF"/>
          </w:tcPr>
          <w:p>
            <w:pPr>
              <w:spacing w:after="0"/>
              <w:rPr>
                <w:sz w:val="19"/>
                <w:szCs w:val="19"/>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685,987</w:t>
            </w:r>
          </w:p>
        </w:tc>
        <w:tc>
          <w:tcPr>
            <w:tcW w:w="0" w:type="dxa"/>
            <w:vAlign w:val="bottom"/>
          </w:tcPr>
          <w:p>
            <w:pPr>
              <w:spacing w:after="0"/>
              <w:rPr>
                <w:sz w:val="1"/>
                <w:szCs w:val="1"/>
                <w:color w:val="auto"/>
              </w:rPr>
            </w:pPr>
          </w:p>
        </w:tc>
      </w:tr>
      <w:tr>
        <w:trPr>
          <w:trHeight w:val="87"/>
        </w:trPr>
        <w:tc>
          <w:tcPr>
            <w:tcW w:w="2960" w:type="dxa"/>
            <w:vAlign w:val="bottom"/>
            <w:tcBorders>
              <w:bottom w:val="single" w:sz="8" w:color="CCEEFF"/>
            </w:tcBorders>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spacing w:after="0"/>
              <w:rPr>
                <w:sz w:val="7"/>
                <w:szCs w:val="7"/>
                <w:color w:val="auto"/>
              </w:rPr>
            </w:pPr>
          </w:p>
        </w:tc>
        <w:tc>
          <w:tcPr>
            <w:tcW w:w="1160" w:type="dxa"/>
            <w:vAlign w:val="bottom"/>
            <w:tcBorders>
              <w:bottom w:val="single" w:sz="8" w:color="CCEEFF"/>
            </w:tcBorders>
            <w:vMerge w:val="continue"/>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940" w:type="dxa"/>
            <w:vAlign w:val="bottom"/>
            <w:tcBorders>
              <w:bottom w:val="single" w:sz="8" w:color="CCEEFF"/>
            </w:tcBorders>
            <w:vMerge w:val="continue"/>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920" w:type="dxa"/>
            <w:vAlign w:val="bottom"/>
            <w:tcBorders>
              <w:bottom w:val="single" w:sz="8" w:color="CCEEFF"/>
            </w:tcBorders>
            <w:vMerge w:val="continue"/>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1060" w:type="dxa"/>
            <w:vAlign w:val="bottom"/>
            <w:tcBorders>
              <w:bottom w:val="single" w:sz="8" w:color="CCEEFF"/>
            </w:tcBorders>
            <w:vMerge w:val="continue"/>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1280" w:type="dxa"/>
            <w:vAlign w:val="bottom"/>
            <w:tcBorders>
              <w:bottom w:val="single" w:sz="8" w:color="CCEEFF"/>
            </w:tcBorders>
            <w:gridSpan w:val="2"/>
            <w:vMerge w:val="continue"/>
            <w:shd w:val="clear" w:color="auto" w:fill="CCEEFF"/>
          </w:tcPr>
          <w:p>
            <w:pPr>
              <w:spacing w:after="0"/>
              <w:rPr>
                <w:sz w:val="7"/>
                <w:szCs w:val="7"/>
                <w:color w:val="auto"/>
              </w:rPr>
            </w:pPr>
          </w:p>
        </w:tc>
        <w:tc>
          <w:tcPr>
            <w:tcW w:w="1240" w:type="dxa"/>
            <w:vAlign w:val="bottom"/>
            <w:tcBorders>
              <w:bottom w:val="single" w:sz="8" w:color="CCEEFF"/>
            </w:tcBorders>
            <w:vMerge w:val="continue"/>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spacing w:after="0"/>
              <w:rPr>
                <w:sz w:val="7"/>
                <w:szCs w:val="7"/>
                <w:color w:val="auto"/>
              </w:rPr>
            </w:pPr>
          </w:p>
        </w:tc>
        <w:tc>
          <w:tcPr>
            <w:tcW w:w="1120" w:type="dxa"/>
            <w:vAlign w:val="bottom"/>
            <w:tcBorders>
              <w:bottom w:val="single" w:sz="8" w:color="CCEEFF"/>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9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1" w:lineRule="exact"/>
        <w:rPr>
          <w:sz w:val="20"/>
          <w:szCs w:val="20"/>
          <w:color w:val="auto"/>
        </w:rPr>
      </w:pPr>
    </w:p>
    <w:p>
      <w:pPr>
        <w:spacing w:after="0"/>
        <w:rPr>
          <w:sz w:val="20"/>
          <w:szCs w:val="20"/>
          <w:color w:val="auto"/>
        </w:rPr>
      </w:pPr>
      <w:r>
        <w:rPr>
          <w:rFonts w:ascii="Arial" w:cs="Arial" w:eastAsia="Arial" w:hAnsi="Arial"/>
          <w:sz w:val="9"/>
          <w:szCs w:val="9"/>
          <w:color w:val="auto"/>
        </w:rPr>
        <w:t>___________________</w:t>
      </w:r>
    </w:p>
    <w:p>
      <w:pPr>
        <w:spacing w:after="0" w:line="16" w:lineRule="exact"/>
        <w:rPr>
          <w:sz w:val="20"/>
          <w:szCs w:val="20"/>
          <w:color w:val="auto"/>
        </w:rPr>
      </w:pPr>
    </w:p>
    <w:p>
      <w:pPr>
        <w:ind w:left="300" w:hanging="294"/>
        <w:spacing w:after="0"/>
        <w:tabs>
          <w:tab w:leader="none" w:pos="300" w:val="left"/>
        </w:tabs>
        <w:numPr>
          <w:ilvl w:val="0"/>
          <w:numId w:val="50"/>
        </w:numPr>
        <w:rPr>
          <w:rFonts w:ascii="Arial" w:cs="Arial" w:eastAsia="Arial" w:hAnsi="Arial"/>
          <w:sz w:val="14"/>
          <w:szCs w:val="14"/>
          <w:color w:val="auto"/>
        </w:rPr>
      </w:pPr>
      <w:r>
        <w:rPr>
          <w:rFonts w:ascii="Arial" w:cs="Arial" w:eastAsia="Arial" w:hAnsi="Arial"/>
          <w:sz w:val="14"/>
          <w:szCs w:val="14"/>
          <w:color w:val="auto"/>
        </w:rPr>
        <w:t>This column represents base compensation earned during each of the fiscal years presented.</w:t>
      </w:r>
    </w:p>
    <w:p>
      <w:pPr>
        <w:spacing w:after="0" w:line="19" w:lineRule="exact"/>
        <w:rPr>
          <w:rFonts w:ascii="Arial" w:cs="Arial" w:eastAsia="Arial" w:hAnsi="Arial"/>
          <w:sz w:val="14"/>
          <w:szCs w:val="14"/>
          <w:color w:val="auto"/>
        </w:rPr>
      </w:pPr>
    </w:p>
    <w:p>
      <w:pPr>
        <w:ind w:left="640" w:right="140" w:hanging="634"/>
        <w:spacing w:after="0" w:line="247" w:lineRule="auto"/>
        <w:tabs>
          <w:tab w:leader="none" w:pos="310" w:val="left"/>
        </w:tabs>
        <w:numPr>
          <w:ilvl w:val="0"/>
          <w:numId w:val="50"/>
        </w:numPr>
        <w:rPr>
          <w:rFonts w:ascii="Arial" w:cs="Arial" w:eastAsia="Arial" w:hAnsi="Arial"/>
          <w:sz w:val="14"/>
          <w:szCs w:val="14"/>
          <w:color w:val="auto"/>
        </w:rPr>
      </w:pPr>
      <w:r>
        <w:rPr>
          <w:rFonts w:ascii="Arial" w:cs="Arial" w:eastAsia="Arial" w:hAnsi="Arial"/>
          <w:sz w:val="14"/>
          <w:szCs w:val="14"/>
          <w:color w:val="auto"/>
        </w:rPr>
        <w:t>For 2021, the amounts for Messrs. Casey, Forbes, Gomez and Paddon and Ms. Gerron reflect the cash payments made under our employee bonus pool. Each of these payments were approved in 2022.</w:t>
      </w:r>
    </w:p>
    <w:p>
      <w:pPr>
        <w:ind w:left="320" w:hanging="314"/>
        <w:spacing w:after="0"/>
        <w:tabs>
          <w:tab w:leader="none" w:pos="320" w:val="left"/>
        </w:tabs>
        <w:numPr>
          <w:ilvl w:val="0"/>
          <w:numId w:val="50"/>
        </w:numPr>
        <w:rPr>
          <w:rFonts w:ascii="Arial" w:cs="Arial" w:eastAsia="Arial" w:hAnsi="Arial"/>
          <w:sz w:val="14"/>
          <w:szCs w:val="14"/>
          <w:color w:val="auto"/>
        </w:rPr>
      </w:pPr>
      <w:r>
        <w:rPr>
          <w:rFonts w:ascii="Arial" w:cs="Arial" w:eastAsia="Arial" w:hAnsi="Arial"/>
          <w:sz w:val="14"/>
          <w:szCs w:val="14"/>
          <w:color w:val="auto"/>
        </w:rPr>
        <w:t>Restricted stock awards are typically given in arrears for preceding year performance.</w:t>
      </w:r>
    </w:p>
    <w:p>
      <w:pPr>
        <w:spacing w:after="0" w:line="17" w:lineRule="exact"/>
        <w:rPr>
          <w:sz w:val="20"/>
          <w:szCs w:val="20"/>
          <w:color w:val="auto"/>
        </w:rPr>
      </w:pPr>
    </w:p>
    <w:p>
      <w:pPr>
        <w:ind w:left="640" w:right="60"/>
        <w:spacing w:after="0" w:line="245" w:lineRule="auto"/>
        <w:rPr>
          <w:sz w:val="20"/>
          <w:szCs w:val="20"/>
          <w:color w:val="auto"/>
        </w:rPr>
      </w:pPr>
      <w:r>
        <w:rPr>
          <w:rFonts w:ascii="Arial" w:cs="Arial" w:eastAsia="Arial" w:hAnsi="Arial"/>
          <w:sz w:val="14"/>
          <w:szCs w:val="14"/>
          <w:color w:val="auto"/>
        </w:rPr>
        <w:t>For 2021, the amounts contained in column (e) reflect (i) for Mr. Casey, the grant date fair of his time-vested restricted stock award (18,657 shares) (ii) for Mr. Forbes, the grant date fair value of his time-vested restricted stock award (10,005 shares), (iii) for Mr. Gomez, the grant date fair value of his time-vested restricted stock award (15,392 shares), (iv) for Ms. Gerron, the grant date fair value of her time-vested restricted stock award (12,314 shares) and (v) for Mr. Paddon, the grant date fair value of his time-vested restricted stock award (26,294 shares). Each of these awards were granted in 2022.</w:t>
      </w:r>
    </w:p>
    <w:p>
      <w:pPr>
        <w:ind w:left="640" w:right="40"/>
        <w:spacing w:after="0" w:line="242" w:lineRule="auto"/>
        <w:rPr>
          <w:sz w:val="20"/>
          <w:szCs w:val="20"/>
          <w:color w:val="auto"/>
        </w:rPr>
      </w:pPr>
      <w:r>
        <w:rPr>
          <w:rFonts w:ascii="Arial" w:cs="Arial" w:eastAsia="Arial" w:hAnsi="Arial"/>
          <w:sz w:val="14"/>
          <w:szCs w:val="14"/>
          <w:color w:val="auto"/>
        </w:rPr>
        <w:t>For 2020, the amounts contained in column (e) reflect (i) no restricted stock award granted for Mr. Casey (ii) for Mr. Forbes, the grant date fair value of his time-vested restricted stock award (8,752 shares), (iii) for Mr. Gomez, the grant date fair value of his time-vested restricted stock award (13,128 shares), (iv) for Ms. Gerron, the grant date fair value of her time-vested restricted stock award (10,794 shares) and (v) for Mr. Paddon, the grant date fair value of his time-vested restricted stock award (13,857 shares). Each of these awards were granted in 2021.</w:t>
      </w:r>
    </w:p>
    <w:p>
      <w:pPr>
        <w:spacing w:after="0" w:line="1" w:lineRule="exact"/>
        <w:rPr>
          <w:sz w:val="20"/>
          <w:szCs w:val="20"/>
          <w:color w:val="auto"/>
        </w:rPr>
      </w:pPr>
    </w:p>
    <w:p>
      <w:pPr>
        <w:ind w:left="640" w:right="40"/>
        <w:spacing w:after="0" w:line="287" w:lineRule="auto"/>
        <w:rPr>
          <w:sz w:val="20"/>
          <w:szCs w:val="20"/>
          <w:color w:val="auto"/>
        </w:rPr>
      </w:pPr>
      <w:r>
        <w:rPr>
          <w:rFonts w:ascii="Arial" w:cs="Arial" w:eastAsia="Arial" w:hAnsi="Arial"/>
          <w:sz w:val="12"/>
          <w:szCs w:val="12"/>
          <w:color w:val="auto"/>
        </w:rPr>
        <w:t>For 2019, the amounts contained in column (e) reflect (i) no restricted stock award granted for Mr. Casey (ii) for Mr. Forbes, the grant date fair value of his time-vested restricted stock award (4,879 shares), (iii) for Mr. Gomez, the grant date fair value of his time-vested restricted stock award (9,036 shares), (iv) for Ms. Gerron, the grant date fair value of her time-vested restricted stock award (6,325 shares) and (v) for Mr. Paddon, the grant date fair value of his time-vested restricted stock award (8,132 shares). Each of these awards were granted in 2020.</w:t>
      </w:r>
    </w:p>
    <w:p>
      <w:pPr>
        <w:spacing w:after="0" w:line="1" w:lineRule="exact"/>
        <w:rPr>
          <w:sz w:val="20"/>
          <w:szCs w:val="20"/>
          <w:color w:val="auto"/>
        </w:rPr>
      </w:pPr>
    </w:p>
    <w:p>
      <w:pPr>
        <w:ind w:left="640" w:right="220"/>
        <w:spacing w:after="0" w:line="266" w:lineRule="auto"/>
        <w:rPr>
          <w:sz w:val="20"/>
          <w:szCs w:val="20"/>
          <w:color w:val="auto"/>
        </w:rPr>
      </w:pPr>
      <w:r>
        <w:rPr>
          <w:rFonts w:ascii="Arial" w:cs="Arial" w:eastAsia="Arial" w:hAnsi="Arial"/>
          <w:sz w:val="13"/>
          <w:szCs w:val="13"/>
          <w:color w:val="auto"/>
        </w:rPr>
        <w:t>The above grant date fair values reported in column (e) were calculated in accordance with Accounting Standards Codification Topic 718 ("ASC 718"), "Stock Compensation." The assumptions used in the valuation of the time-vested restricted stock awards are discussed in Note 7 "Employee Benefits" of our audited financial statements, which are included in our 2021 Form 10-K. See the "Compensation Discussion and Analysis" section above for a further description of these restricted stock awards.</w:t>
      </w:r>
    </w:p>
    <w:p>
      <w:pPr>
        <w:spacing w:after="0" w:line="1" w:lineRule="exact"/>
        <w:rPr>
          <w:sz w:val="20"/>
          <w:szCs w:val="20"/>
          <w:color w:val="auto"/>
        </w:rPr>
      </w:pPr>
    </w:p>
    <w:p>
      <w:pPr>
        <w:ind w:left="640" w:right="740" w:hanging="634"/>
        <w:spacing w:after="0" w:line="254" w:lineRule="auto"/>
        <w:tabs>
          <w:tab w:leader="none" w:pos="307" w:val="left"/>
        </w:tabs>
        <w:numPr>
          <w:ilvl w:val="0"/>
          <w:numId w:val="51"/>
        </w:numPr>
        <w:rPr>
          <w:rFonts w:ascii="Arial" w:cs="Arial" w:eastAsia="Arial" w:hAnsi="Arial"/>
          <w:sz w:val="14"/>
          <w:szCs w:val="14"/>
          <w:color w:val="auto"/>
        </w:rPr>
      </w:pPr>
      <w:r>
        <w:rPr>
          <w:rFonts w:ascii="Arial" w:cs="Arial" w:eastAsia="Arial" w:hAnsi="Arial"/>
          <w:sz w:val="14"/>
          <w:szCs w:val="14"/>
          <w:color w:val="auto"/>
        </w:rPr>
        <w:t>The amounts in column (g) reflect each named executive officer’s 401(k) Company matching contribution and Company profit sharing contribution under the Savings Plan. See the "Compensation Discussion and Analysis" section above for a further description of the plan contributions in 2021.</w:t>
      </w:r>
    </w:p>
    <w:p>
      <w:pPr>
        <w:spacing w:after="0" w:line="82" w:lineRule="exact"/>
        <w:rPr>
          <w:sz w:val="20"/>
          <w:szCs w:val="20"/>
          <w:color w:val="auto"/>
        </w:rPr>
      </w:pPr>
    </w:p>
    <w:p>
      <w:pPr>
        <w:ind w:right="20" w:firstLine="398"/>
        <w:spacing w:after="0" w:line="269" w:lineRule="auto"/>
        <w:rPr>
          <w:sz w:val="20"/>
          <w:szCs w:val="20"/>
          <w:color w:val="auto"/>
        </w:rPr>
      </w:pPr>
      <w:r>
        <w:rPr>
          <w:rFonts w:ascii="Arial" w:cs="Arial" w:eastAsia="Arial" w:hAnsi="Arial"/>
          <w:sz w:val="17"/>
          <w:szCs w:val="17"/>
          <w:color w:val="auto"/>
        </w:rPr>
        <w:t>We currently have an employment agreement with Mr. Casey under which he receives a minimum base salary and is eligible to receive on an annual basis performance-based bonuses and discretionary bonuses in the form of both cash and restricted shares. Mr. Casey may become fully vested in his unvested equity compensation (depending on the cause of termination of employment) and is eligible to receive salary and benefits for up to two years after the termination of his employment (depending on the cause of termination of employment). In accordance with the terms of his employment agreement, Mr. Casey was paid an annual salary of $750,000 in 2021 and was eligible to receive an annual cash incentive award.</w:t>
      </w:r>
    </w:p>
    <w:p>
      <w:pPr>
        <w:spacing w:after="0" w:line="72" w:lineRule="exact"/>
        <w:rPr>
          <w:sz w:val="20"/>
          <w:szCs w:val="20"/>
          <w:color w:val="auto"/>
        </w:rPr>
      </w:pPr>
    </w:p>
    <w:p>
      <w:pPr>
        <w:ind w:right="140" w:firstLine="398"/>
        <w:spacing w:after="0" w:line="267" w:lineRule="auto"/>
        <w:rPr>
          <w:sz w:val="20"/>
          <w:szCs w:val="20"/>
          <w:color w:val="auto"/>
        </w:rPr>
      </w:pPr>
      <w:r>
        <w:rPr>
          <w:rFonts w:ascii="Arial" w:cs="Arial" w:eastAsia="Arial" w:hAnsi="Arial"/>
          <w:sz w:val="17"/>
          <w:szCs w:val="17"/>
          <w:color w:val="auto"/>
        </w:rPr>
        <w:t>In October 2018, we entered into an Offer Letter with Mr. Forbes in connection with his promotion to Chief Financial Officer. The Company agreed to pay Mr. Forbes an annual base salary of $225,000, and he is eligible for a target annual variable compensation bonus opportunity of $300,000 split between cash and shares of Company stock for 2019. Mr. Forbes is eligible to participate in all compensation and incentive plans generally available to Company employees, including (i) annual cash incentive awards as approved by the Compensation Committee, (ii) long-term equity incentive awards granted pursuant to the Stock Incentive Plan, and (iii) employee and post-retirement benefits, including those under the Savings Plan. Future cash bonus awards and future restricted stock awards are subject to the approval of the Compensation Committee.</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612" w:right="339" w:bottom="1440" w:gutter="0" w:footer="0" w:header="0"/>
        </w:sectPr>
      </w:pPr>
    </w:p>
    <w:bookmarkStart w:id="33" w:name="page34"/>
    <w:bookmarkEnd w:id="33"/>
    <w:p>
      <w:pPr>
        <w:ind w:right="20" w:firstLine="398"/>
        <w:spacing w:after="0" w:line="300" w:lineRule="auto"/>
        <w:rPr>
          <w:sz w:val="20"/>
          <w:szCs w:val="20"/>
          <w:color w:val="auto"/>
        </w:rPr>
      </w:pPr>
      <w:r>
        <w:rPr>
          <w:rFonts w:ascii="Arial" w:cs="Arial" w:eastAsia="Arial" w:hAnsi="Arial"/>
          <w:sz w:val="15"/>
          <w:szCs w:val="15"/>
          <w:color w:val="auto"/>
        </w:rPr>
        <w:t>In May 2018, we entered into an Offer Letter with Mr. Paddon in connection with his being hired as our Head of Institutional Sales and agreed to pay him an annual base salary of $250,000. He is eligible for a target annual variable compensation bonus opportunity of $550,000 split between cash and shares of Company stock in 2019. Mr. Paddon is eligible to participate in all compensation and incentive plans generally available to Company employees, including</w:t>
      </w:r>
    </w:p>
    <w:p>
      <w:pPr>
        <w:spacing w:after="0" w:line="1" w:lineRule="exact"/>
        <w:rPr>
          <w:sz w:val="20"/>
          <w:szCs w:val="20"/>
          <w:color w:val="auto"/>
        </w:rPr>
      </w:pPr>
    </w:p>
    <w:p>
      <w:pPr>
        <w:jc w:val="both"/>
        <w:ind w:right="40" w:firstLine="6"/>
        <w:spacing w:after="0" w:line="249" w:lineRule="auto"/>
        <w:tabs>
          <w:tab w:leader="none" w:pos="211"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annual cash incentive awards as approved by the Compensation Committee, (ii) long-term equity incentive awards granted pursuant to the Stock Incentive Plan, and (iii) employee and post-retirement benefits, including those under the Savings Plan. Future cash bonus awards and future restricted stock awards are subject to the approval of the Compensation Committee.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 of Plan-Based Awards in 2021</w:t>
      </w:r>
    </w:p>
    <w:p>
      <w:pPr>
        <w:spacing w:after="0" w:line="78" w:lineRule="exact"/>
        <w:rPr>
          <w:sz w:val="20"/>
          <w:szCs w:val="20"/>
          <w:color w:val="auto"/>
        </w:rPr>
      </w:pPr>
    </w:p>
    <w:p>
      <w:pPr>
        <w:ind w:right="180" w:firstLine="398"/>
        <w:spacing w:after="0" w:line="265" w:lineRule="auto"/>
        <w:rPr>
          <w:sz w:val="20"/>
          <w:szCs w:val="20"/>
          <w:color w:val="auto"/>
        </w:rPr>
      </w:pPr>
      <w:r>
        <w:rPr>
          <w:rFonts w:ascii="Arial" w:cs="Arial" w:eastAsia="Arial" w:hAnsi="Arial"/>
          <w:sz w:val="18"/>
          <w:szCs w:val="18"/>
          <w:color w:val="auto"/>
        </w:rPr>
        <w:t>The following table summarizes all grants of plan-based awards made to our named executive officers in 2021. The equity plan-based awards set forth below consisted solely of restricted shares of our common stock granted under the Stock Incentive Plan.</w:t>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180" w:type="dxa"/>
            <w:vAlign w:val="bottom"/>
            <w:gridSpan w:val="7"/>
          </w:tcPr>
          <w:p>
            <w:pPr>
              <w:jc w:val="center"/>
              <w:ind w:right="80"/>
              <w:spacing w:after="0"/>
              <w:rPr>
                <w:sz w:val="20"/>
                <w:szCs w:val="20"/>
                <w:color w:val="auto"/>
              </w:rPr>
            </w:pPr>
            <w:r>
              <w:rPr>
                <w:rFonts w:ascii="Arial" w:cs="Arial" w:eastAsia="Arial" w:hAnsi="Arial"/>
                <w:sz w:val="14"/>
                <w:szCs w:val="14"/>
                <w:b w:val="1"/>
                <w:bCs w:val="1"/>
                <w:color w:val="auto"/>
                <w:w w:val="92"/>
              </w:rPr>
              <w:t>Estimated Future Payouts Under Non-Equity</w:t>
            </w:r>
          </w:p>
        </w:tc>
        <w:tc>
          <w:tcPr>
            <w:tcW w:w="3220" w:type="dxa"/>
            <w:vAlign w:val="bottom"/>
            <w:gridSpan w:val="6"/>
          </w:tcPr>
          <w:p>
            <w:pPr>
              <w:jc w:val="center"/>
              <w:ind w:right="80"/>
              <w:spacing w:after="0"/>
              <w:rPr>
                <w:sz w:val="20"/>
                <w:szCs w:val="20"/>
                <w:color w:val="auto"/>
              </w:rPr>
            </w:pPr>
            <w:r>
              <w:rPr>
                <w:rFonts w:ascii="Arial" w:cs="Arial" w:eastAsia="Arial" w:hAnsi="Arial"/>
                <w:sz w:val="14"/>
                <w:szCs w:val="14"/>
                <w:b w:val="1"/>
                <w:bCs w:val="1"/>
                <w:color w:val="auto"/>
                <w:w w:val="91"/>
              </w:rPr>
              <w:t>Estimated Future Payouts Under Equity Incentive</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60" w:type="dxa"/>
            <w:vAlign w:val="bottom"/>
            <w:tcBorders>
              <w:bottom w:val="single" w:sz="8" w:color="auto"/>
            </w:tcBorders>
            <w:gridSpan w:val="5"/>
          </w:tcPr>
          <w:p>
            <w:pPr>
              <w:jc w:val="center"/>
              <w:ind w:left="741"/>
              <w:spacing w:after="0"/>
              <w:rPr>
                <w:sz w:val="20"/>
                <w:szCs w:val="20"/>
                <w:color w:val="auto"/>
              </w:rPr>
            </w:pPr>
            <w:r>
              <w:rPr>
                <w:rFonts w:ascii="Arial" w:cs="Arial" w:eastAsia="Arial" w:hAnsi="Arial"/>
                <w:sz w:val="14"/>
                <w:szCs w:val="14"/>
                <w:b w:val="1"/>
                <w:bCs w:val="1"/>
                <w:color w:val="auto"/>
                <w:w w:val="91"/>
              </w:rPr>
              <w:t>Incentive Plan Awards</w:t>
            </w:r>
          </w:p>
        </w:tc>
        <w:tc>
          <w:tcPr>
            <w:tcW w:w="8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2"/>
              </w:rPr>
              <w:t>Plan Awards</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6"/>
        </w:trPr>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All Other Stock</w:t>
            </w:r>
          </w:p>
        </w:tc>
        <w:tc>
          <w:tcPr>
            <w:tcW w:w="140" w:type="dxa"/>
            <w:vAlign w:val="bottom"/>
          </w:tcPr>
          <w:p>
            <w:pPr>
              <w:spacing w:after="0"/>
              <w:rPr>
                <w:sz w:val="24"/>
                <w:szCs w:val="24"/>
                <w:color w:val="auto"/>
              </w:rPr>
            </w:pPr>
          </w:p>
        </w:tc>
        <w:tc>
          <w:tcPr>
            <w:tcW w:w="900" w:type="dxa"/>
            <w:vAlign w:val="bottom"/>
            <w:vMerge w:val="restart"/>
          </w:tcPr>
          <w:p>
            <w:pPr>
              <w:jc w:val="center"/>
              <w:ind w:right="61"/>
              <w:spacing w:after="0"/>
              <w:rPr>
                <w:sz w:val="20"/>
                <w:szCs w:val="20"/>
                <w:color w:val="auto"/>
              </w:rPr>
            </w:pPr>
            <w:r>
              <w:rPr>
                <w:rFonts w:ascii="Arial" w:cs="Arial" w:eastAsia="Arial" w:hAnsi="Arial"/>
                <w:sz w:val="14"/>
                <w:szCs w:val="14"/>
                <w:b w:val="1"/>
                <w:bCs w:val="1"/>
                <w:color w:val="auto"/>
                <w:w w:val="94"/>
              </w:rPr>
              <w:t>Grant Date</w:t>
            </w:r>
          </w:p>
        </w:tc>
        <w:tc>
          <w:tcPr>
            <w:tcW w:w="0" w:type="dxa"/>
            <w:vAlign w:val="bottom"/>
          </w:tcPr>
          <w:p>
            <w:pPr>
              <w:spacing w:after="0"/>
              <w:rPr>
                <w:sz w:val="1"/>
                <w:szCs w:val="1"/>
                <w:color w:val="auto"/>
              </w:rPr>
            </w:pPr>
          </w:p>
        </w:tc>
      </w:tr>
      <w:tr>
        <w:trPr>
          <w:trHeight w:val="133"/>
        </w:trPr>
        <w:tc>
          <w:tcPr>
            <w:tcW w:w="1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94"/>
              </w:rPr>
              <w:t>Awards:</w:t>
            </w:r>
          </w:p>
        </w:tc>
        <w:tc>
          <w:tcPr>
            <w:tcW w:w="14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Grant</w:t>
            </w:r>
          </w:p>
        </w:tc>
        <w:tc>
          <w:tcPr>
            <w:tcW w:w="10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Threshold</w:t>
            </w:r>
          </w:p>
        </w:tc>
        <w:tc>
          <w:tcPr>
            <w:tcW w:w="120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3"/>
              </w:rPr>
              <w:t>Target</w:t>
            </w:r>
          </w:p>
        </w:tc>
        <w:tc>
          <w:tcPr>
            <w:tcW w:w="9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Maximum</w:t>
            </w:r>
          </w:p>
        </w:tc>
        <w:tc>
          <w:tcPr>
            <w:tcW w:w="10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Threshold</w:t>
            </w:r>
          </w:p>
        </w:tc>
        <w:tc>
          <w:tcPr>
            <w:tcW w:w="10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8"/>
              </w:rPr>
              <w:t>Target</w:t>
            </w:r>
          </w:p>
        </w:tc>
        <w:tc>
          <w:tcPr>
            <w:tcW w:w="10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Maximum</w:t>
            </w:r>
          </w:p>
        </w:tc>
        <w:tc>
          <w:tcPr>
            <w:tcW w:w="1100" w:type="dxa"/>
            <w:vAlign w:val="bottom"/>
            <w:gridSpan w:val="2"/>
          </w:tcPr>
          <w:p>
            <w:pPr>
              <w:jc w:val="center"/>
              <w:ind w:right="120"/>
              <w:spacing w:after="0" w:line="133" w:lineRule="exact"/>
              <w:rPr>
                <w:sz w:val="20"/>
                <w:szCs w:val="20"/>
                <w:color w:val="auto"/>
              </w:rPr>
            </w:pPr>
            <w:r>
              <w:rPr>
                <w:rFonts w:ascii="Arial" w:cs="Arial" w:eastAsia="Arial" w:hAnsi="Arial"/>
                <w:sz w:val="14"/>
                <w:szCs w:val="14"/>
                <w:b w:val="1"/>
                <w:bCs w:val="1"/>
                <w:color w:val="auto"/>
                <w:w w:val="94"/>
              </w:rPr>
              <w:t>Number of</w:t>
            </w:r>
          </w:p>
        </w:tc>
        <w:tc>
          <w:tcPr>
            <w:tcW w:w="140" w:type="dxa"/>
            <w:vAlign w:val="bottom"/>
          </w:tcPr>
          <w:p>
            <w:pPr>
              <w:spacing w:after="0"/>
              <w:rPr>
                <w:sz w:val="11"/>
                <w:szCs w:val="11"/>
                <w:color w:val="auto"/>
              </w:rPr>
            </w:pPr>
          </w:p>
        </w:tc>
        <w:tc>
          <w:tcPr>
            <w:tcW w:w="900" w:type="dxa"/>
            <w:vAlign w:val="bottom"/>
          </w:tcPr>
          <w:p>
            <w:pPr>
              <w:jc w:val="center"/>
              <w:ind w:right="61"/>
              <w:spacing w:after="0" w:line="133" w:lineRule="exact"/>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33"/>
        </w:trPr>
        <w:tc>
          <w:tcPr>
            <w:tcW w:w="1640" w:type="dxa"/>
            <w:vAlign w:val="bottom"/>
            <w:gridSpan w:val="2"/>
            <w:vMerge w:val="restart"/>
          </w:tcPr>
          <w:p>
            <w:pPr>
              <w:ind w:left="600"/>
              <w:spacing w:after="0"/>
              <w:rPr>
                <w:sz w:val="20"/>
                <w:szCs w:val="20"/>
                <w:color w:val="auto"/>
              </w:rPr>
            </w:pPr>
            <w:r>
              <w:rPr>
                <w:rFonts w:ascii="Arial" w:cs="Arial" w:eastAsia="Arial" w:hAnsi="Arial"/>
                <w:sz w:val="14"/>
                <w:szCs w:val="14"/>
                <w:b w:val="1"/>
                <w:bCs w:val="1"/>
                <w:color w:val="auto"/>
              </w:rPr>
              <w:t>Name</w:t>
            </w:r>
          </w:p>
        </w:tc>
        <w:tc>
          <w:tcPr>
            <w:tcW w:w="1040" w:type="dxa"/>
            <w:vAlign w:val="bottom"/>
            <w:gridSpan w:val="2"/>
            <w:vMerge w:val="continue"/>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200" w:type="dxa"/>
            <w:vAlign w:val="bottom"/>
            <w:gridSpan w:val="3"/>
            <w:vMerge w:val="continue"/>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10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86"/>
              </w:rPr>
              <w:t>Shares of Stock</w:t>
            </w:r>
          </w:p>
        </w:tc>
        <w:tc>
          <w:tcPr>
            <w:tcW w:w="140" w:type="dxa"/>
            <w:vAlign w:val="bottom"/>
          </w:tcPr>
          <w:p>
            <w:pPr>
              <w:spacing w:after="0"/>
              <w:rPr>
                <w:sz w:val="11"/>
                <w:szCs w:val="11"/>
                <w:color w:val="auto"/>
              </w:rPr>
            </w:pPr>
          </w:p>
        </w:tc>
        <w:tc>
          <w:tcPr>
            <w:tcW w:w="900" w:type="dxa"/>
            <w:vAlign w:val="bottom"/>
          </w:tcPr>
          <w:p>
            <w:pPr>
              <w:jc w:val="center"/>
              <w:ind w:right="61"/>
              <w:spacing w:after="0" w:line="133" w:lineRule="exact"/>
              <w:rPr>
                <w:sz w:val="20"/>
                <w:szCs w:val="20"/>
                <w:color w:val="auto"/>
              </w:rPr>
            </w:pPr>
            <w:r>
              <w:rPr>
                <w:rFonts w:ascii="Arial" w:cs="Arial" w:eastAsia="Arial" w:hAnsi="Arial"/>
                <w:sz w:val="14"/>
                <w:szCs w:val="14"/>
                <w:b w:val="1"/>
                <w:bCs w:val="1"/>
                <w:color w:val="auto"/>
                <w:w w:val="89"/>
              </w:rPr>
              <w:t>of Stock ($)</w:t>
            </w:r>
          </w:p>
        </w:tc>
        <w:tc>
          <w:tcPr>
            <w:tcW w:w="0" w:type="dxa"/>
            <w:vAlign w:val="bottom"/>
          </w:tcPr>
          <w:p>
            <w:pPr>
              <w:spacing w:after="0"/>
              <w:rPr>
                <w:sz w:val="1"/>
                <w:szCs w:val="1"/>
                <w:color w:val="auto"/>
              </w:rPr>
            </w:pPr>
          </w:p>
        </w:tc>
      </w:tr>
      <w:tr>
        <w:trPr>
          <w:trHeight w:val="133"/>
        </w:trPr>
        <w:tc>
          <w:tcPr>
            <w:tcW w:w="1640" w:type="dxa"/>
            <w:vAlign w:val="bottom"/>
            <w:gridSpan w:val="2"/>
            <w:vMerge w:val="continue"/>
          </w:tcPr>
          <w:p>
            <w:pPr>
              <w:spacing w:after="0"/>
              <w:rPr>
                <w:sz w:val="11"/>
                <w:szCs w:val="11"/>
                <w:color w:val="auto"/>
              </w:rPr>
            </w:pPr>
          </w:p>
        </w:tc>
        <w:tc>
          <w:tcPr>
            <w:tcW w:w="1040" w:type="dxa"/>
            <w:vAlign w:val="bottom"/>
            <w:gridSpan w:val="2"/>
          </w:tcPr>
          <w:p>
            <w:pPr>
              <w:ind w:left="320"/>
              <w:spacing w:after="0" w:line="133" w:lineRule="exact"/>
              <w:rPr>
                <w:sz w:val="20"/>
                <w:szCs w:val="20"/>
                <w:color w:val="auto"/>
              </w:rPr>
            </w:pPr>
            <w:r>
              <w:rPr>
                <w:rFonts w:ascii="Arial" w:cs="Arial" w:eastAsia="Arial" w:hAnsi="Arial"/>
                <w:sz w:val="14"/>
                <w:szCs w:val="14"/>
                <w:b w:val="1"/>
                <w:bCs w:val="1"/>
                <w:color w:val="auto"/>
              </w:rPr>
              <w:t>Date</w:t>
            </w:r>
          </w:p>
        </w:tc>
        <w:tc>
          <w:tcPr>
            <w:tcW w:w="960" w:type="dxa"/>
            <w:vAlign w:val="bottom"/>
          </w:tcPr>
          <w:p>
            <w:pPr>
              <w:ind w:left="400"/>
              <w:spacing w:after="0" w:line="133"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1"/>
                <w:szCs w:val="11"/>
                <w:color w:val="auto"/>
              </w:rPr>
            </w:pPr>
          </w:p>
        </w:tc>
        <w:tc>
          <w:tcPr>
            <w:tcW w:w="9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ind w:left="260"/>
              <w:spacing w:after="0" w:line="133"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1"/>
                <w:szCs w:val="11"/>
                <w:color w:val="auto"/>
              </w:rPr>
            </w:pPr>
          </w:p>
        </w:tc>
        <w:tc>
          <w:tcPr>
            <w:tcW w:w="9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1"/>
                <w:szCs w:val="11"/>
                <w:color w:val="auto"/>
              </w:rPr>
            </w:pPr>
          </w:p>
        </w:tc>
        <w:tc>
          <w:tcPr>
            <w:tcW w:w="9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1"/>
                <w:szCs w:val="11"/>
                <w:color w:val="auto"/>
              </w:rPr>
            </w:pPr>
          </w:p>
        </w:tc>
        <w:tc>
          <w:tcPr>
            <w:tcW w:w="960" w:type="dxa"/>
            <w:vAlign w:val="bottom"/>
          </w:tcPr>
          <w:p>
            <w:pPr>
              <w:ind w:left="400"/>
              <w:spacing w:after="0" w:line="133"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1"/>
                <w:szCs w:val="11"/>
                <w:color w:val="auto"/>
              </w:rPr>
            </w:pPr>
          </w:p>
        </w:tc>
        <w:tc>
          <w:tcPr>
            <w:tcW w:w="110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93"/>
              </w:rPr>
              <w:t>(#) (i)</w:t>
            </w:r>
          </w:p>
        </w:tc>
        <w:tc>
          <w:tcPr>
            <w:tcW w:w="140" w:type="dxa"/>
            <w:vAlign w:val="bottom"/>
          </w:tcPr>
          <w:p>
            <w:pPr>
              <w:spacing w:after="0"/>
              <w:rPr>
                <w:sz w:val="11"/>
                <w:szCs w:val="11"/>
                <w:color w:val="auto"/>
              </w:rPr>
            </w:pPr>
          </w:p>
        </w:tc>
        <w:tc>
          <w:tcPr>
            <w:tcW w:w="900" w:type="dxa"/>
            <w:vAlign w:val="bottom"/>
          </w:tcPr>
          <w:p>
            <w:pPr>
              <w:jc w:val="center"/>
              <w:ind w:right="81"/>
              <w:spacing w:after="0" w:line="133" w:lineRule="exact"/>
              <w:rPr>
                <w:sz w:val="20"/>
                <w:szCs w:val="20"/>
                <w:color w:val="auto"/>
              </w:rPr>
            </w:pPr>
            <w:r>
              <w:rPr>
                <w:rFonts w:ascii="Arial" w:cs="Arial" w:eastAsia="Arial" w:hAnsi="Arial"/>
                <w:sz w:val="14"/>
                <w:szCs w:val="14"/>
                <w:b w:val="1"/>
                <w:bCs w:val="1"/>
                <w:color w:val="auto"/>
              </w:rPr>
              <w:t>(j)</w:t>
            </w:r>
          </w:p>
        </w:tc>
        <w:tc>
          <w:tcPr>
            <w:tcW w:w="0" w:type="dxa"/>
            <w:vAlign w:val="bottom"/>
          </w:tcPr>
          <w:p>
            <w:pPr>
              <w:spacing w:after="0"/>
              <w:rPr>
                <w:sz w:val="1"/>
                <w:szCs w:val="1"/>
                <w:color w:val="auto"/>
              </w:rPr>
            </w:pPr>
          </w:p>
        </w:tc>
      </w:tr>
      <w:tr>
        <w:trPr>
          <w:trHeight w:val="185"/>
        </w:trPr>
        <w:tc>
          <w:tcPr>
            <w:tcW w:w="1540" w:type="dxa"/>
            <w:vAlign w:val="bottom"/>
            <w:tcBorders>
              <w:bottom w:val="single" w:sz="8" w:color="auto"/>
            </w:tcBorders>
          </w:tcPr>
          <w:p>
            <w:pPr>
              <w:ind w:left="700"/>
              <w:spacing w:after="0"/>
              <w:rPr>
                <w:sz w:val="20"/>
                <w:szCs w:val="20"/>
                <w:color w:val="auto"/>
              </w:rPr>
            </w:pPr>
            <w:r>
              <w:rPr>
                <w:rFonts w:ascii="Arial" w:cs="Arial" w:eastAsia="Arial" w:hAnsi="Arial"/>
                <w:sz w:val="14"/>
                <w:szCs w:val="14"/>
                <w:b w:val="1"/>
                <w:bCs w:val="1"/>
                <w:color w:val="auto"/>
              </w:rPr>
              <w:t>(a)</w:t>
            </w: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(b)</w:t>
            </w:r>
          </w:p>
        </w:tc>
        <w:tc>
          <w:tcPr>
            <w:tcW w:w="1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(c)</w:t>
            </w: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(e)</w:t>
            </w:r>
          </w:p>
        </w:tc>
        <w:tc>
          <w:tcPr>
            <w:tcW w:w="8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(f)</w:t>
            </w: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(g)</w:t>
            </w: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(h)</w:t>
            </w: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(1)</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93"/>
              </w:rPr>
              <w:t>(2)</w:t>
            </w:r>
          </w:p>
        </w:tc>
        <w:tc>
          <w:tcPr>
            <w:tcW w:w="0" w:type="dxa"/>
            <w:vAlign w:val="bottom"/>
          </w:tcPr>
          <w:p>
            <w:pPr>
              <w:spacing w:after="0"/>
              <w:rPr>
                <w:sz w:val="1"/>
                <w:szCs w:val="1"/>
                <w:color w:val="auto"/>
              </w:rPr>
            </w:pPr>
          </w:p>
        </w:tc>
      </w:tr>
      <w:tr>
        <w:trPr>
          <w:trHeight w:val="220"/>
        </w:trPr>
        <w:tc>
          <w:tcPr>
            <w:tcW w:w="1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Terry Forbes</w:t>
            </w:r>
          </w:p>
        </w:tc>
        <w:tc>
          <w:tcPr>
            <w:tcW w:w="920" w:type="dxa"/>
            <w:vAlign w:val="bottom"/>
            <w:shd w:val="clear" w:color="auto" w:fill="CCEEFF"/>
          </w:tcPr>
          <w:p>
            <w:pPr>
              <w:ind w:left="360"/>
              <w:spacing w:after="0"/>
              <w:rPr>
                <w:sz w:val="20"/>
                <w:szCs w:val="20"/>
                <w:color w:val="auto"/>
              </w:rPr>
            </w:pPr>
            <w:r>
              <w:rPr>
                <w:rFonts w:ascii="Arial" w:cs="Arial" w:eastAsia="Arial" w:hAnsi="Arial"/>
                <w:sz w:val="18"/>
                <w:szCs w:val="18"/>
                <w:color w:val="auto"/>
                <w:w w:val="89"/>
              </w:rPr>
              <w:t>2/23/21</w:t>
            </w: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8,752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150,009</w:t>
            </w:r>
          </w:p>
        </w:tc>
        <w:tc>
          <w:tcPr>
            <w:tcW w:w="0" w:type="dxa"/>
            <w:vAlign w:val="bottom"/>
          </w:tcPr>
          <w:p>
            <w:pPr>
              <w:spacing w:after="0"/>
              <w:rPr>
                <w:sz w:val="1"/>
                <w:szCs w:val="1"/>
                <w:color w:val="auto"/>
              </w:rPr>
            </w:pPr>
          </w:p>
        </w:tc>
      </w:tr>
      <w:tr>
        <w:trPr>
          <w:trHeight w:val="225"/>
        </w:trPr>
        <w:tc>
          <w:tcPr>
            <w:tcW w:w="1640" w:type="dxa"/>
            <w:vAlign w:val="bottom"/>
            <w:gridSpan w:val="2"/>
          </w:tcPr>
          <w:p>
            <w:pPr>
              <w:ind w:left="180"/>
              <w:spacing w:after="0"/>
              <w:rPr>
                <w:sz w:val="20"/>
                <w:szCs w:val="20"/>
                <w:color w:val="auto"/>
              </w:rPr>
            </w:pPr>
            <w:r>
              <w:rPr>
                <w:rFonts w:ascii="Arial" w:cs="Arial" w:eastAsia="Arial" w:hAnsi="Arial"/>
                <w:sz w:val="18"/>
                <w:szCs w:val="18"/>
                <w:color w:val="auto"/>
              </w:rPr>
              <w:t>Fabian Gomez</w:t>
            </w:r>
          </w:p>
        </w:tc>
        <w:tc>
          <w:tcPr>
            <w:tcW w:w="920" w:type="dxa"/>
            <w:vAlign w:val="bottom"/>
          </w:tcPr>
          <w:p>
            <w:pPr>
              <w:ind w:left="360"/>
              <w:spacing w:after="0"/>
              <w:rPr>
                <w:sz w:val="20"/>
                <w:szCs w:val="20"/>
                <w:color w:val="auto"/>
              </w:rPr>
            </w:pPr>
            <w:r>
              <w:rPr>
                <w:rFonts w:ascii="Arial" w:cs="Arial" w:eastAsia="Arial" w:hAnsi="Arial"/>
                <w:sz w:val="18"/>
                <w:szCs w:val="18"/>
                <w:color w:val="auto"/>
                <w:w w:val="89"/>
              </w:rPr>
              <w:t>2/23/21</w:t>
            </w:r>
          </w:p>
        </w:tc>
        <w:tc>
          <w:tcPr>
            <w:tcW w:w="120" w:type="dxa"/>
            <w:vAlign w:val="bottom"/>
          </w:tcPr>
          <w:p>
            <w:pPr>
              <w:spacing w:after="0"/>
              <w:rPr>
                <w:sz w:val="19"/>
                <w:szCs w:val="19"/>
                <w:color w:val="auto"/>
              </w:rPr>
            </w:pPr>
          </w:p>
        </w:tc>
        <w:tc>
          <w:tcPr>
            <w:tcW w:w="106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200" w:type="dxa"/>
            <w:vAlign w:val="bottom"/>
            <w:gridSpan w:val="3"/>
          </w:tcPr>
          <w:p>
            <w:pPr>
              <w:ind w:left="720"/>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
              <w:spacing w:after="0"/>
              <w:rPr>
                <w:sz w:val="20"/>
                <w:szCs w:val="20"/>
                <w:color w:val="auto"/>
              </w:rPr>
            </w:pPr>
            <w:r>
              <w:rPr>
                <w:rFonts w:ascii="Arial" w:cs="Arial" w:eastAsia="Arial" w:hAnsi="Arial"/>
                <w:sz w:val="18"/>
                <w:szCs w:val="18"/>
                <w:color w:val="auto"/>
              </w:rPr>
              <w:t>13,128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1"/>
              <w:spacing w:after="0"/>
              <w:rPr>
                <w:sz w:val="20"/>
                <w:szCs w:val="20"/>
                <w:color w:val="auto"/>
              </w:rPr>
            </w:pPr>
            <w:r>
              <w:rPr>
                <w:rFonts w:ascii="Arial" w:cs="Arial" w:eastAsia="Arial" w:hAnsi="Arial"/>
                <w:sz w:val="18"/>
                <w:szCs w:val="18"/>
                <w:color w:val="auto"/>
              </w:rPr>
              <w:t>225,014</w:t>
            </w:r>
          </w:p>
        </w:tc>
        <w:tc>
          <w:tcPr>
            <w:tcW w:w="0" w:type="dxa"/>
            <w:vAlign w:val="bottom"/>
          </w:tcPr>
          <w:p>
            <w:pPr>
              <w:spacing w:after="0"/>
              <w:rPr>
                <w:sz w:val="1"/>
                <w:szCs w:val="1"/>
                <w:color w:val="auto"/>
              </w:rPr>
            </w:pPr>
          </w:p>
        </w:tc>
      </w:tr>
      <w:tr>
        <w:trPr>
          <w:trHeight w:val="226"/>
        </w:trPr>
        <w:tc>
          <w:tcPr>
            <w:tcW w:w="1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Julie K. Gerron</w:t>
            </w:r>
          </w:p>
        </w:tc>
        <w:tc>
          <w:tcPr>
            <w:tcW w:w="920" w:type="dxa"/>
            <w:vAlign w:val="bottom"/>
            <w:shd w:val="clear" w:color="auto" w:fill="CCEEFF"/>
          </w:tcPr>
          <w:p>
            <w:pPr>
              <w:ind w:left="360"/>
              <w:spacing w:after="0"/>
              <w:rPr>
                <w:sz w:val="20"/>
                <w:szCs w:val="20"/>
                <w:color w:val="auto"/>
              </w:rPr>
            </w:pPr>
            <w:r>
              <w:rPr>
                <w:rFonts w:ascii="Arial" w:cs="Arial" w:eastAsia="Arial" w:hAnsi="Arial"/>
                <w:sz w:val="18"/>
                <w:szCs w:val="18"/>
                <w:color w:val="auto"/>
                <w:w w:val="89"/>
              </w:rPr>
              <w:t>2/23/21</w:t>
            </w: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10,794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185,009</w:t>
            </w:r>
          </w:p>
        </w:tc>
        <w:tc>
          <w:tcPr>
            <w:tcW w:w="0" w:type="dxa"/>
            <w:vAlign w:val="bottom"/>
          </w:tcPr>
          <w:p>
            <w:pPr>
              <w:spacing w:after="0"/>
              <w:rPr>
                <w:sz w:val="1"/>
                <w:szCs w:val="1"/>
                <w:color w:val="auto"/>
              </w:rPr>
            </w:pPr>
          </w:p>
        </w:tc>
      </w:tr>
      <w:tr>
        <w:trPr>
          <w:trHeight w:val="224"/>
        </w:trPr>
        <w:tc>
          <w:tcPr>
            <w:tcW w:w="1640" w:type="dxa"/>
            <w:vAlign w:val="bottom"/>
            <w:gridSpan w:val="2"/>
          </w:tcPr>
          <w:p>
            <w:pPr>
              <w:ind w:left="180"/>
              <w:spacing w:after="0"/>
              <w:rPr>
                <w:sz w:val="20"/>
                <w:szCs w:val="20"/>
                <w:color w:val="auto"/>
              </w:rPr>
            </w:pPr>
            <w:r>
              <w:rPr>
                <w:rFonts w:ascii="Arial" w:cs="Arial" w:eastAsia="Arial" w:hAnsi="Arial"/>
                <w:sz w:val="18"/>
                <w:szCs w:val="18"/>
                <w:color w:val="auto"/>
              </w:rPr>
              <w:t>Steven Paddon</w:t>
            </w:r>
          </w:p>
        </w:tc>
        <w:tc>
          <w:tcPr>
            <w:tcW w:w="920" w:type="dxa"/>
            <w:vAlign w:val="bottom"/>
          </w:tcPr>
          <w:p>
            <w:pPr>
              <w:ind w:left="360"/>
              <w:spacing w:after="0"/>
              <w:rPr>
                <w:sz w:val="20"/>
                <w:szCs w:val="20"/>
                <w:color w:val="auto"/>
              </w:rPr>
            </w:pPr>
            <w:r>
              <w:rPr>
                <w:rFonts w:ascii="Arial" w:cs="Arial" w:eastAsia="Arial" w:hAnsi="Arial"/>
                <w:sz w:val="18"/>
                <w:szCs w:val="18"/>
                <w:color w:val="auto"/>
                <w:w w:val="89"/>
              </w:rPr>
              <w:t>2/23/21</w:t>
            </w:r>
          </w:p>
        </w:tc>
        <w:tc>
          <w:tcPr>
            <w:tcW w:w="120" w:type="dxa"/>
            <w:vAlign w:val="bottom"/>
          </w:tcPr>
          <w:p>
            <w:pPr>
              <w:spacing w:after="0"/>
              <w:rPr>
                <w:sz w:val="19"/>
                <w:szCs w:val="19"/>
                <w:color w:val="auto"/>
              </w:rPr>
            </w:pPr>
          </w:p>
        </w:tc>
        <w:tc>
          <w:tcPr>
            <w:tcW w:w="106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200" w:type="dxa"/>
            <w:vAlign w:val="bottom"/>
            <w:gridSpan w:val="3"/>
          </w:tcPr>
          <w:p>
            <w:pPr>
              <w:ind w:left="720"/>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
              <w:spacing w:after="0"/>
              <w:rPr>
                <w:sz w:val="20"/>
                <w:szCs w:val="20"/>
                <w:color w:val="auto"/>
              </w:rPr>
            </w:pPr>
            <w:r>
              <w:rPr>
                <w:rFonts w:ascii="Arial" w:cs="Arial" w:eastAsia="Arial" w:hAnsi="Arial"/>
                <w:sz w:val="18"/>
                <w:szCs w:val="18"/>
                <w:color w:val="auto"/>
              </w:rPr>
              <w:t>13,857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1"/>
              <w:spacing w:after="0"/>
              <w:rPr>
                <w:sz w:val="20"/>
                <w:szCs w:val="20"/>
                <w:color w:val="auto"/>
              </w:rPr>
            </w:pPr>
            <w:r>
              <w:rPr>
                <w:rFonts w:ascii="Arial" w:cs="Arial" w:eastAsia="Arial" w:hAnsi="Arial"/>
                <w:sz w:val="18"/>
                <w:szCs w:val="18"/>
                <w:color w:val="auto"/>
              </w:rPr>
              <w:t>237,509</w:t>
            </w:r>
          </w:p>
        </w:tc>
        <w:tc>
          <w:tcPr>
            <w:tcW w:w="0" w:type="dxa"/>
            <w:vAlign w:val="bottom"/>
          </w:tcPr>
          <w:p>
            <w:pPr>
              <w:spacing w:after="0"/>
              <w:rPr>
                <w:sz w:val="1"/>
                <w:szCs w:val="1"/>
                <w:color w:val="auto"/>
              </w:rPr>
            </w:pPr>
          </w:p>
        </w:tc>
      </w:tr>
    </w:tbl>
    <w:p>
      <w:pPr>
        <w:spacing w:after="0" w:line="129" w:lineRule="exact"/>
        <w:rPr>
          <w:sz w:val="20"/>
          <w:szCs w:val="20"/>
          <w:color w:val="auto"/>
        </w:rPr>
      </w:pPr>
    </w:p>
    <w:p>
      <w:pPr>
        <w:spacing w:after="0"/>
        <w:rPr>
          <w:sz w:val="20"/>
          <w:szCs w:val="20"/>
          <w:color w:val="auto"/>
        </w:rPr>
      </w:pPr>
      <w:r>
        <w:rPr>
          <w:rFonts w:ascii="Arial" w:cs="Arial" w:eastAsia="Arial" w:hAnsi="Arial"/>
          <w:sz w:val="9"/>
          <w:szCs w:val="9"/>
          <w:color w:val="auto"/>
        </w:rPr>
        <w:t>___________________</w:t>
      </w:r>
    </w:p>
    <w:p>
      <w:pPr>
        <w:spacing w:after="0" w:line="16" w:lineRule="exact"/>
        <w:rPr>
          <w:sz w:val="20"/>
          <w:szCs w:val="20"/>
          <w:color w:val="auto"/>
        </w:rPr>
      </w:pPr>
    </w:p>
    <w:p>
      <w:pPr>
        <w:ind w:left="640" w:right="200" w:hanging="634"/>
        <w:spacing w:after="0" w:line="246" w:lineRule="auto"/>
        <w:tabs>
          <w:tab w:leader="none" w:pos="307" w:val="left"/>
        </w:tabs>
        <w:numPr>
          <w:ilvl w:val="0"/>
          <w:numId w:val="53"/>
        </w:numPr>
        <w:rPr>
          <w:rFonts w:ascii="Arial" w:cs="Arial" w:eastAsia="Arial" w:hAnsi="Arial"/>
          <w:sz w:val="14"/>
          <w:szCs w:val="14"/>
          <w:color w:val="auto"/>
        </w:rPr>
      </w:pPr>
      <w:r>
        <w:rPr>
          <w:rFonts w:ascii="Arial" w:cs="Arial" w:eastAsia="Arial" w:hAnsi="Arial"/>
          <w:sz w:val="14"/>
          <w:szCs w:val="14"/>
          <w:color w:val="auto"/>
        </w:rPr>
        <w:t>The amount in column (i) reflects time-vested restricted stock award granted to Messrs. Forbes, Gomez, and Paddon and Ms. Gerron in 2021. The shares vest as follows: 34% after one year, 33% after two years; and 33% after three years.</w:t>
      </w:r>
    </w:p>
    <w:p>
      <w:pPr>
        <w:ind w:left="640" w:hanging="634"/>
        <w:spacing w:after="0"/>
        <w:tabs>
          <w:tab w:leader="none" w:pos="307" w:val="left"/>
        </w:tabs>
        <w:numPr>
          <w:ilvl w:val="0"/>
          <w:numId w:val="53"/>
        </w:numPr>
        <w:rPr>
          <w:rFonts w:ascii="Arial" w:cs="Arial" w:eastAsia="Arial" w:hAnsi="Arial"/>
          <w:sz w:val="14"/>
          <w:szCs w:val="14"/>
          <w:color w:val="auto"/>
        </w:rPr>
      </w:pPr>
      <w:r>
        <w:rPr>
          <w:rFonts w:ascii="Arial" w:cs="Arial" w:eastAsia="Arial" w:hAnsi="Arial"/>
          <w:sz w:val="14"/>
          <w:szCs w:val="14"/>
          <w:color w:val="auto"/>
        </w:rPr>
        <w:t>The amounts in column (j) reflect the grant date fair value of Messrs. Forbes, Gomez and Paddon and Ms. Gerron’s time-vested restricted stock awards granted in 2021, computed in accordance with ASC 718. The assumptions used in the valuation of the restricted stock awards are discussed in Note 7 "Employee Benefits" of our audited financial statements, included in our 2021 Form 10-K. The grant date fair value for Messrs. Forbes and Gomez and Ms. Gerron’s time–vested awards was based on $16.75 per share, which was the closing price of our common stock on the grant date of February 23, 2021, adjusted for the accrual of dividends on unvested shares.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Incentive Plan</w:t>
      </w:r>
    </w:p>
    <w:p>
      <w:pPr>
        <w:spacing w:after="0" w:line="11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All equity-based incentive awards are governed by the Stock Incentive Plan.</w:t>
      </w:r>
    </w:p>
    <w:p>
      <w:pPr>
        <w:spacing w:after="0" w:line="111" w:lineRule="exact"/>
        <w:rPr>
          <w:sz w:val="20"/>
          <w:szCs w:val="20"/>
          <w:color w:val="auto"/>
        </w:rPr>
      </w:pPr>
    </w:p>
    <w:p>
      <w:pPr>
        <w:ind w:right="40" w:firstLine="398"/>
        <w:spacing w:after="0" w:line="277" w:lineRule="auto"/>
        <w:rPr>
          <w:sz w:val="20"/>
          <w:szCs w:val="20"/>
          <w:color w:val="auto"/>
        </w:rPr>
      </w:pPr>
      <w:r>
        <w:rPr>
          <w:rFonts w:ascii="Arial" w:cs="Arial" w:eastAsia="Arial" w:hAnsi="Arial"/>
          <w:sz w:val="17"/>
          <w:szCs w:val="17"/>
          <w:color w:val="auto"/>
        </w:rPr>
        <w:t>In 2021, equity awards under the Stock Incentive Plan consisted of our authorized restricted common stock. Awards under the Stock Incentive Plan may be made to employees, including officers and directors who may be employees, non-employee directors, and consultants. Any shares issued under the Stock Incentive Plan may consist of authorized but unissued shares or forfeited shares or a combination thereof.</w:t>
      </w:r>
    </w:p>
    <w:p>
      <w:pPr>
        <w:spacing w:after="0" w:line="66" w:lineRule="exact"/>
        <w:rPr>
          <w:sz w:val="20"/>
          <w:szCs w:val="20"/>
          <w:color w:val="auto"/>
        </w:rPr>
      </w:pPr>
    </w:p>
    <w:p>
      <w:pPr>
        <w:ind w:firstLine="398"/>
        <w:spacing w:after="0" w:line="301" w:lineRule="auto"/>
        <w:rPr>
          <w:sz w:val="20"/>
          <w:szCs w:val="20"/>
          <w:color w:val="auto"/>
        </w:rPr>
      </w:pPr>
      <w:r>
        <w:rPr>
          <w:rFonts w:ascii="Arial" w:cs="Arial" w:eastAsia="Arial" w:hAnsi="Arial"/>
          <w:sz w:val="15"/>
          <w:szCs w:val="15"/>
          <w:color w:val="auto"/>
        </w:rPr>
        <w:t>The Stock Incentive Plan authorizes the grant of several types of equity-based awards, including incentive stock options ("ISOs"), nonstatutory stock options ("NSOs") restricted stock, mutual fund awards, stock purchase rights, stock appreciation rights ("SARS"), restricted stock units ("RSU") and performance shares (in the form of deferred stock awards). The Stock Incentive Plan also authorizes cash awards in the form of annual incentive awards, performance-based awards, and discretionary bonus awards. The various types of awards authorized under the Stock Incentive Plan may be utilized in the future if determined to be appropriate by the Compensation Committee. Currently, the Compensation Committee limits its equity-based awards under the Stock Incentive Plan to restricted stock and mutual fund awards. The Compensation Committee believes that restricted stock awards are the most effective vehicle to align the interests of employees with stockholders and clients. Unless the Compensation Committee determines otherwise, the recipient of restricted shares will generally have the right to vote the restricted shares. No dividends are payable with respect to unvested restricted stock. The Compensation Committee has determined that dividends payable on unvested restricted stock will be accrued, and therefore dividends are subject to forfeiture conditions and payable to the recipient only when the underlying shares of restricted stock vest. The Compensation Committee believes that these terms and conditions for restricted stock awards offer the best balance of providing value to the employee if we succeed as a company as well as providing a mechanism to retain key employees over the long-term as they build a meaningful portion of their wealth in the form of Company equity.</w:t>
      </w:r>
    </w:p>
    <w:p>
      <w:pPr>
        <w:spacing w:after="0" w:line="57" w:lineRule="exact"/>
        <w:rPr>
          <w:sz w:val="20"/>
          <w:szCs w:val="20"/>
          <w:color w:val="auto"/>
        </w:rPr>
      </w:pPr>
    </w:p>
    <w:p>
      <w:pPr>
        <w:ind w:firstLine="398"/>
        <w:spacing w:after="0" w:line="330" w:lineRule="auto"/>
        <w:rPr>
          <w:sz w:val="20"/>
          <w:szCs w:val="20"/>
          <w:color w:val="auto"/>
        </w:rPr>
      </w:pPr>
      <w:r>
        <w:rPr>
          <w:rFonts w:ascii="Arial" w:cs="Arial" w:eastAsia="Arial" w:hAnsi="Arial"/>
          <w:sz w:val="15"/>
          <w:szCs w:val="15"/>
          <w:color w:val="auto"/>
        </w:rPr>
        <w:t>The Board or the Compensation Committee administers the Stock Incentive Plan with respect to all eligible individuals. Cash incentive awards earned in a given year are typically communicated to employees and paid in the first quarter of the following year to coincide with year-end performance reviews. Annual time-vested restricted stock awards have generally been awarded in the first quarter of the year in order to align with performance in the prior year.</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20"/>
          </w:cols>
          <w:pgMar w:left="320" w:top="552" w:right="359" w:bottom="1440" w:gutter="0" w:footer="0" w:header="0"/>
        </w:sectPr>
      </w:pPr>
    </w:p>
    <w:bookmarkStart w:id="34" w:name="page35"/>
    <w:bookmarkEnd w:id="34"/>
    <w:p>
      <w:pPr>
        <w:ind w:right="20" w:firstLine="398"/>
        <w:spacing w:after="0" w:line="330" w:lineRule="auto"/>
        <w:rPr>
          <w:sz w:val="20"/>
          <w:szCs w:val="20"/>
          <w:color w:val="auto"/>
        </w:rPr>
      </w:pPr>
      <w:r>
        <w:rPr>
          <w:rFonts w:ascii="Arial" w:cs="Arial" w:eastAsia="Arial" w:hAnsi="Arial"/>
          <w:sz w:val="15"/>
          <w:szCs w:val="15"/>
          <w:color w:val="auto"/>
        </w:rPr>
        <w:t>Time-vested restricted stock awards are generally subject to the following three-year vesting schedule: 34% after one year, 67% after two years and 100% after three years. The Compensation Committee believes that this long-term vesting schedule is effective in acting as a retention tool for Messrs. Casey, Forbes, Gomez and Paddon, Ms. Gerron and other non-executive employees. All employees are eligible to receive time-vested restricted stock awards.</w:t>
      </w:r>
    </w:p>
    <w:p>
      <w:pPr>
        <w:spacing w:after="0" w:line="31" w:lineRule="exact"/>
        <w:rPr>
          <w:sz w:val="20"/>
          <w:szCs w:val="20"/>
          <w:color w:val="auto"/>
        </w:rPr>
      </w:pPr>
    </w:p>
    <w:p>
      <w:pPr>
        <w:ind w:right="20" w:firstLine="398"/>
        <w:spacing w:after="0" w:line="252" w:lineRule="auto"/>
        <w:rPr>
          <w:sz w:val="20"/>
          <w:szCs w:val="20"/>
          <w:color w:val="auto"/>
        </w:rPr>
      </w:pPr>
      <w:r>
        <w:rPr>
          <w:rFonts w:ascii="Arial" w:cs="Arial" w:eastAsia="Arial" w:hAnsi="Arial"/>
          <w:sz w:val="18"/>
          <w:szCs w:val="18"/>
          <w:color w:val="auto"/>
        </w:rPr>
        <w:t>During 2021, the Compensation Committee made all determinations involving awards to "covered employees" within the meaning of Section 162(m) of the Code. Determinations of the Compensation Committee are final, conclusive, and binding upon all persons having an interest in the Stock Incentive Plan. However, any action or determination by the Compensation Committee specifically affecting or relating to an award to a non-employee director will be approved and ratified by the Board of Directors.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and Related Agreements</w:t>
      </w:r>
    </w:p>
    <w:p>
      <w:pPr>
        <w:spacing w:after="0" w:line="117" w:lineRule="exact"/>
        <w:rPr>
          <w:sz w:val="20"/>
          <w:szCs w:val="20"/>
          <w:color w:val="auto"/>
        </w:rPr>
      </w:pPr>
    </w:p>
    <w:p>
      <w:pPr>
        <w:ind w:right="20" w:firstLine="398"/>
        <w:spacing w:after="0" w:line="269" w:lineRule="auto"/>
        <w:rPr>
          <w:sz w:val="20"/>
          <w:szCs w:val="20"/>
          <w:color w:val="auto"/>
        </w:rPr>
      </w:pPr>
      <w:r>
        <w:rPr>
          <w:rFonts w:ascii="Arial" w:cs="Arial" w:eastAsia="Arial" w:hAnsi="Arial"/>
          <w:sz w:val="17"/>
          <w:szCs w:val="17"/>
          <w:color w:val="auto"/>
        </w:rPr>
        <w:t>The Compensation Committee has determined that our Chief Executive Officer, Brian O. Casey, is critical to our future success, due to his significant responsibilities and contributions to the ongoing day-to-day operation of the business, his involvement in marketing our products, his development and direction of strategic initiatives and corporate development, as well as his participation in the development of new products. As a result, in December 2015, the Compensation Committee entered into a new employment agreement with Mr. Casey, which auto-renewed for an additional one-year period on January 1, 2022 and is subject to potential automatic renewals for subsequent one-year periods.</w:t>
      </w:r>
    </w:p>
    <w:p>
      <w:pPr>
        <w:spacing w:after="0" w:line="72" w:lineRule="exact"/>
        <w:rPr>
          <w:sz w:val="20"/>
          <w:szCs w:val="20"/>
          <w:color w:val="auto"/>
        </w:rPr>
      </w:pPr>
    </w:p>
    <w:p>
      <w:pPr>
        <w:ind w:right="160" w:firstLine="398"/>
        <w:spacing w:after="0" w:line="277" w:lineRule="auto"/>
        <w:rPr>
          <w:sz w:val="20"/>
          <w:szCs w:val="20"/>
          <w:color w:val="auto"/>
        </w:rPr>
      </w:pPr>
      <w:r>
        <w:rPr>
          <w:rFonts w:ascii="Arial" w:cs="Arial" w:eastAsia="Arial" w:hAnsi="Arial"/>
          <w:sz w:val="17"/>
          <w:szCs w:val="17"/>
          <w:color w:val="auto"/>
        </w:rPr>
        <w:t>Mr. Casey's employment agreement broadly addresses the terms of his employment with the Company including, among other things, his duties, compensation and benefits, termination, and the effects of termination. In addition, the employment agreement includes non-solicitation covenants and non-competition covenants that apply in specified circumstances for a period of one year following the date of termination.</w:t>
      </w:r>
    </w:p>
    <w:p>
      <w:pPr>
        <w:spacing w:after="0" w:line="66" w:lineRule="exact"/>
        <w:rPr>
          <w:sz w:val="20"/>
          <w:szCs w:val="20"/>
          <w:color w:val="auto"/>
        </w:rPr>
      </w:pPr>
    </w:p>
    <w:p>
      <w:pPr>
        <w:ind w:firstLine="398"/>
        <w:spacing w:after="0" w:line="301" w:lineRule="auto"/>
        <w:rPr>
          <w:sz w:val="20"/>
          <w:szCs w:val="20"/>
          <w:color w:val="auto"/>
        </w:rPr>
      </w:pPr>
      <w:r>
        <w:rPr>
          <w:rFonts w:ascii="Arial" w:cs="Arial" w:eastAsia="Arial" w:hAnsi="Arial"/>
          <w:sz w:val="15"/>
          <w:szCs w:val="15"/>
          <w:color w:val="auto"/>
        </w:rPr>
        <w:t>There is no written employment agreement with Mr. Forbes; however, Mr. Forbes and the Company entered into an employee confidentiality and non-compete agreement effective November 1, 2018 providing that Mr. Forbes may terminate his employment with the Company upon six months' written notice, and that in the event he is terminated by the Company without cause or is terminated in connection with a change in control, the Company will continue to pay his then regular cash compensation for six months, along with a cash payment equal to his prior year cash bonus multiplied by the percentage of the calendar year he was employed by the Company prior to the termination date. In addition, the agreement contains a non-compete provision that prevents Mr. Forbes, for one year following his termination for any reason, from providing investment advisory services or investment management services to any person or entity in the United States that is or was a client of the Company with whom he did business and/or had personal contact while employed with the Company. The Company can also elect to prevent Mr. Forbes, for six months following his termination for any reason, from providing investment advisory services or investment management services to any person or entity in competition with the Company’s investment services or from joining or participating in any United States based entity that offers services or products that compete with the Company. In the event the Company makes such election, the Company must continue to pay Mr. Forbes his then regular cash compensation (excluding bonuses and/or other incentives) for six months following his termination in addition to any other payments to which he may be entitled to under the agreement. The agreement also includes a customary non-solicitation provision that runs for two years following Mr. Forbes’ termination for any reason.</w:t>
      </w:r>
    </w:p>
    <w:p>
      <w:pPr>
        <w:spacing w:after="0" w:line="269" w:lineRule="exact"/>
        <w:rPr>
          <w:sz w:val="20"/>
          <w:szCs w:val="20"/>
          <w:color w:val="auto"/>
        </w:rPr>
      </w:pPr>
    </w:p>
    <w:p>
      <w:pPr>
        <w:ind w:right="40" w:firstLine="398"/>
        <w:spacing w:after="0" w:line="309" w:lineRule="auto"/>
        <w:rPr>
          <w:sz w:val="20"/>
          <w:szCs w:val="20"/>
          <w:color w:val="auto"/>
        </w:rPr>
      </w:pPr>
      <w:r>
        <w:rPr>
          <w:rFonts w:ascii="Arial" w:cs="Arial" w:eastAsia="Arial" w:hAnsi="Arial"/>
          <w:sz w:val="15"/>
          <w:szCs w:val="15"/>
          <w:color w:val="auto"/>
        </w:rPr>
        <w:t>There is no written employment agreement with Mr. Gomez; however, in connection with his appointment as Chief Operating Officer on February 9, 2018, the Company and Mr. Gomez entered into a severance benefit agreement providing for continued vesting of Mr. Gomez’s outstanding unvested restricted stock awards upon his involuntary termination of employment by the Company without “cause” (as defined in the agreement) or his voluntary termination of employment with the Company for “good reason” (as defined in the agreement), provided he (a) complies fully with all obligations under his agreement and the employee confidentiality and non-compete agreement between the Company and Mr. Gomez dated February 8, 2018, and (b) executes and does not revoke a general release of all claims arising out of or related to his employment with the Company.</w:t>
      </w:r>
    </w:p>
    <w:p>
      <w:pPr>
        <w:spacing w:after="0" w:line="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00"/>
          </w:cols>
          <w:pgMar w:left="320" w:top="552" w:right="379" w:bottom="1440" w:gutter="0" w:footer="0" w:header="0"/>
        </w:sectPr>
      </w:pPr>
    </w:p>
    <w:bookmarkStart w:id="35" w:name="page36"/>
    <w:bookmarkEnd w:id="35"/>
    <w:p>
      <w:pPr>
        <w:ind w:left="80"/>
        <w:spacing w:after="0"/>
        <w:rPr>
          <w:sz w:val="20"/>
          <w:szCs w:val="20"/>
          <w:color w:val="auto"/>
        </w:rPr>
      </w:pPr>
      <w:r>
        <w:rPr>
          <w:rFonts w:ascii="Arial" w:cs="Arial" w:eastAsia="Arial" w:hAnsi="Arial"/>
          <w:sz w:val="18"/>
          <w:szCs w:val="18"/>
          <w:b w:val="1"/>
          <w:bCs w:val="1"/>
          <w:color w:val="auto"/>
        </w:rPr>
        <w:t>Outstanding Equity Awards at December 31, 2021</w:t>
      </w:r>
    </w:p>
    <w:p>
      <w:pPr>
        <w:spacing w:after="0" w:line="117" w:lineRule="exact"/>
        <w:rPr>
          <w:sz w:val="20"/>
          <w:szCs w:val="20"/>
          <w:color w:val="auto"/>
        </w:rPr>
      </w:pPr>
    </w:p>
    <w:p>
      <w:pPr>
        <w:ind w:left="80" w:right="360" w:firstLine="398"/>
        <w:spacing w:after="0" w:line="366" w:lineRule="auto"/>
        <w:rPr>
          <w:sz w:val="20"/>
          <w:szCs w:val="20"/>
          <w:color w:val="auto"/>
        </w:rPr>
      </w:pPr>
      <w:r>
        <w:rPr>
          <w:rFonts w:ascii="Arial" w:cs="Arial" w:eastAsia="Arial" w:hAnsi="Arial"/>
          <w:sz w:val="15"/>
          <w:szCs w:val="15"/>
          <w:color w:val="auto"/>
        </w:rPr>
        <w:t>Mr. Casey has no remaining unvested shares as of December 31, 2021, due to the fact that no shares were awarded to him in 2019 and 2020. For the remaining NEOs, the following table summarizes all outstanding equity awards held by our named executive officers as of December 31, 2021:</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2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4"/>
              </w:rPr>
              <w:t>Option Awards</w:t>
            </w: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ind w:left="760"/>
              <w:spacing w:after="0"/>
              <w:rPr>
                <w:sz w:val="20"/>
                <w:szCs w:val="20"/>
                <w:color w:val="auto"/>
              </w:rPr>
            </w:pPr>
            <w:r>
              <w:rPr>
                <w:rFonts w:ascii="Arial" w:cs="Arial" w:eastAsia="Arial" w:hAnsi="Arial"/>
                <w:sz w:val="14"/>
                <w:szCs w:val="14"/>
                <w:b w:val="1"/>
                <w:bCs w:val="1"/>
                <w:color w:val="auto"/>
              </w:rPr>
              <w:t>Stock Awards</w:t>
            </w: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jc w:val="center"/>
              <w:ind w:right="100"/>
              <w:spacing w:after="0" w:line="131" w:lineRule="exact"/>
              <w:rPr>
                <w:sz w:val="20"/>
                <w:szCs w:val="20"/>
                <w:color w:val="auto"/>
              </w:rPr>
            </w:pPr>
            <w:r>
              <w:rPr>
                <w:rFonts w:ascii="Arial" w:cs="Arial" w:eastAsia="Arial" w:hAnsi="Arial"/>
                <w:sz w:val="14"/>
                <w:szCs w:val="14"/>
                <w:b w:val="1"/>
                <w:bCs w:val="1"/>
                <w:color w:val="auto"/>
                <w:w w:val="93"/>
              </w:rPr>
              <w:t>Equity</w:t>
            </w:r>
          </w:p>
        </w:tc>
        <w:tc>
          <w:tcPr>
            <w:tcW w:w="1140" w:type="dxa"/>
            <w:vAlign w:val="bottom"/>
          </w:tcPr>
          <w:p>
            <w:pPr>
              <w:jc w:val="center"/>
              <w:spacing w:after="0" w:line="131"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33"/>
        </w:trPr>
        <w:tc>
          <w:tcPr>
            <w:tcW w:w="2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92"/>
              </w:rPr>
              <w:t>Incentive</w:t>
            </w:r>
          </w:p>
        </w:tc>
        <w:tc>
          <w:tcPr>
            <w:tcW w:w="11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2"/>
              </w:rPr>
              <w:t>Incentive</w:t>
            </w:r>
          </w:p>
        </w:tc>
        <w:tc>
          <w:tcPr>
            <w:tcW w:w="0" w:type="dxa"/>
            <w:vAlign w:val="bottom"/>
          </w:tcPr>
          <w:p>
            <w:pPr>
              <w:spacing w:after="0"/>
              <w:rPr>
                <w:sz w:val="1"/>
                <w:szCs w:val="1"/>
                <w:color w:val="auto"/>
              </w:rPr>
            </w:pPr>
          </w:p>
        </w:tc>
      </w:tr>
      <w:tr>
        <w:trPr>
          <w:trHeight w:val="133"/>
        </w:trPr>
        <w:tc>
          <w:tcPr>
            <w:tcW w:w="2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Number</w:t>
            </w:r>
          </w:p>
        </w:tc>
        <w:tc>
          <w:tcPr>
            <w:tcW w:w="12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Market</w:t>
            </w:r>
          </w:p>
        </w:tc>
        <w:tc>
          <w:tcPr>
            <w:tcW w:w="122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94"/>
              </w:rPr>
              <w:t>Plan</w:t>
            </w:r>
          </w:p>
        </w:tc>
        <w:tc>
          <w:tcPr>
            <w:tcW w:w="11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87"/>
              </w:rPr>
              <w:t>Plan</w:t>
            </w:r>
          </w:p>
        </w:tc>
        <w:tc>
          <w:tcPr>
            <w:tcW w:w="0" w:type="dxa"/>
            <w:vAlign w:val="bottom"/>
          </w:tcPr>
          <w:p>
            <w:pPr>
              <w:spacing w:after="0"/>
              <w:rPr>
                <w:sz w:val="1"/>
                <w:szCs w:val="1"/>
                <w:color w:val="auto"/>
              </w:rPr>
            </w:pPr>
          </w:p>
        </w:tc>
      </w:tr>
      <w:tr>
        <w:trPr>
          <w:trHeight w:val="133"/>
        </w:trPr>
        <w:tc>
          <w:tcPr>
            <w:tcW w:w="2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122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94"/>
              </w:rPr>
              <w:t>Awards:</w:t>
            </w:r>
          </w:p>
        </w:tc>
        <w:tc>
          <w:tcPr>
            <w:tcW w:w="11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0"/>
              </w:rPr>
              <w:t>Awards:</w:t>
            </w:r>
          </w:p>
        </w:tc>
        <w:tc>
          <w:tcPr>
            <w:tcW w:w="0" w:type="dxa"/>
            <w:vAlign w:val="bottom"/>
          </w:tcPr>
          <w:p>
            <w:pPr>
              <w:spacing w:after="0"/>
              <w:rPr>
                <w:sz w:val="1"/>
                <w:szCs w:val="1"/>
                <w:color w:val="auto"/>
              </w:rPr>
            </w:pPr>
          </w:p>
        </w:tc>
      </w:tr>
      <w:tr>
        <w:trPr>
          <w:trHeight w:val="133"/>
        </w:trPr>
        <w:tc>
          <w:tcPr>
            <w:tcW w:w="2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75"/>
              </w:rPr>
              <w:t>of</w:t>
            </w:r>
          </w:p>
        </w:tc>
        <w:tc>
          <w:tcPr>
            <w:tcW w:w="124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90"/>
              </w:rPr>
              <w:t>Value</w:t>
            </w:r>
          </w:p>
        </w:tc>
        <w:tc>
          <w:tcPr>
            <w:tcW w:w="1220" w:type="dxa"/>
            <w:vAlign w:val="bottom"/>
            <w:gridSpan w:val="2"/>
          </w:tcPr>
          <w:p>
            <w:pPr>
              <w:jc w:val="center"/>
              <w:ind w:right="120"/>
              <w:spacing w:after="0" w:line="133" w:lineRule="exact"/>
              <w:rPr>
                <w:sz w:val="20"/>
                <w:szCs w:val="20"/>
                <w:color w:val="auto"/>
              </w:rPr>
            </w:pPr>
            <w:r>
              <w:rPr>
                <w:rFonts w:ascii="Arial" w:cs="Arial" w:eastAsia="Arial" w:hAnsi="Arial"/>
                <w:sz w:val="14"/>
                <w:szCs w:val="14"/>
                <w:b w:val="1"/>
                <w:bCs w:val="1"/>
                <w:color w:val="auto"/>
                <w:w w:val="94"/>
              </w:rPr>
              <w:t>Number</w:t>
            </w:r>
          </w:p>
        </w:tc>
        <w:tc>
          <w:tcPr>
            <w:tcW w:w="11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8"/>
              </w:rPr>
              <w:t>Market or</w:t>
            </w:r>
          </w:p>
        </w:tc>
        <w:tc>
          <w:tcPr>
            <w:tcW w:w="0" w:type="dxa"/>
            <w:vAlign w:val="bottom"/>
          </w:tcPr>
          <w:p>
            <w:pPr>
              <w:spacing w:after="0"/>
              <w:rPr>
                <w:sz w:val="1"/>
                <w:szCs w:val="1"/>
                <w:color w:val="auto"/>
              </w:rPr>
            </w:pPr>
          </w:p>
        </w:tc>
      </w:tr>
      <w:tr>
        <w:trPr>
          <w:trHeight w:val="133"/>
        </w:trPr>
        <w:tc>
          <w:tcPr>
            <w:tcW w:w="2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89"/>
              </w:rPr>
              <w:t>Shares</w:t>
            </w:r>
          </w:p>
        </w:tc>
        <w:tc>
          <w:tcPr>
            <w:tcW w:w="1240" w:type="dxa"/>
            <w:vAlign w:val="bottom"/>
            <w:gridSpan w:val="2"/>
          </w:tcPr>
          <w:p>
            <w:pPr>
              <w:jc w:val="center"/>
              <w:ind w:right="120"/>
              <w:spacing w:after="0" w:line="133" w:lineRule="exact"/>
              <w:rPr>
                <w:sz w:val="20"/>
                <w:szCs w:val="20"/>
                <w:color w:val="auto"/>
              </w:rPr>
            </w:pPr>
            <w:r>
              <w:rPr>
                <w:rFonts w:ascii="Arial" w:cs="Arial" w:eastAsia="Arial" w:hAnsi="Arial"/>
                <w:sz w:val="14"/>
                <w:szCs w:val="14"/>
                <w:b w:val="1"/>
                <w:bCs w:val="1"/>
                <w:color w:val="auto"/>
                <w:w w:val="90"/>
              </w:rPr>
              <w:t>of</w:t>
            </w:r>
          </w:p>
        </w:tc>
        <w:tc>
          <w:tcPr>
            <w:tcW w:w="122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90"/>
              </w:rPr>
              <w:t>of</w:t>
            </w:r>
          </w:p>
        </w:tc>
        <w:tc>
          <w:tcPr>
            <w:tcW w:w="11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89"/>
              </w:rPr>
              <w:t>Payout</w:t>
            </w:r>
          </w:p>
        </w:tc>
        <w:tc>
          <w:tcPr>
            <w:tcW w:w="0" w:type="dxa"/>
            <w:vAlign w:val="bottom"/>
          </w:tcPr>
          <w:p>
            <w:pPr>
              <w:spacing w:after="0"/>
              <w:rPr>
                <w:sz w:val="1"/>
                <w:szCs w:val="1"/>
                <w:color w:val="auto"/>
              </w:rPr>
            </w:pPr>
          </w:p>
        </w:tc>
      </w:tr>
      <w:tr>
        <w:trPr>
          <w:trHeight w:val="133"/>
        </w:trPr>
        <w:tc>
          <w:tcPr>
            <w:tcW w:w="2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Number of</w:t>
            </w: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90"/>
              </w:rPr>
              <w:t>of Stock</w:t>
            </w:r>
          </w:p>
        </w:tc>
        <w:tc>
          <w:tcPr>
            <w:tcW w:w="1240" w:type="dxa"/>
            <w:vAlign w:val="bottom"/>
            <w:gridSpan w:val="2"/>
          </w:tcPr>
          <w:p>
            <w:pPr>
              <w:jc w:val="center"/>
              <w:ind w:right="120"/>
              <w:spacing w:after="0" w:line="133" w:lineRule="exact"/>
              <w:rPr>
                <w:sz w:val="20"/>
                <w:szCs w:val="20"/>
                <w:color w:val="auto"/>
              </w:rPr>
            </w:pPr>
            <w:r>
              <w:rPr>
                <w:rFonts w:ascii="Arial" w:cs="Arial" w:eastAsia="Arial" w:hAnsi="Arial"/>
                <w:sz w:val="14"/>
                <w:szCs w:val="14"/>
                <w:b w:val="1"/>
                <w:bCs w:val="1"/>
                <w:color w:val="auto"/>
                <w:w w:val="85"/>
              </w:rPr>
              <w:t>Shares</w:t>
            </w:r>
          </w:p>
        </w:tc>
        <w:tc>
          <w:tcPr>
            <w:tcW w:w="122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92"/>
              </w:rPr>
              <w:t>Unearned</w:t>
            </w:r>
          </w:p>
        </w:tc>
        <w:tc>
          <w:tcPr>
            <w:tcW w:w="11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1"/>
              </w:rPr>
              <w:t>Value of</w:t>
            </w:r>
          </w:p>
        </w:tc>
        <w:tc>
          <w:tcPr>
            <w:tcW w:w="0" w:type="dxa"/>
            <w:vAlign w:val="bottom"/>
          </w:tcPr>
          <w:p>
            <w:pPr>
              <w:spacing w:after="0"/>
              <w:rPr>
                <w:sz w:val="1"/>
                <w:szCs w:val="1"/>
                <w:color w:val="auto"/>
              </w:rPr>
            </w:pPr>
          </w:p>
        </w:tc>
      </w:tr>
      <w:tr>
        <w:trPr>
          <w:trHeight w:val="133"/>
        </w:trPr>
        <w:tc>
          <w:tcPr>
            <w:tcW w:w="2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rPr>
              <w:t>That</w:t>
            </w:r>
          </w:p>
        </w:tc>
        <w:tc>
          <w:tcPr>
            <w:tcW w:w="1240" w:type="dxa"/>
            <w:vAlign w:val="bottom"/>
            <w:gridSpan w:val="2"/>
          </w:tcPr>
          <w:p>
            <w:pPr>
              <w:jc w:val="center"/>
              <w:ind w:right="120"/>
              <w:spacing w:after="0" w:line="133" w:lineRule="exact"/>
              <w:rPr>
                <w:sz w:val="20"/>
                <w:szCs w:val="20"/>
                <w:color w:val="auto"/>
              </w:rPr>
            </w:pPr>
            <w:r>
              <w:rPr>
                <w:rFonts w:ascii="Arial" w:cs="Arial" w:eastAsia="Arial" w:hAnsi="Arial"/>
                <w:sz w:val="14"/>
                <w:szCs w:val="14"/>
                <w:b w:val="1"/>
                <w:bCs w:val="1"/>
                <w:color w:val="auto"/>
                <w:w w:val="86"/>
              </w:rPr>
              <w:t>of Stock</w:t>
            </w:r>
          </w:p>
        </w:tc>
        <w:tc>
          <w:tcPr>
            <w:tcW w:w="122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85"/>
              </w:rPr>
              <w:t>Shares</w:t>
            </w:r>
          </w:p>
        </w:tc>
        <w:tc>
          <w:tcPr>
            <w:tcW w:w="11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2"/>
              </w:rPr>
              <w:t>Unearned</w:t>
            </w:r>
          </w:p>
        </w:tc>
        <w:tc>
          <w:tcPr>
            <w:tcW w:w="0" w:type="dxa"/>
            <w:vAlign w:val="bottom"/>
          </w:tcPr>
          <w:p>
            <w:pPr>
              <w:spacing w:after="0"/>
              <w:rPr>
                <w:sz w:val="1"/>
                <w:szCs w:val="1"/>
                <w:color w:val="auto"/>
              </w:rPr>
            </w:pPr>
          </w:p>
        </w:tc>
      </w:tr>
      <w:tr>
        <w:trPr>
          <w:trHeight w:val="133"/>
        </w:trPr>
        <w:tc>
          <w:tcPr>
            <w:tcW w:w="2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jc w:val="center"/>
              <w:ind w:right="120"/>
              <w:spacing w:after="0" w:line="133" w:lineRule="exact"/>
              <w:rPr>
                <w:sz w:val="20"/>
                <w:szCs w:val="20"/>
                <w:color w:val="auto"/>
              </w:rPr>
            </w:pPr>
            <w:r>
              <w:rPr>
                <w:rFonts w:ascii="Arial" w:cs="Arial" w:eastAsia="Arial" w:hAnsi="Arial"/>
                <w:sz w:val="14"/>
                <w:szCs w:val="14"/>
                <w:b w:val="1"/>
                <w:bCs w:val="1"/>
                <w:color w:val="auto"/>
                <w:w w:val="89"/>
              </w:rPr>
              <w:t>Securities</w:t>
            </w:r>
          </w:p>
        </w:tc>
        <w:tc>
          <w:tcPr>
            <w:tcW w:w="12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Option</w:t>
            </w: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89"/>
              </w:rPr>
              <w:t>Have</w:t>
            </w:r>
          </w:p>
        </w:tc>
        <w:tc>
          <w:tcPr>
            <w:tcW w:w="1240" w:type="dxa"/>
            <w:vAlign w:val="bottom"/>
            <w:gridSpan w:val="2"/>
          </w:tcPr>
          <w:p>
            <w:pPr>
              <w:jc w:val="center"/>
              <w:ind w:right="120"/>
              <w:spacing w:after="0" w:line="133" w:lineRule="exact"/>
              <w:rPr>
                <w:sz w:val="20"/>
                <w:szCs w:val="20"/>
                <w:color w:val="auto"/>
              </w:rPr>
            </w:pPr>
            <w:r>
              <w:rPr>
                <w:rFonts w:ascii="Arial" w:cs="Arial" w:eastAsia="Arial" w:hAnsi="Arial"/>
                <w:sz w:val="14"/>
                <w:szCs w:val="14"/>
                <w:b w:val="1"/>
                <w:bCs w:val="1"/>
                <w:color w:val="auto"/>
                <w:w w:val="94"/>
              </w:rPr>
              <w:t>That</w:t>
            </w:r>
          </w:p>
        </w:tc>
        <w:tc>
          <w:tcPr>
            <w:tcW w:w="122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94"/>
              </w:rPr>
              <w:t>That</w:t>
            </w:r>
          </w:p>
        </w:tc>
        <w:tc>
          <w:tcPr>
            <w:tcW w:w="11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89"/>
              </w:rPr>
              <w:t>Shares</w:t>
            </w:r>
          </w:p>
        </w:tc>
        <w:tc>
          <w:tcPr>
            <w:tcW w:w="0" w:type="dxa"/>
            <w:vAlign w:val="bottom"/>
          </w:tcPr>
          <w:p>
            <w:pPr>
              <w:spacing w:after="0"/>
              <w:rPr>
                <w:sz w:val="1"/>
                <w:szCs w:val="1"/>
                <w:color w:val="auto"/>
              </w:rPr>
            </w:pPr>
          </w:p>
        </w:tc>
      </w:tr>
      <w:tr>
        <w:trPr>
          <w:trHeight w:val="133"/>
        </w:trPr>
        <w:tc>
          <w:tcPr>
            <w:tcW w:w="2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jc w:val="center"/>
              <w:ind w:right="120"/>
              <w:spacing w:after="0" w:line="133" w:lineRule="exact"/>
              <w:rPr>
                <w:sz w:val="20"/>
                <w:szCs w:val="20"/>
                <w:color w:val="auto"/>
              </w:rPr>
            </w:pPr>
            <w:r>
              <w:rPr>
                <w:rFonts w:ascii="Arial" w:cs="Arial" w:eastAsia="Arial" w:hAnsi="Arial"/>
                <w:sz w:val="14"/>
                <w:szCs w:val="14"/>
                <w:b w:val="1"/>
                <w:bCs w:val="1"/>
                <w:color w:val="auto"/>
                <w:w w:val="92"/>
              </w:rPr>
              <w:t>Underlying</w:t>
            </w:r>
          </w:p>
        </w:tc>
        <w:tc>
          <w:tcPr>
            <w:tcW w:w="1220" w:type="dxa"/>
            <w:vAlign w:val="bottom"/>
            <w:gridSpan w:val="2"/>
            <w:vMerge w:val="continue"/>
          </w:tcPr>
          <w:p>
            <w:pPr>
              <w:spacing w:after="0"/>
              <w:rPr>
                <w:sz w:val="11"/>
                <w:szCs w:val="11"/>
                <w:color w:val="auto"/>
              </w:rPr>
            </w:pPr>
          </w:p>
        </w:tc>
        <w:tc>
          <w:tcPr>
            <w:tcW w:w="12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Option</w:t>
            </w:r>
          </w:p>
        </w:tc>
        <w:tc>
          <w:tcPr>
            <w:tcW w:w="124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94"/>
              </w:rPr>
              <w:t>Not</w:t>
            </w:r>
          </w:p>
        </w:tc>
        <w:tc>
          <w:tcPr>
            <w:tcW w:w="1240" w:type="dxa"/>
            <w:vAlign w:val="bottom"/>
            <w:gridSpan w:val="2"/>
          </w:tcPr>
          <w:p>
            <w:pPr>
              <w:jc w:val="center"/>
              <w:ind w:right="120"/>
              <w:spacing w:after="0" w:line="133" w:lineRule="exact"/>
              <w:rPr>
                <w:sz w:val="20"/>
                <w:szCs w:val="20"/>
                <w:color w:val="auto"/>
              </w:rPr>
            </w:pPr>
            <w:r>
              <w:rPr>
                <w:rFonts w:ascii="Arial" w:cs="Arial" w:eastAsia="Arial" w:hAnsi="Arial"/>
                <w:sz w:val="14"/>
                <w:szCs w:val="14"/>
                <w:b w:val="1"/>
                <w:bCs w:val="1"/>
                <w:color w:val="auto"/>
                <w:w w:val="95"/>
              </w:rPr>
              <w:t>Have</w:t>
            </w:r>
          </w:p>
        </w:tc>
        <w:tc>
          <w:tcPr>
            <w:tcW w:w="122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95"/>
              </w:rPr>
              <w:t>Have</w:t>
            </w:r>
          </w:p>
        </w:tc>
        <w:tc>
          <w:tcPr>
            <w:tcW w:w="11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5"/>
              </w:rPr>
              <w:t>That Have</w:t>
            </w:r>
          </w:p>
        </w:tc>
        <w:tc>
          <w:tcPr>
            <w:tcW w:w="0" w:type="dxa"/>
            <w:vAlign w:val="bottom"/>
          </w:tcPr>
          <w:p>
            <w:pPr>
              <w:spacing w:after="0"/>
              <w:rPr>
                <w:sz w:val="1"/>
                <w:szCs w:val="1"/>
                <w:color w:val="auto"/>
              </w:rPr>
            </w:pPr>
          </w:p>
        </w:tc>
      </w:tr>
      <w:tr>
        <w:trPr>
          <w:trHeight w:val="133"/>
        </w:trPr>
        <w:tc>
          <w:tcPr>
            <w:tcW w:w="2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88"/>
              </w:rPr>
              <w:t>Unexercised</w:t>
            </w:r>
          </w:p>
        </w:tc>
        <w:tc>
          <w:tcPr>
            <w:tcW w:w="1220" w:type="dxa"/>
            <w:vAlign w:val="bottom"/>
            <w:gridSpan w:val="2"/>
          </w:tcPr>
          <w:p>
            <w:pPr>
              <w:jc w:val="center"/>
              <w:ind w:right="120"/>
              <w:spacing w:after="0" w:line="133" w:lineRule="exact"/>
              <w:rPr>
                <w:sz w:val="20"/>
                <w:szCs w:val="20"/>
                <w:color w:val="auto"/>
              </w:rPr>
            </w:pPr>
            <w:r>
              <w:rPr>
                <w:rFonts w:ascii="Arial" w:cs="Arial" w:eastAsia="Arial" w:hAnsi="Arial"/>
                <w:sz w:val="14"/>
                <w:szCs w:val="14"/>
                <w:b w:val="1"/>
                <w:bCs w:val="1"/>
                <w:color w:val="auto"/>
                <w:w w:val="86"/>
              </w:rPr>
              <w:t>Exercise</w:t>
            </w:r>
          </w:p>
        </w:tc>
        <w:tc>
          <w:tcPr>
            <w:tcW w:w="1220" w:type="dxa"/>
            <w:vAlign w:val="bottom"/>
            <w:gridSpan w:val="2"/>
            <w:vMerge w:val="continue"/>
          </w:tcPr>
          <w:p>
            <w:pPr>
              <w:spacing w:after="0"/>
              <w:rPr>
                <w:sz w:val="11"/>
                <w:szCs w:val="11"/>
                <w:color w:val="auto"/>
              </w:rPr>
            </w:pPr>
          </w:p>
        </w:tc>
        <w:tc>
          <w:tcPr>
            <w:tcW w:w="124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82"/>
              </w:rPr>
              <w:t>Vested</w:t>
            </w:r>
          </w:p>
        </w:tc>
        <w:tc>
          <w:tcPr>
            <w:tcW w:w="1240" w:type="dxa"/>
            <w:vAlign w:val="bottom"/>
            <w:gridSpan w:val="2"/>
          </w:tcPr>
          <w:p>
            <w:pPr>
              <w:jc w:val="center"/>
              <w:ind w:right="120"/>
              <w:spacing w:after="0" w:line="133" w:lineRule="exact"/>
              <w:rPr>
                <w:sz w:val="20"/>
                <w:szCs w:val="20"/>
                <w:color w:val="auto"/>
              </w:rPr>
            </w:pPr>
            <w:r>
              <w:rPr>
                <w:rFonts w:ascii="Arial" w:cs="Arial" w:eastAsia="Arial" w:hAnsi="Arial"/>
                <w:sz w:val="14"/>
                <w:szCs w:val="14"/>
                <w:b w:val="1"/>
                <w:bCs w:val="1"/>
                <w:color w:val="auto"/>
                <w:w w:val="87"/>
              </w:rPr>
              <w:t>Not Vested</w:t>
            </w:r>
          </w:p>
        </w:tc>
        <w:tc>
          <w:tcPr>
            <w:tcW w:w="1220" w:type="dxa"/>
            <w:vAlign w:val="bottom"/>
            <w:gridSpan w:val="2"/>
          </w:tcPr>
          <w:p>
            <w:pPr>
              <w:jc w:val="center"/>
              <w:ind w:right="120"/>
              <w:spacing w:after="0" w:line="133" w:lineRule="exact"/>
              <w:rPr>
                <w:sz w:val="20"/>
                <w:szCs w:val="20"/>
                <w:color w:val="auto"/>
              </w:rPr>
            </w:pPr>
            <w:r>
              <w:rPr>
                <w:rFonts w:ascii="Arial" w:cs="Arial" w:eastAsia="Arial" w:hAnsi="Arial"/>
                <w:sz w:val="14"/>
                <w:szCs w:val="14"/>
                <w:b w:val="1"/>
                <w:bCs w:val="1"/>
                <w:color w:val="auto"/>
                <w:w w:val="94"/>
              </w:rPr>
              <w:t>Not</w:t>
            </w:r>
          </w:p>
        </w:tc>
        <w:tc>
          <w:tcPr>
            <w:tcW w:w="11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0"/>
              </w:rPr>
              <w:t>Not Vested</w:t>
            </w:r>
          </w:p>
        </w:tc>
        <w:tc>
          <w:tcPr>
            <w:tcW w:w="0" w:type="dxa"/>
            <w:vAlign w:val="bottom"/>
          </w:tcPr>
          <w:p>
            <w:pPr>
              <w:spacing w:after="0"/>
              <w:rPr>
                <w:sz w:val="1"/>
                <w:szCs w:val="1"/>
                <w:color w:val="auto"/>
              </w:rPr>
            </w:pPr>
          </w:p>
        </w:tc>
      </w:tr>
      <w:tr>
        <w:trPr>
          <w:trHeight w:val="133"/>
        </w:trPr>
        <w:tc>
          <w:tcPr>
            <w:tcW w:w="2620" w:type="dxa"/>
            <w:vAlign w:val="bottom"/>
            <w:gridSpan w:val="2"/>
            <w:vMerge w:val="restart"/>
          </w:tcPr>
          <w:p>
            <w:pPr>
              <w:ind w:left="1080"/>
              <w:spacing w:after="0"/>
              <w:rPr>
                <w:sz w:val="20"/>
                <w:szCs w:val="20"/>
                <w:color w:val="auto"/>
              </w:rPr>
            </w:pPr>
            <w:r>
              <w:rPr>
                <w:rFonts w:ascii="Arial" w:cs="Arial" w:eastAsia="Arial" w:hAnsi="Arial"/>
                <w:sz w:val="14"/>
                <w:szCs w:val="14"/>
                <w:b w:val="1"/>
                <w:bCs w:val="1"/>
                <w:color w:val="auto"/>
              </w:rPr>
              <w:t>Name</w:t>
            </w:r>
          </w:p>
        </w:tc>
        <w:tc>
          <w:tcPr>
            <w:tcW w:w="1240" w:type="dxa"/>
            <w:vAlign w:val="bottom"/>
            <w:gridSpan w:val="2"/>
          </w:tcPr>
          <w:p>
            <w:pPr>
              <w:jc w:val="center"/>
              <w:ind w:right="120"/>
              <w:spacing w:after="0" w:line="133" w:lineRule="exact"/>
              <w:rPr>
                <w:sz w:val="20"/>
                <w:szCs w:val="20"/>
                <w:color w:val="auto"/>
              </w:rPr>
            </w:pPr>
            <w:r>
              <w:rPr>
                <w:rFonts w:ascii="Arial" w:cs="Arial" w:eastAsia="Arial" w:hAnsi="Arial"/>
                <w:sz w:val="14"/>
                <w:szCs w:val="14"/>
                <w:b w:val="1"/>
                <w:bCs w:val="1"/>
                <w:color w:val="auto"/>
                <w:w w:val="91"/>
              </w:rPr>
              <w:t>Options (#)</w:t>
            </w:r>
          </w:p>
        </w:tc>
        <w:tc>
          <w:tcPr>
            <w:tcW w:w="1220" w:type="dxa"/>
            <w:vAlign w:val="bottom"/>
            <w:gridSpan w:val="2"/>
          </w:tcPr>
          <w:p>
            <w:pPr>
              <w:jc w:val="center"/>
              <w:ind w:right="120"/>
              <w:spacing w:after="0" w:line="133" w:lineRule="exact"/>
              <w:rPr>
                <w:sz w:val="20"/>
                <w:szCs w:val="20"/>
                <w:color w:val="auto"/>
              </w:rPr>
            </w:pPr>
            <w:r>
              <w:rPr>
                <w:rFonts w:ascii="Arial" w:cs="Arial" w:eastAsia="Arial" w:hAnsi="Arial"/>
                <w:sz w:val="14"/>
                <w:szCs w:val="14"/>
                <w:b w:val="1"/>
                <w:bCs w:val="1"/>
                <w:color w:val="auto"/>
                <w:w w:val="87"/>
              </w:rPr>
              <w:t>Price</w:t>
            </w:r>
          </w:p>
        </w:tc>
        <w:tc>
          <w:tcPr>
            <w:tcW w:w="122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93"/>
              </w:rPr>
              <w:t>Expiration</w:t>
            </w:r>
          </w:p>
        </w:tc>
        <w:tc>
          <w:tcPr>
            <w:tcW w:w="11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1"/>
                <w:szCs w:val="11"/>
                <w:color w:val="auto"/>
              </w:rPr>
            </w:pPr>
          </w:p>
        </w:tc>
        <w:tc>
          <w:tcPr>
            <w:tcW w:w="1120" w:type="dxa"/>
            <w:vAlign w:val="bottom"/>
          </w:tcPr>
          <w:p>
            <w:pPr>
              <w:ind w:left="480"/>
              <w:spacing w:after="0" w:line="133"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1"/>
                <w:szCs w:val="11"/>
                <w:color w:val="auto"/>
              </w:rPr>
            </w:pPr>
          </w:p>
        </w:tc>
        <w:tc>
          <w:tcPr>
            <w:tcW w:w="122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87"/>
              </w:rPr>
              <w:t>Vested</w:t>
            </w:r>
          </w:p>
        </w:tc>
        <w:tc>
          <w:tcPr>
            <w:tcW w:w="11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33"/>
        </w:trPr>
        <w:tc>
          <w:tcPr>
            <w:tcW w:w="2620" w:type="dxa"/>
            <w:vAlign w:val="bottom"/>
            <w:gridSpan w:val="2"/>
            <w:vMerge w:val="continue"/>
          </w:tcPr>
          <w:p>
            <w:pPr>
              <w:spacing w:after="0"/>
              <w:rPr>
                <w:sz w:val="11"/>
                <w:szCs w:val="11"/>
                <w:color w:val="auto"/>
              </w:rPr>
            </w:pPr>
          </w:p>
        </w:tc>
        <w:tc>
          <w:tcPr>
            <w:tcW w:w="124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89"/>
              </w:rPr>
              <w:t>Exercisable</w:t>
            </w:r>
          </w:p>
        </w:tc>
        <w:tc>
          <w:tcPr>
            <w:tcW w:w="11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1"/>
                <w:szCs w:val="11"/>
                <w:color w:val="auto"/>
              </w:rPr>
            </w:pPr>
          </w:p>
        </w:tc>
        <w:tc>
          <w:tcPr>
            <w:tcW w:w="122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92"/>
              </w:rPr>
              <w:t>Date</w:t>
            </w:r>
          </w:p>
        </w:tc>
        <w:tc>
          <w:tcPr>
            <w:tcW w:w="124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rPr>
              <w:t>(g)</w:t>
            </w:r>
          </w:p>
        </w:tc>
        <w:tc>
          <w:tcPr>
            <w:tcW w:w="124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rPr>
              <w:t>(h)</w:t>
            </w:r>
          </w:p>
        </w:tc>
        <w:tc>
          <w:tcPr>
            <w:tcW w:w="112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1"/>
                <w:szCs w:val="11"/>
                <w:color w:val="auto"/>
              </w:rPr>
            </w:pPr>
          </w:p>
        </w:tc>
        <w:tc>
          <w:tcPr>
            <w:tcW w:w="11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(j)</w:t>
            </w:r>
          </w:p>
        </w:tc>
        <w:tc>
          <w:tcPr>
            <w:tcW w:w="0" w:type="dxa"/>
            <w:vAlign w:val="bottom"/>
          </w:tcPr>
          <w:p>
            <w:pPr>
              <w:spacing w:after="0"/>
              <w:rPr>
                <w:sz w:val="1"/>
                <w:szCs w:val="1"/>
                <w:color w:val="auto"/>
              </w:rPr>
            </w:pPr>
          </w:p>
        </w:tc>
      </w:tr>
      <w:tr>
        <w:trPr>
          <w:trHeight w:val="185"/>
        </w:trPr>
        <w:tc>
          <w:tcPr>
            <w:tcW w:w="2520" w:type="dxa"/>
            <w:vAlign w:val="bottom"/>
            <w:tcBorders>
              <w:bottom w:val="single" w:sz="8" w:color="auto"/>
            </w:tcBorders>
          </w:tcPr>
          <w:p>
            <w:pPr>
              <w:ind w:left="1180"/>
              <w:spacing w:after="0"/>
              <w:rPr>
                <w:sz w:val="20"/>
                <w:szCs w:val="20"/>
                <w:color w:val="auto"/>
              </w:rPr>
            </w:pPr>
            <w:r>
              <w:rPr>
                <w:rFonts w:ascii="Arial" w:cs="Arial" w:eastAsia="Arial" w:hAnsi="Arial"/>
                <w:sz w:val="14"/>
                <w:szCs w:val="14"/>
                <w:b w:val="1"/>
                <w:bCs w:val="1"/>
                <w:color w:val="auto"/>
              </w:rPr>
              <w:t>(a)</w:t>
            </w: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(b)</w:t>
            </w:r>
          </w:p>
        </w:tc>
        <w:tc>
          <w:tcPr>
            <w:tcW w:w="12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(e)</w:t>
            </w:r>
          </w:p>
        </w:tc>
        <w:tc>
          <w:tcPr>
            <w:tcW w:w="1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(f)</w:t>
            </w: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(1)</w:t>
            </w: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color w:val="auto"/>
              </w:rPr>
              <w:t>(2)</w:t>
            </w:r>
          </w:p>
        </w:tc>
        <w:tc>
          <w:tcPr>
            <w:tcW w:w="1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(i)</w:t>
            </w: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w:t>
            </w:r>
          </w:p>
        </w:tc>
        <w:tc>
          <w:tcPr>
            <w:tcW w:w="0" w:type="dxa"/>
            <w:vAlign w:val="bottom"/>
          </w:tcPr>
          <w:p>
            <w:pPr>
              <w:spacing w:after="0"/>
              <w:rPr>
                <w:sz w:val="1"/>
                <w:szCs w:val="1"/>
                <w:color w:val="auto"/>
              </w:rPr>
            </w:pPr>
          </w:p>
        </w:tc>
      </w:tr>
      <w:tr>
        <w:trPr>
          <w:trHeight w:val="220"/>
        </w:trPr>
        <w:tc>
          <w:tcPr>
            <w:tcW w:w="2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Terry Forbes</w:t>
            </w:r>
          </w:p>
        </w:tc>
        <w:tc>
          <w:tcPr>
            <w:tcW w:w="12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
              <w:spacing w:after="0"/>
              <w:rPr>
                <w:sz w:val="20"/>
                <w:szCs w:val="20"/>
                <w:color w:val="auto"/>
              </w:rPr>
            </w:pPr>
            <w:r>
              <w:rPr>
                <w:rFonts w:ascii="Arial" w:cs="Arial" w:eastAsia="Arial" w:hAnsi="Arial"/>
                <w:sz w:val="18"/>
                <w:szCs w:val="18"/>
                <w:color w:val="auto"/>
              </w:rPr>
              <w:t>14,425</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5"/>
              </w:rPr>
              <w:t>244,360</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2620" w:type="dxa"/>
            <w:vAlign w:val="bottom"/>
            <w:gridSpan w:val="2"/>
          </w:tcPr>
          <w:p>
            <w:pPr>
              <w:ind w:left="180"/>
              <w:spacing w:after="0"/>
              <w:rPr>
                <w:sz w:val="20"/>
                <w:szCs w:val="20"/>
                <w:color w:val="auto"/>
              </w:rPr>
            </w:pPr>
            <w:r>
              <w:rPr>
                <w:rFonts w:ascii="Arial" w:cs="Arial" w:eastAsia="Arial" w:hAnsi="Arial"/>
                <w:sz w:val="18"/>
                <w:szCs w:val="18"/>
                <w:color w:val="auto"/>
              </w:rPr>
              <w:t>Fabian Gomez</w:t>
            </w:r>
          </w:p>
        </w:tc>
        <w:tc>
          <w:tcPr>
            <w:tcW w:w="12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
              <w:spacing w:after="0"/>
              <w:rPr>
                <w:sz w:val="20"/>
                <w:szCs w:val="20"/>
                <w:color w:val="auto"/>
              </w:rPr>
            </w:pPr>
            <w:r>
              <w:rPr>
                <w:rFonts w:ascii="Arial" w:cs="Arial" w:eastAsia="Arial" w:hAnsi="Arial"/>
                <w:sz w:val="18"/>
                <w:szCs w:val="18"/>
                <w:color w:val="auto"/>
              </w:rPr>
              <w:t>23,628</w:t>
            </w:r>
          </w:p>
        </w:tc>
        <w:tc>
          <w:tcPr>
            <w:tcW w:w="100" w:type="dxa"/>
            <w:vAlign w:val="bottom"/>
          </w:tcPr>
          <w:p>
            <w:pPr>
              <w:spacing w:after="0"/>
              <w:rPr>
                <w:sz w:val="19"/>
                <w:szCs w:val="19"/>
                <w:color w:val="auto"/>
              </w:rPr>
            </w:pPr>
          </w:p>
        </w:tc>
        <w:tc>
          <w:tcPr>
            <w:tcW w:w="1120" w:type="dxa"/>
            <w:vAlign w:val="bottom"/>
          </w:tcPr>
          <w:p>
            <w:pPr>
              <w:ind w:left="480"/>
              <w:spacing w:after="0"/>
              <w:rPr>
                <w:sz w:val="20"/>
                <w:szCs w:val="20"/>
                <w:color w:val="auto"/>
              </w:rPr>
            </w:pPr>
            <w:r>
              <w:rPr>
                <w:rFonts w:ascii="Arial" w:cs="Arial" w:eastAsia="Arial" w:hAnsi="Arial"/>
                <w:sz w:val="18"/>
                <w:szCs w:val="18"/>
                <w:color w:val="auto"/>
                <w:w w:val="95"/>
              </w:rPr>
              <w:t>400,258</w:t>
            </w:r>
          </w:p>
        </w:tc>
        <w:tc>
          <w:tcPr>
            <w:tcW w:w="120" w:type="dxa"/>
            <w:vAlign w:val="bottom"/>
          </w:tcPr>
          <w:p>
            <w:pPr>
              <w:spacing w:after="0"/>
              <w:rPr>
                <w:sz w:val="19"/>
                <w:szCs w:val="19"/>
                <w:color w:val="auto"/>
              </w:rPr>
            </w:pPr>
          </w:p>
        </w:tc>
        <w:tc>
          <w:tcPr>
            <w:tcW w:w="122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140" w:type="dxa"/>
            <w:vAlign w:val="bottom"/>
          </w:tcPr>
          <w:p>
            <w:pPr>
              <w:ind w:left="8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2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Julie K. Gerron</w:t>
            </w:r>
          </w:p>
        </w:tc>
        <w:tc>
          <w:tcPr>
            <w:tcW w:w="12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
              <w:spacing w:after="0"/>
              <w:rPr>
                <w:sz w:val="20"/>
                <w:szCs w:val="20"/>
                <w:color w:val="auto"/>
              </w:rPr>
            </w:pPr>
            <w:r>
              <w:rPr>
                <w:rFonts w:ascii="Arial" w:cs="Arial" w:eastAsia="Arial" w:hAnsi="Arial"/>
                <w:sz w:val="18"/>
                <w:szCs w:val="18"/>
                <w:color w:val="auto"/>
              </w:rPr>
              <w:t>18,673</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5"/>
              </w:rPr>
              <w:t>316,321</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2620" w:type="dxa"/>
            <w:vAlign w:val="bottom"/>
            <w:gridSpan w:val="2"/>
          </w:tcPr>
          <w:p>
            <w:pPr>
              <w:ind w:left="180"/>
              <w:spacing w:after="0"/>
              <w:rPr>
                <w:sz w:val="20"/>
                <w:szCs w:val="20"/>
                <w:color w:val="auto"/>
              </w:rPr>
            </w:pPr>
            <w:r>
              <w:rPr>
                <w:rFonts w:ascii="Arial" w:cs="Arial" w:eastAsia="Arial" w:hAnsi="Arial"/>
                <w:sz w:val="18"/>
                <w:szCs w:val="18"/>
                <w:color w:val="auto"/>
              </w:rPr>
              <w:t>Steven Paddon</w:t>
            </w:r>
          </w:p>
        </w:tc>
        <w:tc>
          <w:tcPr>
            <w:tcW w:w="12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
              <w:spacing w:after="0"/>
              <w:rPr>
                <w:sz w:val="20"/>
                <w:szCs w:val="20"/>
                <w:color w:val="auto"/>
              </w:rPr>
            </w:pPr>
            <w:r>
              <w:rPr>
                <w:rFonts w:ascii="Arial" w:cs="Arial" w:eastAsia="Arial" w:hAnsi="Arial"/>
                <w:sz w:val="18"/>
                <w:szCs w:val="18"/>
                <w:color w:val="auto"/>
              </w:rPr>
              <w:t>22,837</w:t>
            </w:r>
          </w:p>
        </w:tc>
        <w:tc>
          <w:tcPr>
            <w:tcW w:w="100" w:type="dxa"/>
            <w:vAlign w:val="bottom"/>
          </w:tcPr>
          <w:p>
            <w:pPr>
              <w:spacing w:after="0"/>
              <w:rPr>
                <w:sz w:val="19"/>
                <w:szCs w:val="19"/>
                <w:color w:val="auto"/>
              </w:rPr>
            </w:pPr>
          </w:p>
        </w:tc>
        <w:tc>
          <w:tcPr>
            <w:tcW w:w="1120" w:type="dxa"/>
            <w:vAlign w:val="bottom"/>
          </w:tcPr>
          <w:p>
            <w:pPr>
              <w:ind w:left="480"/>
              <w:spacing w:after="0"/>
              <w:rPr>
                <w:sz w:val="20"/>
                <w:szCs w:val="20"/>
                <w:color w:val="auto"/>
              </w:rPr>
            </w:pPr>
            <w:r>
              <w:rPr>
                <w:rFonts w:ascii="Arial" w:cs="Arial" w:eastAsia="Arial" w:hAnsi="Arial"/>
                <w:sz w:val="18"/>
                <w:szCs w:val="18"/>
                <w:color w:val="auto"/>
                <w:w w:val="95"/>
              </w:rPr>
              <w:t>386,859</w:t>
            </w:r>
          </w:p>
        </w:tc>
        <w:tc>
          <w:tcPr>
            <w:tcW w:w="120" w:type="dxa"/>
            <w:vAlign w:val="bottom"/>
          </w:tcPr>
          <w:p>
            <w:pPr>
              <w:spacing w:after="0"/>
              <w:rPr>
                <w:sz w:val="19"/>
                <w:szCs w:val="19"/>
                <w:color w:val="auto"/>
              </w:rPr>
            </w:pPr>
          </w:p>
        </w:tc>
        <w:tc>
          <w:tcPr>
            <w:tcW w:w="122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140" w:type="dxa"/>
            <w:vAlign w:val="bottom"/>
          </w:tcPr>
          <w:p>
            <w:pPr>
              <w:ind w:left="8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80"/>
        <w:spacing w:after="0"/>
        <w:rPr>
          <w:sz w:val="20"/>
          <w:szCs w:val="20"/>
          <w:color w:val="auto"/>
        </w:rPr>
      </w:pPr>
      <w:r>
        <w:rPr>
          <w:rFonts w:ascii="Arial" w:cs="Arial" w:eastAsia="Arial" w:hAnsi="Arial"/>
          <w:sz w:val="9"/>
          <w:szCs w:val="9"/>
          <w:color w:val="auto"/>
        </w:rPr>
        <w:t>___________________</w:t>
      </w:r>
    </w:p>
    <w:p>
      <w:pPr>
        <w:spacing w:after="0" w:line="7" w:lineRule="exact"/>
        <w:rPr>
          <w:sz w:val="20"/>
          <w:szCs w:val="20"/>
          <w:color w:val="auto"/>
        </w:rPr>
      </w:pPr>
    </w:p>
    <w:p>
      <w:pPr>
        <w:ind w:left="380" w:hanging="294"/>
        <w:spacing w:after="0"/>
        <w:tabs>
          <w:tab w:leader="none" w:pos="380" w:val="left"/>
        </w:tabs>
        <w:numPr>
          <w:ilvl w:val="0"/>
          <w:numId w:val="54"/>
        </w:numPr>
        <w:rPr>
          <w:rFonts w:ascii="Arial" w:cs="Arial" w:eastAsia="Arial" w:hAnsi="Arial"/>
          <w:sz w:val="14"/>
          <w:szCs w:val="14"/>
          <w:color w:val="auto"/>
        </w:rPr>
      </w:pPr>
      <w:r>
        <w:rPr>
          <w:rFonts w:ascii="Arial" w:cs="Arial" w:eastAsia="Arial" w:hAnsi="Arial"/>
          <w:sz w:val="14"/>
          <w:szCs w:val="14"/>
          <w:color w:val="auto"/>
        </w:rPr>
        <w:t>The shares in column (g) will vest in late February of each year according to the following schedule provided that the individual is still employed by us on the vesting date.</w:t>
      </w:r>
    </w:p>
    <w:p>
      <w:pPr>
        <w:spacing w:after="0" w:line="5" w:lineRule="exact"/>
        <w:rPr>
          <w:rFonts w:ascii="Arial" w:cs="Arial" w:eastAsia="Arial" w:hAnsi="Arial"/>
          <w:sz w:val="14"/>
          <w:szCs w:val="14"/>
          <w:color w:val="auto"/>
        </w:rPr>
      </w:pPr>
    </w:p>
    <w:p>
      <w:pPr>
        <w:ind w:left="720" w:right="580" w:hanging="634"/>
        <w:spacing w:after="0" w:line="247" w:lineRule="auto"/>
        <w:tabs>
          <w:tab w:leader="none" w:pos="387" w:val="left"/>
        </w:tabs>
        <w:numPr>
          <w:ilvl w:val="0"/>
          <w:numId w:val="54"/>
        </w:numPr>
        <w:rPr>
          <w:rFonts w:ascii="Arial" w:cs="Arial" w:eastAsia="Arial" w:hAnsi="Arial"/>
          <w:sz w:val="14"/>
          <w:szCs w:val="14"/>
          <w:color w:val="auto"/>
        </w:rPr>
      </w:pPr>
      <w:r>
        <w:rPr>
          <w:rFonts w:ascii="Arial" w:cs="Arial" w:eastAsia="Arial" w:hAnsi="Arial"/>
          <w:sz w:val="14"/>
          <w:szCs w:val="14"/>
          <w:color w:val="auto"/>
        </w:rPr>
        <w:t>The amounts in columns (h) and (j) reflect the value of the shares shown in columns (g) and (i), respectively, multiplied by $16.94, the closing market price of our common stock as of December 31, 2021, the last business day in 2021.</w:t>
      </w:r>
    </w:p>
    <w:p>
      <w:pPr>
        <w:spacing w:after="0" w:line="8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table schedules the vesting of all outstanding equity awards held by our named executive officers as of December 31, 2021.</w:t>
      </w:r>
    </w:p>
    <w:p>
      <w:pPr>
        <w:spacing w:after="0" w:line="152" w:lineRule="exact"/>
        <w:rPr>
          <w:sz w:val="20"/>
          <w:szCs w:val="20"/>
          <w:color w:val="auto"/>
        </w:rPr>
      </w:pPr>
    </w:p>
    <w:p>
      <w:pPr>
        <w:ind w:left="7960"/>
        <w:spacing w:after="0"/>
        <w:rPr>
          <w:sz w:val="20"/>
          <w:szCs w:val="20"/>
          <w:color w:val="auto"/>
        </w:rPr>
      </w:pPr>
      <w:r>
        <w:rPr>
          <w:rFonts w:ascii="Arial" w:cs="Arial" w:eastAsia="Arial" w:hAnsi="Arial"/>
          <w:sz w:val="14"/>
          <w:szCs w:val="14"/>
          <w:b w:val="1"/>
          <w:bCs w:val="1"/>
          <w:color w:val="auto"/>
        </w:rPr>
        <w:t>Shares scheduled to vest</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0" w:type="dxa"/>
            <w:vAlign w:val="bottom"/>
          </w:tcPr>
          <w:p>
            <w:pPr>
              <w:spacing w:after="0"/>
              <w:rPr>
                <w:sz w:val="16"/>
                <w:szCs w:val="16"/>
                <w:color w:val="auto"/>
              </w:rPr>
            </w:pPr>
          </w:p>
        </w:tc>
        <w:tc>
          <w:tcPr>
            <w:tcW w:w="71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4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w w:val="96"/>
              </w:rPr>
              <w:t>2022</w:t>
            </w:r>
          </w:p>
        </w:tc>
        <w:tc>
          <w:tcPr>
            <w:tcW w:w="580" w:type="dxa"/>
            <w:vAlign w:val="bottom"/>
            <w:tcBorders>
              <w:top w:val="single" w:sz="8" w:color="auto"/>
              <w:bottom w:val="single" w:sz="8" w:color="auto"/>
            </w:tcBorders>
          </w:tcPr>
          <w:p>
            <w:pPr>
              <w:spacing w:after="0"/>
              <w:rPr>
                <w:sz w:val="16"/>
                <w:szCs w:val="16"/>
                <w:color w:val="auto"/>
              </w:rPr>
            </w:pPr>
          </w:p>
        </w:tc>
        <w:tc>
          <w:tcPr>
            <w:tcW w:w="140" w:type="dxa"/>
            <w:vAlign w:val="bottom"/>
            <w:tcBorders>
              <w:top w:val="single" w:sz="8" w:color="auto"/>
              <w:bottom w:val="single" w:sz="8" w:color="CCEEFF"/>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602"/>
              <w:spacing w:after="0"/>
              <w:rPr>
                <w:sz w:val="20"/>
                <w:szCs w:val="20"/>
                <w:color w:val="auto"/>
              </w:rPr>
            </w:pPr>
            <w:r>
              <w:rPr>
                <w:rFonts w:ascii="Arial" w:cs="Arial" w:eastAsia="Arial" w:hAnsi="Arial"/>
                <w:sz w:val="14"/>
                <w:szCs w:val="14"/>
                <w:b w:val="1"/>
                <w:bCs w:val="1"/>
                <w:color w:val="auto"/>
              </w:rPr>
              <w:t>2023</w:t>
            </w:r>
          </w:p>
        </w:tc>
        <w:tc>
          <w:tcPr>
            <w:tcW w:w="160" w:type="dxa"/>
            <w:vAlign w:val="bottom"/>
            <w:tcBorders>
              <w:top w:val="single" w:sz="8" w:color="auto"/>
              <w:bottom w:val="single" w:sz="8" w:color="CCEEFF"/>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602"/>
              <w:spacing w:after="0"/>
              <w:rPr>
                <w:sz w:val="20"/>
                <w:szCs w:val="20"/>
                <w:color w:val="auto"/>
              </w:rPr>
            </w:pPr>
            <w:r>
              <w:rPr>
                <w:rFonts w:ascii="Arial" w:cs="Arial" w:eastAsia="Arial" w:hAnsi="Arial"/>
                <w:sz w:val="14"/>
                <w:szCs w:val="14"/>
                <w:b w:val="1"/>
                <w:bCs w:val="1"/>
                <w:color w:val="auto"/>
              </w:rPr>
              <w:t>2024</w:t>
            </w:r>
          </w:p>
        </w:tc>
      </w:tr>
      <w:tr>
        <w:trPr>
          <w:trHeight w:val="220"/>
        </w:trPr>
        <w:tc>
          <w:tcPr>
            <w:tcW w:w="80" w:type="dxa"/>
            <w:vAlign w:val="bottom"/>
          </w:tcPr>
          <w:p>
            <w:pPr>
              <w:spacing w:after="0"/>
              <w:rPr>
                <w:sz w:val="19"/>
                <w:szCs w:val="19"/>
                <w:color w:val="auto"/>
              </w:rPr>
            </w:pPr>
          </w:p>
        </w:tc>
        <w:tc>
          <w:tcPr>
            <w:tcW w:w="7680" w:type="dxa"/>
            <w:vAlign w:val="bottom"/>
            <w:gridSpan w:val="3"/>
            <w:shd w:val="clear" w:color="auto" w:fill="CCEEFF"/>
          </w:tcPr>
          <w:p>
            <w:pPr>
              <w:jc w:val="right"/>
              <w:ind w:right="7149"/>
              <w:spacing w:after="0"/>
              <w:rPr>
                <w:sz w:val="20"/>
                <w:szCs w:val="20"/>
                <w:color w:val="auto"/>
              </w:rPr>
            </w:pPr>
            <w:r>
              <w:rPr>
                <w:rFonts w:ascii="Arial" w:cs="Arial" w:eastAsia="Arial" w:hAnsi="Arial"/>
                <w:sz w:val="18"/>
                <w:szCs w:val="18"/>
                <w:color w:val="auto"/>
                <w:w w:val="78"/>
              </w:rPr>
              <w:t>Forbes</w:t>
            </w:r>
          </w:p>
        </w:tc>
        <w:tc>
          <w:tcPr>
            <w:tcW w:w="5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5,441</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4,876</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4,108</w:t>
            </w:r>
          </w:p>
        </w:tc>
      </w:tr>
      <w:tr>
        <w:trPr>
          <w:trHeight w:val="224"/>
        </w:trPr>
        <w:tc>
          <w:tcPr>
            <w:tcW w:w="7760" w:type="dxa"/>
            <w:vAlign w:val="bottom"/>
            <w:gridSpan w:val="4"/>
          </w:tcPr>
          <w:p>
            <w:pPr>
              <w:ind w:left="20"/>
              <w:spacing w:after="0"/>
              <w:rPr>
                <w:sz w:val="20"/>
                <w:szCs w:val="20"/>
                <w:color w:val="auto"/>
              </w:rPr>
            </w:pPr>
            <w:r>
              <w:rPr>
                <w:rFonts w:ascii="Arial" w:cs="Arial" w:eastAsia="Arial" w:hAnsi="Arial"/>
                <w:sz w:val="18"/>
                <w:szCs w:val="18"/>
                <w:color w:val="auto"/>
              </w:rPr>
              <w:t>n Gomez</w:t>
            </w:r>
          </w:p>
        </w:tc>
        <w:tc>
          <w:tcPr>
            <w:tcW w:w="580" w:type="dxa"/>
            <w:vAlign w:val="bottom"/>
          </w:tcPr>
          <w:p>
            <w:pPr>
              <w:jc w:val="right"/>
              <w:ind w:right="40"/>
              <w:spacing w:after="0"/>
              <w:rPr>
                <w:sz w:val="20"/>
                <w:szCs w:val="20"/>
                <w:color w:val="auto"/>
              </w:rPr>
            </w:pPr>
            <w:r>
              <w:rPr>
                <w:rFonts w:ascii="Arial" w:cs="Arial" w:eastAsia="Arial" w:hAnsi="Arial"/>
                <w:sz w:val="16"/>
                <w:szCs w:val="16"/>
                <w:color w:val="auto"/>
              </w:rPr>
              <w:t>9,166</w:t>
            </w:r>
          </w:p>
        </w:tc>
        <w:tc>
          <w:tcPr>
            <w:tcW w:w="140" w:type="dxa"/>
            <w:vAlign w:val="bottom"/>
          </w:tcPr>
          <w:p>
            <w:pPr>
              <w:spacing w:after="0"/>
              <w:rPr>
                <w:sz w:val="19"/>
                <w:szCs w:val="19"/>
                <w:color w:val="auto"/>
              </w:rPr>
            </w:pPr>
          </w:p>
        </w:tc>
        <w:tc>
          <w:tcPr>
            <w:tcW w:w="1020" w:type="dxa"/>
            <w:vAlign w:val="bottom"/>
          </w:tcPr>
          <w:p>
            <w:pPr>
              <w:jc w:val="right"/>
              <w:ind w:right="42"/>
              <w:spacing w:after="0"/>
              <w:rPr>
                <w:sz w:val="20"/>
                <w:szCs w:val="20"/>
                <w:color w:val="auto"/>
              </w:rPr>
            </w:pPr>
            <w:r>
              <w:rPr>
                <w:rFonts w:ascii="Arial" w:cs="Arial" w:eastAsia="Arial" w:hAnsi="Arial"/>
                <w:sz w:val="16"/>
                <w:szCs w:val="16"/>
                <w:color w:val="auto"/>
              </w:rPr>
              <w:t>7,871</w:t>
            </w:r>
          </w:p>
        </w:tc>
        <w:tc>
          <w:tcPr>
            <w:tcW w:w="160" w:type="dxa"/>
            <w:vAlign w:val="bottom"/>
          </w:tcPr>
          <w:p>
            <w:pPr>
              <w:spacing w:after="0"/>
              <w:rPr>
                <w:sz w:val="19"/>
                <w:szCs w:val="19"/>
                <w:color w:val="auto"/>
              </w:rPr>
            </w:pPr>
          </w:p>
        </w:tc>
        <w:tc>
          <w:tcPr>
            <w:tcW w:w="1020" w:type="dxa"/>
            <w:vAlign w:val="bottom"/>
          </w:tcPr>
          <w:p>
            <w:pPr>
              <w:jc w:val="right"/>
              <w:ind w:right="42"/>
              <w:spacing w:after="0"/>
              <w:rPr>
                <w:sz w:val="20"/>
                <w:szCs w:val="20"/>
                <w:color w:val="auto"/>
              </w:rPr>
            </w:pPr>
            <w:r>
              <w:rPr>
                <w:rFonts w:ascii="Arial" w:cs="Arial" w:eastAsia="Arial" w:hAnsi="Arial"/>
                <w:sz w:val="16"/>
                <w:szCs w:val="16"/>
                <w:color w:val="auto"/>
              </w:rPr>
              <w:t>6,591</w:t>
            </w:r>
          </w:p>
        </w:tc>
      </w:tr>
      <w:tr>
        <w:trPr>
          <w:trHeight w:val="226"/>
        </w:trPr>
        <w:tc>
          <w:tcPr>
            <w:tcW w:w="7760" w:type="dxa"/>
            <w:vAlign w:val="bottom"/>
            <w:gridSpan w:val="4"/>
          </w:tcPr>
          <w:p>
            <w:pPr>
              <w:spacing w:after="0"/>
              <w:rPr>
                <w:sz w:val="20"/>
                <w:szCs w:val="20"/>
                <w:color w:val="auto"/>
              </w:rPr>
            </w:pPr>
            <w:r>
              <w:rPr>
                <w:rFonts w:ascii="Arial" w:cs="Arial" w:eastAsia="Arial" w:hAnsi="Arial"/>
                <w:sz w:val="18"/>
                <w:szCs w:val="18"/>
                <w:color w:val="auto"/>
              </w:rPr>
              <w:t>K. Gerron</w:t>
            </w:r>
          </w:p>
        </w:tc>
        <w:tc>
          <w:tcPr>
            <w:tcW w:w="580" w:type="dxa"/>
            <w:vAlign w:val="bottom"/>
          </w:tcPr>
          <w:p>
            <w:pPr>
              <w:jc w:val="right"/>
              <w:ind w:right="40"/>
              <w:spacing w:after="0"/>
              <w:rPr>
                <w:sz w:val="20"/>
                <w:szCs w:val="20"/>
                <w:color w:val="auto"/>
              </w:rPr>
            </w:pPr>
            <w:r>
              <w:rPr>
                <w:rFonts w:ascii="Arial" w:cs="Arial" w:eastAsia="Arial" w:hAnsi="Arial"/>
                <w:sz w:val="16"/>
                <w:szCs w:val="16"/>
                <w:color w:val="auto"/>
              </w:rPr>
              <w:t>7,266</w:t>
            </w:r>
          </w:p>
        </w:tc>
        <w:tc>
          <w:tcPr>
            <w:tcW w:w="140" w:type="dxa"/>
            <w:vAlign w:val="bottom"/>
          </w:tcPr>
          <w:p>
            <w:pPr>
              <w:spacing w:after="0"/>
              <w:rPr>
                <w:sz w:val="19"/>
                <w:szCs w:val="19"/>
                <w:color w:val="auto"/>
              </w:rPr>
            </w:pPr>
          </w:p>
        </w:tc>
        <w:tc>
          <w:tcPr>
            <w:tcW w:w="1020" w:type="dxa"/>
            <w:vAlign w:val="bottom"/>
          </w:tcPr>
          <w:p>
            <w:pPr>
              <w:jc w:val="right"/>
              <w:ind w:right="42"/>
              <w:spacing w:after="0"/>
              <w:rPr>
                <w:sz w:val="20"/>
                <w:szCs w:val="20"/>
                <w:color w:val="auto"/>
              </w:rPr>
            </w:pPr>
            <w:r>
              <w:rPr>
                <w:rFonts w:ascii="Arial" w:cs="Arial" w:eastAsia="Arial" w:hAnsi="Arial"/>
                <w:sz w:val="16"/>
                <w:szCs w:val="16"/>
                <w:color w:val="auto"/>
              </w:rPr>
              <w:t>6,264</w:t>
            </w:r>
          </w:p>
        </w:tc>
        <w:tc>
          <w:tcPr>
            <w:tcW w:w="160" w:type="dxa"/>
            <w:vAlign w:val="bottom"/>
          </w:tcPr>
          <w:p>
            <w:pPr>
              <w:spacing w:after="0"/>
              <w:rPr>
                <w:sz w:val="19"/>
                <w:szCs w:val="19"/>
                <w:color w:val="auto"/>
              </w:rPr>
            </w:pPr>
          </w:p>
        </w:tc>
        <w:tc>
          <w:tcPr>
            <w:tcW w:w="1020" w:type="dxa"/>
            <w:vAlign w:val="bottom"/>
          </w:tcPr>
          <w:p>
            <w:pPr>
              <w:jc w:val="right"/>
              <w:ind w:right="42"/>
              <w:spacing w:after="0"/>
              <w:rPr>
                <w:sz w:val="20"/>
                <w:szCs w:val="20"/>
                <w:color w:val="auto"/>
              </w:rPr>
            </w:pPr>
            <w:r>
              <w:rPr>
                <w:rFonts w:ascii="Arial" w:cs="Arial" w:eastAsia="Arial" w:hAnsi="Arial"/>
                <w:sz w:val="16"/>
                <w:szCs w:val="16"/>
                <w:color w:val="auto"/>
              </w:rPr>
              <w:t>5,143</w:t>
            </w:r>
          </w:p>
        </w:tc>
      </w:tr>
      <w:tr>
        <w:trPr>
          <w:trHeight w:val="226"/>
        </w:trPr>
        <w:tc>
          <w:tcPr>
            <w:tcW w:w="7760" w:type="dxa"/>
            <w:vAlign w:val="bottom"/>
            <w:gridSpan w:val="4"/>
          </w:tcPr>
          <w:p>
            <w:pPr>
              <w:ind w:left="20"/>
              <w:spacing w:after="0"/>
              <w:rPr>
                <w:sz w:val="20"/>
                <w:szCs w:val="20"/>
                <w:color w:val="auto"/>
              </w:rPr>
            </w:pPr>
            <w:r>
              <w:rPr>
                <w:rFonts w:ascii="Arial" w:cs="Arial" w:eastAsia="Arial" w:hAnsi="Arial"/>
                <w:sz w:val="18"/>
                <w:szCs w:val="18"/>
                <w:color w:val="auto"/>
              </w:rPr>
              <w:t>n Paddon</w:t>
            </w:r>
          </w:p>
        </w:tc>
        <w:tc>
          <w:tcPr>
            <w:tcW w:w="580" w:type="dxa"/>
            <w:vAlign w:val="bottom"/>
          </w:tcPr>
          <w:p>
            <w:pPr>
              <w:jc w:val="right"/>
              <w:ind w:right="40"/>
              <w:spacing w:after="0"/>
              <w:rPr>
                <w:sz w:val="20"/>
                <w:szCs w:val="20"/>
                <w:color w:val="auto"/>
              </w:rPr>
            </w:pPr>
            <w:r>
              <w:rPr>
                <w:rFonts w:ascii="Arial" w:cs="Arial" w:eastAsia="Arial" w:hAnsi="Arial"/>
                <w:sz w:val="16"/>
                <w:szCs w:val="16"/>
                <w:color w:val="auto"/>
              </w:rPr>
              <w:t>8,185</w:t>
            </w:r>
          </w:p>
        </w:tc>
        <w:tc>
          <w:tcPr>
            <w:tcW w:w="140" w:type="dxa"/>
            <w:vAlign w:val="bottom"/>
          </w:tcPr>
          <w:p>
            <w:pPr>
              <w:spacing w:after="0"/>
              <w:rPr>
                <w:sz w:val="19"/>
                <w:szCs w:val="19"/>
                <w:color w:val="auto"/>
              </w:rPr>
            </w:pPr>
          </w:p>
        </w:tc>
        <w:tc>
          <w:tcPr>
            <w:tcW w:w="1020" w:type="dxa"/>
            <w:vAlign w:val="bottom"/>
          </w:tcPr>
          <w:p>
            <w:pPr>
              <w:jc w:val="right"/>
              <w:ind w:right="42"/>
              <w:spacing w:after="0"/>
              <w:rPr>
                <w:sz w:val="20"/>
                <w:szCs w:val="20"/>
                <w:color w:val="auto"/>
              </w:rPr>
            </w:pPr>
            <w:r>
              <w:rPr>
                <w:rFonts w:ascii="Arial" w:cs="Arial" w:eastAsia="Arial" w:hAnsi="Arial"/>
                <w:sz w:val="16"/>
                <w:szCs w:val="16"/>
                <w:color w:val="auto"/>
              </w:rPr>
              <w:t>8,046</w:t>
            </w:r>
          </w:p>
        </w:tc>
        <w:tc>
          <w:tcPr>
            <w:tcW w:w="160" w:type="dxa"/>
            <w:vAlign w:val="bottom"/>
          </w:tcPr>
          <w:p>
            <w:pPr>
              <w:spacing w:after="0"/>
              <w:rPr>
                <w:sz w:val="19"/>
                <w:szCs w:val="19"/>
                <w:color w:val="auto"/>
              </w:rPr>
            </w:pPr>
          </w:p>
        </w:tc>
        <w:tc>
          <w:tcPr>
            <w:tcW w:w="1020" w:type="dxa"/>
            <w:vAlign w:val="bottom"/>
          </w:tcPr>
          <w:p>
            <w:pPr>
              <w:jc w:val="right"/>
              <w:ind w:right="42"/>
              <w:spacing w:after="0"/>
              <w:rPr>
                <w:sz w:val="20"/>
                <w:szCs w:val="20"/>
                <w:color w:val="auto"/>
              </w:rPr>
            </w:pPr>
            <w:r>
              <w:rPr>
                <w:rFonts w:ascii="Arial" w:cs="Arial" w:eastAsia="Arial" w:hAnsi="Arial"/>
                <w:sz w:val="16"/>
                <w:szCs w:val="16"/>
                <w:color w:val="auto"/>
              </w:rPr>
              <w:t>6,606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-285115</wp:posOffset>
            </wp:positionV>
            <wp:extent cx="6730365" cy="1435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730365" cy="143510"/>
                    </a:xfrm>
                    <a:prstGeom prst="rect">
                      <a:avLst/>
                    </a:prstGeom>
                    <a:noFill/>
                  </pic:spPr>
                </pic:pic>
              </a:graphicData>
            </a:graphic>
          </wp:anchor>
        </w:drawing>
      </w:r>
    </w:p>
    <w:p>
      <w:pPr>
        <w:spacing w:after="0" w:line="200" w:lineRule="exact"/>
        <w:rPr>
          <w:sz w:val="20"/>
          <w:szCs w:val="20"/>
          <w:color w:val="auto"/>
        </w:rPr>
      </w:pPr>
    </w:p>
    <w:p>
      <w:pPr>
        <w:spacing w:after="0" w:line="386"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Stock Vested in 2021</w:t>
      </w:r>
    </w:p>
    <w:p>
      <w:pPr>
        <w:spacing w:after="0" w:line="9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summarizes all shares vested by our named executive officers for the year ended December 31, 2021.</w:t>
      </w:r>
    </w:p>
    <w:p>
      <w:pPr>
        <w:spacing w:after="0" w:line="247" w:lineRule="exact"/>
        <w:rPr>
          <w:sz w:val="20"/>
          <w:szCs w:val="20"/>
          <w:color w:val="auto"/>
        </w:rPr>
      </w:pPr>
    </w:p>
    <w:tbl>
      <w:tblPr>
        <w:tblLayout w:type="fixed"/>
        <w:tblInd w:w="80" w:type="dxa"/>
        <w:tblCellMar>
          <w:top w:w="0" w:type="dxa"/>
          <w:left w:w="0" w:type="dxa"/>
          <w:bottom w:w="0" w:type="dxa"/>
          <w:right w:w="0" w:type="dxa"/>
        </w:tblCellMar>
      </w:tblPr>
      <w:tr>
        <w:trPr>
          <w:trHeight w:val="190"/>
        </w:trPr>
        <w:tc>
          <w:tcPr>
            <w:tcW w:w="7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40" w:type="dxa"/>
            <w:vAlign w:val="bottom"/>
            <w:tcBorders>
              <w:bottom w:val="single" w:sz="8" w:color="auto"/>
            </w:tcBorders>
            <w:gridSpan w:val="3"/>
          </w:tcPr>
          <w:p>
            <w:pPr>
              <w:ind w:left="1620"/>
              <w:spacing w:after="0"/>
              <w:rPr>
                <w:sz w:val="20"/>
                <w:szCs w:val="20"/>
                <w:color w:val="auto"/>
              </w:rPr>
            </w:pPr>
            <w:r>
              <w:rPr>
                <w:rFonts w:ascii="Arial" w:cs="Arial" w:eastAsia="Arial" w:hAnsi="Arial"/>
                <w:sz w:val="14"/>
                <w:szCs w:val="14"/>
                <w:b w:val="1"/>
                <w:bCs w:val="1"/>
                <w:color w:val="auto"/>
                <w:w w:val="97"/>
              </w:rPr>
              <w:t>Stock Awards</w:t>
            </w:r>
          </w:p>
        </w:tc>
        <w:tc>
          <w:tcPr>
            <w:tcW w:w="15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7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40" w:type="dxa"/>
            <w:vAlign w:val="bottom"/>
            <w:gridSpan w:val="3"/>
          </w:tcPr>
          <w:p>
            <w:pPr>
              <w:jc w:val="center"/>
              <w:ind w:right="560"/>
              <w:spacing w:after="0" w:line="131" w:lineRule="exact"/>
              <w:rPr>
                <w:sz w:val="20"/>
                <w:szCs w:val="20"/>
                <w:color w:val="auto"/>
              </w:rPr>
            </w:pPr>
            <w:r>
              <w:rPr>
                <w:rFonts w:ascii="Arial" w:cs="Arial" w:eastAsia="Arial" w:hAnsi="Arial"/>
                <w:sz w:val="14"/>
                <w:szCs w:val="14"/>
                <w:b w:val="1"/>
                <w:bCs w:val="1"/>
                <w:color w:val="auto"/>
                <w:w w:val="91"/>
              </w:rPr>
              <w:t>Number of Shares</w:t>
            </w:r>
          </w:p>
        </w:tc>
        <w:tc>
          <w:tcPr>
            <w:tcW w:w="1540" w:type="dxa"/>
            <w:vAlign w:val="bottom"/>
          </w:tcPr>
          <w:p>
            <w:pPr>
              <w:jc w:val="center"/>
              <w:ind w:right="359"/>
              <w:spacing w:after="0" w:line="131" w:lineRule="exact"/>
              <w:rPr>
                <w:sz w:val="20"/>
                <w:szCs w:val="20"/>
                <w:color w:val="auto"/>
              </w:rPr>
            </w:pPr>
            <w:r>
              <w:rPr>
                <w:rFonts w:ascii="Arial" w:cs="Arial" w:eastAsia="Arial" w:hAnsi="Arial"/>
                <w:sz w:val="14"/>
                <w:szCs w:val="14"/>
                <w:b w:val="1"/>
                <w:bCs w:val="1"/>
                <w:color w:val="auto"/>
                <w:w w:val="91"/>
              </w:rPr>
              <w:t>Value Realized</w:t>
            </w:r>
          </w:p>
        </w:tc>
        <w:tc>
          <w:tcPr>
            <w:tcW w:w="0" w:type="dxa"/>
            <w:vAlign w:val="bottom"/>
          </w:tcPr>
          <w:p>
            <w:pPr>
              <w:spacing w:after="0"/>
              <w:rPr>
                <w:sz w:val="1"/>
                <w:szCs w:val="1"/>
                <w:color w:val="auto"/>
              </w:rPr>
            </w:pPr>
          </w:p>
        </w:tc>
      </w:tr>
      <w:tr>
        <w:trPr>
          <w:trHeight w:val="133"/>
        </w:trPr>
        <w:tc>
          <w:tcPr>
            <w:tcW w:w="7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40" w:type="dxa"/>
            <w:vAlign w:val="bottom"/>
            <w:gridSpan w:val="3"/>
          </w:tcPr>
          <w:p>
            <w:pPr>
              <w:jc w:val="center"/>
              <w:ind w:right="560"/>
              <w:spacing w:after="0" w:line="133" w:lineRule="exact"/>
              <w:rPr>
                <w:sz w:val="20"/>
                <w:szCs w:val="20"/>
                <w:color w:val="auto"/>
              </w:rPr>
            </w:pPr>
            <w:r>
              <w:rPr>
                <w:rFonts w:ascii="Arial" w:cs="Arial" w:eastAsia="Arial" w:hAnsi="Arial"/>
                <w:sz w:val="14"/>
                <w:szCs w:val="14"/>
                <w:b w:val="1"/>
                <w:bCs w:val="1"/>
                <w:color w:val="auto"/>
                <w:w w:val="90"/>
              </w:rPr>
              <w:t>Acquired on</w:t>
            </w:r>
          </w:p>
        </w:tc>
        <w:tc>
          <w:tcPr>
            <w:tcW w:w="1540" w:type="dxa"/>
            <w:vAlign w:val="bottom"/>
          </w:tcPr>
          <w:p>
            <w:pPr>
              <w:jc w:val="center"/>
              <w:ind w:right="359"/>
              <w:spacing w:after="0" w:line="133" w:lineRule="exact"/>
              <w:rPr>
                <w:sz w:val="20"/>
                <w:szCs w:val="20"/>
                <w:color w:val="auto"/>
              </w:rPr>
            </w:pPr>
            <w:r>
              <w:rPr>
                <w:rFonts w:ascii="Arial" w:cs="Arial" w:eastAsia="Arial" w:hAnsi="Arial"/>
                <w:sz w:val="14"/>
                <w:szCs w:val="14"/>
                <w:b w:val="1"/>
                <w:bCs w:val="1"/>
                <w:color w:val="auto"/>
                <w:w w:val="88"/>
              </w:rPr>
              <w:t>on Vesting ($)</w:t>
            </w:r>
          </w:p>
        </w:tc>
        <w:tc>
          <w:tcPr>
            <w:tcW w:w="0" w:type="dxa"/>
            <w:vAlign w:val="bottom"/>
          </w:tcPr>
          <w:p>
            <w:pPr>
              <w:spacing w:after="0"/>
              <w:rPr>
                <w:sz w:val="1"/>
                <w:szCs w:val="1"/>
                <w:color w:val="auto"/>
              </w:rPr>
            </w:pPr>
          </w:p>
        </w:tc>
      </w:tr>
      <w:tr>
        <w:trPr>
          <w:trHeight w:val="133"/>
        </w:trPr>
        <w:tc>
          <w:tcPr>
            <w:tcW w:w="70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100" w:type="dxa"/>
            <w:vAlign w:val="bottom"/>
            <w:vMerge w:val="restart"/>
          </w:tcPr>
          <w:p>
            <w:pPr>
              <w:spacing w:after="0"/>
              <w:rPr>
                <w:sz w:val="11"/>
                <w:szCs w:val="11"/>
                <w:color w:val="auto"/>
              </w:rPr>
            </w:pPr>
          </w:p>
        </w:tc>
        <w:tc>
          <w:tcPr>
            <w:tcW w:w="2540" w:type="dxa"/>
            <w:vAlign w:val="bottom"/>
            <w:gridSpan w:val="3"/>
          </w:tcPr>
          <w:p>
            <w:pPr>
              <w:jc w:val="center"/>
              <w:ind w:right="560"/>
              <w:spacing w:after="0" w:line="133" w:lineRule="exact"/>
              <w:rPr>
                <w:sz w:val="20"/>
                <w:szCs w:val="20"/>
                <w:color w:val="auto"/>
              </w:rPr>
            </w:pPr>
            <w:r>
              <w:rPr>
                <w:rFonts w:ascii="Arial" w:cs="Arial" w:eastAsia="Arial" w:hAnsi="Arial"/>
                <w:sz w:val="14"/>
                <w:szCs w:val="14"/>
                <w:b w:val="1"/>
                <w:bCs w:val="1"/>
                <w:color w:val="auto"/>
                <w:w w:val="92"/>
              </w:rPr>
              <w:t>Vesting (#)</w:t>
            </w:r>
          </w:p>
        </w:tc>
        <w:tc>
          <w:tcPr>
            <w:tcW w:w="1540" w:type="dxa"/>
            <w:vAlign w:val="bottom"/>
          </w:tcPr>
          <w:p>
            <w:pPr>
              <w:jc w:val="center"/>
              <w:ind w:right="359"/>
              <w:spacing w:after="0" w:line="133" w:lineRule="exact"/>
              <w:rPr>
                <w:sz w:val="20"/>
                <w:szCs w:val="20"/>
                <w:color w:val="auto"/>
              </w:rPr>
            </w:pPr>
            <w:r>
              <w:rPr>
                <w:rFonts w:ascii="Arial" w:cs="Arial" w:eastAsia="Arial" w:hAnsi="Arial"/>
                <w:sz w:val="14"/>
                <w:szCs w:val="14"/>
                <w:b w:val="1"/>
                <w:bCs w:val="1"/>
                <w:color w:val="auto"/>
              </w:rPr>
              <w:t>(b)</w:t>
            </w:r>
          </w:p>
        </w:tc>
        <w:tc>
          <w:tcPr>
            <w:tcW w:w="0" w:type="dxa"/>
            <w:vAlign w:val="bottom"/>
          </w:tcPr>
          <w:p>
            <w:pPr>
              <w:spacing w:after="0"/>
              <w:rPr>
                <w:sz w:val="1"/>
                <w:szCs w:val="1"/>
                <w:color w:val="auto"/>
              </w:rPr>
            </w:pPr>
          </w:p>
        </w:tc>
      </w:tr>
      <w:tr>
        <w:trPr>
          <w:trHeight w:val="185"/>
        </w:trPr>
        <w:tc>
          <w:tcPr>
            <w:tcW w:w="70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center"/>
              <w:ind w:right="379"/>
              <w:spacing w:after="0"/>
              <w:rPr>
                <w:sz w:val="20"/>
                <w:szCs w:val="20"/>
                <w:color w:val="auto"/>
              </w:rPr>
            </w:pPr>
            <w:r>
              <w:rPr>
                <w:rFonts w:ascii="Arial" w:cs="Arial" w:eastAsia="Arial" w:hAnsi="Arial"/>
                <w:sz w:val="14"/>
                <w:szCs w:val="14"/>
                <w:b w:val="1"/>
                <w:bCs w:val="1"/>
                <w:color w:val="auto"/>
                <w:w w:val="93"/>
              </w:rPr>
              <w:t>(1)</w:t>
            </w:r>
          </w:p>
        </w:tc>
        <w:tc>
          <w:tcPr>
            <w:tcW w:w="0" w:type="dxa"/>
            <w:vAlign w:val="bottom"/>
          </w:tcPr>
          <w:p>
            <w:pPr>
              <w:spacing w:after="0"/>
              <w:rPr>
                <w:sz w:val="1"/>
                <w:szCs w:val="1"/>
                <w:color w:val="auto"/>
              </w:rPr>
            </w:pPr>
          </w:p>
        </w:tc>
      </w:tr>
      <w:tr>
        <w:trPr>
          <w:trHeight w:val="220"/>
        </w:trPr>
        <w:tc>
          <w:tcPr>
            <w:tcW w:w="71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Brian O. Casey</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216,576</w:t>
            </w:r>
          </w:p>
        </w:tc>
        <w:tc>
          <w:tcPr>
            <w:tcW w:w="0" w:type="dxa"/>
            <w:vAlign w:val="bottom"/>
          </w:tcPr>
          <w:p>
            <w:pPr>
              <w:spacing w:after="0"/>
              <w:rPr>
                <w:sz w:val="1"/>
                <w:szCs w:val="1"/>
                <w:color w:val="auto"/>
              </w:rPr>
            </w:pPr>
          </w:p>
        </w:tc>
      </w:tr>
      <w:tr>
        <w:trPr>
          <w:trHeight w:val="225"/>
        </w:trPr>
        <w:tc>
          <w:tcPr>
            <w:tcW w:w="7160" w:type="dxa"/>
            <w:vAlign w:val="bottom"/>
            <w:gridSpan w:val="2"/>
          </w:tcPr>
          <w:p>
            <w:pPr>
              <w:ind w:left="180"/>
              <w:spacing w:after="0"/>
              <w:rPr>
                <w:sz w:val="20"/>
                <w:szCs w:val="20"/>
                <w:color w:val="auto"/>
              </w:rPr>
            </w:pPr>
            <w:r>
              <w:rPr>
                <w:rFonts w:ascii="Arial" w:cs="Arial" w:eastAsia="Arial" w:hAnsi="Arial"/>
                <w:sz w:val="18"/>
                <w:szCs w:val="18"/>
                <w:color w:val="auto"/>
              </w:rPr>
              <w:t>Terry Forbes</w:t>
            </w:r>
          </w:p>
        </w:tc>
        <w:tc>
          <w:tcPr>
            <w:tcW w:w="1980" w:type="dxa"/>
            <w:vAlign w:val="bottom"/>
          </w:tcPr>
          <w:p>
            <w:pPr>
              <w:jc w:val="right"/>
              <w:spacing w:after="0"/>
              <w:rPr>
                <w:sz w:val="20"/>
                <w:szCs w:val="20"/>
                <w:color w:val="auto"/>
              </w:rPr>
            </w:pPr>
            <w:r>
              <w:rPr>
                <w:rFonts w:ascii="Arial" w:cs="Arial" w:eastAsia="Arial" w:hAnsi="Arial"/>
                <w:sz w:val="18"/>
                <w:szCs w:val="18"/>
                <w:color w:val="auto"/>
              </w:rPr>
              <w:t>3,630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62,218</w:t>
            </w:r>
          </w:p>
        </w:tc>
        <w:tc>
          <w:tcPr>
            <w:tcW w:w="0" w:type="dxa"/>
            <w:vAlign w:val="bottom"/>
          </w:tcPr>
          <w:p>
            <w:pPr>
              <w:spacing w:after="0"/>
              <w:rPr>
                <w:sz w:val="1"/>
                <w:szCs w:val="1"/>
                <w:color w:val="auto"/>
              </w:rPr>
            </w:pPr>
          </w:p>
        </w:tc>
      </w:tr>
      <w:tr>
        <w:trPr>
          <w:trHeight w:val="226"/>
        </w:trPr>
        <w:tc>
          <w:tcPr>
            <w:tcW w:w="71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Fabian Gomez</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118,523</w:t>
            </w:r>
          </w:p>
        </w:tc>
        <w:tc>
          <w:tcPr>
            <w:tcW w:w="0" w:type="dxa"/>
            <w:vAlign w:val="bottom"/>
          </w:tcPr>
          <w:p>
            <w:pPr>
              <w:spacing w:after="0"/>
              <w:rPr>
                <w:sz w:val="1"/>
                <w:szCs w:val="1"/>
                <w:color w:val="auto"/>
              </w:rPr>
            </w:pPr>
          </w:p>
        </w:tc>
      </w:tr>
      <w:tr>
        <w:trPr>
          <w:trHeight w:val="225"/>
        </w:trPr>
        <w:tc>
          <w:tcPr>
            <w:tcW w:w="7160" w:type="dxa"/>
            <w:vAlign w:val="bottom"/>
            <w:gridSpan w:val="2"/>
          </w:tcPr>
          <w:p>
            <w:pPr>
              <w:ind w:left="180"/>
              <w:spacing w:after="0"/>
              <w:rPr>
                <w:sz w:val="20"/>
                <w:szCs w:val="20"/>
                <w:color w:val="auto"/>
              </w:rPr>
            </w:pPr>
            <w:r>
              <w:rPr>
                <w:rFonts w:ascii="Arial" w:cs="Arial" w:eastAsia="Arial" w:hAnsi="Arial"/>
                <w:sz w:val="18"/>
                <w:szCs w:val="18"/>
                <w:color w:val="auto"/>
              </w:rPr>
              <w:t>Julie K. Gerron</w:t>
            </w:r>
          </w:p>
        </w:tc>
        <w:tc>
          <w:tcPr>
            <w:tcW w:w="1980" w:type="dxa"/>
            <w:vAlign w:val="bottom"/>
          </w:tcPr>
          <w:p>
            <w:pPr>
              <w:jc w:val="right"/>
              <w:spacing w:after="0"/>
              <w:rPr>
                <w:sz w:val="20"/>
                <w:szCs w:val="20"/>
                <w:color w:val="auto"/>
              </w:rPr>
            </w:pPr>
            <w:r>
              <w:rPr>
                <w:rFonts w:ascii="Arial" w:cs="Arial" w:eastAsia="Arial" w:hAnsi="Arial"/>
                <w:sz w:val="18"/>
                <w:szCs w:val="18"/>
                <w:color w:val="auto"/>
              </w:rPr>
              <w:t>5,528</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94,750</w:t>
            </w:r>
          </w:p>
        </w:tc>
        <w:tc>
          <w:tcPr>
            <w:tcW w:w="0" w:type="dxa"/>
            <w:vAlign w:val="bottom"/>
          </w:tcPr>
          <w:p>
            <w:pPr>
              <w:spacing w:after="0"/>
              <w:rPr>
                <w:sz w:val="1"/>
                <w:szCs w:val="1"/>
                <w:color w:val="auto"/>
              </w:rPr>
            </w:pPr>
          </w:p>
        </w:tc>
      </w:tr>
      <w:tr>
        <w:trPr>
          <w:trHeight w:val="226"/>
        </w:trPr>
        <w:tc>
          <w:tcPr>
            <w:tcW w:w="71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Steven Paddon</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4,914</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84,226</w:t>
            </w:r>
          </w:p>
        </w:tc>
        <w:tc>
          <w:tcPr>
            <w:tcW w:w="0" w:type="dxa"/>
            <w:vAlign w:val="bottom"/>
          </w:tcPr>
          <w:p>
            <w:pPr>
              <w:spacing w:after="0"/>
              <w:rPr>
                <w:sz w:val="1"/>
                <w:szCs w:val="1"/>
                <w:color w:val="auto"/>
              </w:rPr>
            </w:pPr>
          </w:p>
        </w:tc>
      </w:tr>
    </w:tbl>
    <w:p>
      <w:pPr>
        <w:spacing w:after="0" w:line="61" w:lineRule="exact"/>
        <w:rPr>
          <w:sz w:val="20"/>
          <w:szCs w:val="20"/>
          <w:color w:val="auto"/>
        </w:rPr>
      </w:pPr>
    </w:p>
    <w:p>
      <w:pPr>
        <w:ind w:left="80"/>
        <w:spacing w:after="0"/>
        <w:tabs>
          <w:tab w:leader="none" w:pos="360" w:val="left"/>
        </w:tabs>
        <w:rPr>
          <w:sz w:val="20"/>
          <w:szCs w:val="20"/>
          <w:color w:val="auto"/>
        </w:rPr>
      </w:pPr>
      <w:r>
        <w:rPr>
          <w:rFonts w:ascii="Arial" w:cs="Arial" w:eastAsia="Arial" w:hAnsi="Arial"/>
          <w:sz w:val="14"/>
          <w:szCs w:val="14"/>
          <w:color w:val="auto"/>
        </w:rPr>
        <w:t>(1)</w:t>
      </w:r>
      <w:r>
        <w:rPr>
          <w:sz w:val="20"/>
          <w:szCs w:val="20"/>
          <w:color w:val="auto"/>
        </w:rPr>
        <w:tab/>
      </w:r>
      <w:r>
        <w:rPr>
          <w:rFonts w:ascii="Arial" w:cs="Arial" w:eastAsia="Arial" w:hAnsi="Arial"/>
          <w:sz w:val="12"/>
          <w:szCs w:val="12"/>
          <w:color w:val="auto"/>
        </w:rPr>
        <w:t>Values in column (b) reflect shares that vested as of February 23, 2021 at a market value of $17.14 per share, except for Mr. Casey's, which vested as of March 9, 2021 at a market value of</w:t>
      </w:r>
    </w:p>
    <w:p>
      <w:pPr>
        <w:spacing w:after="0" w:line="10" w:lineRule="exact"/>
        <w:rPr>
          <w:sz w:val="20"/>
          <w:szCs w:val="20"/>
          <w:color w:val="auto"/>
        </w:rPr>
      </w:pPr>
    </w:p>
    <w:p>
      <w:pPr>
        <w:ind w:left="80" w:right="40"/>
        <w:spacing w:after="0" w:line="247" w:lineRule="auto"/>
        <w:rPr>
          <w:sz w:val="20"/>
          <w:szCs w:val="20"/>
          <w:color w:val="auto"/>
        </w:rPr>
      </w:pPr>
      <w:r>
        <w:rPr>
          <w:rFonts w:ascii="Arial" w:cs="Arial" w:eastAsia="Arial" w:hAnsi="Arial"/>
          <w:sz w:val="14"/>
          <w:szCs w:val="14"/>
          <w:color w:val="auto"/>
        </w:rPr>
        <w:t>$17.71 per share. Shares vested for Mr. Casey represent performance-based restricted stock and shares vested for Messrs. Forbes, Gomez and Paddon and Ms. Gerron represent time-vested restricted stock.</w:t>
      </w:r>
    </w:p>
    <w:p>
      <w:pPr>
        <w:spacing w:after="0" w:line="81"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117" w:lineRule="exact"/>
        <w:rPr>
          <w:sz w:val="20"/>
          <w:szCs w:val="20"/>
          <w:color w:val="auto"/>
        </w:rPr>
      </w:pPr>
    </w:p>
    <w:p>
      <w:pPr>
        <w:jc w:val="both"/>
        <w:ind w:left="80" w:right="100" w:firstLine="398"/>
        <w:spacing w:after="0" w:line="252" w:lineRule="auto"/>
        <w:rPr>
          <w:sz w:val="20"/>
          <w:szCs w:val="20"/>
          <w:color w:val="auto"/>
        </w:rPr>
      </w:pPr>
      <w:r>
        <w:rPr>
          <w:rFonts w:ascii="Arial" w:cs="Arial" w:eastAsia="Arial" w:hAnsi="Arial"/>
          <w:sz w:val="18"/>
          <w:szCs w:val="18"/>
          <w:color w:val="auto"/>
        </w:rPr>
        <w:t>Set forth below is a summary of the compensation and benefits payable to Messrs. Casey, Forbes, Gomez and Paddon and Ms. Gerron in the event their employment is terminated. For purposes of this disclosure, we have calculated benefits assuming a December 31, 2021 termination date. As of December 31, 2021, an executive employment agreement was in effect with Mr. Casey. For further information on employment agreements, see "Employment and Related Agreements" above.</w:t>
      </w:r>
    </w:p>
    <w:p>
      <w:pPr>
        <w:spacing w:after="0" w:line="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20"/>
          </w:cols>
          <w:pgMar w:left="240" w:top="691" w:right="339" w:bottom="1440" w:gutter="0" w:footer="0" w:header="0"/>
        </w:sectPr>
      </w:pPr>
    </w:p>
    <w:bookmarkStart w:id="36" w:name="page37"/>
    <w:bookmarkEnd w:id="36"/>
    <w:p>
      <w:pPr>
        <w:ind w:right="100" w:firstLine="398"/>
        <w:spacing w:after="0" w:line="309" w:lineRule="auto"/>
        <w:rPr>
          <w:sz w:val="20"/>
          <w:szCs w:val="20"/>
          <w:color w:val="auto"/>
        </w:rPr>
      </w:pPr>
      <w:r>
        <w:rPr>
          <w:rFonts w:ascii="Arial" w:cs="Arial" w:eastAsia="Arial" w:hAnsi="Arial"/>
          <w:sz w:val="15"/>
          <w:szCs w:val="15"/>
          <w:color w:val="auto"/>
        </w:rPr>
        <w:t>Under the terms of our Stock Incentive Plan, in the event of their death or a "change in control" of the Company, unvested time-vested restricted stock awards would vest for Messrs. Forbes, Gomez and Paddon and Ms. Gerron. These shares had a value of $244,360 for Mr. Forbes, $400,258 for Mr. Gomez, $316,321 for Ms. Gerron and $386,859 for Mr. Paddon as of December 31, 2021. Other than the terms of Mr. Forbes's employee confidentiality and non-compete agreement and Mr. Gomez's severance benefit agreement discussed in "Employment and Related Agreements" above and the acceleration of restricted stock awards for Messrs. Forbes, Gomez and Paddon and Ms. Gerron upon death or a "change in control," they are not contractually entitled to any other severance payments upon their termination or a "change in control" of the Company.</w:t>
      </w:r>
    </w:p>
    <w:p>
      <w:pPr>
        <w:spacing w:after="0" w:line="47" w:lineRule="exact"/>
        <w:rPr>
          <w:sz w:val="20"/>
          <w:szCs w:val="20"/>
          <w:color w:val="auto"/>
        </w:rPr>
      </w:pPr>
    </w:p>
    <w:p>
      <w:pPr>
        <w:ind w:right="40" w:firstLine="398"/>
        <w:spacing w:after="0" w:line="252" w:lineRule="auto"/>
        <w:rPr>
          <w:sz w:val="20"/>
          <w:szCs w:val="20"/>
          <w:color w:val="auto"/>
        </w:rPr>
      </w:pPr>
      <w:r>
        <w:rPr>
          <w:rFonts w:ascii="Arial" w:cs="Arial" w:eastAsia="Arial" w:hAnsi="Arial"/>
          <w:sz w:val="18"/>
          <w:szCs w:val="18"/>
          <w:color w:val="auto"/>
        </w:rPr>
        <w:t>Under the employment agreement in place, payments to Mr. Casey could vary depending on the cause of termination and whether or not the Board of Directors elects to enforce a non-compete agreement. Mr. Casey's agreement contains a "double trigger" change in control related to cash severance, requiring a qualifying termination of employment within 24 months following a qualifying change in control event, which is consistent with external market practice. The various payment scenarios for Mr. Casey are described below.</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various payment scenarios for Mr. Casey are:</w:t>
      </w:r>
    </w:p>
    <w:p>
      <w:pPr>
        <w:spacing w:after="0" w:line="111" w:lineRule="exact"/>
        <w:rPr>
          <w:sz w:val="20"/>
          <w:szCs w:val="20"/>
          <w:color w:val="auto"/>
        </w:rPr>
      </w:pPr>
    </w:p>
    <w:p>
      <w:pPr>
        <w:ind w:right="680"/>
        <w:spacing w:after="0" w:line="272" w:lineRule="auto"/>
        <w:rPr>
          <w:sz w:val="20"/>
          <w:szCs w:val="20"/>
          <w:color w:val="auto"/>
        </w:rPr>
      </w:pPr>
      <w:r>
        <w:rPr>
          <w:rFonts w:ascii="Arial" w:cs="Arial" w:eastAsia="Arial" w:hAnsi="Arial"/>
          <w:sz w:val="18"/>
          <w:szCs w:val="18"/>
          <w:b w:val="1"/>
          <w:bCs w:val="1"/>
          <w:color w:val="auto"/>
        </w:rPr>
        <w:t>Payments upon termination without cause, by the executive for good reason or non-renewal by the Company (the non-compete agreement is automatically enforced)</w:t>
      </w:r>
    </w:p>
    <w:p>
      <w:pPr>
        <w:spacing w:after="0" w:line="6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Amounts under this scenario include the following to the extent they have not been already paid:</w:t>
      </w:r>
    </w:p>
    <w:p>
      <w:pPr>
        <w:spacing w:after="0" w:line="111" w:lineRule="exact"/>
        <w:rPr>
          <w:sz w:val="20"/>
          <w:szCs w:val="20"/>
          <w:color w:val="auto"/>
        </w:rPr>
      </w:pPr>
    </w:p>
    <w:p>
      <w:pPr>
        <w:ind w:left="640" w:hanging="316"/>
        <w:spacing w:after="0"/>
        <w:tabs>
          <w:tab w:leader="none" w:pos="6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amounts earned by the executive during his employment;</w:t>
      </w:r>
    </w:p>
    <w:p>
      <w:pPr>
        <w:spacing w:after="0" w:line="111" w:lineRule="exact"/>
        <w:rPr>
          <w:rFonts w:ascii="Arial" w:cs="Arial" w:eastAsia="Arial" w:hAnsi="Arial"/>
          <w:sz w:val="18"/>
          <w:szCs w:val="18"/>
          <w:color w:val="auto"/>
        </w:rPr>
      </w:pPr>
    </w:p>
    <w:p>
      <w:pPr>
        <w:ind w:left="640" w:right="180" w:hanging="316"/>
        <w:spacing w:after="0" w:line="265" w:lineRule="auto"/>
        <w:tabs>
          <w:tab w:leader="none" w:pos="635"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 amount equal to 1.5 times the sum of one year's worth of salary and the annual bonus paid to Mr. Casey for the most recently completed year, to be paid in monthly installments over eighteen months;</w:t>
      </w:r>
    </w:p>
    <w:p>
      <w:pPr>
        <w:spacing w:after="0" w:line="73" w:lineRule="exact"/>
        <w:rPr>
          <w:rFonts w:ascii="Arial" w:cs="Arial" w:eastAsia="Arial" w:hAnsi="Arial"/>
          <w:sz w:val="18"/>
          <w:szCs w:val="18"/>
          <w:color w:val="auto"/>
        </w:rPr>
      </w:pPr>
    </w:p>
    <w:p>
      <w:pPr>
        <w:ind w:left="640" w:hanging="316"/>
        <w:spacing w:after="0"/>
        <w:tabs>
          <w:tab w:leader="none" w:pos="6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bonus and incentive compensation earned by the executive as of the termination date;</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vacation time that was earned and unused by the executive;</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medical benefits for the executive and his eligible dependents for eighteen months following termination; and</w:t>
      </w:r>
    </w:p>
    <w:p>
      <w:pPr>
        <w:spacing w:after="0" w:line="111" w:lineRule="exact"/>
        <w:rPr>
          <w:rFonts w:ascii="Arial" w:cs="Arial" w:eastAsia="Arial" w:hAnsi="Arial"/>
          <w:sz w:val="18"/>
          <w:szCs w:val="18"/>
          <w:color w:val="auto"/>
        </w:rPr>
      </w:pPr>
    </w:p>
    <w:p>
      <w:pPr>
        <w:ind w:left="640" w:hanging="316"/>
        <w:spacing w:after="0" w:line="305" w:lineRule="auto"/>
        <w:tabs>
          <w:tab w:leader="none" w:pos="635" w:val="left"/>
        </w:tabs>
        <w:numPr>
          <w:ilvl w:val="0"/>
          <w:numId w:val="55"/>
        </w:numPr>
        <w:rPr>
          <w:rFonts w:ascii="Arial" w:cs="Arial" w:eastAsia="Arial" w:hAnsi="Arial"/>
          <w:sz w:val="15"/>
          <w:szCs w:val="15"/>
          <w:color w:val="auto"/>
        </w:rPr>
      </w:pPr>
      <w:r>
        <w:rPr>
          <w:rFonts w:ascii="Arial" w:cs="Arial" w:eastAsia="Arial" w:hAnsi="Arial"/>
          <w:sz w:val="15"/>
          <w:szCs w:val="15"/>
          <w:color w:val="auto"/>
        </w:rPr>
        <w:t>all unvested stock options and unvested restricted shares shall be fully vested; provided, however, that to the extent that any such awards are subject to performance-based vesting conditions that are intended to qualify for the performance-based compensation exemption under Section 162(m) of the Internal Revenue Code, then those awards will only become vested if and to the extent that such awards would have become vested in accordance with their terms if Mr. Casey's employment had continued; and provided further that, if such award is subject to periodic vesting based upon performance conditions established for each vesting period, then the annual performance conditions applicable to any such award following the termination of Mr. Casey's employment shall be the same as the last periodic performance goal established with respect to such award prior to the termination of Mr. Casey's employment or, if more favorable to Mr. Casey, the periodic performance conditions established for performance-based vesting of equity or equity-based awards granted to other senior executives who are then still employed by the Company.</w:t>
      </w:r>
    </w:p>
    <w:p>
      <w:pPr>
        <w:spacing w:after="0" w:line="45" w:lineRule="exact"/>
        <w:rPr>
          <w:sz w:val="20"/>
          <w:szCs w:val="20"/>
          <w:color w:val="auto"/>
        </w:rPr>
      </w:pPr>
    </w:p>
    <w:p>
      <w:pPr>
        <w:ind w:right="160"/>
        <w:spacing w:after="0" w:line="272" w:lineRule="auto"/>
        <w:rPr>
          <w:sz w:val="20"/>
          <w:szCs w:val="20"/>
          <w:color w:val="auto"/>
        </w:rPr>
      </w:pPr>
      <w:r>
        <w:rPr>
          <w:rFonts w:ascii="Arial" w:cs="Arial" w:eastAsia="Arial" w:hAnsi="Arial"/>
          <w:sz w:val="18"/>
          <w:szCs w:val="18"/>
          <w:b w:val="1"/>
          <w:bCs w:val="1"/>
          <w:color w:val="auto"/>
        </w:rPr>
        <w:t>Payments upon termination with cause, by the executive without good reason or non-renewal by the executive where the non-compete agreement is enforced</w:t>
      </w:r>
    </w:p>
    <w:p>
      <w:pPr>
        <w:spacing w:after="0" w:line="6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Amounts under this scenario include the following to the extent they have not been already paid:</w:t>
      </w:r>
    </w:p>
    <w:p>
      <w:pPr>
        <w:spacing w:after="0" w:line="111" w:lineRule="exact"/>
        <w:rPr>
          <w:sz w:val="20"/>
          <w:szCs w:val="20"/>
          <w:color w:val="auto"/>
        </w:rPr>
      </w:pPr>
    </w:p>
    <w:p>
      <w:pPr>
        <w:ind w:left="640" w:hanging="316"/>
        <w:spacing w:after="0"/>
        <w:tabs>
          <w:tab w:leader="none" w:pos="6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amounts earned by the executive during his employment;</w:t>
      </w:r>
    </w:p>
    <w:p>
      <w:pPr>
        <w:spacing w:after="0" w:line="111" w:lineRule="exact"/>
        <w:rPr>
          <w:rFonts w:ascii="Arial" w:cs="Arial" w:eastAsia="Arial" w:hAnsi="Arial"/>
          <w:sz w:val="18"/>
          <w:szCs w:val="18"/>
          <w:color w:val="auto"/>
        </w:rPr>
      </w:pPr>
    </w:p>
    <w:p>
      <w:pPr>
        <w:ind w:left="640" w:right="540" w:hanging="316"/>
        <w:spacing w:after="0" w:line="265" w:lineRule="auto"/>
        <w:tabs>
          <w:tab w:leader="none" w:pos="635" w:val="left"/>
        </w:tabs>
        <w:numPr>
          <w:ilvl w:val="0"/>
          <w:numId w:val="56"/>
        </w:numPr>
        <w:rPr>
          <w:rFonts w:ascii="Arial" w:cs="Arial" w:eastAsia="Arial" w:hAnsi="Arial"/>
          <w:sz w:val="18"/>
          <w:szCs w:val="18"/>
          <w:color w:val="auto"/>
        </w:rPr>
      </w:pPr>
      <w:r>
        <w:rPr>
          <w:rFonts w:ascii="Arial" w:cs="Arial" w:eastAsia="Arial" w:hAnsi="Arial"/>
          <w:sz w:val="18"/>
          <w:szCs w:val="18"/>
          <w:color w:val="auto"/>
        </w:rPr>
        <w:t>one year's worth of salary paid in monthly installments, less the amount of medical insurance premiums the executive would have paid had he remained employed;</w:t>
      </w:r>
    </w:p>
    <w:p>
      <w:pPr>
        <w:spacing w:after="0" w:line="73" w:lineRule="exact"/>
        <w:rPr>
          <w:rFonts w:ascii="Arial" w:cs="Arial" w:eastAsia="Arial" w:hAnsi="Arial"/>
          <w:sz w:val="18"/>
          <w:szCs w:val="18"/>
          <w:color w:val="auto"/>
        </w:rPr>
      </w:pPr>
    </w:p>
    <w:p>
      <w:pPr>
        <w:ind w:left="640" w:hanging="316"/>
        <w:spacing w:after="0"/>
        <w:tabs>
          <w:tab w:leader="none" w:pos="6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bonus and incentive compensation earned by the executive as of the termination date;</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vacation time that was earned and unused by the executive; and</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medical benefits for the executive and his eligible dependents for twelve months following termination.</w:t>
      </w:r>
    </w:p>
    <w:p>
      <w:pPr>
        <w:spacing w:after="0" w:line="11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All unvested stock options and all unvested restricted shares shall be forfeited under this scenario.</w:t>
      </w:r>
    </w:p>
    <w:p>
      <w:pPr>
        <w:spacing w:after="0" w:line="105" w:lineRule="exact"/>
        <w:rPr>
          <w:sz w:val="20"/>
          <w:szCs w:val="20"/>
          <w:color w:val="auto"/>
        </w:rPr>
      </w:pPr>
    </w:p>
    <w:p>
      <w:pPr>
        <w:ind w:right="160"/>
        <w:spacing w:after="0" w:line="272" w:lineRule="auto"/>
        <w:rPr>
          <w:sz w:val="20"/>
          <w:szCs w:val="20"/>
          <w:color w:val="auto"/>
        </w:rPr>
      </w:pPr>
      <w:r>
        <w:rPr>
          <w:rFonts w:ascii="Arial" w:cs="Arial" w:eastAsia="Arial" w:hAnsi="Arial"/>
          <w:sz w:val="18"/>
          <w:szCs w:val="18"/>
          <w:b w:val="1"/>
          <w:bCs w:val="1"/>
          <w:color w:val="auto"/>
        </w:rPr>
        <w:t>Payments upon termination with cause, by the executive without good reason or non-renewal by the executive where the non-compete agreement is not enforced</w:t>
      </w:r>
    </w:p>
    <w:p>
      <w:pPr>
        <w:spacing w:after="0" w:line="6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Amounts under this scenario include the following to the extent they have not been already paid:</w:t>
      </w:r>
    </w:p>
    <w:p>
      <w:pPr>
        <w:spacing w:after="0" w:line="111" w:lineRule="exact"/>
        <w:rPr>
          <w:sz w:val="20"/>
          <w:szCs w:val="20"/>
          <w:color w:val="auto"/>
        </w:rPr>
      </w:pPr>
    </w:p>
    <w:p>
      <w:pPr>
        <w:ind w:left="640" w:hanging="316"/>
        <w:spacing w:after="0"/>
        <w:tabs>
          <w:tab w:leader="none" w:pos="6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amounts earned by the executive during his employment;</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bonus and incentive compensation earned by the executive as of the termination date;</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vacation time that was earned and unused by the executive; and</w:t>
      </w:r>
    </w:p>
    <w:p>
      <w:pPr>
        <w:spacing w:after="0" w:line="111" w:lineRule="exact"/>
        <w:rPr>
          <w:rFonts w:ascii="Arial" w:cs="Arial" w:eastAsia="Arial" w:hAnsi="Arial"/>
          <w:sz w:val="18"/>
          <w:szCs w:val="18"/>
          <w:color w:val="auto"/>
        </w:rPr>
      </w:pPr>
    </w:p>
    <w:p>
      <w:pPr>
        <w:ind w:left="400" w:right="3260" w:hanging="76"/>
        <w:spacing w:after="0" w:line="442" w:lineRule="auto"/>
        <w:tabs>
          <w:tab w:leader="none" w:pos="634" w:val="left"/>
        </w:tabs>
        <w:numPr>
          <w:ilvl w:val="0"/>
          <w:numId w:val="57"/>
        </w:numPr>
        <w:rPr>
          <w:rFonts w:ascii="Arial" w:cs="Arial" w:eastAsia="Arial" w:hAnsi="Arial"/>
          <w:sz w:val="15"/>
          <w:szCs w:val="15"/>
          <w:color w:val="auto"/>
        </w:rPr>
      </w:pPr>
      <w:r>
        <w:rPr>
          <w:rFonts w:ascii="Arial" w:cs="Arial" w:eastAsia="Arial" w:hAnsi="Arial"/>
          <w:sz w:val="15"/>
          <w:szCs w:val="15"/>
          <w:color w:val="auto"/>
        </w:rPr>
        <w:t>medical benefits for the executive and his eligible dependents for twelve months following termination. All unvested stock options and all unvested restricted shares shall be forfeited under this scenario.</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20"/>
          </w:cols>
          <w:pgMar w:left="320" w:top="552" w:right="35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Payments upon termination due to a change in control (the non-compete agreement is automatically enforced)</w:t>
      </w:r>
    </w:p>
    <w:p>
      <w:pPr>
        <w:spacing w:after="0" w:line="11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Amounts under this scenario include the following to the extent they have not been already paid:</w:t>
      </w:r>
    </w:p>
    <w:p>
      <w:pPr>
        <w:spacing w:after="0" w:line="111" w:lineRule="exact"/>
        <w:rPr>
          <w:sz w:val="20"/>
          <w:szCs w:val="20"/>
          <w:color w:val="auto"/>
        </w:rPr>
      </w:pPr>
    </w:p>
    <w:p>
      <w:pPr>
        <w:ind w:left="640" w:hanging="316"/>
        <w:spacing w:after="0"/>
        <w:tabs>
          <w:tab w:leader="none" w:pos="6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amounts earned by the executive during his employment;</w:t>
      </w:r>
    </w:p>
    <w:p>
      <w:pPr>
        <w:spacing w:after="0" w:line="111" w:lineRule="exact"/>
        <w:rPr>
          <w:rFonts w:ascii="Arial" w:cs="Arial" w:eastAsia="Arial" w:hAnsi="Arial"/>
          <w:sz w:val="18"/>
          <w:szCs w:val="18"/>
          <w:color w:val="auto"/>
        </w:rPr>
      </w:pPr>
    </w:p>
    <w:p>
      <w:pPr>
        <w:ind w:left="640" w:right="260" w:hanging="316"/>
        <w:spacing w:after="0" w:line="265" w:lineRule="auto"/>
        <w:tabs>
          <w:tab w:leader="none" w:pos="635"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 amount equal to two times the sum of one year's worth of salary and the annual bonus paid to Mr. Casey for the most recently completed year, to be paid in monthly installments over twenty-four months;</w:t>
      </w:r>
    </w:p>
    <w:p>
      <w:pPr>
        <w:spacing w:after="0" w:line="73" w:lineRule="exact"/>
        <w:rPr>
          <w:rFonts w:ascii="Arial" w:cs="Arial" w:eastAsia="Arial" w:hAnsi="Arial"/>
          <w:sz w:val="18"/>
          <w:szCs w:val="18"/>
          <w:color w:val="auto"/>
        </w:rPr>
      </w:pPr>
    </w:p>
    <w:p>
      <w:pPr>
        <w:ind w:left="640" w:hanging="316"/>
        <w:spacing w:after="0"/>
        <w:tabs>
          <w:tab w:leader="none" w:pos="6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bonus and incentive compensation earned by the executive as of the termination date;</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vacation time that was earned and unused by the executive;</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medical benefits for the executive's eligible dependents for eighteen months following termination; and</w:t>
      </w:r>
    </w:p>
    <w:p>
      <w:pPr>
        <w:spacing w:after="0" w:line="111" w:lineRule="exact"/>
        <w:rPr>
          <w:rFonts w:ascii="Arial" w:cs="Arial" w:eastAsia="Arial" w:hAnsi="Arial"/>
          <w:sz w:val="18"/>
          <w:szCs w:val="18"/>
          <w:color w:val="auto"/>
        </w:rPr>
      </w:pPr>
    </w:p>
    <w:p>
      <w:pPr>
        <w:ind w:left="640" w:right="100" w:hanging="316"/>
        <w:spacing w:after="0" w:line="266" w:lineRule="auto"/>
        <w:tabs>
          <w:tab w:leader="none" w:pos="635" w:val="left"/>
        </w:tabs>
        <w:numPr>
          <w:ilvl w:val="0"/>
          <w:numId w:val="58"/>
        </w:numPr>
        <w:rPr>
          <w:rFonts w:ascii="Arial" w:cs="Arial" w:eastAsia="Arial" w:hAnsi="Arial"/>
          <w:sz w:val="17"/>
          <w:szCs w:val="17"/>
          <w:color w:val="auto"/>
        </w:rPr>
      </w:pPr>
      <w:r>
        <w:rPr>
          <w:rFonts w:ascii="Arial" w:cs="Arial" w:eastAsia="Arial" w:hAnsi="Arial"/>
          <w:sz w:val="17"/>
          <w:szCs w:val="17"/>
          <w:color w:val="auto"/>
        </w:rPr>
        <w:t>all unvested stock options and all unvested restricted shares shall be fully vested; provided, however, that to the extent that any such awards are subject to performance-based vesting conditions, the performance goals were achieved at 100% of the target performance. In March 2018, we entered into a Performance Share Agreement with Mr. Casey that provides the unvested restricted shares subject to the award will vest upon a change in control as follows: (a) if the change in control occurs before the last day of the one-year performance cycle, 50% of the shares covered by the award (the "Category 1 Shares") will vest and the remaining 50% (the "Category 2 Shares") will vest assuming target level performance or (b) if the change in control occurs after the end of the performance cycle, all Category 1 Shares and Category 2 Shares will fully vest to the extent then earned based on the Company's actual performance for the performance cycle.</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 upon termination due to death</w:t>
      </w:r>
    </w:p>
    <w:p>
      <w:pPr>
        <w:spacing w:after="0" w:line="11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Amounts under this scenario include the following to the extent they have not been already paid:</w:t>
      </w:r>
    </w:p>
    <w:p>
      <w:pPr>
        <w:spacing w:after="0" w:line="111" w:lineRule="exact"/>
        <w:rPr>
          <w:sz w:val="20"/>
          <w:szCs w:val="20"/>
          <w:color w:val="auto"/>
        </w:rPr>
      </w:pPr>
    </w:p>
    <w:p>
      <w:pPr>
        <w:ind w:left="640" w:hanging="316"/>
        <w:spacing w:after="0"/>
        <w:tabs>
          <w:tab w:leader="none" w:pos="6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amounts earned by the executive during his employment;</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bonus and incentive compensation earned by the executive as of the termination date;</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vacation time that was earned and unused by the executive;</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medical benefits for the executive's eligible dependents for eighteen months following termination; and</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all unvested stock options and all unvested restricted shares shall be fully vested.</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 upon termination due to disability</w:t>
      </w:r>
    </w:p>
    <w:p>
      <w:pPr>
        <w:spacing w:after="0" w:line="11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Amounts under this scenario include the following to the extent they have not been already paid:</w:t>
      </w:r>
    </w:p>
    <w:p>
      <w:pPr>
        <w:spacing w:after="0" w:line="111" w:lineRule="exact"/>
        <w:rPr>
          <w:sz w:val="20"/>
          <w:szCs w:val="20"/>
          <w:color w:val="auto"/>
        </w:rPr>
      </w:pPr>
    </w:p>
    <w:p>
      <w:pPr>
        <w:ind w:left="640" w:hanging="316"/>
        <w:spacing w:after="0"/>
        <w:tabs>
          <w:tab w:leader="none" w:pos="6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amounts earned by the executive during his employment;</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bonus and incentive compensation earned by the executive as of the termination date;</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vacation time that was earned and unused by the executive;</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disability benefits, if any, at least equal to those then provided by the Company to disabled executives and their families;</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medical benefits for the executive's eligible dependents for twelve months following termination; and</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all unvested stock options and all unvested restricted shares shall be fully vested.</w:t>
      </w:r>
    </w:p>
    <w:p>
      <w:pPr>
        <w:spacing w:after="0" w:line="11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shows the amounts that Mr. Casey would receive under different severance and change in control scenarios:</w:t>
      </w:r>
    </w:p>
    <w:p>
      <w:pPr>
        <w:spacing w:after="0" w:line="69" w:lineRule="exact"/>
        <w:rPr>
          <w:sz w:val="20"/>
          <w:szCs w:val="20"/>
          <w:color w:val="auto"/>
        </w:rPr>
      </w:pPr>
    </w:p>
    <w:tbl>
      <w:tblPr>
        <w:tblLayout w:type="fixed"/>
        <w:tblInd w:w="260" w:type="dxa"/>
        <w:tblCellMar>
          <w:top w:w="0" w:type="dxa"/>
          <w:left w:w="0" w:type="dxa"/>
          <w:bottom w:w="0" w:type="dxa"/>
          <w:right w:w="0" w:type="dxa"/>
        </w:tblCellMar>
      </w:tblPr>
      <w:tr>
        <w:trPr>
          <w:trHeight w:val="161"/>
        </w:trPr>
        <w:tc>
          <w:tcPr>
            <w:tcW w:w="1440" w:type="dxa"/>
            <w:vAlign w:val="bottom"/>
          </w:tcPr>
          <w:p>
            <w:pPr>
              <w:spacing w:after="0"/>
              <w:rPr>
                <w:sz w:val="14"/>
                <w:szCs w:val="14"/>
                <w:color w:val="auto"/>
              </w:rPr>
            </w:pPr>
          </w:p>
        </w:tc>
        <w:tc>
          <w:tcPr>
            <w:tcW w:w="3020" w:type="dxa"/>
            <w:vAlign w:val="bottom"/>
            <w:vMerge w:val="restart"/>
          </w:tcPr>
          <w:p>
            <w:pPr>
              <w:ind w:left="1080"/>
              <w:spacing w:after="0"/>
              <w:rPr>
                <w:sz w:val="20"/>
                <w:szCs w:val="20"/>
                <w:color w:val="auto"/>
              </w:rPr>
            </w:pPr>
            <w:r>
              <w:rPr>
                <w:rFonts w:ascii="Arial" w:cs="Arial" w:eastAsia="Arial" w:hAnsi="Arial"/>
                <w:sz w:val="14"/>
                <w:szCs w:val="14"/>
                <w:b w:val="1"/>
                <w:bCs w:val="1"/>
                <w:color w:val="auto"/>
              </w:rPr>
              <w:t>For cause, voluntary</w:t>
            </w:r>
          </w:p>
        </w:tc>
        <w:tc>
          <w:tcPr>
            <w:tcW w:w="2060" w:type="dxa"/>
            <w:vAlign w:val="bottom"/>
            <w:vMerge w:val="restart"/>
          </w:tcPr>
          <w:p>
            <w:pPr>
              <w:jc w:val="right"/>
              <w:ind w:right="289"/>
              <w:spacing w:after="0"/>
              <w:rPr>
                <w:sz w:val="20"/>
                <w:szCs w:val="20"/>
                <w:color w:val="auto"/>
              </w:rPr>
            </w:pPr>
            <w:r>
              <w:rPr>
                <w:rFonts w:ascii="Arial" w:cs="Arial" w:eastAsia="Arial" w:hAnsi="Arial"/>
                <w:sz w:val="14"/>
                <w:szCs w:val="14"/>
                <w:b w:val="1"/>
                <w:bCs w:val="1"/>
                <w:color w:val="auto"/>
              </w:rPr>
              <w:t>Without cause, for</w:t>
            </w:r>
          </w:p>
        </w:tc>
        <w:tc>
          <w:tcPr>
            <w:tcW w:w="1760" w:type="dxa"/>
            <w:vAlign w:val="bottom"/>
          </w:tcPr>
          <w:p>
            <w:pPr>
              <w:ind w:left="500"/>
              <w:spacing w:after="0"/>
              <w:rPr>
                <w:sz w:val="20"/>
                <w:szCs w:val="20"/>
                <w:color w:val="auto"/>
              </w:rPr>
            </w:pPr>
            <w:r>
              <w:rPr>
                <w:rFonts w:ascii="Arial" w:cs="Arial" w:eastAsia="Arial" w:hAnsi="Arial"/>
                <w:sz w:val="14"/>
                <w:szCs w:val="14"/>
                <w:b w:val="1"/>
                <w:bCs w:val="1"/>
                <w:color w:val="auto"/>
              </w:rPr>
              <w:t>Terminated</w:t>
            </w:r>
          </w:p>
        </w:tc>
        <w:tc>
          <w:tcPr>
            <w:tcW w:w="14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440" w:type="dxa"/>
            <w:vAlign w:val="bottom"/>
            <w:vMerge w:val="restart"/>
          </w:tcPr>
          <w:p>
            <w:pPr>
              <w:ind w:left="180"/>
              <w:spacing w:after="0"/>
              <w:rPr>
                <w:sz w:val="20"/>
                <w:szCs w:val="20"/>
                <w:color w:val="auto"/>
              </w:rPr>
            </w:pPr>
            <w:r>
              <w:rPr>
                <w:rFonts w:ascii="Arial" w:cs="Arial" w:eastAsia="Arial" w:hAnsi="Arial"/>
                <w:sz w:val="14"/>
                <w:szCs w:val="14"/>
                <w:b w:val="1"/>
                <w:bCs w:val="1"/>
                <w:color w:val="auto"/>
                <w:w w:val="99"/>
              </w:rPr>
              <w:t>Benefits/payments</w:t>
            </w:r>
          </w:p>
        </w:tc>
        <w:tc>
          <w:tcPr>
            <w:tcW w:w="3020" w:type="dxa"/>
            <w:vAlign w:val="bottom"/>
            <w:vMerge w:val="continue"/>
          </w:tcPr>
          <w:p>
            <w:pPr>
              <w:spacing w:after="0"/>
              <w:rPr>
                <w:sz w:val="11"/>
                <w:szCs w:val="11"/>
                <w:color w:val="auto"/>
              </w:rPr>
            </w:pPr>
          </w:p>
        </w:tc>
        <w:tc>
          <w:tcPr>
            <w:tcW w:w="2060" w:type="dxa"/>
            <w:vAlign w:val="bottom"/>
            <w:vMerge w:val="continue"/>
          </w:tcPr>
          <w:p>
            <w:pPr>
              <w:spacing w:after="0"/>
              <w:rPr>
                <w:sz w:val="11"/>
                <w:szCs w:val="11"/>
                <w:color w:val="auto"/>
              </w:rPr>
            </w:pPr>
          </w:p>
        </w:tc>
        <w:tc>
          <w:tcPr>
            <w:tcW w:w="1760" w:type="dxa"/>
            <w:vAlign w:val="bottom"/>
          </w:tcPr>
          <w:p>
            <w:pPr>
              <w:jc w:val="center"/>
              <w:ind w:right="389"/>
              <w:spacing w:after="0" w:line="133" w:lineRule="exact"/>
              <w:rPr>
                <w:sz w:val="20"/>
                <w:szCs w:val="20"/>
                <w:color w:val="auto"/>
              </w:rPr>
            </w:pPr>
            <w:r>
              <w:rPr>
                <w:rFonts w:ascii="Arial" w:cs="Arial" w:eastAsia="Arial" w:hAnsi="Arial"/>
                <w:sz w:val="14"/>
                <w:szCs w:val="14"/>
                <w:b w:val="1"/>
                <w:bCs w:val="1"/>
                <w:color w:val="auto"/>
                <w:w w:val="90"/>
              </w:rPr>
              <w:t>due to</w:t>
            </w:r>
          </w:p>
        </w:tc>
        <w:tc>
          <w:tcPr>
            <w:tcW w:w="14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440" w:type="dxa"/>
            <w:vAlign w:val="bottom"/>
            <w:vMerge w:val="continue"/>
          </w:tcPr>
          <w:p>
            <w:pPr>
              <w:spacing w:after="0"/>
              <w:rPr>
                <w:sz w:val="11"/>
                <w:szCs w:val="11"/>
                <w:color w:val="auto"/>
              </w:rPr>
            </w:pPr>
          </w:p>
        </w:tc>
        <w:tc>
          <w:tcPr>
            <w:tcW w:w="302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3"/>
              </w:rPr>
              <w:t>termination without</w:t>
            </w:r>
          </w:p>
        </w:tc>
        <w:tc>
          <w:tcPr>
            <w:tcW w:w="2060" w:type="dxa"/>
            <w:vAlign w:val="bottom"/>
          </w:tcPr>
          <w:p>
            <w:pPr>
              <w:jc w:val="right"/>
              <w:ind w:right="449"/>
              <w:spacing w:after="0" w:line="133" w:lineRule="exact"/>
              <w:rPr>
                <w:sz w:val="20"/>
                <w:szCs w:val="20"/>
                <w:color w:val="auto"/>
              </w:rPr>
            </w:pPr>
            <w:r>
              <w:rPr>
                <w:rFonts w:ascii="Arial" w:cs="Arial" w:eastAsia="Arial" w:hAnsi="Arial"/>
                <w:sz w:val="14"/>
                <w:szCs w:val="14"/>
                <w:b w:val="1"/>
                <w:bCs w:val="1"/>
                <w:color w:val="auto"/>
              </w:rPr>
              <w:t>good reason or non-</w:t>
            </w:r>
          </w:p>
        </w:tc>
        <w:tc>
          <w:tcPr>
            <w:tcW w:w="1760" w:type="dxa"/>
            <w:vAlign w:val="bottom"/>
          </w:tcPr>
          <w:p>
            <w:pPr>
              <w:jc w:val="center"/>
              <w:ind w:right="389"/>
              <w:spacing w:after="0" w:line="133" w:lineRule="exact"/>
              <w:rPr>
                <w:sz w:val="20"/>
                <w:szCs w:val="20"/>
                <w:color w:val="auto"/>
              </w:rPr>
            </w:pPr>
            <w:r>
              <w:rPr>
                <w:rFonts w:ascii="Arial" w:cs="Arial" w:eastAsia="Arial" w:hAnsi="Arial"/>
                <w:sz w:val="14"/>
                <w:szCs w:val="14"/>
                <w:b w:val="1"/>
                <w:bCs w:val="1"/>
                <w:color w:val="auto"/>
                <w:w w:val="85"/>
              </w:rPr>
              <w:t>change</w:t>
            </w:r>
          </w:p>
        </w:tc>
        <w:tc>
          <w:tcPr>
            <w:tcW w:w="1460" w:type="dxa"/>
            <w:vAlign w:val="bottom"/>
            <w:vMerge w:val="restart"/>
          </w:tcPr>
          <w:p>
            <w:pPr>
              <w:ind w:left="560"/>
              <w:spacing w:after="0"/>
              <w:rPr>
                <w:sz w:val="20"/>
                <w:szCs w:val="20"/>
                <w:color w:val="auto"/>
              </w:rPr>
            </w:pPr>
            <w:r>
              <w:rPr>
                <w:rFonts w:ascii="Arial" w:cs="Arial" w:eastAsia="Arial" w:hAnsi="Arial"/>
                <w:sz w:val="14"/>
                <w:szCs w:val="14"/>
                <w:b w:val="1"/>
                <w:bCs w:val="1"/>
                <w:color w:val="auto"/>
              </w:rPr>
              <w:t>Death</w:t>
            </w:r>
          </w:p>
        </w:tc>
        <w:tc>
          <w:tcPr>
            <w:tcW w:w="1100" w:type="dxa"/>
            <w:vAlign w:val="bottom"/>
            <w:vMerge w:val="restart"/>
          </w:tcPr>
          <w:p>
            <w:pPr>
              <w:ind w:left="520"/>
              <w:spacing w:after="0"/>
              <w:rPr>
                <w:sz w:val="20"/>
                <w:szCs w:val="20"/>
                <w:color w:val="auto"/>
              </w:rPr>
            </w:pPr>
            <w:r>
              <w:rPr>
                <w:rFonts w:ascii="Arial" w:cs="Arial" w:eastAsia="Arial" w:hAnsi="Arial"/>
                <w:sz w:val="14"/>
                <w:szCs w:val="14"/>
                <w:b w:val="1"/>
                <w:bCs w:val="1"/>
                <w:color w:val="auto"/>
                <w:w w:val="89"/>
              </w:rPr>
              <w:t>Disability</w:t>
            </w:r>
          </w:p>
        </w:tc>
        <w:tc>
          <w:tcPr>
            <w:tcW w:w="0" w:type="dxa"/>
            <w:vAlign w:val="bottom"/>
          </w:tcPr>
          <w:p>
            <w:pPr>
              <w:spacing w:after="0"/>
              <w:rPr>
                <w:sz w:val="1"/>
                <w:szCs w:val="1"/>
                <w:color w:val="auto"/>
              </w:rPr>
            </w:pPr>
          </w:p>
        </w:tc>
      </w:tr>
      <w:tr>
        <w:trPr>
          <w:trHeight w:val="184"/>
        </w:trPr>
        <w:tc>
          <w:tcPr>
            <w:tcW w:w="1440" w:type="dxa"/>
            <w:vAlign w:val="bottom"/>
          </w:tcPr>
          <w:p>
            <w:pPr>
              <w:spacing w:after="0"/>
              <w:rPr>
                <w:sz w:val="20"/>
                <w:szCs w:val="20"/>
                <w:color w:val="auto"/>
              </w:rPr>
            </w:pPr>
            <w:r>
              <w:rPr>
                <w:rFonts w:ascii="Arial" w:cs="Arial" w:eastAsia="Arial" w:hAnsi="Arial"/>
                <w:sz w:val="14"/>
                <w:szCs w:val="14"/>
                <w:b w:val="1"/>
                <w:bCs w:val="1"/>
                <w:color w:val="auto"/>
              </w:rPr>
              <w:t>upon termination</w:t>
            </w:r>
          </w:p>
        </w:tc>
        <w:tc>
          <w:tcPr>
            <w:tcW w:w="3020" w:type="dxa"/>
            <w:vAlign w:val="bottom"/>
          </w:tcPr>
          <w:p>
            <w:pPr>
              <w:jc w:val="center"/>
              <w:spacing w:after="0"/>
              <w:rPr>
                <w:sz w:val="20"/>
                <w:szCs w:val="20"/>
                <w:color w:val="auto"/>
              </w:rPr>
            </w:pPr>
            <w:r>
              <w:rPr>
                <w:rFonts w:ascii="Arial" w:cs="Arial" w:eastAsia="Arial" w:hAnsi="Arial"/>
                <w:sz w:val="14"/>
                <w:szCs w:val="14"/>
                <w:b w:val="1"/>
                <w:bCs w:val="1"/>
                <w:color w:val="auto"/>
                <w:w w:val="88"/>
              </w:rPr>
              <w:t>good reason or non-renewal by the executive</w:t>
            </w:r>
          </w:p>
        </w:tc>
        <w:tc>
          <w:tcPr>
            <w:tcW w:w="2060" w:type="dxa"/>
            <w:vAlign w:val="bottom"/>
          </w:tcPr>
          <w:p>
            <w:pPr>
              <w:jc w:val="right"/>
              <w:ind w:right="289"/>
              <w:spacing w:after="0"/>
              <w:rPr>
                <w:sz w:val="20"/>
                <w:szCs w:val="20"/>
                <w:color w:val="auto"/>
              </w:rPr>
            </w:pPr>
            <w:r>
              <w:rPr>
                <w:rFonts w:ascii="Arial" w:cs="Arial" w:eastAsia="Arial" w:hAnsi="Arial"/>
                <w:sz w:val="14"/>
                <w:szCs w:val="14"/>
                <w:b w:val="1"/>
                <w:bCs w:val="1"/>
                <w:color w:val="auto"/>
              </w:rPr>
              <w:t>renewal by the Company</w:t>
            </w:r>
          </w:p>
        </w:tc>
        <w:tc>
          <w:tcPr>
            <w:tcW w:w="1760" w:type="dxa"/>
            <w:vAlign w:val="bottom"/>
          </w:tcPr>
          <w:p>
            <w:pPr>
              <w:jc w:val="center"/>
              <w:ind w:right="389"/>
              <w:spacing w:after="0"/>
              <w:rPr>
                <w:sz w:val="20"/>
                <w:szCs w:val="20"/>
                <w:color w:val="auto"/>
              </w:rPr>
            </w:pPr>
            <w:r>
              <w:rPr>
                <w:rFonts w:ascii="Arial" w:cs="Arial" w:eastAsia="Arial" w:hAnsi="Arial"/>
                <w:sz w:val="14"/>
                <w:szCs w:val="14"/>
                <w:b w:val="1"/>
                <w:bCs w:val="1"/>
                <w:color w:val="auto"/>
                <w:w w:val="90"/>
              </w:rPr>
              <w:t>in control</w:t>
            </w:r>
          </w:p>
        </w:tc>
        <w:tc>
          <w:tcPr>
            <w:tcW w:w="1460" w:type="dxa"/>
            <w:vAlign w:val="bottom"/>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1270</wp:posOffset>
            </wp:positionV>
            <wp:extent cx="719709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97090" cy="8255"/>
                    </a:xfrm>
                    <a:prstGeom prst="rect">
                      <a:avLst/>
                    </a:prstGeom>
                    <a:noFill/>
                  </pic:spPr>
                </pic:pic>
              </a:graphicData>
            </a:graphic>
          </wp:anchor>
        </w:drawing>
      </w:r>
    </w:p>
    <w:p>
      <w:pPr>
        <w:ind w:left="420"/>
        <w:spacing w:after="0" w:line="234" w:lineRule="auto"/>
        <w:rPr>
          <w:sz w:val="20"/>
          <w:szCs w:val="20"/>
          <w:color w:val="auto"/>
        </w:rPr>
      </w:pPr>
      <w:r>
        <w:rPr>
          <w:rFonts w:ascii="Arial" w:cs="Arial" w:eastAsia="Arial" w:hAnsi="Arial"/>
          <w:sz w:val="18"/>
          <w:szCs w:val="18"/>
          <w:color w:val="auto"/>
        </w:rPr>
        <w:t>Non-compete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660" w:type="dxa"/>
            <w:vAlign w:val="bottom"/>
          </w:tcPr>
          <w:p>
            <w:pPr>
              <w:ind w:left="20"/>
              <w:spacing w:after="0"/>
              <w:rPr>
                <w:sz w:val="20"/>
                <w:szCs w:val="20"/>
                <w:color w:val="auto"/>
              </w:rPr>
            </w:pPr>
            <w:r>
              <w:rPr>
                <w:rFonts w:ascii="Arial" w:cs="Arial" w:eastAsia="Arial" w:hAnsi="Arial"/>
                <w:sz w:val="18"/>
                <w:szCs w:val="18"/>
                <w:color w:val="auto"/>
              </w:rPr>
              <w:t>enforced?</w:t>
            </w:r>
          </w:p>
        </w:tc>
        <w:tc>
          <w:tcPr>
            <w:tcW w:w="700" w:type="dxa"/>
            <w:vAlign w:val="bottom"/>
          </w:tcPr>
          <w:p>
            <w:pPr>
              <w:spacing w:after="0"/>
              <w:rPr>
                <w:sz w:val="18"/>
                <w:szCs w:val="18"/>
                <w:color w:val="auto"/>
              </w:rPr>
            </w:pPr>
          </w:p>
        </w:tc>
        <w:tc>
          <w:tcPr>
            <w:tcW w:w="920" w:type="dxa"/>
            <w:vAlign w:val="bottom"/>
            <w:gridSpan w:val="2"/>
          </w:tcPr>
          <w:p>
            <w:pPr>
              <w:ind w:left="220"/>
              <w:spacing w:after="0"/>
              <w:rPr>
                <w:sz w:val="20"/>
                <w:szCs w:val="20"/>
                <w:color w:val="auto"/>
              </w:rPr>
            </w:pPr>
            <w:r>
              <w:rPr>
                <w:rFonts w:ascii="Arial" w:cs="Arial" w:eastAsia="Arial" w:hAnsi="Arial"/>
                <w:sz w:val="14"/>
                <w:szCs w:val="14"/>
                <w:color w:val="auto"/>
              </w:rPr>
              <w:t>Y</w:t>
            </w:r>
          </w:p>
        </w:tc>
        <w:tc>
          <w:tcPr>
            <w:tcW w:w="700" w:type="dxa"/>
            <w:vAlign w:val="bottom"/>
          </w:tcPr>
          <w:p>
            <w:pPr>
              <w:spacing w:after="0"/>
              <w:rPr>
                <w:sz w:val="18"/>
                <w:szCs w:val="18"/>
                <w:color w:val="auto"/>
              </w:rPr>
            </w:pPr>
          </w:p>
        </w:tc>
        <w:tc>
          <w:tcPr>
            <w:tcW w:w="840" w:type="dxa"/>
            <w:vAlign w:val="bottom"/>
            <w:gridSpan w:val="2"/>
          </w:tcPr>
          <w:p>
            <w:pPr>
              <w:ind w:left="180"/>
              <w:spacing w:after="0"/>
              <w:rPr>
                <w:sz w:val="20"/>
                <w:szCs w:val="20"/>
                <w:color w:val="auto"/>
              </w:rPr>
            </w:pPr>
            <w:r>
              <w:rPr>
                <w:rFonts w:ascii="Arial" w:cs="Arial" w:eastAsia="Arial" w:hAnsi="Arial"/>
                <w:sz w:val="14"/>
                <w:szCs w:val="14"/>
                <w:color w:val="auto"/>
              </w:rPr>
              <w:t>N</w:t>
            </w:r>
          </w:p>
        </w:tc>
        <w:tc>
          <w:tcPr>
            <w:tcW w:w="700" w:type="dxa"/>
            <w:vAlign w:val="bottom"/>
          </w:tcPr>
          <w:p>
            <w:pPr>
              <w:spacing w:after="0"/>
              <w:rPr>
                <w:sz w:val="18"/>
                <w:szCs w:val="18"/>
                <w:color w:val="auto"/>
              </w:rPr>
            </w:pPr>
          </w:p>
        </w:tc>
        <w:tc>
          <w:tcPr>
            <w:tcW w:w="1060" w:type="dxa"/>
            <w:vAlign w:val="bottom"/>
            <w:gridSpan w:val="2"/>
          </w:tcPr>
          <w:p>
            <w:pPr>
              <w:ind w:left="300"/>
              <w:spacing w:after="0"/>
              <w:rPr>
                <w:sz w:val="20"/>
                <w:szCs w:val="20"/>
                <w:color w:val="auto"/>
              </w:rPr>
            </w:pPr>
            <w:r>
              <w:rPr>
                <w:rFonts w:ascii="Arial" w:cs="Arial" w:eastAsia="Arial" w:hAnsi="Arial"/>
                <w:sz w:val="14"/>
                <w:szCs w:val="14"/>
                <w:color w:val="auto"/>
              </w:rPr>
              <w:t>Y</w:t>
            </w:r>
          </w:p>
        </w:tc>
        <w:tc>
          <w:tcPr>
            <w:tcW w:w="720" w:type="dxa"/>
            <w:vAlign w:val="bottom"/>
          </w:tcPr>
          <w:p>
            <w:pPr>
              <w:spacing w:after="0"/>
              <w:rPr>
                <w:sz w:val="18"/>
                <w:szCs w:val="18"/>
                <w:color w:val="auto"/>
              </w:rPr>
            </w:pPr>
          </w:p>
        </w:tc>
        <w:tc>
          <w:tcPr>
            <w:tcW w:w="1060" w:type="dxa"/>
            <w:vAlign w:val="bottom"/>
            <w:gridSpan w:val="2"/>
          </w:tcPr>
          <w:p>
            <w:pPr>
              <w:ind w:left="280"/>
              <w:spacing w:after="0"/>
              <w:rPr>
                <w:sz w:val="20"/>
                <w:szCs w:val="20"/>
                <w:color w:val="auto"/>
              </w:rPr>
            </w:pPr>
            <w:r>
              <w:rPr>
                <w:rFonts w:ascii="Arial" w:cs="Arial" w:eastAsia="Arial" w:hAnsi="Arial"/>
                <w:sz w:val="14"/>
                <w:szCs w:val="14"/>
                <w:color w:val="auto"/>
              </w:rPr>
              <w:t>Y</w:t>
            </w:r>
          </w:p>
        </w:tc>
        <w:tc>
          <w:tcPr>
            <w:tcW w:w="640" w:type="dxa"/>
            <w:vAlign w:val="bottom"/>
          </w:tcPr>
          <w:p>
            <w:pPr>
              <w:spacing w:after="0"/>
              <w:rPr>
                <w:sz w:val="18"/>
                <w:szCs w:val="18"/>
                <w:color w:val="auto"/>
              </w:rPr>
            </w:pPr>
          </w:p>
        </w:tc>
        <w:tc>
          <w:tcPr>
            <w:tcW w:w="880" w:type="dxa"/>
            <w:vAlign w:val="bottom"/>
            <w:gridSpan w:val="2"/>
          </w:tcPr>
          <w:p>
            <w:pPr>
              <w:ind w:left="160"/>
              <w:spacing w:after="0"/>
              <w:rPr>
                <w:sz w:val="20"/>
                <w:szCs w:val="20"/>
                <w:color w:val="auto"/>
              </w:rPr>
            </w:pPr>
            <w:r>
              <w:rPr>
                <w:rFonts w:ascii="Arial" w:cs="Arial" w:eastAsia="Arial" w:hAnsi="Arial"/>
                <w:sz w:val="14"/>
                <w:szCs w:val="14"/>
                <w:color w:val="auto"/>
              </w:rPr>
              <w:t>N/A</w:t>
            </w:r>
          </w:p>
        </w:tc>
        <w:tc>
          <w:tcPr>
            <w:tcW w:w="660" w:type="dxa"/>
            <w:vAlign w:val="bottom"/>
          </w:tcPr>
          <w:p>
            <w:pPr>
              <w:spacing w:after="0"/>
              <w:rPr>
                <w:sz w:val="18"/>
                <w:szCs w:val="18"/>
                <w:color w:val="auto"/>
              </w:rPr>
            </w:pPr>
          </w:p>
        </w:tc>
        <w:tc>
          <w:tcPr>
            <w:tcW w:w="800" w:type="dxa"/>
            <w:vAlign w:val="bottom"/>
          </w:tcPr>
          <w:p>
            <w:pPr>
              <w:jc w:val="right"/>
              <w:ind w:right="315"/>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53"/>
        </w:trPr>
        <w:tc>
          <w:tcPr>
            <w:tcW w:w="1660" w:type="dxa"/>
            <w:vAlign w:val="bottom"/>
            <w:tcBorders>
              <w:top w:val="single" w:sz="8" w:color="CCEEFF"/>
            </w:tcBorders>
            <w:shd w:val="clear" w:color="auto" w:fill="CCEEFF"/>
          </w:tcPr>
          <w:p>
            <w:pPr>
              <w:ind w:left="580"/>
              <w:spacing w:after="0" w:line="154" w:lineRule="exact"/>
              <w:rPr>
                <w:sz w:val="20"/>
                <w:szCs w:val="20"/>
                <w:color w:val="auto"/>
              </w:rPr>
            </w:pPr>
            <w:r>
              <w:rPr>
                <w:rFonts w:ascii="Arial" w:cs="Arial" w:eastAsia="Arial" w:hAnsi="Arial"/>
                <w:sz w:val="17"/>
                <w:szCs w:val="17"/>
                <w:color w:val="auto"/>
              </w:rPr>
              <w:t>Base salary</w:t>
            </w:r>
          </w:p>
        </w:tc>
        <w:tc>
          <w:tcPr>
            <w:tcW w:w="70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660" w:type="dxa"/>
            <w:vAlign w:val="bottom"/>
            <w:shd w:val="clear" w:color="auto" w:fill="CCEEFF"/>
          </w:tcPr>
          <w:p>
            <w:pPr>
              <w:ind w:left="180"/>
              <w:spacing w:after="0" w:line="171" w:lineRule="exact"/>
              <w:rPr>
                <w:sz w:val="20"/>
                <w:szCs w:val="20"/>
                <w:color w:val="auto"/>
              </w:rPr>
            </w:pPr>
            <w:r>
              <w:rPr>
                <w:rFonts w:ascii="Arial" w:cs="Arial" w:eastAsia="Arial" w:hAnsi="Arial"/>
                <w:sz w:val="18"/>
                <w:szCs w:val="18"/>
                <w:color w:val="auto"/>
              </w:rPr>
              <w:t>for an additional</w:t>
            </w:r>
          </w:p>
        </w:tc>
        <w:tc>
          <w:tcPr>
            <w:tcW w:w="700" w:type="dxa"/>
            <w:vAlign w:val="bottom"/>
            <w:vMerge w:val="restart"/>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729,686</w:t>
            </w:r>
          </w:p>
        </w:tc>
        <w:tc>
          <w:tcPr>
            <w:tcW w:w="8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00" w:type="dxa"/>
            <w:vAlign w:val="bottom"/>
            <w:vMerge w:val="restart"/>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1,125,000</w:t>
            </w:r>
          </w:p>
        </w:tc>
        <w:tc>
          <w:tcPr>
            <w:tcW w:w="8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1,500,000</w:t>
            </w:r>
          </w:p>
        </w:tc>
        <w:tc>
          <w:tcPr>
            <w:tcW w:w="8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60" w:type="dxa"/>
            <w:vAlign w:val="bottom"/>
            <w:vMerge w:val="restart"/>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1660" w:type="dxa"/>
            <w:vAlign w:val="bottom"/>
            <w:shd w:val="clear" w:color="auto" w:fill="CCEEFF"/>
          </w:tcPr>
          <w:p>
            <w:pPr>
              <w:ind w:left="180"/>
              <w:spacing w:after="0" w:line="225" w:lineRule="exact"/>
              <w:rPr>
                <w:sz w:val="20"/>
                <w:szCs w:val="20"/>
                <w:color w:val="auto"/>
              </w:rPr>
            </w:pPr>
            <w:r>
              <w:rPr>
                <w:rFonts w:ascii="Arial" w:cs="Arial" w:eastAsia="Arial" w:hAnsi="Arial"/>
                <w:sz w:val="18"/>
                <w:szCs w:val="18"/>
                <w:color w:val="auto"/>
              </w:rPr>
              <w:t>period</w:t>
            </w:r>
            <w:r>
              <w:rPr>
                <w:rFonts w:ascii="Arial" w:cs="Arial" w:eastAsia="Arial" w:hAnsi="Arial"/>
                <w:sz w:val="22"/>
                <w:szCs w:val="22"/>
                <w:color w:val="auto"/>
                <w:vertAlign w:val="superscript"/>
              </w:rPr>
              <w:t>(1)</w:t>
            </w:r>
          </w:p>
        </w:tc>
        <w:tc>
          <w:tcPr>
            <w:tcW w:w="700" w:type="dxa"/>
            <w:vAlign w:val="bottom"/>
            <w:vMerge w:val="continue"/>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840" w:type="dxa"/>
            <w:vAlign w:val="bottom"/>
            <w:gridSpan w:val="2"/>
            <w:vMerge w:val="continue"/>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880" w:type="dxa"/>
            <w:vAlign w:val="bottom"/>
            <w:gridSpan w:val="2"/>
            <w:vMerge w:val="continue"/>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660" w:type="dxa"/>
            <w:vAlign w:val="bottom"/>
          </w:tcPr>
          <w:p>
            <w:pPr>
              <w:ind w:left="580"/>
              <w:spacing w:after="0" w:line="173" w:lineRule="exact"/>
              <w:rPr>
                <w:sz w:val="20"/>
                <w:szCs w:val="20"/>
                <w:color w:val="auto"/>
              </w:rPr>
            </w:pPr>
            <w:r>
              <w:rPr>
                <w:rFonts w:ascii="Arial" w:cs="Arial" w:eastAsia="Arial" w:hAnsi="Arial"/>
                <w:sz w:val="18"/>
                <w:szCs w:val="18"/>
                <w:color w:val="auto"/>
              </w:rPr>
              <w:t>Annual</w:t>
            </w: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1660" w:type="dxa"/>
            <w:vAlign w:val="bottom"/>
          </w:tcPr>
          <w:p>
            <w:pPr>
              <w:ind w:left="180"/>
              <w:spacing w:after="0" w:line="171" w:lineRule="exact"/>
              <w:rPr>
                <w:sz w:val="20"/>
                <w:szCs w:val="20"/>
                <w:color w:val="auto"/>
              </w:rPr>
            </w:pPr>
            <w:r>
              <w:rPr>
                <w:rFonts w:ascii="Arial" w:cs="Arial" w:eastAsia="Arial" w:hAnsi="Arial"/>
                <w:sz w:val="18"/>
                <w:szCs w:val="18"/>
                <w:color w:val="auto"/>
              </w:rPr>
              <w:t>bonus for an</w:t>
            </w:r>
          </w:p>
        </w:tc>
        <w:tc>
          <w:tcPr>
            <w:tcW w:w="700" w:type="dxa"/>
            <w:vAlign w:val="bottom"/>
          </w:tcPr>
          <w:p>
            <w:pPr>
              <w:spacing w:after="0"/>
              <w:rPr>
                <w:sz w:val="14"/>
                <w:szCs w:val="14"/>
                <w:color w:val="auto"/>
              </w:rPr>
            </w:pPr>
          </w:p>
        </w:tc>
        <w:tc>
          <w:tcPr>
            <w:tcW w:w="92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4"/>
                <w:szCs w:val="14"/>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1,406,250</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1,875,000</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1660" w:type="dxa"/>
            <w:vAlign w:val="bottom"/>
          </w:tcPr>
          <w:p>
            <w:pPr>
              <w:ind w:left="180"/>
              <w:spacing w:after="0" w:line="225" w:lineRule="exact"/>
              <w:rPr>
                <w:sz w:val="20"/>
                <w:szCs w:val="20"/>
                <w:color w:val="auto"/>
              </w:rPr>
            </w:pPr>
            <w:r>
              <w:rPr>
                <w:rFonts w:ascii="Arial" w:cs="Arial" w:eastAsia="Arial" w:hAnsi="Arial"/>
                <w:sz w:val="18"/>
                <w:szCs w:val="18"/>
                <w:color w:val="auto"/>
                <w:w w:val="97"/>
              </w:rPr>
              <w:t>additional period</w:t>
            </w:r>
            <w:r>
              <w:rPr>
                <w:rFonts w:ascii="Arial" w:cs="Arial" w:eastAsia="Arial" w:hAnsi="Arial"/>
                <w:sz w:val="22"/>
                <w:szCs w:val="22"/>
                <w:color w:val="auto"/>
                <w:w w:val="97"/>
                <w:vertAlign w:val="superscript"/>
              </w:rPr>
              <w:t>(2)</w:t>
            </w:r>
          </w:p>
        </w:tc>
        <w:tc>
          <w:tcPr>
            <w:tcW w:w="70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70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66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1660" w:type="dxa"/>
            <w:vAlign w:val="bottom"/>
            <w:shd w:val="clear" w:color="auto" w:fill="CCEEFF"/>
          </w:tcPr>
          <w:p>
            <w:pPr>
              <w:ind w:left="580"/>
              <w:spacing w:after="0" w:line="172" w:lineRule="exact"/>
              <w:rPr>
                <w:sz w:val="20"/>
                <w:szCs w:val="20"/>
                <w:color w:val="auto"/>
              </w:rPr>
            </w:pPr>
            <w:r>
              <w:rPr>
                <w:rFonts w:ascii="Arial" w:cs="Arial" w:eastAsia="Arial" w:hAnsi="Arial"/>
                <w:sz w:val="18"/>
                <w:szCs w:val="18"/>
                <w:color w:val="auto"/>
              </w:rPr>
              <w:t>Medical</w:t>
            </w:r>
          </w:p>
        </w:tc>
        <w:tc>
          <w:tcPr>
            <w:tcW w:w="70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20,314</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20,314</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30,011</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30,011</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30,011</w:t>
            </w: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20,314</w:t>
            </w:r>
          </w:p>
        </w:tc>
        <w:tc>
          <w:tcPr>
            <w:tcW w:w="0" w:type="dxa"/>
            <w:vAlign w:val="bottom"/>
          </w:tcPr>
          <w:p>
            <w:pPr>
              <w:spacing w:after="0"/>
              <w:rPr>
                <w:sz w:val="1"/>
                <w:szCs w:val="1"/>
                <w:color w:val="auto"/>
              </w:rPr>
            </w:pPr>
          </w:p>
        </w:tc>
      </w:tr>
      <w:tr>
        <w:trPr>
          <w:trHeight w:val="226"/>
        </w:trPr>
        <w:tc>
          <w:tcPr>
            <w:tcW w:w="1660" w:type="dxa"/>
            <w:vAlign w:val="bottom"/>
            <w:shd w:val="clear" w:color="auto" w:fill="CCEEFF"/>
          </w:tcPr>
          <w:p>
            <w:pPr>
              <w:ind w:left="180"/>
              <w:spacing w:after="0" w:line="225" w:lineRule="exact"/>
              <w:rPr>
                <w:sz w:val="20"/>
                <w:szCs w:val="20"/>
                <w:color w:val="auto"/>
              </w:rPr>
            </w:pPr>
            <w:r>
              <w:rPr>
                <w:rFonts w:ascii="Arial" w:cs="Arial" w:eastAsia="Arial" w:hAnsi="Arial"/>
                <w:sz w:val="18"/>
                <w:szCs w:val="18"/>
                <w:color w:val="auto"/>
              </w:rPr>
              <w:t>benefits</w:t>
            </w:r>
            <w:r>
              <w:rPr>
                <w:rFonts w:ascii="Arial" w:cs="Arial" w:eastAsia="Arial" w:hAnsi="Arial"/>
                <w:sz w:val="22"/>
                <w:szCs w:val="22"/>
                <w:color w:val="auto"/>
                <w:vertAlign w:val="superscript"/>
              </w:rPr>
              <w:t>(3)</w:t>
            </w:r>
          </w:p>
        </w:tc>
        <w:tc>
          <w:tcPr>
            <w:tcW w:w="7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660" w:type="dxa"/>
            <w:vAlign w:val="bottom"/>
          </w:tcPr>
          <w:p>
            <w:pPr>
              <w:ind w:left="580"/>
              <w:spacing w:after="0" w:line="205" w:lineRule="exact"/>
              <w:rPr>
                <w:sz w:val="20"/>
                <w:szCs w:val="20"/>
                <w:color w:val="auto"/>
              </w:rPr>
            </w:pPr>
            <w:r>
              <w:rPr>
                <w:rFonts w:ascii="Arial" w:cs="Arial" w:eastAsia="Arial" w:hAnsi="Arial"/>
                <w:sz w:val="18"/>
                <w:szCs w:val="18"/>
                <w:color w:val="auto"/>
              </w:rPr>
              <w:t>Total</w:t>
            </w:r>
          </w:p>
        </w:tc>
        <w:tc>
          <w:tcPr>
            <w:tcW w:w="7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750,000</w:t>
            </w:r>
          </w:p>
        </w:tc>
        <w:tc>
          <w:tcPr>
            <w:tcW w:w="80" w:type="dxa"/>
            <w:vAlign w:val="bottom"/>
          </w:tcPr>
          <w:p>
            <w:pPr>
              <w:spacing w:after="0"/>
              <w:rPr>
                <w:sz w:val="18"/>
                <w:szCs w:val="18"/>
                <w:color w:val="auto"/>
              </w:rPr>
            </w:pPr>
          </w:p>
        </w:tc>
        <w:tc>
          <w:tcPr>
            <w:tcW w:w="7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20,314</w:t>
            </w:r>
          </w:p>
        </w:tc>
        <w:tc>
          <w:tcPr>
            <w:tcW w:w="80" w:type="dxa"/>
            <w:vAlign w:val="bottom"/>
          </w:tcPr>
          <w:p>
            <w:pPr>
              <w:spacing w:after="0"/>
              <w:rPr>
                <w:sz w:val="18"/>
                <w:szCs w:val="18"/>
                <w:color w:val="auto"/>
              </w:rPr>
            </w:pPr>
          </w:p>
        </w:tc>
        <w:tc>
          <w:tcPr>
            <w:tcW w:w="7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2,561,261</w:t>
            </w:r>
          </w:p>
        </w:tc>
        <w:tc>
          <w:tcPr>
            <w:tcW w:w="80" w:type="dxa"/>
            <w:vAlign w:val="bottom"/>
          </w:tcPr>
          <w:p>
            <w:pPr>
              <w:spacing w:after="0"/>
              <w:rPr>
                <w:sz w:val="18"/>
                <w:szCs w:val="18"/>
                <w:color w:val="auto"/>
              </w:rPr>
            </w:pPr>
          </w:p>
        </w:tc>
        <w:tc>
          <w:tcPr>
            <w:tcW w:w="7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3,405,011</w:t>
            </w:r>
          </w:p>
        </w:tc>
        <w:tc>
          <w:tcPr>
            <w:tcW w:w="80" w:type="dxa"/>
            <w:vAlign w:val="bottom"/>
          </w:tcPr>
          <w:p>
            <w:pPr>
              <w:spacing w:after="0"/>
              <w:rPr>
                <w:sz w:val="18"/>
                <w:szCs w:val="18"/>
                <w:color w:val="auto"/>
              </w:rPr>
            </w:pPr>
          </w:p>
        </w:tc>
        <w:tc>
          <w:tcPr>
            <w:tcW w:w="6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30,011</w:t>
            </w:r>
          </w:p>
        </w:tc>
        <w:tc>
          <w:tcPr>
            <w:tcW w:w="80" w:type="dxa"/>
            <w:vAlign w:val="bottom"/>
          </w:tcPr>
          <w:p>
            <w:pPr>
              <w:spacing w:after="0"/>
              <w:rPr>
                <w:sz w:val="18"/>
                <w:szCs w:val="18"/>
                <w:color w:val="auto"/>
              </w:rPr>
            </w:pPr>
          </w:p>
        </w:tc>
        <w:tc>
          <w:tcPr>
            <w:tcW w:w="6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20,314</w:t>
            </w: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8" w:lineRule="exact"/>
        <w:rPr>
          <w:sz w:val="20"/>
          <w:szCs w:val="20"/>
          <w:color w:val="auto"/>
        </w:rPr>
      </w:pPr>
    </w:p>
    <w:p>
      <w:pPr>
        <w:spacing w:after="0"/>
        <w:rPr>
          <w:sz w:val="20"/>
          <w:szCs w:val="20"/>
          <w:color w:val="auto"/>
        </w:rPr>
      </w:pPr>
      <w:r>
        <w:rPr>
          <w:rFonts w:ascii="Arial" w:cs="Arial" w:eastAsia="Arial" w:hAnsi="Arial"/>
          <w:sz w:val="9"/>
          <w:szCs w:val="9"/>
          <w:color w:val="auto"/>
        </w:rPr>
        <w:t>___________________</w:t>
      </w:r>
    </w:p>
    <w:p>
      <w:pPr>
        <w:spacing w:after="0" w:line="16" w:lineRule="exact"/>
        <w:rPr>
          <w:sz w:val="20"/>
          <w:szCs w:val="20"/>
          <w:color w:val="auto"/>
        </w:rPr>
      </w:pPr>
    </w:p>
    <w:p>
      <w:pPr>
        <w:ind w:left="640" w:right="300" w:hanging="634"/>
        <w:spacing w:after="0" w:line="283" w:lineRule="auto"/>
        <w:tabs>
          <w:tab w:leader="none" w:pos="302" w:val="left"/>
        </w:tabs>
        <w:numPr>
          <w:ilvl w:val="0"/>
          <w:numId w:val="61"/>
        </w:numPr>
        <w:rPr>
          <w:rFonts w:ascii="Arial" w:cs="Arial" w:eastAsia="Arial" w:hAnsi="Arial"/>
          <w:sz w:val="12"/>
          <w:szCs w:val="12"/>
          <w:color w:val="auto"/>
        </w:rPr>
      </w:pPr>
      <w:r>
        <w:rPr>
          <w:rFonts w:ascii="Arial" w:cs="Arial" w:eastAsia="Arial" w:hAnsi="Arial"/>
          <w:sz w:val="12"/>
          <w:szCs w:val="12"/>
          <w:color w:val="auto"/>
        </w:rPr>
        <w:t>Amounts reflect one year’s base salary, less the amount of medical insurance premiums Mr. Casey would have paid had he remained employed with the Company, for termination for cause, voluntary termination without good reason or non-renewal by Mr. Casey. Amounts reflect 1.5 times Mr. Casey's annual base salary, less the amount of medical insurance premiums Mr. Casey would have paid had he remained employed with the Company, for termination without cause, for good reason or non-renewal by the Company. Amounts reflect 2 times Mr.</w:t>
      </w:r>
    </w:p>
    <w:p>
      <w:pPr>
        <w:spacing w:after="0" w:line="1" w:lineRule="exact"/>
        <w:rPr>
          <w:rFonts w:ascii="Arial" w:cs="Arial" w:eastAsia="Arial" w:hAnsi="Arial"/>
          <w:sz w:val="12"/>
          <w:szCs w:val="12"/>
          <w:color w:val="auto"/>
        </w:rPr>
      </w:pPr>
    </w:p>
    <w:p>
      <w:pPr>
        <w:ind w:left="640"/>
        <w:spacing w:after="0"/>
        <w:rPr>
          <w:rFonts w:ascii="Arial" w:cs="Arial" w:eastAsia="Arial" w:hAnsi="Arial"/>
          <w:sz w:val="12"/>
          <w:szCs w:val="12"/>
          <w:color w:val="auto"/>
        </w:rPr>
      </w:pPr>
      <w:r>
        <w:rPr>
          <w:rFonts w:ascii="Arial" w:cs="Arial" w:eastAsia="Arial" w:hAnsi="Arial"/>
          <w:sz w:val="14"/>
          <w:szCs w:val="14"/>
          <w:color w:val="auto"/>
        </w:rPr>
        <w:t>Casey's annual base salary,</w:t>
      </w:r>
    </w:p>
    <w:p>
      <w:pPr>
        <w:sectPr>
          <w:pgSz w:w="11900" w:h="16838" w:orient="portrait"/>
          <w:cols w:equalWidth="0" w:num="1">
            <w:col w:w="11340"/>
          </w:cols>
          <w:pgMar w:left="320" w:top="678" w:right="239" w:bottom="1440" w:gutter="0" w:footer="0" w:header="0"/>
        </w:sectPr>
      </w:pPr>
    </w:p>
    <w:p>
      <w:pPr>
        <w:spacing w:after="0" w:line="99"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31</w:t>
      </w:r>
    </w:p>
    <w:p>
      <w:pPr>
        <w:sectPr>
          <w:pgSz w:w="11900" w:h="16838" w:orient="portrait"/>
          <w:cols w:equalWidth="0" w:num="1">
            <w:col w:w="11340"/>
          </w:cols>
          <w:pgMar w:left="320" w:top="678" w:right="239" w:bottom="1440" w:gutter="0" w:footer="0" w:header="0"/>
          <w:type w:val="continuous"/>
        </w:sectPr>
      </w:pPr>
    </w:p>
    <w:bookmarkStart w:id="38" w:name="page39"/>
    <w:bookmarkEnd w:id="38"/>
    <w:p>
      <w:pPr>
        <w:ind w:left="640"/>
        <w:spacing w:after="0"/>
        <w:rPr>
          <w:sz w:val="20"/>
          <w:szCs w:val="20"/>
          <w:color w:val="auto"/>
        </w:rPr>
      </w:pPr>
      <w:r>
        <w:rPr>
          <w:rFonts w:ascii="Arial" w:cs="Arial" w:eastAsia="Arial" w:hAnsi="Arial"/>
          <w:sz w:val="14"/>
          <w:szCs w:val="14"/>
          <w:color w:val="auto"/>
        </w:rPr>
        <w:t>less the amount of medical insurance premiums Mr. Casey would have paid had he remained employed with the Company, for termination due to change in control.</w:t>
      </w:r>
    </w:p>
    <w:p>
      <w:pPr>
        <w:spacing w:after="0" w:line="10" w:lineRule="exact"/>
        <w:rPr>
          <w:sz w:val="20"/>
          <w:szCs w:val="20"/>
          <w:color w:val="auto"/>
        </w:rPr>
      </w:pPr>
    </w:p>
    <w:p>
      <w:pPr>
        <w:ind w:left="640" w:right="80" w:hanging="634"/>
        <w:spacing w:after="0" w:line="237" w:lineRule="auto"/>
        <w:tabs>
          <w:tab w:leader="none" w:pos="302" w:val="left"/>
        </w:tabs>
        <w:numPr>
          <w:ilvl w:val="0"/>
          <w:numId w:val="62"/>
        </w:numPr>
        <w:rPr>
          <w:rFonts w:ascii="Arial" w:cs="Arial" w:eastAsia="Arial" w:hAnsi="Arial"/>
          <w:sz w:val="14"/>
          <w:szCs w:val="14"/>
          <w:color w:val="auto"/>
        </w:rPr>
      </w:pPr>
      <w:r>
        <w:rPr>
          <w:rFonts w:ascii="Arial" w:cs="Arial" w:eastAsia="Arial" w:hAnsi="Arial"/>
          <w:sz w:val="14"/>
          <w:szCs w:val="14"/>
          <w:color w:val="auto"/>
        </w:rPr>
        <w:t>Amounts reflect 1.5 times Mr. Casey's annual bonus paid for the most recently completed year for termination without cause, for good reason or non-renewal by the Company. Amounts reflect two times Mr. Casey's annual bonus paid for the most recently completed year for termination due to change in control.</w:t>
      </w:r>
    </w:p>
    <w:p>
      <w:pPr>
        <w:ind w:left="640" w:right="320" w:hanging="634"/>
        <w:spacing w:after="0" w:line="242" w:lineRule="auto"/>
        <w:tabs>
          <w:tab w:leader="none" w:pos="302" w:val="left"/>
        </w:tabs>
        <w:numPr>
          <w:ilvl w:val="0"/>
          <w:numId w:val="62"/>
        </w:numPr>
        <w:rPr>
          <w:rFonts w:ascii="Arial" w:cs="Arial" w:eastAsia="Arial" w:hAnsi="Arial"/>
          <w:sz w:val="14"/>
          <w:szCs w:val="14"/>
          <w:color w:val="auto"/>
        </w:rPr>
      </w:pPr>
      <w:r>
        <w:rPr>
          <w:rFonts w:ascii="Arial" w:cs="Arial" w:eastAsia="Arial" w:hAnsi="Arial"/>
          <w:sz w:val="14"/>
          <w:szCs w:val="14"/>
          <w:color w:val="auto"/>
        </w:rPr>
        <w:t>Amounts reflect the Company’s estimated premiums to continue medical benefits for Mr. Casey and his dependents, as applicable, for twelve months after termination for cause, voluntary termination without good reason, non-renewal by the executive or disability, or for eighteen months after termination without cause, for good reason, non-renewal by the Company, change in control or death.</w:t>
      </w:r>
    </w:p>
    <w:p>
      <w:pPr>
        <w:spacing w:after="0" w:line="91" w:lineRule="exact"/>
        <w:rPr>
          <w:sz w:val="20"/>
          <w:szCs w:val="20"/>
          <w:color w:val="auto"/>
        </w:rPr>
      </w:pPr>
    </w:p>
    <w:p>
      <w:pPr>
        <w:ind w:right="40"/>
        <w:spacing w:after="0" w:line="265" w:lineRule="auto"/>
        <w:rPr>
          <w:sz w:val="20"/>
          <w:szCs w:val="20"/>
          <w:color w:val="auto"/>
        </w:rPr>
      </w:pPr>
      <w:r>
        <w:rPr>
          <w:rFonts w:ascii="Arial" w:cs="Arial" w:eastAsia="Arial" w:hAnsi="Arial"/>
          <w:sz w:val="18"/>
          <w:szCs w:val="18"/>
          <w:color w:val="auto"/>
        </w:rPr>
        <w:t>The amounts shown in the preceding table do not include payments and benefits to the extent they are paid to all employees upon termination of employment, including:</w:t>
      </w:r>
    </w:p>
    <w:p>
      <w:pPr>
        <w:spacing w:after="0" w:line="74" w:lineRule="exact"/>
        <w:rPr>
          <w:sz w:val="20"/>
          <w:szCs w:val="20"/>
          <w:color w:val="auto"/>
        </w:rPr>
      </w:pPr>
    </w:p>
    <w:p>
      <w:pPr>
        <w:ind w:left="640" w:hanging="316"/>
        <w:spacing w:after="0"/>
        <w:tabs>
          <w:tab w:leader="none" w:pos="6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accrued salary and vacation pay;</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distribution of the balance held by the individual under our Savings Plan; and</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amounts paid under other benefit plans, including our family and medical leave of absence and long-term disability programs.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Definitions under the terms of the Stock Incentive Plan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Change in Control </w:t>
      </w:r>
      <w:r>
        <w:rPr>
          <w:rFonts w:ascii="Arial" w:cs="Arial" w:eastAsia="Arial" w:hAnsi="Arial"/>
          <w:sz w:val="18"/>
          <w:szCs w:val="18"/>
          <w:color w:val="auto"/>
        </w:rPr>
        <w:t>shall mean:</w:t>
      </w:r>
    </w:p>
    <w:p>
      <w:pPr>
        <w:spacing w:after="0" w:line="111" w:lineRule="exact"/>
        <w:rPr>
          <w:sz w:val="20"/>
          <w:szCs w:val="20"/>
          <w:color w:val="auto"/>
        </w:rPr>
      </w:pPr>
    </w:p>
    <w:p>
      <w:pPr>
        <w:jc w:val="both"/>
        <w:ind w:left="640" w:hanging="316"/>
        <w:spacing w:after="0" w:line="277" w:lineRule="auto"/>
        <w:tabs>
          <w:tab w:leader="none" w:pos="635" w:val="left"/>
        </w:tabs>
        <w:numPr>
          <w:ilvl w:val="0"/>
          <w:numId w:val="64"/>
        </w:numPr>
        <w:rPr>
          <w:rFonts w:ascii="Arial" w:cs="Arial" w:eastAsia="Arial" w:hAnsi="Arial"/>
          <w:sz w:val="17"/>
          <w:szCs w:val="17"/>
          <w:color w:val="auto"/>
        </w:rPr>
      </w:pPr>
      <w:r>
        <w:rPr>
          <w:rFonts w:ascii="Arial" w:cs="Arial" w:eastAsia="Arial" w:hAnsi="Arial"/>
          <w:sz w:val="17"/>
          <w:szCs w:val="17"/>
          <w:color w:val="auto"/>
        </w:rPr>
        <w:t>a merger or consolidation of the Company with or into another corporation in which the Company shall not be the surviving corporation (other than a merger undertaken solely in order to reincorporate in another state) (for purposes hereof, the Company shall not be deemed the surviving corporation in any such transaction if, as the result thereof, it becomes a wholly-owned subsidiary of another corporation);</w:t>
      </w:r>
    </w:p>
    <w:p>
      <w:pPr>
        <w:spacing w:after="0" w:line="66" w:lineRule="exact"/>
        <w:rPr>
          <w:rFonts w:ascii="Arial" w:cs="Arial" w:eastAsia="Arial" w:hAnsi="Arial"/>
          <w:sz w:val="17"/>
          <w:szCs w:val="17"/>
          <w:color w:val="auto"/>
        </w:rPr>
      </w:pPr>
    </w:p>
    <w:p>
      <w:pPr>
        <w:ind w:left="640" w:hanging="316"/>
        <w:spacing w:after="0"/>
        <w:tabs>
          <w:tab w:leader="none" w:pos="6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dissolution of the Company;</w:t>
      </w:r>
    </w:p>
    <w:p>
      <w:pPr>
        <w:spacing w:after="0" w:line="111" w:lineRule="exact"/>
        <w:rPr>
          <w:rFonts w:ascii="Arial" w:cs="Arial" w:eastAsia="Arial" w:hAnsi="Arial"/>
          <w:sz w:val="18"/>
          <w:szCs w:val="18"/>
          <w:color w:val="auto"/>
        </w:rPr>
      </w:pPr>
    </w:p>
    <w:p>
      <w:pPr>
        <w:ind w:left="640" w:right="140" w:hanging="316"/>
        <w:spacing w:after="0" w:line="265" w:lineRule="auto"/>
        <w:tabs>
          <w:tab w:leader="none" w:pos="635"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transfer of all or substantially all of the assets of the Company in one transaction or a series of related transactions to one or more other persons or entities; or</w:t>
      </w:r>
    </w:p>
    <w:p>
      <w:pPr>
        <w:spacing w:after="0" w:line="73" w:lineRule="exact"/>
        <w:rPr>
          <w:rFonts w:ascii="Arial" w:cs="Arial" w:eastAsia="Arial" w:hAnsi="Arial"/>
          <w:sz w:val="18"/>
          <w:szCs w:val="18"/>
          <w:color w:val="auto"/>
        </w:rPr>
      </w:pPr>
    </w:p>
    <w:p>
      <w:pPr>
        <w:ind w:left="640" w:right="40" w:hanging="316"/>
        <w:spacing w:after="0" w:line="264" w:lineRule="auto"/>
        <w:tabs>
          <w:tab w:leader="none" w:pos="635" w:val="left"/>
        </w:tabs>
        <w:numPr>
          <w:ilvl w:val="0"/>
          <w:numId w:val="64"/>
        </w:numPr>
        <w:rPr>
          <w:rFonts w:ascii="Arial" w:cs="Arial" w:eastAsia="Arial" w:hAnsi="Arial"/>
          <w:sz w:val="17"/>
          <w:szCs w:val="17"/>
          <w:color w:val="auto"/>
        </w:rPr>
      </w:pPr>
      <w:r>
        <w:rPr>
          <w:rFonts w:ascii="Arial" w:cs="Arial" w:eastAsia="Arial" w:hAnsi="Arial"/>
          <w:sz w:val="17"/>
          <w:szCs w:val="17"/>
          <w:color w:val="auto"/>
        </w:rPr>
        <w:t>a transaction or series of transactions that results in any entity, person, or group, becoming the beneficial owner, directly or indirectly, of securities of the Company representing more than 50% of the combined voting power of the Company’s then outstanding securities; or during any period of two consecutive years commencing on or after January 1, 2005, individuals who, at the beginning of the period constituted the Company’s Board of Directors, cease for any reason to constitute at least a majority, unless the election of each director who was not a director at the beginning of the period has been approved in advance by directors representing at least two-thirds of the directors then in office who were directors at the beginning of the period; provided, however, that a "Change in Control" shall not be deemed to have occurred if the ownership of 50% or more of the combined voting power of the surviving corporation, asset transferee or Company (as the case may be), after giving effect to the transaction or series of transactions, is directly or indirectly held by (A) a trustee or other fiduciary under an employee benefit plan maintained by the Company, or (B) one or more of the "executive officers" of the Company that held such positions prior to the transaction or series of transactions, or any entity, person or group under their control.</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Definitions under the terms of the Executive's Employment Agreements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Termination for cause </w:t>
      </w:r>
      <w:r>
        <w:rPr>
          <w:rFonts w:ascii="Arial" w:cs="Arial" w:eastAsia="Arial" w:hAnsi="Arial"/>
          <w:sz w:val="18"/>
          <w:szCs w:val="18"/>
          <w:color w:val="auto"/>
        </w:rPr>
        <w:t>could occur due to any of the following events:</w:t>
      </w:r>
    </w:p>
    <w:p>
      <w:pPr>
        <w:spacing w:after="0" w:line="111" w:lineRule="exact"/>
        <w:rPr>
          <w:sz w:val="20"/>
          <w:szCs w:val="20"/>
          <w:color w:val="auto"/>
        </w:rPr>
      </w:pPr>
    </w:p>
    <w:p>
      <w:pPr>
        <w:ind w:left="640" w:hanging="316"/>
        <w:spacing w:after="0"/>
        <w:tabs>
          <w:tab w:leader="none" w:pos="6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executive’s conviction of any felony or other serious crimes;</w:t>
      </w:r>
    </w:p>
    <w:p>
      <w:pPr>
        <w:spacing w:after="0" w:line="111" w:lineRule="exact"/>
        <w:rPr>
          <w:rFonts w:ascii="Arial" w:cs="Arial" w:eastAsia="Arial" w:hAnsi="Arial"/>
          <w:sz w:val="18"/>
          <w:szCs w:val="18"/>
          <w:color w:val="auto"/>
        </w:rPr>
      </w:pPr>
    </w:p>
    <w:p>
      <w:pPr>
        <w:jc w:val="both"/>
        <w:ind w:left="640" w:right="220" w:hanging="316"/>
        <w:spacing w:after="0" w:line="255" w:lineRule="auto"/>
        <w:tabs>
          <w:tab w:leader="none" w:pos="635" w:val="left"/>
        </w:tabs>
        <w:numPr>
          <w:ilvl w:val="0"/>
          <w:numId w:val="65"/>
        </w:numPr>
        <w:rPr>
          <w:rFonts w:ascii="Arial" w:cs="Arial" w:eastAsia="Arial" w:hAnsi="Arial"/>
          <w:sz w:val="18"/>
          <w:szCs w:val="18"/>
          <w:color w:val="auto"/>
        </w:rPr>
      </w:pPr>
      <w:r>
        <w:rPr>
          <w:rFonts w:ascii="Arial" w:cs="Arial" w:eastAsia="Arial" w:hAnsi="Arial"/>
          <w:sz w:val="18"/>
          <w:szCs w:val="18"/>
          <w:color w:val="auto"/>
        </w:rPr>
        <w:t>executive’s material breach of any of the terms of the employment agreement or any other written agreement or material company policy to which the executive and the Company are parties or are bound, if such breach shall be willful and shall continue beyond a period of 30 days immediately after written notice thereof by the Company to the executive;</w:t>
      </w:r>
    </w:p>
    <w:p>
      <w:pPr>
        <w:spacing w:after="0" w:line="83" w:lineRule="exact"/>
        <w:rPr>
          <w:rFonts w:ascii="Arial" w:cs="Arial" w:eastAsia="Arial" w:hAnsi="Arial"/>
          <w:sz w:val="18"/>
          <w:szCs w:val="18"/>
          <w:color w:val="auto"/>
        </w:rPr>
      </w:pPr>
    </w:p>
    <w:p>
      <w:pPr>
        <w:ind w:left="640" w:hanging="316"/>
        <w:spacing w:after="0"/>
        <w:tabs>
          <w:tab w:leader="none" w:pos="6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wrongful misappropriation by the executive of any money, assets, or other property of the Company or of a client of the Company;</w:t>
      </w:r>
    </w:p>
    <w:p>
      <w:pPr>
        <w:spacing w:after="0" w:line="111" w:lineRule="exact"/>
        <w:rPr>
          <w:rFonts w:ascii="Arial" w:cs="Arial" w:eastAsia="Arial" w:hAnsi="Arial"/>
          <w:sz w:val="18"/>
          <w:szCs w:val="18"/>
          <w:color w:val="auto"/>
        </w:rPr>
      </w:pPr>
    </w:p>
    <w:p>
      <w:pPr>
        <w:ind w:left="640" w:right="20" w:hanging="316"/>
        <w:spacing w:after="0" w:line="277" w:lineRule="auto"/>
        <w:tabs>
          <w:tab w:leader="none" w:pos="635" w:val="left"/>
        </w:tabs>
        <w:numPr>
          <w:ilvl w:val="0"/>
          <w:numId w:val="65"/>
        </w:numPr>
        <w:rPr>
          <w:rFonts w:ascii="Arial" w:cs="Arial" w:eastAsia="Arial" w:hAnsi="Arial"/>
          <w:sz w:val="17"/>
          <w:szCs w:val="17"/>
          <w:color w:val="auto"/>
        </w:rPr>
      </w:pPr>
      <w:r>
        <w:rPr>
          <w:rFonts w:ascii="Arial" w:cs="Arial" w:eastAsia="Arial" w:hAnsi="Arial"/>
          <w:sz w:val="17"/>
          <w:szCs w:val="17"/>
          <w:color w:val="auto"/>
        </w:rPr>
        <w:t>willful actions or failures to act by the executive which subject the executive or the Company to censure by the Securities and Exchange Commission as described in and pursuant to Section 203(e) or 203(f) of the Investment Advisers Act of 1940 or Section 9(b) of the Investment Company Act of 1940 or to censure by a state securities administrator pursuant to applicable state securities laws or regulations;</w:t>
      </w:r>
    </w:p>
    <w:p>
      <w:pPr>
        <w:spacing w:after="0" w:line="66" w:lineRule="exact"/>
        <w:rPr>
          <w:rFonts w:ascii="Arial" w:cs="Arial" w:eastAsia="Arial" w:hAnsi="Arial"/>
          <w:sz w:val="17"/>
          <w:szCs w:val="17"/>
          <w:color w:val="auto"/>
        </w:rPr>
      </w:pPr>
    </w:p>
    <w:p>
      <w:pPr>
        <w:ind w:left="640" w:hanging="316"/>
        <w:spacing w:after="0"/>
        <w:tabs>
          <w:tab w:leader="none" w:pos="6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executive’s commission of fraud or gross moral turpitude; or</w:t>
      </w:r>
    </w:p>
    <w:p>
      <w:pPr>
        <w:spacing w:after="0" w:line="111" w:lineRule="exact"/>
        <w:rPr>
          <w:rFonts w:ascii="Arial" w:cs="Arial" w:eastAsia="Arial" w:hAnsi="Arial"/>
          <w:sz w:val="18"/>
          <w:szCs w:val="18"/>
          <w:color w:val="auto"/>
        </w:rPr>
      </w:pPr>
    </w:p>
    <w:p>
      <w:pPr>
        <w:ind w:left="640" w:right="80" w:hanging="316"/>
        <w:spacing w:after="0" w:line="265" w:lineRule="auto"/>
        <w:tabs>
          <w:tab w:leader="none" w:pos="635" w:val="left"/>
        </w:tabs>
        <w:numPr>
          <w:ilvl w:val="0"/>
          <w:numId w:val="65"/>
        </w:numPr>
        <w:rPr>
          <w:rFonts w:ascii="Arial" w:cs="Arial" w:eastAsia="Arial" w:hAnsi="Arial"/>
          <w:sz w:val="18"/>
          <w:szCs w:val="18"/>
          <w:color w:val="auto"/>
        </w:rPr>
      </w:pPr>
      <w:r>
        <w:rPr>
          <w:rFonts w:ascii="Arial" w:cs="Arial" w:eastAsia="Arial" w:hAnsi="Arial"/>
          <w:sz w:val="18"/>
          <w:szCs w:val="18"/>
          <w:color w:val="auto"/>
        </w:rPr>
        <w:t>executive’s continued willful failure to substantially perform executive’s duties under the applicable agreement after receipt of written notice thereof and an opportunity to so perform.</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Termination for good reason </w:t>
      </w:r>
      <w:r>
        <w:rPr>
          <w:rFonts w:ascii="Arial" w:cs="Arial" w:eastAsia="Arial" w:hAnsi="Arial"/>
          <w:sz w:val="18"/>
          <w:szCs w:val="18"/>
          <w:color w:val="auto"/>
        </w:rPr>
        <w:t>could occur due to the occurrence of any of the following events without the written consent of the executive:</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20"/>
          </w:cols>
          <w:pgMar w:left="320" w:top="439" w:right="359" w:bottom="1440" w:gutter="0" w:footer="0" w:header="0"/>
        </w:sectPr>
      </w:pPr>
    </w:p>
    <w:bookmarkStart w:id="39" w:name="page40"/>
    <w:bookmarkEnd w:id="39"/>
    <w:p>
      <w:pPr>
        <w:ind w:left="640" w:hanging="316"/>
        <w:spacing w:after="0"/>
        <w:tabs>
          <w:tab w:leader="none" w:pos="6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any material breach by the Company of the employment agreement (including any reduction in the executive’s base salary);</w:t>
      </w:r>
    </w:p>
    <w:p>
      <w:pPr>
        <w:spacing w:after="0" w:line="111" w:lineRule="exact"/>
        <w:rPr>
          <w:rFonts w:ascii="Arial" w:cs="Arial" w:eastAsia="Arial" w:hAnsi="Arial"/>
          <w:sz w:val="18"/>
          <w:szCs w:val="18"/>
          <w:color w:val="auto"/>
        </w:rPr>
      </w:pPr>
    </w:p>
    <w:p>
      <w:pPr>
        <w:ind w:left="640" w:right="80" w:hanging="316"/>
        <w:spacing w:after="0" w:line="252" w:lineRule="auto"/>
        <w:tabs>
          <w:tab w:leader="none" w:pos="635"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any material adverse change in the status, position or responsibilities of the executive including, in the case of Mr. Casey, a change in the executive’s reporting relationship so that he no longer reports to the Board of Directors, the removal from or failure to re-elect the executive as a member of the Board or if the Company becomes a wholly-owned subsidiary of another company and the executive serves only as an officer of the subsidiary company;</w:t>
      </w:r>
    </w:p>
    <w:p>
      <w:pPr>
        <w:spacing w:after="0" w:line="85" w:lineRule="exact"/>
        <w:rPr>
          <w:rFonts w:ascii="Arial" w:cs="Arial" w:eastAsia="Arial" w:hAnsi="Arial"/>
          <w:sz w:val="18"/>
          <w:szCs w:val="18"/>
          <w:color w:val="auto"/>
        </w:rPr>
      </w:pPr>
    </w:p>
    <w:p>
      <w:pPr>
        <w:ind w:left="640" w:right="200" w:hanging="316"/>
        <w:spacing w:after="0" w:line="265" w:lineRule="auto"/>
        <w:tabs>
          <w:tab w:leader="none" w:pos="635" w:val="left"/>
        </w:tabs>
        <w:numPr>
          <w:ilvl w:val="0"/>
          <w:numId w:val="66"/>
        </w:numPr>
        <w:rPr>
          <w:rFonts w:ascii="Arial" w:cs="Arial" w:eastAsia="Arial" w:hAnsi="Arial"/>
          <w:sz w:val="18"/>
          <w:szCs w:val="18"/>
          <w:color w:val="auto"/>
        </w:rPr>
      </w:pPr>
      <w:r>
        <w:rPr>
          <w:rFonts w:ascii="Arial" w:cs="Arial" w:eastAsia="Arial" w:hAnsi="Arial"/>
          <w:sz w:val="18"/>
          <w:szCs w:val="18"/>
          <w:color w:val="auto"/>
        </w:rPr>
        <w:t>assignment of duties to the executive that are materially inconsistent with the executive’s position and responsibilities described in his employment agreement;</w:t>
      </w:r>
    </w:p>
    <w:p>
      <w:pPr>
        <w:spacing w:after="0" w:line="73" w:lineRule="exact"/>
        <w:rPr>
          <w:rFonts w:ascii="Arial" w:cs="Arial" w:eastAsia="Arial" w:hAnsi="Arial"/>
          <w:sz w:val="18"/>
          <w:szCs w:val="18"/>
          <w:color w:val="auto"/>
        </w:rPr>
      </w:pPr>
    </w:p>
    <w:p>
      <w:pPr>
        <w:ind w:left="640" w:right="60" w:hanging="316"/>
        <w:spacing w:after="0" w:line="265" w:lineRule="auto"/>
        <w:tabs>
          <w:tab w:leader="none" w:pos="635"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failure of the Company to assign the employment agreement to a successor to the Company or failure of a successor to the Company to explicitly assume and agree to be bound by the employment agreement; or</w:t>
      </w:r>
    </w:p>
    <w:p>
      <w:pPr>
        <w:spacing w:after="0" w:line="73" w:lineRule="exact"/>
        <w:rPr>
          <w:rFonts w:ascii="Arial" w:cs="Arial" w:eastAsia="Arial" w:hAnsi="Arial"/>
          <w:sz w:val="18"/>
          <w:szCs w:val="18"/>
          <w:color w:val="auto"/>
        </w:rPr>
      </w:pPr>
    </w:p>
    <w:p>
      <w:pPr>
        <w:ind w:right="60" w:firstLine="324"/>
        <w:spacing w:after="0" w:line="369" w:lineRule="auto"/>
        <w:tabs>
          <w:tab w:leader="none" w:pos="632" w:val="left"/>
        </w:tabs>
        <w:numPr>
          <w:ilvl w:val="0"/>
          <w:numId w:val="66"/>
        </w:numPr>
        <w:rPr>
          <w:rFonts w:ascii="Arial" w:cs="Arial" w:eastAsia="Arial" w:hAnsi="Arial"/>
          <w:sz w:val="18"/>
          <w:szCs w:val="18"/>
          <w:color w:val="auto"/>
        </w:rPr>
      </w:pPr>
      <w:r>
        <w:rPr>
          <w:rFonts w:ascii="Arial" w:cs="Arial" w:eastAsia="Arial" w:hAnsi="Arial"/>
          <w:sz w:val="18"/>
          <w:szCs w:val="18"/>
          <w:color w:val="auto"/>
        </w:rPr>
        <w:t xml:space="preserve">requiring the executive to be principally based at any office or location more than 40 miles from the current offices of the Company in Dallas, Texas. Mr. Casey may terminate his employment </w:t>
      </w:r>
      <w:r>
        <w:rPr>
          <w:rFonts w:ascii="Arial" w:cs="Arial" w:eastAsia="Arial" w:hAnsi="Arial"/>
          <w:sz w:val="18"/>
          <w:szCs w:val="18"/>
          <w:i w:val="1"/>
          <w:iCs w:val="1"/>
          <w:color w:val="auto"/>
        </w:rPr>
        <w:t>without good reason</w:t>
      </w:r>
      <w:r>
        <w:rPr>
          <w:rFonts w:ascii="Arial" w:cs="Arial" w:eastAsia="Arial" w:hAnsi="Arial"/>
          <w:sz w:val="18"/>
          <w:szCs w:val="18"/>
          <w:color w:val="auto"/>
        </w:rPr>
        <w:t xml:space="preserve"> at any time by giving at least 30 days' notice.</w:t>
      </w:r>
    </w:p>
    <w:p>
      <w:pPr>
        <w:spacing w:after="0"/>
        <w:rPr>
          <w:rFonts w:ascii="Arial" w:cs="Arial" w:eastAsia="Arial" w:hAnsi="Arial"/>
          <w:sz w:val="18"/>
          <w:szCs w:val="18"/>
          <w:color w:val="auto"/>
        </w:rPr>
      </w:pPr>
      <w:r>
        <w:rPr>
          <w:rFonts w:ascii="Arial" w:cs="Arial" w:eastAsia="Arial" w:hAnsi="Arial"/>
          <w:sz w:val="18"/>
          <w:szCs w:val="18"/>
          <w:color w:val="auto"/>
        </w:rPr>
        <w:t xml:space="preserve">The Company may terminate the executive’s employment </w:t>
      </w:r>
      <w:r>
        <w:rPr>
          <w:rFonts w:ascii="Arial" w:cs="Arial" w:eastAsia="Arial" w:hAnsi="Arial"/>
          <w:sz w:val="18"/>
          <w:szCs w:val="18"/>
          <w:i w:val="1"/>
          <w:iCs w:val="1"/>
          <w:color w:val="auto"/>
        </w:rPr>
        <w:t>without cause</w:t>
      </w:r>
      <w:r>
        <w:rPr>
          <w:rFonts w:ascii="Arial" w:cs="Arial" w:eastAsia="Arial" w:hAnsi="Arial"/>
          <w:sz w:val="18"/>
          <w:szCs w:val="18"/>
          <w:color w:val="auto"/>
        </w:rPr>
        <w:t xml:space="preserve"> at any time.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Change in Control </w:t>
      </w:r>
      <w:r>
        <w:rPr>
          <w:rFonts w:ascii="Arial" w:cs="Arial" w:eastAsia="Arial" w:hAnsi="Arial"/>
          <w:sz w:val="18"/>
          <w:szCs w:val="18"/>
          <w:color w:val="auto"/>
        </w:rPr>
        <w:t>shall mean:</w:t>
      </w:r>
    </w:p>
    <w:p>
      <w:pPr>
        <w:spacing w:after="0" w:line="111" w:lineRule="exact"/>
        <w:rPr>
          <w:sz w:val="20"/>
          <w:szCs w:val="20"/>
          <w:color w:val="auto"/>
        </w:rPr>
      </w:pPr>
    </w:p>
    <w:p>
      <w:pPr>
        <w:ind w:left="640" w:hanging="316"/>
        <w:spacing w:after="0" w:line="250" w:lineRule="auto"/>
        <w:tabs>
          <w:tab w:leader="none" w:pos="635" w:val="left"/>
        </w:tabs>
        <w:numPr>
          <w:ilvl w:val="0"/>
          <w:numId w:val="67"/>
        </w:numPr>
        <w:rPr>
          <w:rFonts w:ascii="Arial" w:cs="Arial" w:eastAsia="Arial" w:hAnsi="Arial"/>
          <w:sz w:val="18"/>
          <w:szCs w:val="18"/>
          <w:color w:val="auto"/>
        </w:rPr>
      </w:pPr>
      <w:r>
        <w:rPr>
          <w:rFonts w:ascii="Arial" w:cs="Arial" w:eastAsia="Arial" w:hAnsi="Arial"/>
          <w:sz w:val="18"/>
          <w:szCs w:val="18"/>
          <w:color w:val="auto"/>
        </w:rPr>
        <w:t>a merger or consolidation of the Company with or into another corporation (other than a merger undertaken solely in order to reincorporate in another state) immediately following which the beneficial holders of the voting stock of the Company immediately prior to such transaction or series of transactions do not continue to hold 50% or more of the voting stock (based upon voting power) of the Company or (A) any entity that owns, directly or indirectly, the stock of the Company, (B) any entity with which the Company has merged, or (C) any entity that owns an entity with which the Company has merged;</w:t>
      </w:r>
    </w:p>
    <w:p>
      <w:pPr>
        <w:spacing w:after="0" w:line="89" w:lineRule="exact"/>
        <w:rPr>
          <w:rFonts w:ascii="Arial" w:cs="Arial" w:eastAsia="Arial" w:hAnsi="Arial"/>
          <w:sz w:val="18"/>
          <w:szCs w:val="18"/>
          <w:color w:val="auto"/>
        </w:rPr>
      </w:pPr>
    </w:p>
    <w:p>
      <w:pPr>
        <w:ind w:left="640" w:hanging="316"/>
        <w:spacing w:after="0"/>
        <w:tabs>
          <w:tab w:leader="none" w:pos="6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 dissolution of the Company;</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67"/>
        </w:numPr>
        <w:rPr>
          <w:rFonts w:ascii="Arial" w:cs="Arial" w:eastAsia="Arial" w:hAnsi="Arial"/>
          <w:sz w:val="17"/>
          <w:szCs w:val="17"/>
          <w:color w:val="auto"/>
        </w:rPr>
      </w:pPr>
      <w:r>
        <w:rPr>
          <w:rFonts w:ascii="Arial" w:cs="Arial" w:eastAsia="Arial" w:hAnsi="Arial"/>
          <w:sz w:val="17"/>
          <w:szCs w:val="17"/>
          <w:color w:val="auto"/>
        </w:rPr>
        <w:t>a transfer of all or substantially all of the assets of the Company in one or more related transactions to one or more other persons or entities;</w:t>
      </w:r>
    </w:p>
    <w:p>
      <w:pPr>
        <w:spacing w:after="0" w:line="122" w:lineRule="exact"/>
        <w:rPr>
          <w:rFonts w:ascii="Arial" w:cs="Arial" w:eastAsia="Arial" w:hAnsi="Arial"/>
          <w:sz w:val="17"/>
          <w:szCs w:val="17"/>
          <w:color w:val="auto"/>
        </w:rPr>
      </w:pPr>
    </w:p>
    <w:p>
      <w:pPr>
        <w:ind w:left="640" w:hanging="316"/>
        <w:spacing w:after="0" w:line="295" w:lineRule="auto"/>
        <w:tabs>
          <w:tab w:leader="none" w:pos="635" w:val="left"/>
        </w:tabs>
        <w:numPr>
          <w:ilvl w:val="0"/>
          <w:numId w:val="67"/>
        </w:numPr>
        <w:rPr>
          <w:rFonts w:ascii="Arial" w:cs="Arial" w:eastAsia="Arial" w:hAnsi="Arial"/>
          <w:sz w:val="17"/>
          <w:szCs w:val="17"/>
          <w:color w:val="auto"/>
        </w:rPr>
      </w:pPr>
      <w:r>
        <w:rPr>
          <w:rFonts w:ascii="Arial" w:cs="Arial" w:eastAsia="Arial" w:hAnsi="Arial"/>
          <w:sz w:val="17"/>
          <w:szCs w:val="17"/>
          <w:color w:val="auto"/>
        </w:rPr>
        <w:t>a transaction or series of transactions that results in any entity, "Person" or "Group" becoming the beneficial owner, directly or indirectly, of securities of the Company representing more than 50% of the combined voting power of the Company’s then outstanding securities; or</w:t>
      </w:r>
    </w:p>
    <w:p>
      <w:pPr>
        <w:spacing w:after="0" w:line="50" w:lineRule="exact"/>
        <w:rPr>
          <w:rFonts w:ascii="Arial" w:cs="Arial" w:eastAsia="Arial" w:hAnsi="Arial"/>
          <w:sz w:val="17"/>
          <w:szCs w:val="17"/>
          <w:color w:val="auto"/>
        </w:rPr>
      </w:pPr>
    </w:p>
    <w:p>
      <w:pPr>
        <w:ind w:left="640" w:right="60" w:hanging="316"/>
        <w:spacing w:after="0" w:line="265" w:lineRule="auto"/>
        <w:tabs>
          <w:tab w:leader="none" w:pos="635" w:val="left"/>
        </w:tabs>
        <w:numPr>
          <w:ilvl w:val="0"/>
          <w:numId w:val="67"/>
        </w:numPr>
        <w:rPr>
          <w:rFonts w:ascii="Arial" w:cs="Arial" w:eastAsia="Arial" w:hAnsi="Arial"/>
          <w:sz w:val="17"/>
          <w:szCs w:val="17"/>
          <w:color w:val="auto"/>
        </w:rPr>
      </w:pPr>
      <w:r>
        <w:rPr>
          <w:rFonts w:ascii="Arial" w:cs="Arial" w:eastAsia="Arial" w:hAnsi="Arial"/>
          <w:sz w:val="17"/>
          <w:szCs w:val="17"/>
          <w:color w:val="auto"/>
        </w:rPr>
        <w:t>during any period of two consecutive years commencing on or after January 1, 2016 (in the case of Mr. Casey), individuals who, at the beginning of the period constituted the Company’s Board of Directors, cease for any reason to constitute at least a majority, unless the election of each director who was not a director at the beginning of the period has been approved in advance by directors representing at least two-thirds (2/3) of the directors then in office who were directors at the beginning of the period; provided, however, that a "Change in Control" shall not be deemed to have occurred if the ownership of 50% or more of the combined voting power of the surviving corporation, asset transferee or Company (as the case may be), after giving effect to the transaction or series of transactions, is directly or indirectly held by (A) a trustee or other fiduciary under an employee benefit plan maintained by the Company, or (B) one or more of the "executive officers" of the Company that held such positions prior to the transaction or series of transactions, or any entity, Person or Group under their control.</w:t>
      </w:r>
    </w:p>
    <w:p>
      <w:pPr>
        <w:spacing w:after="0" w:line="77" w:lineRule="exact"/>
        <w:rPr>
          <w:sz w:val="20"/>
          <w:szCs w:val="20"/>
          <w:color w:val="auto"/>
        </w:rPr>
      </w:pPr>
    </w:p>
    <w:p>
      <w:pPr>
        <w:ind w:right="460"/>
        <w:spacing w:after="0" w:line="295" w:lineRule="auto"/>
        <w:rPr>
          <w:sz w:val="20"/>
          <w:szCs w:val="20"/>
          <w:color w:val="auto"/>
        </w:rPr>
      </w:pPr>
      <w:r>
        <w:rPr>
          <w:rFonts w:ascii="Arial" w:cs="Arial" w:eastAsia="Arial" w:hAnsi="Arial"/>
          <w:sz w:val="17"/>
          <w:szCs w:val="17"/>
          <w:i w:val="1"/>
          <w:iCs w:val="1"/>
          <w:color w:val="auto"/>
        </w:rPr>
        <w:t xml:space="preserve">Disability </w:t>
      </w:r>
      <w:r>
        <w:rPr>
          <w:rFonts w:ascii="Arial" w:cs="Arial" w:eastAsia="Arial" w:hAnsi="Arial"/>
          <w:sz w:val="17"/>
          <w:szCs w:val="17"/>
          <w:color w:val="auto"/>
        </w:rPr>
        <w:t>shall mean any medically determinable physical or mental impairment that has lasted for a period of not less than six months in any 12-month</w:t>
      </w:r>
      <w:r>
        <w:rPr>
          <w:rFonts w:ascii="Arial" w:cs="Arial" w:eastAsia="Arial" w:hAnsi="Arial"/>
          <w:sz w:val="17"/>
          <w:szCs w:val="17"/>
          <w:i w:val="1"/>
          <w:iCs w:val="1"/>
          <w:color w:val="auto"/>
        </w:rPr>
        <w:t xml:space="preserve"> </w:t>
      </w:r>
      <w:r>
        <w:rPr>
          <w:rFonts w:ascii="Arial" w:cs="Arial" w:eastAsia="Arial" w:hAnsi="Arial"/>
          <w:sz w:val="17"/>
          <w:szCs w:val="17"/>
          <w:color w:val="auto"/>
        </w:rPr>
        <w:t>period and that renders the executive unable to perform the duties or essential functions required under the employment agreement.</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552" w:right="339" w:bottom="1440" w:gutter="0" w:footer="0" w:header="0"/>
        </w:sectPr>
      </w:pPr>
    </w:p>
    <w:bookmarkStart w:id="40" w:name="page41"/>
    <w:bookmarkEnd w:id="40"/>
    <w:p>
      <w:pPr>
        <w:jc w:val="center"/>
        <w:ind w:right="-19"/>
        <w:spacing w:after="0"/>
        <w:rPr>
          <w:sz w:val="20"/>
          <w:szCs w:val="20"/>
          <w:color w:val="auto"/>
        </w:rPr>
      </w:pPr>
      <w:r>
        <w:rPr>
          <w:rFonts w:ascii="Arial" w:cs="Arial" w:eastAsia="Arial" w:hAnsi="Arial"/>
          <w:sz w:val="18"/>
          <w:szCs w:val="18"/>
          <w:b w:val="1"/>
          <w:bCs w:val="1"/>
          <w:color w:val="auto"/>
        </w:rPr>
        <w:t>PROPOSAL 2:</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Ratification of Appointment of Deloitte &amp; Touche LLP as Independent Auditors</w:t>
      </w:r>
    </w:p>
    <w:p>
      <w:pPr>
        <w:spacing w:after="0" w:line="117" w:lineRule="exact"/>
        <w:rPr>
          <w:sz w:val="20"/>
          <w:szCs w:val="20"/>
          <w:color w:val="auto"/>
        </w:rPr>
      </w:pPr>
    </w:p>
    <w:p>
      <w:pPr>
        <w:ind w:right="60" w:firstLine="398"/>
        <w:spacing w:after="0" w:line="265" w:lineRule="auto"/>
        <w:rPr>
          <w:sz w:val="20"/>
          <w:szCs w:val="20"/>
          <w:color w:val="auto"/>
        </w:rPr>
      </w:pPr>
      <w:r>
        <w:rPr>
          <w:rFonts w:ascii="Arial" w:cs="Arial" w:eastAsia="Arial" w:hAnsi="Arial"/>
          <w:sz w:val="18"/>
          <w:szCs w:val="18"/>
          <w:color w:val="auto"/>
        </w:rPr>
        <w:t>Our Audit Committee has appointed Deloitte as our independent auditors for 2022. Representatives of Deloitte will attend the annual meeting to answer questions and may make a statement if they so desire.</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Billed by Deloitte</w:t>
      </w:r>
    </w:p>
    <w:p>
      <w:pPr>
        <w:spacing w:after="0" w:line="117" w:lineRule="exact"/>
        <w:rPr>
          <w:sz w:val="20"/>
          <w:szCs w:val="20"/>
          <w:color w:val="auto"/>
        </w:rPr>
      </w:pPr>
    </w:p>
    <w:p>
      <w:pPr>
        <w:ind w:right="340" w:firstLine="398"/>
        <w:spacing w:after="0" w:line="255" w:lineRule="auto"/>
        <w:rPr>
          <w:sz w:val="20"/>
          <w:szCs w:val="20"/>
          <w:color w:val="auto"/>
        </w:rPr>
      </w:pPr>
      <w:r>
        <w:rPr>
          <w:rFonts w:ascii="Arial" w:cs="Arial" w:eastAsia="Arial" w:hAnsi="Arial"/>
          <w:sz w:val="18"/>
          <w:szCs w:val="18"/>
          <w:color w:val="auto"/>
        </w:rPr>
        <w:t>Deloitte has served as independent auditor for the Company since 2015. In addition to performing the audit of the Company's consolidated financial statements, Deloitte also provides various other services to the Company and to common trust funds sponsored by Westwood Trust. The following table presents aggregate fees billed to the Company and the common trust funds in 2021 and 2020.</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8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r>
      <w:tr>
        <w:trPr>
          <w:trHeight w:val="224"/>
        </w:trPr>
        <w:tc>
          <w:tcPr>
            <w:tcW w:w="7480" w:type="dxa"/>
            <w:vAlign w:val="bottom"/>
            <w:shd w:val="clear" w:color="auto" w:fill="CCEEFF"/>
          </w:tcPr>
          <w:p>
            <w:pPr>
              <w:ind w:left="420"/>
              <w:spacing w:after="0" w:line="224" w:lineRule="exact"/>
              <w:rPr>
                <w:sz w:val="20"/>
                <w:szCs w:val="20"/>
                <w:color w:val="auto"/>
              </w:rPr>
            </w:pPr>
            <w:r>
              <w:rPr>
                <w:rFonts w:ascii="Arial" w:cs="Arial" w:eastAsia="Arial" w:hAnsi="Arial"/>
                <w:sz w:val="18"/>
                <w:szCs w:val="18"/>
                <w:color w:val="auto"/>
              </w:rPr>
              <w:t>Audit fees</w:t>
            </w:r>
            <w:r>
              <w:rPr>
                <w:rFonts w:ascii="Arial" w:cs="Arial" w:eastAsia="Arial" w:hAnsi="Arial"/>
                <w:sz w:val="22"/>
                <w:szCs w:val="22"/>
                <w:color w:val="auto"/>
                <w:vertAlign w:val="superscript"/>
              </w:rPr>
              <w:t>(1)</w:t>
            </w:r>
          </w:p>
        </w:tc>
        <w:tc>
          <w:tcPr>
            <w:tcW w:w="7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569,000</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508,000</w:t>
            </w:r>
          </w:p>
        </w:tc>
      </w:tr>
      <w:tr>
        <w:trPr>
          <w:trHeight w:val="226"/>
        </w:trPr>
        <w:tc>
          <w:tcPr>
            <w:tcW w:w="7480" w:type="dxa"/>
            <w:vAlign w:val="bottom"/>
          </w:tcPr>
          <w:p>
            <w:pPr>
              <w:ind w:left="420"/>
              <w:spacing w:after="0" w:line="225" w:lineRule="exact"/>
              <w:rPr>
                <w:sz w:val="20"/>
                <w:szCs w:val="20"/>
                <w:color w:val="auto"/>
              </w:rPr>
            </w:pPr>
            <w:r>
              <w:rPr>
                <w:rFonts w:ascii="Arial" w:cs="Arial" w:eastAsia="Arial" w:hAnsi="Arial"/>
                <w:sz w:val="18"/>
                <w:szCs w:val="18"/>
                <w:color w:val="auto"/>
              </w:rPr>
              <w:t>Audit-related fees</w:t>
            </w:r>
            <w:r>
              <w:rPr>
                <w:rFonts w:ascii="Arial" w:cs="Arial" w:eastAsia="Arial" w:hAnsi="Arial"/>
                <w:sz w:val="22"/>
                <w:szCs w:val="22"/>
                <w:color w:val="auto"/>
                <w:vertAlign w:val="superscript"/>
              </w:rPr>
              <w:t>(2)</w:t>
            </w:r>
          </w:p>
        </w:tc>
        <w:tc>
          <w:tcPr>
            <w:tcW w:w="7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250,000</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318,000</w:t>
            </w:r>
          </w:p>
        </w:tc>
      </w:tr>
      <w:tr>
        <w:trPr>
          <w:trHeight w:val="226"/>
        </w:trPr>
        <w:tc>
          <w:tcPr>
            <w:tcW w:w="7480" w:type="dxa"/>
            <w:vAlign w:val="bottom"/>
            <w:shd w:val="clear" w:color="auto" w:fill="CCEEFF"/>
          </w:tcPr>
          <w:p>
            <w:pPr>
              <w:ind w:left="420"/>
              <w:spacing w:after="0" w:line="225" w:lineRule="exact"/>
              <w:rPr>
                <w:sz w:val="20"/>
                <w:szCs w:val="20"/>
                <w:color w:val="auto"/>
              </w:rPr>
            </w:pPr>
            <w:r>
              <w:rPr>
                <w:rFonts w:ascii="Arial" w:cs="Arial" w:eastAsia="Arial" w:hAnsi="Arial"/>
                <w:sz w:val="18"/>
                <w:szCs w:val="18"/>
                <w:color w:val="auto"/>
              </w:rPr>
              <w:t>Tax fees</w:t>
            </w:r>
            <w:r>
              <w:rPr>
                <w:rFonts w:ascii="Arial" w:cs="Arial" w:eastAsia="Arial" w:hAnsi="Arial"/>
                <w:sz w:val="22"/>
                <w:szCs w:val="22"/>
                <w:color w:val="auto"/>
                <w:vertAlign w:val="superscript"/>
              </w:rPr>
              <w:t>(3)</w:t>
            </w:r>
          </w:p>
        </w:tc>
        <w:tc>
          <w:tcPr>
            <w:tcW w:w="7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171,000</w:t>
            </w:r>
          </w:p>
        </w:tc>
        <w:tc>
          <w:tcPr>
            <w:tcW w:w="10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432,205</w:t>
            </w:r>
          </w:p>
        </w:tc>
      </w:tr>
      <w:tr>
        <w:trPr>
          <w:trHeight w:val="219"/>
        </w:trPr>
        <w:tc>
          <w:tcPr>
            <w:tcW w:w="7480" w:type="dxa"/>
            <w:vAlign w:val="bottom"/>
          </w:tcPr>
          <w:p>
            <w:pPr>
              <w:ind w:left="340"/>
              <w:spacing w:after="0"/>
              <w:rPr>
                <w:sz w:val="20"/>
                <w:szCs w:val="20"/>
                <w:color w:val="auto"/>
              </w:rPr>
            </w:pPr>
            <w:r>
              <w:rPr>
                <w:rFonts w:ascii="Arial" w:cs="Arial" w:eastAsia="Arial" w:hAnsi="Arial"/>
                <w:sz w:val="18"/>
                <w:szCs w:val="18"/>
                <w:color w:val="auto"/>
              </w:rPr>
              <w:t>Total</w:t>
            </w:r>
          </w:p>
        </w:tc>
        <w:tc>
          <w:tcPr>
            <w:tcW w:w="7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990,000</w:t>
            </w:r>
          </w:p>
        </w:tc>
        <w:tc>
          <w:tcPr>
            <w:tcW w:w="100" w:type="dxa"/>
            <w:vAlign w:val="bottom"/>
          </w:tcPr>
          <w:p>
            <w:pPr>
              <w:spacing w:after="0"/>
              <w:rPr>
                <w:sz w:val="19"/>
                <w:szCs w:val="19"/>
                <w:color w:val="auto"/>
              </w:rPr>
            </w:pPr>
          </w:p>
        </w:tc>
        <w:tc>
          <w:tcPr>
            <w:tcW w:w="7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1,258,205</w:t>
            </w:r>
          </w:p>
        </w:tc>
      </w:tr>
      <w:tr>
        <w:trPr>
          <w:trHeight w:val="20"/>
        </w:trPr>
        <w:tc>
          <w:tcPr>
            <w:tcW w:w="74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ind w:left="1100" w:hanging="298"/>
        <w:spacing w:after="0"/>
        <w:tabs>
          <w:tab w:leader="none" w:pos="1100" w:val="left"/>
        </w:tabs>
        <w:numPr>
          <w:ilvl w:val="0"/>
          <w:numId w:val="68"/>
        </w:numPr>
        <w:rPr>
          <w:rFonts w:ascii="Arial" w:cs="Arial" w:eastAsia="Arial" w:hAnsi="Arial"/>
          <w:sz w:val="13"/>
          <w:szCs w:val="13"/>
          <w:color w:val="auto"/>
        </w:rPr>
      </w:pPr>
      <w:r>
        <w:rPr>
          <w:rFonts w:ascii="Arial" w:cs="Arial" w:eastAsia="Arial" w:hAnsi="Arial"/>
          <w:sz w:val="13"/>
          <w:szCs w:val="13"/>
          <w:color w:val="auto"/>
        </w:rPr>
        <w:t>Includes the aggregate fees billed for professional services in connection with the audit of our annual financial statements, the review of the financial statements included in our</w:t>
      </w:r>
    </w:p>
    <w:p>
      <w:pPr>
        <w:spacing w:after="0" w:line="21" w:lineRule="exact"/>
        <w:rPr>
          <w:rFonts w:ascii="Arial" w:cs="Arial" w:eastAsia="Arial" w:hAnsi="Arial"/>
          <w:sz w:val="13"/>
          <w:szCs w:val="13"/>
          <w:color w:val="auto"/>
        </w:rPr>
      </w:pPr>
    </w:p>
    <w:p>
      <w:pPr>
        <w:ind w:left="1360" w:right="400"/>
        <w:spacing w:after="0" w:line="237" w:lineRule="auto"/>
        <w:rPr>
          <w:rFonts w:ascii="Arial" w:cs="Arial" w:eastAsia="Arial" w:hAnsi="Arial"/>
          <w:sz w:val="13"/>
          <w:szCs w:val="13"/>
          <w:color w:val="auto"/>
        </w:rPr>
      </w:pPr>
      <w:r>
        <w:rPr>
          <w:rFonts w:ascii="Arial" w:cs="Arial" w:eastAsia="Arial" w:hAnsi="Arial"/>
          <w:sz w:val="14"/>
          <w:szCs w:val="14"/>
          <w:color w:val="auto"/>
        </w:rPr>
        <w:t>Form 10-Qs and testing required by Sarbanes-Oxley Section 404, as well as for services that are normally provided in connection with statutory or regulatory filings or engagements.</w:t>
      </w:r>
    </w:p>
    <w:p>
      <w:pPr>
        <w:ind w:left="1360" w:right="360" w:hanging="558"/>
        <w:spacing w:after="0" w:line="237" w:lineRule="auto"/>
        <w:tabs>
          <w:tab w:leader="none" w:pos="1109" w:val="left"/>
        </w:tabs>
        <w:numPr>
          <w:ilvl w:val="0"/>
          <w:numId w:val="68"/>
        </w:numPr>
        <w:rPr>
          <w:rFonts w:ascii="Arial" w:cs="Arial" w:eastAsia="Arial" w:hAnsi="Arial"/>
          <w:sz w:val="14"/>
          <w:szCs w:val="14"/>
          <w:color w:val="auto"/>
        </w:rPr>
      </w:pPr>
      <w:r>
        <w:rPr>
          <w:rFonts w:ascii="Arial" w:cs="Arial" w:eastAsia="Arial" w:hAnsi="Arial"/>
          <w:sz w:val="14"/>
          <w:szCs w:val="14"/>
          <w:color w:val="auto"/>
        </w:rPr>
        <w:t>Includes the aggregate fees billed for financial audit services to common trust funds sponsored by Westwood Trust. These fees are not paid by Westwood but are paid by the common trust funds.</w:t>
      </w:r>
    </w:p>
    <w:p>
      <w:pPr>
        <w:ind w:left="1100" w:hanging="298"/>
        <w:spacing w:after="0"/>
        <w:tabs>
          <w:tab w:leader="none" w:pos="1100" w:val="left"/>
        </w:tabs>
        <w:numPr>
          <w:ilvl w:val="0"/>
          <w:numId w:val="68"/>
        </w:numPr>
        <w:rPr>
          <w:rFonts w:ascii="Arial" w:cs="Arial" w:eastAsia="Arial" w:hAnsi="Arial"/>
          <w:sz w:val="14"/>
          <w:szCs w:val="14"/>
          <w:color w:val="auto"/>
        </w:rPr>
      </w:pPr>
      <w:r>
        <w:rPr>
          <w:rFonts w:ascii="Arial" w:cs="Arial" w:eastAsia="Arial" w:hAnsi="Arial"/>
          <w:sz w:val="14"/>
          <w:szCs w:val="14"/>
          <w:color w:val="auto"/>
        </w:rPr>
        <w:t>Includes the aggregate fees billed for tax services provided to the common trust funds. These fees were partly paid by the common trust funds.</w:t>
      </w:r>
    </w:p>
    <w:p>
      <w:pPr>
        <w:spacing w:after="0" w:line="99" w:lineRule="exact"/>
        <w:rPr>
          <w:sz w:val="20"/>
          <w:szCs w:val="20"/>
          <w:color w:val="auto"/>
        </w:rPr>
      </w:pPr>
    </w:p>
    <w:p>
      <w:pPr>
        <w:ind w:firstLine="398"/>
        <w:spacing w:after="0" w:line="309" w:lineRule="auto"/>
        <w:rPr>
          <w:sz w:val="20"/>
          <w:szCs w:val="20"/>
          <w:color w:val="auto"/>
        </w:rPr>
      </w:pPr>
      <w:r>
        <w:rPr>
          <w:rFonts w:ascii="Arial" w:cs="Arial" w:eastAsia="Arial" w:hAnsi="Arial"/>
          <w:sz w:val="15"/>
          <w:szCs w:val="15"/>
          <w:i w:val="1"/>
          <w:iCs w:val="1"/>
          <w:color w:val="auto"/>
        </w:rPr>
        <w:t xml:space="preserve">Pre-approval policies and procedures for audit and non-audit services. </w:t>
      </w:r>
      <w:r>
        <w:rPr>
          <w:rFonts w:ascii="Arial" w:cs="Arial" w:eastAsia="Arial" w:hAnsi="Arial"/>
          <w:sz w:val="15"/>
          <w:szCs w:val="15"/>
          <w:color w:val="auto"/>
        </w:rPr>
        <w:t>The Audit Committee has established a policy regarding pre-approval of all audit</w:t>
      </w:r>
      <w:r>
        <w:rPr>
          <w:rFonts w:ascii="Arial" w:cs="Arial" w:eastAsia="Arial" w:hAnsi="Arial"/>
          <w:sz w:val="15"/>
          <w:szCs w:val="15"/>
          <w:i w:val="1"/>
          <w:iCs w:val="1"/>
          <w:color w:val="auto"/>
        </w:rPr>
        <w:t xml:space="preserve"> </w:t>
      </w:r>
      <w:r>
        <w:rPr>
          <w:rFonts w:ascii="Arial" w:cs="Arial" w:eastAsia="Arial" w:hAnsi="Arial"/>
          <w:sz w:val="15"/>
          <w:szCs w:val="15"/>
          <w:color w:val="auto"/>
        </w:rPr>
        <w:t>and non-audit services provided by our independent auditors. Each year the Audit Committee considers for approval the independent auditor's engagement to render audit services, as well as a list prepared by management of anticipated non-audit services and related budget estimates. During the course of the year, management and the independent auditor are responsible for tracking all services and fees to ensure that they are within the scope pre-approved by the Audit Committee. To ensure prompt handling of unexpected matters, the Audit Committee has delegated to its chairperson the authority to represent the Committee in reviewing and approving audit and non-audit services, however, the Committee must ratify any such actions by the chairperson.</w:t>
      </w:r>
    </w:p>
    <w:p>
      <w:pPr>
        <w:spacing w:after="0" w:line="47" w:lineRule="exact"/>
        <w:rPr>
          <w:sz w:val="20"/>
          <w:szCs w:val="20"/>
          <w:color w:val="auto"/>
        </w:rPr>
      </w:pPr>
    </w:p>
    <w:p>
      <w:pPr>
        <w:ind w:left="400"/>
        <w:spacing w:after="0"/>
        <w:rPr>
          <w:sz w:val="20"/>
          <w:szCs w:val="20"/>
          <w:color w:val="auto"/>
        </w:rPr>
      </w:pPr>
      <w:r>
        <w:rPr>
          <w:rFonts w:ascii="Arial" w:cs="Arial" w:eastAsia="Arial" w:hAnsi="Arial"/>
          <w:sz w:val="15"/>
          <w:szCs w:val="15"/>
          <w:color w:val="auto"/>
        </w:rPr>
        <w:t>The Audit Committee or the chairperson acting on its behalf pre-approved all services provided by Deloitte for the years ended December 31, 2021 and</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2020.</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Sought and Recommendation</w:t>
      </w:r>
    </w:p>
    <w:p>
      <w:pPr>
        <w:spacing w:after="0" w:line="117" w:lineRule="exact"/>
        <w:rPr>
          <w:sz w:val="20"/>
          <w:szCs w:val="20"/>
          <w:color w:val="auto"/>
        </w:rPr>
      </w:pPr>
    </w:p>
    <w:p>
      <w:pPr>
        <w:ind w:right="100" w:firstLine="398"/>
        <w:spacing w:after="0" w:line="255" w:lineRule="auto"/>
        <w:rPr>
          <w:sz w:val="20"/>
          <w:szCs w:val="20"/>
          <w:color w:val="auto"/>
        </w:rPr>
      </w:pPr>
      <w:r>
        <w:rPr>
          <w:rFonts w:ascii="Arial" w:cs="Arial" w:eastAsia="Arial" w:hAnsi="Arial"/>
          <w:sz w:val="18"/>
          <w:szCs w:val="18"/>
          <w:color w:val="auto"/>
        </w:rPr>
        <w:t>Although stockholder action on this matter is not required, the appointment of Deloitte is being recommended to the stockholders for ratification. The affirmative "FOR" vote of a majority of the votes cast at the annual meeting will serve to ratify the appointment of Deloitte as independent auditors for 2022. Abstentions will not affect the outcome of a vote on this proposal.</w:t>
      </w:r>
    </w:p>
    <w:p>
      <w:pPr>
        <w:spacing w:after="0" w:line="77" w:lineRule="exact"/>
        <w:rPr>
          <w:sz w:val="20"/>
          <w:szCs w:val="20"/>
          <w:color w:val="auto"/>
        </w:rPr>
      </w:pPr>
    </w:p>
    <w:p>
      <w:pPr>
        <w:jc w:val="center"/>
        <w:ind w:left="340" w:right="380"/>
        <w:spacing w:after="0" w:line="272" w:lineRule="auto"/>
        <w:rPr>
          <w:sz w:val="20"/>
          <w:szCs w:val="20"/>
          <w:color w:val="auto"/>
        </w:rPr>
      </w:pPr>
      <w:r>
        <w:rPr>
          <w:rFonts w:ascii="Arial" w:cs="Arial" w:eastAsia="Arial" w:hAnsi="Arial"/>
          <w:sz w:val="18"/>
          <w:szCs w:val="18"/>
          <w:b w:val="1"/>
          <w:bCs w:val="1"/>
          <w:color w:val="auto"/>
        </w:rPr>
        <w:t xml:space="preserve">THE BOARD OF DIRECTORS UNANIMOUSLY RECOMMENDS A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THE RATIFICATION OF THE APPOINTMENT OF DELOITTE AS OUR INDEPENDENT AUDITORS FOR 2022.</w:t>
      </w:r>
    </w:p>
    <w:p>
      <w:pPr>
        <w:spacing w:after="0" w:line="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20"/>
          </w:cols>
          <w:pgMar w:left="320" w:top="439" w:right="359" w:bottom="1440" w:gutter="0" w:footer="0" w:header="0"/>
        </w:sectPr>
      </w:pPr>
    </w:p>
    <w:bookmarkStart w:id="41" w:name="page42"/>
    <w:bookmarkEnd w:id="41"/>
    <w:p>
      <w:pPr>
        <w:jc w:val="center"/>
        <w:ind w:right="-19"/>
        <w:spacing w:after="0"/>
        <w:rPr>
          <w:sz w:val="20"/>
          <w:szCs w:val="20"/>
          <w:color w:val="auto"/>
        </w:rPr>
      </w:pPr>
      <w:r>
        <w:rPr>
          <w:rFonts w:ascii="Arial" w:cs="Arial" w:eastAsia="Arial" w:hAnsi="Arial"/>
          <w:sz w:val="18"/>
          <w:szCs w:val="18"/>
          <w:b w:val="1"/>
          <w:bCs w:val="1"/>
          <w:color w:val="auto"/>
        </w:rPr>
        <w:t>PROPOSAL 3:</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Approval of the First Amendment to the Eighth Amended and Restated</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Westwood Holdings Group, Inc. Stock Incentive Plan</w:t>
      </w:r>
    </w:p>
    <w:p>
      <w:pPr>
        <w:spacing w:after="0" w:line="117" w:lineRule="exact"/>
        <w:rPr>
          <w:sz w:val="20"/>
          <w:szCs w:val="20"/>
          <w:color w:val="auto"/>
        </w:rPr>
      </w:pPr>
    </w:p>
    <w:p>
      <w:pPr>
        <w:ind w:right="40" w:firstLine="438"/>
        <w:spacing w:after="0" w:line="250" w:lineRule="auto"/>
        <w:rPr>
          <w:sz w:val="20"/>
          <w:szCs w:val="20"/>
          <w:color w:val="auto"/>
        </w:rPr>
      </w:pPr>
      <w:r>
        <w:rPr>
          <w:rFonts w:ascii="Arial" w:cs="Arial" w:eastAsia="Arial" w:hAnsi="Arial"/>
          <w:sz w:val="18"/>
          <w:szCs w:val="18"/>
          <w:color w:val="auto"/>
        </w:rPr>
        <w:t>The Compensation Committee and the Board of Directors of Westwood have approved and have proposed that our stockholders approve the First Amendment (the "Amendment") to the Eighth Amended and Restated Westwood Holdings Group, Inc. Stock Incentive Plan (the "Plan") at the annual meeting. Westwood originally adopted the Plan on February 1, 2002. On April 28, 2021, our stockholders approved the Plan (effective as of March 8, 2020), with a reserve of 5,648,100 shares of common stock. If approved by our stockholders, the Amendment will increase the maximum number of shares available for issuance by 250,000 shares to 5,898,100 shares.</w:t>
      </w:r>
    </w:p>
    <w:p>
      <w:pPr>
        <w:spacing w:after="0" w:line="89" w:lineRule="exact"/>
        <w:rPr>
          <w:sz w:val="20"/>
          <w:szCs w:val="20"/>
          <w:color w:val="auto"/>
        </w:rPr>
      </w:pPr>
    </w:p>
    <w:p>
      <w:pPr>
        <w:ind w:right="540" w:firstLine="438"/>
        <w:spacing w:after="0" w:line="265" w:lineRule="auto"/>
        <w:rPr>
          <w:sz w:val="20"/>
          <w:szCs w:val="20"/>
          <w:color w:val="auto"/>
        </w:rPr>
      </w:pPr>
      <w:r>
        <w:rPr>
          <w:rFonts w:ascii="Arial" w:cs="Arial" w:eastAsia="Arial" w:hAnsi="Arial"/>
          <w:sz w:val="18"/>
          <w:szCs w:val="18"/>
          <w:color w:val="auto"/>
        </w:rPr>
        <w:t>Westwood is seeking stockholder approval for the Amendment. Stockholder approval is required under the requirements of the NYSE Corporate Governance Listing Standards, which are applicable to Westwood.</w:t>
      </w:r>
    </w:p>
    <w:p>
      <w:pPr>
        <w:spacing w:after="0" w:line="74" w:lineRule="exact"/>
        <w:rPr>
          <w:sz w:val="20"/>
          <w:szCs w:val="20"/>
          <w:color w:val="auto"/>
        </w:rPr>
      </w:pPr>
    </w:p>
    <w:p>
      <w:pPr>
        <w:ind w:right="20" w:firstLine="477"/>
        <w:spacing w:after="0" w:line="263" w:lineRule="auto"/>
        <w:rPr>
          <w:sz w:val="20"/>
          <w:szCs w:val="20"/>
          <w:color w:val="auto"/>
        </w:rPr>
      </w:pPr>
      <w:r>
        <w:rPr>
          <w:rFonts w:ascii="Arial" w:cs="Arial" w:eastAsia="Arial" w:hAnsi="Arial"/>
          <w:sz w:val="17"/>
          <w:szCs w:val="17"/>
          <w:color w:val="auto"/>
        </w:rPr>
        <w:t>Awards under the Plan are a major component of our long-term incentive program for our employees and members of our Board. As noted in the "Compensation Discussion and Analysis," we recognize that having an ownership interest in the Company is critical to aligning the financial interests of our employees and stockholders. The Compensation Committee believes it is important to authorize an additional 250,000 shares for grant under the Plan. As of March 1, 2022, approximately 5,247,909 shares had been issued under the Plan, leaving 400,191 shares available under the Plan for issuance. The Compensation Committee does not believe that this amount is sufficient to meet the Company's anticipated grants of awards through the date of our 2023 Annual Meeting of Stockholders. If stockholders do not approve the Amendment, the Plan will remain in effect; however, we anticipate the shares available for equity-based compensation will be quickly depleted, and we will lose our ability to use equity as a compensation tool. Although the Compensation Committee anticipates that the additional shares requested will enable the Company to maintain its current equity compensation program for at least two years, the Compensation Committee plans to request additional shares on an annual basis to accommodate anticipated grants related to the hiring, retention and promotion of employees. In 2021, 2020 and 2019, the number of shares of common stock underlying equity awards granted was approximately 150,000, 260,000 and 220,000, respectively. The Compensation Committee expects to continue to grant awards under the Plan consistent with the Company's historical share utilization rates.</w:t>
      </w:r>
    </w:p>
    <w:p>
      <w:pPr>
        <w:spacing w:after="0" w:line="83" w:lineRule="exact"/>
        <w:rPr>
          <w:sz w:val="20"/>
          <w:szCs w:val="20"/>
          <w:color w:val="auto"/>
        </w:rPr>
      </w:pPr>
    </w:p>
    <w:p>
      <w:pPr>
        <w:ind w:left="440"/>
        <w:spacing w:after="0"/>
        <w:rPr>
          <w:sz w:val="20"/>
          <w:szCs w:val="20"/>
          <w:color w:val="auto"/>
        </w:rPr>
      </w:pPr>
      <w:r>
        <w:rPr>
          <w:rFonts w:ascii="Arial" w:cs="Arial" w:eastAsia="Arial" w:hAnsi="Arial"/>
          <w:sz w:val="18"/>
          <w:szCs w:val="18"/>
          <w:i w:val="1"/>
          <w:iCs w:val="1"/>
          <w:u w:val="single" w:color="auto"/>
          <w:color w:val="auto"/>
        </w:rPr>
        <w:t>Description of the Eighth Amended and Restated Plan, as amended</w:t>
      </w:r>
    </w:p>
    <w:p>
      <w:pPr>
        <w:spacing w:after="0" w:line="111" w:lineRule="exact"/>
        <w:rPr>
          <w:sz w:val="20"/>
          <w:szCs w:val="20"/>
          <w:color w:val="auto"/>
        </w:rPr>
      </w:pPr>
    </w:p>
    <w:p>
      <w:pPr>
        <w:ind w:right="100" w:firstLine="438"/>
        <w:spacing w:after="0" w:line="265" w:lineRule="auto"/>
        <w:rPr>
          <w:sz w:val="20"/>
          <w:szCs w:val="20"/>
          <w:color w:val="auto"/>
        </w:rPr>
      </w:pPr>
      <w:r>
        <w:rPr>
          <w:rFonts w:ascii="Arial" w:cs="Arial" w:eastAsia="Arial" w:hAnsi="Arial"/>
          <w:sz w:val="18"/>
          <w:szCs w:val="18"/>
          <w:color w:val="auto"/>
        </w:rPr>
        <w:t xml:space="preserve">A summary of the material features of the Plan, as it would be amended, is set forth below. This description and summary are qualified in their entirety by the full text of the Plan included in </w:t>
      </w:r>
      <w:r>
        <w:rPr>
          <w:rFonts w:ascii="Arial" w:cs="Arial" w:eastAsia="Arial" w:hAnsi="Arial"/>
          <w:sz w:val="18"/>
          <w:szCs w:val="18"/>
          <w:u w:val="single" w:color="auto"/>
          <w:color w:val="auto"/>
        </w:rPr>
        <w:t>Appendix A</w:t>
      </w:r>
      <w:r>
        <w:rPr>
          <w:rFonts w:ascii="Arial" w:cs="Arial" w:eastAsia="Arial" w:hAnsi="Arial"/>
          <w:sz w:val="18"/>
          <w:szCs w:val="18"/>
          <w:color w:val="auto"/>
        </w:rPr>
        <w:t xml:space="preserve"> to this proxy statement.</w:t>
      </w:r>
    </w:p>
    <w:p>
      <w:pPr>
        <w:spacing w:after="0" w:line="74" w:lineRule="exact"/>
        <w:rPr>
          <w:sz w:val="20"/>
          <w:szCs w:val="20"/>
          <w:color w:val="auto"/>
        </w:rPr>
      </w:pPr>
    </w:p>
    <w:p>
      <w:pPr>
        <w:ind w:firstLine="438"/>
        <w:spacing w:after="0" w:line="302" w:lineRule="auto"/>
        <w:rPr>
          <w:sz w:val="20"/>
          <w:szCs w:val="20"/>
          <w:color w:val="auto"/>
        </w:rPr>
      </w:pPr>
      <w:r>
        <w:rPr>
          <w:rFonts w:ascii="Arial" w:cs="Arial" w:eastAsia="Arial" w:hAnsi="Arial"/>
          <w:sz w:val="15"/>
          <w:szCs w:val="15"/>
          <w:i w:val="1"/>
          <w:iCs w:val="1"/>
          <w:color w:val="auto"/>
        </w:rPr>
        <w:t>Key Features of the Plan</w:t>
      </w:r>
      <w:r>
        <w:rPr>
          <w:rFonts w:ascii="Arial" w:cs="Arial" w:eastAsia="Arial" w:hAnsi="Arial"/>
          <w:sz w:val="15"/>
          <w:szCs w:val="15"/>
          <w:color w:val="auto"/>
        </w:rPr>
        <w:t>. Awards under the Plan will consist of cash or Westwood's authorized common stock. The fair market value of Westwood's</w:t>
      </w:r>
      <w:r>
        <w:rPr>
          <w:rFonts w:ascii="Arial" w:cs="Arial" w:eastAsia="Arial" w:hAnsi="Arial"/>
          <w:sz w:val="15"/>
          <w:szCs w:val="15"/>
          <w:i w:val="1"/>
          <w:iCs w:val="1"/>
          <w:color w:val="auto"/>
        </w:rPr>
        <w:t xml:space="preserve"> </w:t>
      </w:r>
      <w:r>
        <w:rPr>
          <w:rFonts w:ascii="Arial" w:cs="Arial" w:eastAsia="Arial" w:hAnsi="Arial"/>
          <w:sz w:val="15"/>
          <w:szCs w:val="15"/>
          <w:color w:val="auto"/>
        </w:rPr>
        <w:t>common stock as of March 1, 2022 was $16.36 per share. The Plan provides for the grant of incentive stock options, nonstatutory options, shares of restricted stock, stock appreciation rights, restricted stock units, annual incentive awards, performance-based awards (in the form of cash or deferred stock awards) and discretionary bonus awards. Awards under the Plan may be made to key employees, including officers and directors who may be employees, and non-employee directors or advisors. There are currently 130 employees of Westwood who may be eligible to receive awards under the Plan, and there are five non-employee directors who may be eligible to receive awards under the Plan. The total number of shares of common stock available for delivery pursuant to awards under the Plan over its entire term is 5,898,100 plus any shares of common stock that are represented by awards under the Plan, that are forfeited, terminated, expired, or canceled without delivery of shares of common stock. Any shares issued under the Plan may consist, in whole or in part, of authorized and unissued shares or forfeited shares or a combination thereof. Shares that are exchanged by a participant or withheld by the Company as full or partial payment of the exercise price of a stock option or to cover any taxes payable as a result of the grant, exercise, vesting or settlement of an award, will not again be available for issuance under the Plan. Subject to adjustment, no more than 316,033 shares of common stock may be covered by stock-based awards granted to any participant under the Plan in a calendar year.</w:t>
      </w:r>
    </w:p>
    <w:p>
      <w:pPr>
        <w:spacing w:after="0" w:line="26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 xml:space="preserve">Term of the Plan. </w:t>
      </w:r>
      <w:r>
        <w:rPr>
          <w:rFonts w:ascii="Arial" w:cs="Arial" w:eastAsia="Arial" w:hAnsi="Arial"/>
          <w:sz w:val="18"/>
          <w:szCs w:val="18"/>
          <w:color w:val="auto"/>
        </w:rPr>
        <w:t>No awards may be made under the Plan after March 10, 2027.</w:t>
      </w:r>
    </w:p>
    <w:p>
      <w:pPr>
        <w:spacing w:after="0" w:line="111" w:lineRule="exact"/>
        <w:rPr>
          <w:sz w:val="20"/>
          <w:szCs w:val="20"/>
          <w:color w:val="auto"/>
        </w:rPr>
      </w:pPr>
    </w:p>
    <w:p>
      <w:pPr>
        <w:ind w:firstLine="438"/>
        <w:spacing w:after="0" w:line="313" w:lineRule="auto"/>
        <w:rPr>
          <w:sz w:val="20"/>
          <w:szCs w:val="20"/>
          <w:color w:val="auto"/>
        </w:rPr>
      </w:pPr>
      <w:r>
        <w:rPr>
          <w:rFonts w:ascii="Arial" w:cs="Arial" w:eastAsia="Arial" w:hAnsi="Arial"/>
          <w:sz w:val="15"/>
          <w:szCs w:val="15"/>
          <w:i w:val="1"/>
          <w:iCs w:val="1"/>
          <w:color w:val="auto"/>
        </w:rPr>
        <w:t>Types of Awards</w:t>
      </w:r>
      <w:r>
        <w:rPr>
          <w:rFonts w:ascii="Arial" w:cs="Arial" w:eastAsia="Arial" w:hAnsi="Arial"/>
          <w:sz w:val="15"/>
          <w:szCs w:val="15"/>
          <w:color w:val="auto"/>
        </w:rPr>
        <w:t>. The Plan authorizes the grant of several types of stock-based awards, including, without limitation, incentive stock options ("ISOs"),</w:t>
      </w:r>
      <w:r>
        <w:rPr>
          <w:rFonts w:ascii="Arial" w:cs="Arial" w:eastAsia="Arial" w:hAnsi="Arial"/>
          <w:sz w:val="15"/>
          <w:szCs w:val="15"/>
          <w:i w:val="1"/>
          <w:iCs w:val="1"/>
          <w:color w:val="auto"/>
        </w:rPr>
        <w:t xml:space="preserve"> </w:t>
      </w:r>
      <w:r>
        <w:rPr>
          <w:rFonts w:ascii="Arial" w:cs="Arial" w:eastAsia="Arial" w:hAnsi="Arial"/>
          <w:sz w:val="15"/>
          <w:szCs w:val="15"/>
          <w:color w:val="auto"/>
        </w:rPr>
        <w:t>nonstatutory stock options ("NSOs"), restricted stock, stock appreciation rights ("SARs"), restricted stock units ("RSUs"), performance-based shares and other stock-based awards. The Plan also authorizes cash awards, including annual incentive awards, performance-based awards, and discretionary bonus awards. The various types of awards authorized under the Plan may be utilized in the future if determined appropriate by the Compensation Committee. However, to date the Compensation Committee has only granted stock-based awards under the Plan in the form of restricted stock and NSOs.</w:t>
      </w:r>
    </w:p>
    <w:p>
      <w:pPr>
        <w:spacing w:after="0" w:line="43" w:lineRule="exact"/>
        <w:rPr>
          <w:sz w:val="20"/>
          <w:szCs w:val="20"/>
          <w:color w:val="auto"/>
        </w:rPr>
      </w:pPr>
    </w:p>
    <w:p>
      <w:pPr>
        <w:ind w:right="40" w:firstLine="438"/>
        <w:spacing w:after="0" w:line="265" w:lineRule="auto"/>
        <w:rPr>
          <w:sz w:val="20"/>
          <w:szCs w:val="20"/>
          <w:color w:val="auto"/>
        </w:rPr>
      </w:pPr>
      <w:r>
        <w:rPr>
          <w:rFonts w:ascii="Arial" w:cs="Arial" w:eastAsia="Arial" w:hAnsi="Arial"/>
          <w:sz w:val="18"/>
          <w:szCs w:val="18"/>
          <w:i w:val="1"/>
          <w:iCs w:val="1"/>
          <w:color w:val="auto"/>
        </w:rPr>
        <w:t>Award Vesting Limitations</w:t>
      </w:r>
      <w:r>
        <w:rPr>
          <w:rFonts w:ascii="Arial" w:cs="Arial" w:eastAsia="Arial" w:hAnsi="Arial"/>
          <w:sz w:val="18"/>
          <w:szCs w:val="18"/>
          <w:color w:val="auto"/>
        </w:rPr>
        <w:t>. Awards granted under the Plan will vest no earlier than the first anniversary of the date an award is granted, with a carve-out</w:t>
      </w:r>
      <w:r>
        <w:rPr>
          <w:rFonts w:ascii="Arial" w:cs="Arial" w:eastAsia="Arial" w:hAnsi="Arial"/>
          <w:sz w:val="18"/>
          <w:szCs w:val="18"/>
          <w:i w:val="1"/>
          <w:iCs w:val="1"/>
          <w:color w:val="auto"/>
        </w:rPr>
        <w:t xml:space="preserve"> </w:t>
      </w:r>
      <w:r>
        <w:rPr>
          <w:rFonts w:ascii="Arial" w:cs="Arial" w:eastAsia="Arial" w:hAnsi="Arial"/>
          <w:sz w:val="18"/>
          <w:szCs w:val="18"/>
          <w:color w:val="auto"/>
        </w:rPr>
        <w:t>exception for up to 5% of the aggregate shares available for issuance under the Plan.</w:t>
      </w:r>
    </w:p>
    <w:p>
      <w:pPr>
        <w:spacing w:after="0" w:line="74" w:lineRule="exact"/>
        <w:rPr>
          <w:sz w:val="20"/>
          <w:szCs w:val="20"/>
          <w:color w:val="auto"/>
        </w:rPr>
      </w:pPr>
    </w:p>
    <w:p>
      <w:pPr>
        <w:ind w:right="80" w:firstLine="438"/>
        <w:spacing w:after="0" w:line="265" w:lineRule="auto"/>
        <w:rPr>
          <w:sz w:val="20"/>
          <w:szCs w:val="20"/>
          <w:color w:val="auto"/>
        </w:rPr>
      </w:pPr>
      <w:r>
        <w:rPr>
          <w:rFonts w:ascii="Arial" w:cs="Arial" w:eastAsia="Arial" w:hAnsi="Arial"/>
          <w:sz w:val="18"/>
          <w:szCs w:val="18"/>
          <w:i w:val="1"/>
          <w:iCs w:val="1"/>
          <w:color w:val="auto"/>
        </w:rPr>
        <w:t>No Discount Stock Options</w:t>
      </w:r>
      <w:r>
        <w:rPr>
          <w:rFonts w:ascii="Arial" w:cs="Arial" w:eastAsia="Arial" w:hAnsi="Arial"/>
          <w:sz w:val="18"/>
          <w:szCs w:val="18"/>
          <w:color w:val="auto"/>
        </w:rPr>
        <w:t>. The Plan prohibits the grant of a stock option with an exercise price less than the fair market value of Westwood's stock on</w:t>
      </w:r>
      <w:r>
        <w:rPr>
          <w:rFonts w:ascii="Arial" w:cs="Arial" w:eastAsia="Arial" w:hAnsi="Arial"/>
          <w:sz w:val="18"/>
          <w:szCs w:val="18"/>
          <w:i w:val="1"/>
          <w:iCs w:val="1"/>
          <w:color w:val="auto"/>
        </w:rPr>
        <w:t xml:space="preserve"> </w:t>
      </w:r>
      <w:r>
        <w:rPr>
          <w:rFonts w:ascii="Arial" w:cs="Arial" w:eastAsia="Arial" w:hAnsi="Arial"/>
          <w:sz w:val="18"/>
          <w:szCs w:val="18"/>
          <w:color w:val="auto"/>
        </w:rPr>
        <w:t>the date of grant.</w:t>
      </w:r>
    </w:p>
    <w:p>
      <w:pPr>
        <w:spacing w:after="0" w:line="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20"/>
          </w:cols>
          <w:pgMar w:left="320" w:top="440" w:right="359" w:bottom="1440" w:gutter="0" w:footer="0" w:header="0"/>
        </w:sectPr>
      </w:pPr>
    </w:p>
    <w:bookmarkStart w:id="42" w:name="page43"/>
    <w:bookmarkEnd w:id="42"/>
    <w:p>
      <w:pPr>
        <w:ind w:right="120" w:firstLine="438"/>
        <w:spacing w:after="0" w:line="255" w:lineRule="auto"/>
        <w:rPr>
          <w:sz w:val="20"/>
          <w:szCs w:val="20"/>
          <w:color w:val="auto"/>
        </w:rPr>
      </w:pPr>
      <w:r>
        <w:rPr>
          <w:rFonts w:ascii="Arial" w:cs="Arial" w:eastAsia="Arial" w:hAnsi="Arial"/>
          <w:sz w:val="18"/>
          <w:szCs w:val="18"/>
          <w:i w:val="1"/>
          <w:iCs w:val="1"/>
          <w:color w:val="auto"/>
        </w:rPr>
        <w:t>Share Counting Rules</w:t>
      </w:r>
      <w:r>
        <w:rPr>
          <w:rFonts w:ascii="Arial" w:cs="Arial" w:eastAsia="Arial" w:hAnsi="Arial"/>
          <w:sz w:val="18"/>
          <w:szCs w:val="18"/>
          <w:color w:val="auto"/>
        </w:rPr>
        <w:t>. Any shares subject to an award under the Plan that are forfeited, settled for cash, expire, or otherwise are terminated without</w:t>
      </w:r>
      <w:r>
        <w:rPr>
          <w:rFonts w:ascii="Arial" w:cs="Arial" w:eastAsia="Arial" w:hAnsi="Arial"/>
          <w:sz w:val="18"/>
          <w:szCs w:val="18"/>
          <w:i w:val="1"/>
          <w:iCs w:val="1"/>
          <w:color w:val="auto"/>
        </w:rPr>
        <w:t xml:space="preserve"> </w:t>
      </w:r>
      <w:r>
        <w:rPr>
          <w:rFonts w:ascii="Arial" w:cs="Arial" w:eastAsia="Arial" w:hAnsi="Arial"/>
          <w:sz w:val="18"/>
          <w:szCs w:val="18"/>
          <w:color w:val="auto"/>
        </w:rPr>
        <w:t>issuance of such shares, are available for awards under the Plan. In addition, cash awards do not reduce the shares available under the Plan or to a participant in any calendar year.</w:t>
      </w:r>
    </w:p>
    <w:p>
      <w:pPr>
        <w:spacing w:after="0" w:line="83" w:lineRule="exact"/>
        <w:rPr>
          <w:sz w:val="20"/>
          <w:szCs w:val="20"/>
          <w:color w:val="auto"/>
        </w:rPr>
      </w:pPr>
    </w:p>
    <w:p>
      <w:pPr>
        <w:ind w:right="380" w:firstLine="438"/>
        <w:spacing w:after="0" w:line="277" w:lineRule="auto"/>
        <w:rPr>
          <w:sz w:val="20"/>
          <w:szCs w:val="20"/>
          <w:color w:val="auto"/>
        </w:rPr>
      </w:pPr>
      <w:r>
        <w:rPr>
          <w:rFonts w:ascii="Arial" w:cs="Arial" w:eastAsia="Arial" w:hAnsi="Arial"/>
          <w:sz w:val="17"/>
          <w:szCs w:val="17"/>
          <w:i w:val="1"/>
          <w:iCs w:val="1"/>
          <w:color w:val="auto"/>
        </w:rPr>
        <w:t>Administration</w:t>
      </w:r>
      <w:r>
        <w:rPr>
          <w:rFonts w:ascii="Arial" w:cs="Arial" w:eastAsia="Arial" w:hAnsi="Arial"/>
          <w:sz w:val="17"/>
          <w:szCs w:val="17"/>
          <w:color w:val="auto"/>
        </w:rPr>
        <w:t>. Unless our Board of Directors determines otherwise, the Plan will be administered by the Compensation Committee, whose</w:t>
      </w:r>
      <w:r>
        <w:rPr>
          <w:rFonts w:ascii="Arial" w:cs="Arial" w:eastAsia="Arial" w:hAnsi="Arial"/>
          <w:sz w:val="17"/>
          <w:szCs w:val="17"/>
          <w:i w:val="1"/>
          <w:iCs w:val="1"/>
          <w:color w:val="auto"/>
        </w:rPr>
        <w:t xml:space="preserve"> </w:t>
      </w:r>
      <w:r>
        <w:rPr>
          <w:rFonts w:ascii="Arial" w:cs="Arial" w:eastAsia="Arial" w:hAnsi="Arial"/>
          <w:sz w:val="17"/>
          <w:szCs w:val="17"/>
          <w:color w:val="auto"/>
        </w:rPr>
        <w:t>determinations will be final and binding on any interested person. Such determinations include selecting participants, determining the awards that will be made under the Plan, interpreting plan provisions, and deciding the terms and conditions of any award.</w:t>
      </w:r>
    </w:p>
    <w:p>
      <w:pPr>
        <w:spacing w:after="0" w:line="66" w:lineRule="exact"/>
        <w:rPr>
          <w:sz w:val="20"/>
          <w:szCs w:val="20"/>
          <w:color w:val="auto"/>
        </w:rPr>
      </w:pPr>
    </w:p>
    <w:p>
      <w:pPr>
        <w:ind w:firstLine="438"/>
        <w:spacing w:after="0" w:line="255" w:lineRule="auto"/>
        <w:rPr>
          <w:sz w:val="20"/>
          <w:szCs w:val="20"/>
          <w:color w:val="auto"/>
        </w:rPr>
      </w:pPr>
      <w:r>
        <w:rPr>
          <w:rFonts w:ascii="Arial" w:cs="Arial" w:eastAsia="Arial" w:hAnsi="Arial"/>
          <w:sz w:val="18"/>
          <w:szCs w:val="18"/>
          <w:i w:val="1"/>
          <w:iCs w:val="1"/>
          <w:color w:val="auto"/>
        </w:rPr>
        <w:t>Amendment</w:t>
      </w:r>
      <w:r>
        <w:rPr>
          <w:rFonts w:ascii="Arial" w:cs="Arial" w:eastAsia="Arial" w:hAnsi="Arial"/>
          <w:sz w:val="18"/>
          <w:szCs w:val="18"/>
          <w:color w:val="auto"/>
        </w:rPr>
        <w:t>. The Plan may be amended by the Board of Directors or by the Compensation Committee. Amendments will be subject to stockholder</w:t>
      </w:r>
      <w:r>
        <w:rPr>
          <w:rFonts w:ascii="Arial" w:cs="Arial" w:eastAsia="Arial" w:hAnsi="Arial"/>
          <w:sz w:val="18"/>
          <w:szCs w:val="18"/>
          <w:i w:val="1"/>
          <w:iCs w:val="1"/>
          <w:color w:val="auto"/>
        </w:rPr>
        <w:t xml:space="preserve"> </w:t>
      </w:r>
      <w:r>
        <w:rPr>
          <w:rFonts w:ascii="Arial" w:cs="Arial" w:eastAsia="Arial" w:hAnsi="Arial"/>
          <w:sz w:val="18"/>
          <w:szCs w:val="18"/>
          <w:color w:val="auto"/>
        </w:rPr>
        <w:t>approval if and to the extent required by applicable law, regulations or rules. Any amendment that would increase the aggregate number of shares of stock that may be issued under the Plan must be approved by our stockholders.</w:t>
      </w:r>
    </w:p>
    <w:p>
      <w:pPr>
        <w:spacing w:after="0" w:line="83" w:lineRule="exact"/>
        <w:rPr>
          <w:sz w:val="20"/>
          <w:szCs w:val="20"/>
          <w:color w:val="auto"/>
        </w:rPr>
      </w:pPr>
    </w:p>
    <w:p>
      <w:pPr>
        <w:ind w:firstLine="438"/>
        <w:spacing w:after="0" w:line="252" w:lineRule="auto"/>
        <w:rPr>
          <w:sz w:val="20"/>
          <w:szCs w:val="20"/>
          <w:color w:val="auto"/>
        </w:rPr>
      </w:pPr>
      <w:r>
        <w:rPr>
          <w:rFonts w:ascii="Arial" w:cs="Arial" w:eastAsia="Arial" w:hAnsi="Arial"/>
          <w:sz w:val="18"/>
          <w:szCs w:val="18"/>
          <w:i w:val="1"/>
          <w:iCs w:val="1"/>
          <w:color w:val="auto"/>
        </w:rPr>
        <w:t>Antidilution</w:t>
      </w:r>
      <w:r>
        <w:rPr>
          <w:rFonts w:ascii="Arial" w:cs="Arial" w:eastAsia="Arial" w:hAnsi="Arial"/>
          <w:sz w:val="18"/>
          <w:szCs w:val="18"/>
          <w:color w:val="auto"/>
        </w:rPr>
        <w:t>. In the event of any stock dividend, stock split, reverse stock split, recapitalization, combination, reclassification or similar change in the</w:t>
      </w:r>
      <w:r>
        <w:rPr>
          <w:rFonts w:ascii="Arial" w:cs="Arial" w:eastAsia="Arial" w:hAnsi="Arial"/>
          <w:sz w:val="18"/>
          <w:szCs w:val="18"/>
          <w:i w:val="1"/>
          <w:iCs w:val="1"/>
          <w:color w:val="auto"/>
        </w:rPr>
        <w:t xml:space="preserve"> </w:t>
      </w:r>
      <w:r>
        <w:rPr>
          <w:rFonts w:ascii="Arial" w:cs="Arial" w:eastAsia="Arial" w:hAnsi="Arial"/>
          <w:sz w:val="18"/>
          <w:szCs w:val="18"/>
          <w:color w:val="auto"/>
        </w:rPr>
        <w:t>capital structure of the Company, appropriate adjustments will be made in the number and class of shares subject to the Plan and to any outstanding awards (if applicable) and in the exercise price per share of any outstanding awards (if applicable), as the Compensation Committee or the Board of Directors determines fair and equitable.</w:t>
      </w:r>
    </w:p>
    <w:p>
      <w:pPr>
        <w:spacing w:after="0" w:line="86" w:lineRule="exact"/>
        <w:rPr>
          <w:sz w:val="20"/>
          <w:szCs w:val="20"/>
          <w:color w:val="auto"/>
        </w:rPr>
      </w:pPr>
    </w:p>
    <w:p>
      <w:pPr>
        <w:jc w:val="both"/>
        <w:ind w:right="20" w:firstLine="438"/>
        <w:spacing w:after="0" w:line="255" w:lineRule="auto"/>
        <w:rPr>
          <w:sz w:val="20"/>
          <w:szCs w:val="20"/>
          <w:color w:val="auto"/>
        </w:rPr>
      </w:pPr>
      <w:r>
        <w:rPr>
          <w:rFonts w:ascii="Arial" w:cs="Arial" w:eastAsia="Arial" w:hAnsi="Arial"/>
          <w:sz w:val="18"/>
          <w:szCs w:val="18"/>
          <w:i w:val="1"/>
          <w:iCs w:val="1"/>
          <w:color w:val="auto"/>
        </w:rPr>
        <w:t>Persons Eligible for Grants</w:t>
      </w:r>
      <w:r>
        <w:rPr>
          <w:rFonts w:ascii="Arial" w:cs="Arial" w:eastAsia="Arial" w:hAnsi="Arial"/>
          <w:sz w:val="18"/>
          <w:szCs w:val="18"/>
          <w:color w:val="auto"/>
        </w:rPr>
        <w:t>. Any employee or non-employee director of Westwood or any of its parents or subsidiaries will be eligible to be selected as</w:t>
      </w:r>
      <w:r>
        <w:rPr>
          <w:rFonts w:ascii="Arial" w:cs="Arial" w:eastAsia="Arial" w:hAnsi="Arial"/>
          <w:sz w:val="18"/>
          <w:szCs w:val="18"/>
          <w:i w:val="1"/>
          <w:iCs w:val="1"/>
          <w:color w:val="auto"/>
        </w:rPr>
        <w:t xml:space="preserve"> </w:t>
      </w:r>
      <w:r>
        <w:rPr>
          <w:rFonts w:ascii="Arial" w:cs="Arial" w:eastAsia="Arial" w:hAnsi="Arial"/>
          <w:sz w:val="18"/>
          <w:szCs w:val="18"/>
          <w:color w:val="auto"/>
        </w:rPr>
        <w:t>a participant and receive an award under the Plan by the Compensation Committee, acting in its discretion. However, ISOs will be granted only to participants who are employees of Westwood or a subsidiary thereof.</w:t>
      </w:r>
    </w:p>
    <w:p>
      <w:pPr>
        <w:spacing w:after="0" w:line="83" w:lineRule="exact"/>
        <w:rPr>
          <w:sz w:val="20"/>
          <w:szCs w:val="20"/>
          <w:color w:val="auto"/>
        </w:rPr>
      </w:pPr>
    </w:p>
    <w:p>
      <w:pPr>
        <w:ind w:right="80" w:firstLine="438"/>
        <w:spacing w:after="0" w:line="265" w:lineRule="auto"/>
        <w:rPr>
          <w:sz w:val="20"/>
          <w:szCs w:val="20"/>
          <w:color w:val="auto"/>
        </w:rPr>
      </w:pPr>
      <w:r>
        <w:rPr>
          <w:rFonts w:ascii="Arial" w:cs="Arial" w:eastAsia="Arial" w:hAnsi="Arial"/>
          <w:sz w:val="18"/>
          <w:szCs w:val="18"/>
          <w:i w:val="1"/>
          <w:iCs w:val="1"/>
          <w:color w:val="auto"/>
        </w:rPr>
        <w:t xml:space="preserve">Change in Control. </w:t>
      </w:r>
      <w:r>
        <w:rPr>
          <w:rFonts w:ascii="Arial" w:cs="Arial" w:eastAsia="Arial" w:hAnsi="Arial"/>
          <w:sz w:val="18"/>
          <w:szCs w:val="18"/>
          <w:color w:val="auto"/>
        </w:rPr>
        <w:t>In the event of a change in control, each outstanding award under the Plan shall become 100% vested and exercisable as of the date</w:t>
      </w:r>
      <w:r>
        <w:rPr>
          <w:rFonts w:ascii="Arial" w:cs="Arial" w:eastAsia="Arial" w:hAnsi="Arial"/>
          <w:sz w:val="18"/>
          <w:szCs w:val="18"/>
          <w:i w:val="1"/>
          <w:iCs w:val="1"/>
          <w:color w:val="auto"/>
        </w:rPr>
        <w:t xml:space="preserve"> </w:t>
      </w:r>
      <w:r>
        <w:rPr>
          <w:rFonts w:ascii="Arial" w:cs="Arial" w:eastAsia="Arial" w:hAnsi="Arial"/>
          <w:sz w:val="18"/>
          <w:szCs w:val="18"/>
          <w:color w:val="auto"/>
        </w:rPr>
        <w:t>ten (10) days prior to the date of the change in control.</w:t>
      </w:r>
    </w:p>
    <w:p>
      <w:pPr>
        <w:spacing w:after="0" w:line="74" w:lineRule="exact"/>
        <w:rPr>
          <w:sz w:val="20"/>
          <w:szCs w:val="20"/>
          <w:color w:val="auto"/>
        </w:rPr>
      </w:pPr>
    </w:p>
    <w:p>
      <w:pPr>
        <w:ind w:left="440"/>
        <w:spacing w:after="0"/>
        <w:rPr>
          <w:sz w:val="20"/>
          <w:szCs w:val="20"/>
          <w:color w:val="auto"/>
        </w:rPr>
      </w:pPr>
      <w:r>
        <w:rPr>
          <w:rFonts w:ascii="Arial" w:cs="Arial" w:eastAsia="Arial" w:hAnsi="Arial"/>
          <w:sz w:val="18"/>
          <w:szCs w:val="18"/>
          <w:i w:val="1"/>
          <w:iCs w:val="1"/>
          <w:u w:val="single" w:color="auto"/>
          <w:color w:val="auto"/>
        </w:rPr>
        <w:t>Types of Awards</w:t>
      </w:r>
    </w:p>
    <w:p>
      <w:pPr>
        <w:spacing w:after="0" w:line="111" w:lineRule="exact"/>
        <w:rPr>
          <w:sz w:val="20"/>
          <w:szCs w:val="20"/>
          <w:color w:val="auto"/>
        </w:rPr>
      </w:pPr>
    </w:p>
    <w:p>
      <w:pPr>
        <w:ind w:right="100" w:firstLine="398"/>
        <w:spacing w:after="0" w:line="304" w:lineRule="auto"/>
        <w:rPr>
          <w:sz w:val="20"/>
          <w:szCs w:val="20"/>
          <w:color w:val="auto"/>
        </w:rPr>
      </w:pPr>
      <w:r>
        <w:rPr>
          <w:rFonts w:ascii="Arial" w:cs="Arial" w:eastAsia="Arial" w:hAnsi="Arial"/>
          <w:sz w:val="15"/>
          <w:szCs w:val="15"/>
          <w:i w:val="1"/>
          <w:iCs w:val="1"/>
          <w:color w:val="auto"/>
        </w:rPr>
        <w:t>Options</w:t>
      </w:r>
      <w:r>
        <w:rPr>
          <w:rFonts w:ascii="Arial" w:cs="Arial" w:eastAsia="Arial" w:hAnsi="Arial"/>
          <w:sz w:val="15"/>
          <w:szCs w:val="15"/>
          <w:color w:val="auto"/>
        </w:rPr>
        <w:t>. ISOs and NSOs are both stock options allowing the recipient to purchase a fixed number of shares of common stock at a fixed price (which</w:t>
      </w:r>
      <w:r>
        <w:rPr>
          <w:rFonts w:ascii="Arial" w:cs="Arial" w:eastAsia="Arial" w:hAnsi="Arial"/>
          <w:sz w:val="15"/>
          <w:szCs w:val="15"/>
          <w:i w:val="1"/>
          <w:iCs w:val="1"/>
          <w:color w:val="auto"/>
        </w:rPr>
        <w:t xml:space="preserve"> </w:t>
      </w:r>
      <w:r>
        <w:rPr>
          <w:rFonts w:ascii="Arial" w:cs="Arial" w:eastAsia="Arial" w:hAnsi="Arial"/>
          <w:sz w:val="15"/>
          <w:szCs w:val="15"/>
          <w:color w:val="auto"/>
        </w:rPr>
        <w:t>may not be less than the fair market value on the option grant date as determined under the Plan). Options will be exercisable at such time or times, or upon such event or events, and subject to such terms, conditions, performance criteria and restrictions as shall be determined by the Compensation Committee and set forth in the option agreement evidencing such option; provided, however, that (i) no option shall be exercisable after the expiration of 10 years after the effective date of grant of such option, (ii) no ISO granted to a stockholder who owns more than ten percent of our common stock will be exercisable after the expiration of five years after the effective date of grant of such option, and (iii) no option granted to a prospective employee, prospective consultant or prospective director may become exercisable prior to the date on which such person commences service with the Company. Subject to the foregoing, unless otherwise specified by the Compensation Committee in the grant of an option, any option granted hereunder shall terminate ten years after the effective date of grant of the option, unless earlier terminated in accordance with its provisions.</w:t>
      </w:r>
    </w:p>
    <w:p>
      <w:pPr>
        <w:spacing w:after="0" w:line="50" w:lineRule="exact"/>
        <w:rPr>
          <w:sz w:val="20"/>
          <w:szCs w:val="20"/>
          <w:color w:val="auto"/>
        </w:rPr>
      </w:pPr>
    </w:p>
    <w:p>
      <w:pPr>
        <w:ind w:right="160" w:firstLine="398"/>
        <w:spacing w:after="0" w:line="272" w:lineRule="auto"/>
        <w:rPr>
          <w:sz w:val="20"/>
          <w:szCs w:val="20"/>
          <w:color w:val="auto"/>
        </w:rPr>
      </w:pPr>
      <w:r>
        <w:rPr>
          <w:rFonts w:ascii="Arial" w:cs="Arial" w:eastAsia="Arial" w:hAnsi="Arial"/>
          <w:sz w:val="17"/>
          <w:szCs w:val="17"/>
          <w:color w:val="auto"/>
        </w:rPr>
        <w:t>Subject to the limitations of the Plan, payment of the exercise price of an option shall be made (i) in cash, by check or cash equivalent, (ii) by tender to the Company, or attestation to the ownership, of shares of our common stock owned by the participant having a fair market value not less than the exercise price, (iii) through the cashless exercise procedures set forth in the Plan, (iv) with such other consideration as may be approved by the Compensation Committee from time to time to the extent permitted by applicable law, or (v) by any combination thereof.</w:t>
      </w:r>
    </w:p>
    <w:p>
      <w:pPr>
        <w:spacing w:after="0" w:line="69" w:lineRule="exact"/>
        <w:rPr>
          <w:sz w:val="20"/>
          <w:szCs w:val="20"/>
          <w:color w:val="auto"/>
        </w:rPr>
      </w:pPr>
    </w:p>
    <w:p>
      <w:pPr>
        <w:ind w:right="20" w:firstLine="438"/>
        <w:spacing w:after="0" w:line="304" w:lineRule="auto"/>
        <w:rPr>
          <w:sz w:val="20"/>
          <w:szCs w:val="20"/>
          <w:color w:val="auto"/>
        </w:rPr>
      </w:pPr>
      <w:r>
        <w:rPr>
          <w:rFonts w:ascii="Arial" w:cs="Arial" w:eastAsia="Arial" w:hAnsi="Arial"/>
          <w:sz w:val="15"/>
          <w:szCs w:val="15"/>
          <w:i w:val="1"/>
          <w:iCs w:val="1"/>
          <w:color w:val="auto"/>
        </w:rPr>
        <w:t>Restricted Stock Awards</w:t>
      </w:r>
      <w:r>
        <w:rPr>
          <w:rFonts w:ascii="Arial" w:cs="Arial" w:eastAsia="Arial" w:hAnsi="Arial"/>
          <w:sz w:val="15"/>
          <w:szCs w:val="15"/>
          <w:color w:val="auto"/>
        </w:rPr>
        <w:t>. The Compensation Committee may also make awards of restricted shares of our stock. The vesting of restricted stock may be</w:t>
      </w:r>
      <w:r>
        <w:rPr>
          <w:rFonts w:ascii="Arial" w:cs="Arial" w:eastAsia="Arial" w:hAnsi="Arial"/>
          <w:sz w:val="15"/>
          <w:szCs w:val="15"/>
          <w:i w:val="1"/>
          <w:iCs w:val="1"/>
          <w:color w:val="auto"/>
        </w:rPr>
        <w:t xml:space="preserve"> </w:t>
      </w:r>
      <w:r>
        <w:rPr>
          <w:rFonts w:ascii="Arial" w:cs="Arial" w:eastAsia="Arial" w:hAnsi="Arial"/>
          <w:sz w:val="15"/>
          <w:szCs w:val="15"/>
          <w:color w:val="auto"/>
        </w:rPr>
        <w:t>conditioned upon the lapse of time and/or the satisfaction of other factors determined by the Compensation Committee. Unless the Compensation Committee determines otherwise, the recipient of restricted shares will generally have the right to vote the shares. Dividends and dividend equivalents will not be payable with respect to restricted stock. However, the Compensation Committee may provide that dividends will be accrued with respect to restricted shares (at the same rate paid to our stockholders generally) and, if so, that the dividends will be subject to the vesting conditions applicable to the corresponding restricted stock. None of the restricted shares may be sold, transferred or pledged during the restricted period, and, except for termination due to death or as otherwise determined by the Compensation Committee, all restricted shares shall be forfeited and, all rights to the shares will terminate, if the recipient ceases to be an employee, consultant or director of the Company or any of our subsidiaries before the expiration or termination of the restricted period and satisfaction of any other conditions prescribed by us with respect to the shares.</w:t>
      </w:r>
    </w:p>
    <w:p>
      <w:pPr>
        <w:spacing w:after="0" w:line="50" w:lineRule="exact"/>
        <w:rPr>
          <w:sz w:val="20"/>
          <w:szCs w:val="20"/>
          <w:color w:val="auto"/>
        </w:rPr>
      </w:pPr>
    </w:p>
    <w:p>
      <w:pPr>
        <w:ind w:right="40" w:firstLine="438"/>
        <w:spacing w:after="0" w:line="250" w:lineRule="auto"/>
        <w:rPr>
          <w:sz w:val="20"/>
          <w:szCs w:val="20"/>
          <w:color w:val="auto"/>
        </w:rPr>
      </w:pPr>
      <w:r>
        <w:rPr>
          <w:rFonts w:ascii="Arial" w:cs="Arial" w:eastAsia="Arial" w:hAnsi="Arial"/>
          <w:sz w:val="18"/>
          <w:szCs w:val="18"/>
          <w:i w:val="1"/>
          <w:iCs w:val="1"/>
          <w:color w:val="auto"/>
        </w:rPr>
        <w:t xml:space="preserve">Stock Appreciation Rights. </w:t>
      </w:r>
      <w:r>
        <w:rPr>
          <w:rFonts w:ascii="Arial" w:cs="Arial" w:eastAsia="Arial" w:hAnsi="Arial"/>
          <w:sz w:val="18"/>
          <w:szCs w:val="18"/>
          <w:color w:val="auto"/>
        </w:rPr>
        <w:t>The Compensation Committee may also make awards of SARs, which allow the recipient to exercise all or a specified</w:t>
      </w:r>
      <w:r>
        <w:rPr>
          <w:rFonts w:ascii="Arial" w:cs="Arial" w:eastAsia="Arial" w:hAnsi="Arial"/>
          <w:sz w:val="18"/>
          <w:szCs w:val="18"/>
          <w:i w:val="1"/>
          <w:iCs w:val="1"/>
          <w:color w:val="auto"/>
        </w:rPr>
        <w:t xml:space="preserve"> </w:t>
      </w:r>
      <w:r>
        <w:rPr>
          <w:rFonts w:ascii="Arial" w:cs="Arial" w:eastAsia="Arial" w:hAnsi="Arial"/>
          <w:sz w:val="18"/>
          <w:szCs w:val="18"/>
          <w:color w:val="auto"/>
        </w:rPr>
        <w:t>portion of the SAR to receive from the Company an amount equal to the product of (i) the excess of (A) the fair market value of the shares of our stock on the date the SAR is exercised over (B) the grant price of the SAR and (ii) the number of shares of our stock with respect to which the SAR was exercised. Payment will be in cash, shares of our stock or a combination thereof, as determined by the Compensation Committee. Dividends and dividend equivalents will not be payable with respect to SARs.</w:t>
      </w:r>
    </w:p>
    <w:p>
      <w:pPr>
        <w:spacing w:after="0" w:line="89" w:lineRule="exact"/>
        <w:rPr>
          <w:sz w:val="20"/>
          <w:szCs w:val="20"/>
          <w:color w:val="auto"/>
        </w:rPr>
      </w:pPr>
    </w:p>
    <w:p>
      <w:pPr>
        <w:ind w:right="160" w:firstLine="438"/>
        <w:spacing w:after="0" w:line="255" w:lineRule="auto"/>
        <w:rPr>
          <w:sz w:val="20"/>
          <w:szCs w:val="20"/>
          <w:color w:val="auto"/>
        </w:rPr>
      </w:pPr>
      <w:r>
        <w:rPr>
          <w:rFonts w:ascii="Arial" w:cs="Arial" w:eastAsia="Arial" w:hAnsi="Arial"/>
          <w:sz w:val="18"/>
          <w:szCs w:val="18"/>
          <w:i w:val="1"/>
          <w:iCs w:val="1"/>
          <w:color w:val="auto"/>
        </w:rPr>
        <w:t xml:space="preserve">Restricted Stock Units. </w:t>
      </w:r>
      <w:r>
        <w:rPr>
          <w:rFonts w:ascii="Arial" w:cs="Arial" w:eastAsia="Arial" w:hAnsi="Arial"/>
          <w:sz w:val="18"/>
          <w:szCs w:val="18"/>
          <w:color w:val="auto"/>
        </w:rPr>
        <w:t>The Compensation Committee may also make awards of RSUs. The settlement of RSUs may be satisfied by delivery of shares</w:t>
      </w:r>
      <w:r>
        <w:rPr>
          <w:rFonts w:ascii="Arial" w:cs="Arial" w:eastAsia="Arial" w:hAnsi="Arial"/>
          <w:sz w:val="18"/>
          <w:szCs w:val="18"/>
          <w:i w:val="1"/>
          <w:iCs w:val="1"/>
          <w:color w:val="auto"/>
        </w:rPr>
        <w:t xml:space="preserve"> </w:t>
      </w:r>
      <w:r>
        <w:rPr>
          <w:rFonts w:ascii="Arial" w:cs="Arial" w:eastAsia="Arial" w:hAnsi="Arial"/>
          <w:sz w:val="18"/>
          <w:szCs w:val="18"/>
          <w:color w:val="auto"/>
        </w:rPr>
        <w:t>of our stock, cash in an amount equal to the fair market value of the specified number of shares of our stock or a combination thereof, as determined by the Compensation Committee. Dividends and dividend equivalents will</w:t>
      </w:r>
    </w:p>
    <w:p>
      <w:pPr>
        <w:spacing w:after="0" w:line="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20"/>
          </w:cols>
          <w:pgMar w:left="320" w:top="552" w:right="359" w:bottom="1440" w:gutter="0" w:footer="0" w:header="0"/>
        </w:sectPr>
      </w:pPr>
    </w:p>
    <w:bookmarkStart w:id="43" w:name="page44"/>
    <w:bookmarkEnd w:id="43"/>
    <w:p>
      <w:pPr>
        <w:jc w:val="both"/>
        <w:ind w:right="240"/>
        <w:spacing w:after="0" w:line="366" w:lineRule="auto"/>
        <w:rPr>
          <w:sz w:val="20"/>
          <w:szCs w:val="20"/>
          <w:color w:val="auto"/>
        </w:rPr>
      </w:pPr>
      <w:r>
        <w:rPr>
          <w:rFonts w:ascii="Arial" w:cs="Arial" w:eastAsia="Arial" w:hAnsi="Arial"/>
          <w:sz w:val="15"/>
          <w:szCs w:val="15"/>
          <w:color w:val="auto"/>
        </w:rPr>
        <w:t>not be payable with respect to RSUs, however the Compensation Committee may provide that dividends will be accrued with respect to RSUs (at the same rate that is paid to our stockholders generally) and, if so, that the dividends will be subject to the vesting conditions applicable to the corresponding RSUs.</w:t>
      </w:r>
    </w:p>
    <w:p>
      <w:pPr>
        <w:spacing w:after="0" w:line="5" w:lineRule="exact"/>
        <w:rPr>
          <w:sz w:val="20"/>
          <w:szCs w:val="20"/>
          <w:color w:val="auto"/>
        </w:rPr>
      </w:pPr>
    </w:p>
    <w:p>
      <w:pPr>
        <w:ind w:right="60" w:firstLine="438"/>
        <w:spacing w:after="0" w:line="252" w:lineRule="auto"/>
        <w:rPr>
          <w:sz w:val="20"/>
          <w:szCs w:val="20"/>
          <w:color w:val="auto"/>
        </w:rPr>
      </w:pPr>
      <w:r>
        <w:rPr>
          <w:rFonts w:ascii="Arial" w:cs="Arial" w:eastAsia="Arial" w:hAnsi="Arial"/>
          <w:sz w:val="18"/>
          <w:szCs w:val="18"/>
          <w:i w:val="1"/>
          <w:iCs w:val="1"/>
          <w:color w:val="auto"/>
        </w:rPr>
        <w:t xml:space="preserve">Other Stock-based Awards. </w:t>
      </w:r>
      <w:r>
        <w:rPr>
          <w:rFonts w:ascii="Arial" w:cs="Arial" w:eastAsia="Arial" w:hAnsi="Arial"/>
          <w:sz w:val="18"/>
          <w:szCs w:val="18"/>
          <w:color w:val="auto"/>
        </w:rPr>
        <w:t>The Compensation Committee may also make awards that may be denominated or payable in, valued in whole or in part by</w:t>
      </w:r>
      <w:r>
        <w:rPr>
          <w:rFonts w:ascii="Arial" w:cs="Arial" w:eastAsia="Arial" w:hAnsi="Arial"/>
          <w:sz w:val="18"/>
          <w:szCs w:val="18"/>
          <w:i w:val="1"/>
          <w:iCs w:val="1"/>
          <w:color w:val="auto"/>
        </w:rPr>
        <w:t xml:space="preserve"> </w:t>
      </w:r>
      <w:r>
        <w:rPr>
          <w:rFonts w:ascii="Arial" w:cs="Arial" w:eastAsia="Arial" w:hAnsi="Arial"/>
          <w:sz w:val="18"/>
          <w:szCs w:val="18"/>
          <w:color w:val="auto"/>
        </w:rPr>
        <w:t>reference to, or otherwise based on, or related to, shares of our stock, including without limitation purchase rights for shares of our stock, awards with value and payment contingent upon performance of the Company or any other factors designated by the Compensation Committee, and awards valued by reference to the book value of a share of our stock.</w:t>
      </w:r>
    </w:p>
    <w:p>
      <w:pPr>
        <w:spacing w:after="0" w:line="86" w:lineRule="exact"/>
        <w:rPr>
          <w:sz w:val="20"/>
          <w:szCs w:val="20"/>
          <w:color w:val="auto"/>
        </w:rPr>
      </w:pPr>
    </w:p>
    <w:p>
      <w:pPr>
        <w:ind w:right="80" w:firstLine="438"/>
        <w:spacing w:after="0" w:line="330" w:lineRule="auto"/>
        <w:rPr>
          <w:sz w:val="20"/>
          <w:szCs w:val="20"/>
          <w:color w:val="auto"/>
        </w:rPr>
      </w:pPr>
      <w:r>
        <w:rPr>
          <w:rFonts w:ascii="Arial" w:cs="Arial" w:eastAsia="Arial" w:hAnsi="Arial"/>
          <w:sz w:val="15"/>
          <w:szCs w:val="15"/>
          <w:i w:val="1"/>
          <w:iCs w:val="1"/>
          <w:color w:val="auto"/>
        </w:rPr>
        <w:t xml:space="preserve">Awards to Non-Employee Directors. </w:t>
      </w:r>
      <w:r>
        <w:rPr>
          <w:rFonts w:ascii="Arial" w:cs="Arial" w:eastAsia="Arial" w:hAnsi="Arial"/>
          <w:sz w:val="15"/>
          <w:szCs w:val="15"/>
          <w:color w:val="auto"/>
        </w:rPr>
        <w:t>Non-employee directors are eligible to receive any type of award under the Plan other than ISOs. The grant of an</w:t>
      </w:r>
      <w:r>
        <w:rPr>
          <w:rFonts w:ascii="Arial" w:cs="Arial" w:eastAsia="Arial" w:hAnsi="Arial"/>
          <w:sz w:val="15"/>
          <w:szCs w:val="15"/>
          <w:i w:val="1"/>
          <w:iCs w:val="1"/>
          <w:color w:val="auto"/>
        </w:rPr>
        <w:t xml:space="preserve"> </w:t>
      </w:r>
      <w:r>
        <w:rPr>
          <w:rFonts w:ascii="Arial" w:cs="Arial" w:eastAsia="Arial" w:hAnsi="Arial"/>
          <w:sz w:val="15"/>
          <w:szCs w:val="15"/>
          <w:color w:val="auto"/>
        </w:rPr>
        <w:t>award to a non-employee director, acting in his or her capacity as director, taken together with the cash fees paid to the non-employee director, cannot exceed $350,000 in the case of a non-employee director other than the Chairman of the Board or $500,000 in the case of the Chairman of the Board.</w:t>
      </w:r>
    </w:p>
    <w:p>
      <w:pPr>
        <w:spacing w:after="0" w:line="31" w:lineRule="exact"/>
        <w:rPr>
          <w:sz w:val="20"/>
          <w:szCs w:val="20"/>
          <w:color w:val="auto"/>
        </w:rPr>
      </w:pPr>
    </w:p>
    <w:p>
      <w:pPr>
        <w:ind w:right="20" w:firstLine="438"/>
        <w:spacing w:after="0" w:line="319" w:lineRule="auto"/>
        <w:rPr>
          <w:sz w:val="20"/>
          <w:szCs w:val="20"/>
          <w:color w:val="auto"/>
        </w:rPr>
      </w:pPr>
      <w:r>
        <w:rPr>
          <w:rFonts w:ascii="Arial" w:cs="Arial" w:eastAsia="Arial" w:hAnsi="Arial"/>
          <w:sz w:val="15"/>
          <w:szCs w:val="15"/>
          <w:i w:val="1"/>
          <w:iCs w:val="1"/>
          <w:color w:val="auto"/>
        </w:rPr>
        <w:t>Annual Incentive Awards</w:t>
      </w:r>
      <w:r>
        <w:rPr>
          <w:rFonts w:ascii="Arial" w:cs="Arial" w:eastAsia="Arial" w:hAnsi="Arial"/>
          <w:sz w:val="15"/>
          <w:szCs w:val="15"/>
          <w:color w:val="auto"/>
        </w:rPr>
        <w:t>. The Compensation Committee may also grant annual incentive awards of stock, cash or any combination of stock and cash to</w:t>
      </w:r>
      <w:r>
        <w:rPr>
          <w:rFonts w:ascii="Arial" w:cs="Arial" w:eastAsia="Arial" w:hAnsi="Arial"/>
          <w:sz w:val="15"/>
          <w:szCs w:val="15"/>
          <w:i w:val="1"/>
          <w:iCs w:val="1"/>
          <w:color w:val="auto"/>
        </w:rPr>
        <w:t xml:space="preserve"> </w:t>
      </w:r>
      <w:r>
        <w:rPr>
          <w:rFonts w:ascii="Arial" w:cs="Arial" w:eastAsia="Arial" w:hAnsi="Arial"/>
          <w:sz w:val="15"/>
          <w:szCs w:val="15"/>
          <w:color w:val="auto"/>
        </w:rPr>
        <w:t>our employees and other eligible persons, in such amounts and subject to such terms and conditions as the Compensation Committee may determine. The Compensation Committee shall establish the maximum level of annual incentive awards that may be granted for each year. The Compensation Committee may, in its sole discretion, reduce, but not increase, the proposed annual incentive award payable to any participating employee during a year.</w:t>
      </w:r>
    </w:p>
    <w:p>
      <w:pPr>
        <w:spacing w:after="0" w:line="38" w:lineRule="exact"/>
        <w:rPr>
          <w:sz w:val="20"/>
          <w:szCs w:val="20"/>
          <w:color w:val="auto"/>
        </w:rPr>
      </w:pPr>
    </w:p>
    <w:p>
      <w:pPr>
        <w:ind w:firstLine="398"/>
        <w:spacing w:after="0" w:line="299" w:lineRule="auto"/>
        <w:rPr>
          <w:sz w:val="20"/>
          <w:szCs w:val="20"/>
          <w:color w:val="auto"/>
        </w:rPr>
      </w:pPr>
      <w:r>
        <w:rPr>
          <w:rFonts w:ascii="Arial" w:cs="Arial" w:eastAsia="Arial" w:hAnsi="Arial"/>
          <w:sz w:val="15"/>
          <w:szCs w:val="15"/>
          <w:i w:val="1"/>
          <w:iCs w:val="1"/>
          <w:color w:val="auto"/>
        </w:rPr>
        <w:t>Performance-Based Awards</w:t>
      </w:r>
      <w:r>
        <w:rPr>
          <w:rFonts w:ascii="Arial" w:cs="Arial" w:eastAsia="Arial" w:hAnsi="Arial"/>
          <w:sz w:val="15"/>
          <w:szCs w:val="15"/>
          <w:color w:val="auto"/>
        </w:rPr>
        <w:t>. The Plan allows the Compensation Committee to grant awards the vesting, exercise or settlement of which is contingent</w:t>
      </w:r>
      <w:r>
        <w:rPr>
          <w:rFonts w:ascii="Arial" w:cs="Arial" w:eastAsia="Arial" w:hAnsi="Arial"/>
          <w:sz w:val="15"/>
          <w:szCs w:val="15"/>
          <w:i w:val="1"/>
          <w:iCs w:val="1"/>
          <w:color w:val="auto"/>
        </w:rPr>
        <w:t xml:space="preserve"> </w:t>
      </w:r>
      <w:r>
        <w:rPr>
          <w:rFonts w:ascii="Arial" w:cs="Arial" w:eastAsia="Arial" w:hAnsi="Arial"/>
          <w:sz w:val="15"/>
          <w:szCs w:val="15"/>
          <w:color w:val="auto"/>
        </w:rPr>
        <w:t>upon the satisfaction of one or more performance conditions. The list of performance measures upon which performance goals may be based currently includes: (i) net earnings or net income (before or after taxes, depreciation and amortization); (ii) cash earnings; (iii) earnings per share; (iv) net sales or revenue growth; (v) net operating income; (vi) return measures (including, but not limited to, return on assets, capital, invested capital, equity, sales, or revenue); (vii) cash flow (including, but not limited to, operating cash flow, free cash flow, cash flow return on equity, and cash flow return on investment (discounted or otherwise)); (viii) operating income before interest, taxes, depreciation and amortization; (ix) return on stockholders' equity; (x) operating margins or operating expenses; (xi) value of the Company's stock or total return to stockholders; (xii) value of an investment in the Company's stock assuming the reinvestment of dividends; (xiii) assets under management; (xiv) performance of one or more of our investment products on an absolute basis or relative to a benchmark or peer group; (xv) adjusted pre-tax income; (xvi) cost targets, reductions and savings, productivity and efficiencies; (xvii) strategic business criteria, consisting of one or more objectives based on meeting specified market penetration, geographic business expansion, customer satisfaction, employee satisfaction, human resources management, supervision of litigation, information technology and goals relating to acquisitions, divestitures, joint ventures and similar transactions and budget comparisons; (xviii) personal professional objectives, consisting of one or more objectives based on the implementation of plans and policies, the negotiation of transactions, the development of long term business goals, formation of joint ventures, research or development collaborations and the completion of other corporation transactions; (xix) any other criteria selected by the Compensation Committee; and/or (xx) a combination of any or all of the foregoing criteria. Any evaluation of performance in relation to performance-based awards may include or exclude, as applicable: asset write-downs, litigation or claim judgments or settlements, changes in tax laws, accounting principles or other laws or provisions, reorganization or restructuring programs, acquisitions or divestitures, foreign exchange gains and losses, or gains and losses that are treated as unusual in nature or what occur infrequently under Accounting Standards Codification Topic 225. Nothing amended and restated in the Plan is intended to materially amend any outstanding performance-based award granted on or before November 2, 2017 that was designed to qualify as "performance-based compensation" under Section 162(m) of the Internal Revenue Code (as in effect prior to the Tax Cute and Jobs Act of 2017).</w:t>
      </w:r>
    </w:p>
    <w:p>
      <w:pPr>
        <w:spacing w:after="0" w:line="268" w:lineRule="exact"/>
        <w:rPr>
          <w:sz w:val="20"/>
          <w:szCs w:val="20"/>
          <w:color w:val="auto"/>
        </w:rPr>
      </w:pPr>
    </w:p>
    <w:p>
      <w:pPr>
        <w:ind w:right="120" w:firstLine="398"/>
        <w:spacing w:after="0" w:line="366" w:lineRule="auto"/>
        <w:rPr>
          <w:sz w:val="20"/>
          <w:szCs w:val="20"/>
          <w:color w:val="auto"/>
        </w:rPr>
      </w:pPr>
      <w:r>
        <w:rPr>
          <w:rFonts w:ascii="Arial" w:cs="Arial" w:eastAsia="Arial" w:hAnsi="Arial"/>
          <w:sz w:val="15"/>
          <w:szCs w:val="15"/>
          <w:i w:val="1"/>
          <w:iCs w:val="1"/>
          <w:color w:val="auto"/>
        </w:rPr>
        <w:t>Discretionary Bonus Awards</w:t>
      </w:r>
      <w:r>
        <w:rPr>
          <w:rFonts w:ascii="Arial" w:cs="Arial" w:eastAsia="Arial" w:hAnsi="Arial"/>
          <w:sz w:val="15"/>
          <w:szCs w:val="15"/>
          <w:color w:val="auto"/>
        </w:rPr>
        <w:t>. The Compensation Committee may also grant discretionary bonus awards of stock, cash or any combination of stock and</w:t>
      </w:r>
      <w:r>
        <w:rPr>
          <w:rFonts w:ascii="Arial" w:cs="Arial" w:eastAsia="Arial" w:hAnsi="Arial"/>
          <w:sz w:val="15"/>
          <w:szCs w:val="15"/>
          <w:i w:val="1"/>
          <w:iCs w:val="1"/>
          <w:color w:val="auto"/>
        </w:rPr>
        <w:t xml:space="preserve"> </w:t>
      </w:r>
      <w:r>
        <w:rPr>
          <w:rFonts w:ascii="Arial" w:cs="Arial" w:eastAsia="Arial" w:hAnsi="Arial"/>
          <w:sz w:val="15"/>
          <w:szCs w:val="15"/>
          <w:color w:val="auto"/>
        </w:rPr>
        <w:t>cash to our officers and key employees in such amounts and subject to such terms and conditions as the Compensation Committee may determine.</w:t>
      </w:r>
    </w:p>
    <w:p>
      <w:pPr>
        <w:spacing w:after="0" w:line="5" w:lineRule="exact"/>
        <w:rPr>
          <w:sz w:val="20"/>
          <w:szCs w:val="20"/>
          <w:color w:val="auto"/>
        </w:rPr>
      </w:pPr>
    </w:p>
    <w:p>
      <w:pPr>
        <w:ind w:left="440"/>
        <w:spacing w:after="0"/>
        <w:rPr>
          <w:sz w:val="20"/>
          <w:szCs w:val="20"/>
          <w:color w:val="auto"/>
        </w:rPr>
      </w:pPr>
      <w:r>
        <w:rPr>
          <w:rFonts w:ascii="Arial" w:cs="Arial" w:eastAsia="Arial" w:hAnsi="Arial"/>
          <w:sz w:val="18"/>
          <w:szCs w:val="18"/>
          <w:i w:val="1"/>
          <w:iCs w:val="1"/>
          <w:u w:val="single" w:color="auto"/>
          <w:color w:val="auto"/>
        </w:rPr>
        <w:t>Material Federal Income Tax Consequences of the Plan</w:t>
      </w:r>
    </w:p>
    <w:p>
      <w:pPr>
        <w:spacing w:after="0" w:line="111" w:lineRule="exact"/>
        <w:rPr>
          <w:sz w:val="20"/>
          <w:szCs w:val="20"/>
          <w:color w:val="auto"/>
        </w:rPr>
      </w:pPr>
    </w:p>
    <w:p>
      <w:pPr>
        <w:ind w:right="180" w:firstLine="438"/>
        <w:spacing w:after="0" w:line="252" w:lineRule="auto"/>
        <w:rPr>
          <w:sz w:val="20"/>
          <w:szCs w:val="20"/>
          <w:color w:val="auto"/>
        </w:rPr>
      </w:pPr>
      <w:r>
        <w:rPr>
          <w:rFonts w:ascii="Arial" w:cs="Arial" w:eastAsia="Arial" w:hAnsi="Arial"/>
          <w:sz w:val="18"/>
          <w:szCs w:val="18"/>
          <w:color w:val="auto"/>
        </w:rPr>
        <w:t>The following is a summary of the material United States federal income tax consequences associated with awards granted under the Plan based upon present federal income tax laws and regulations and does not purport to be a complete description of the federal income tax consequences applicable to a participant or to Westwood. This summary does not cover any federal employment tax consequences or any foreign, state, local, estate and gift, or other tax consequences.</w:t>
      </w:r>
    </w:p>
    <w:p>
      <w:pPr>
        <w:spacing w:after="0" w:line="86" w:lineRule="exact"/>
        <w:rPr>
          <w:sz w:val="20"/>
          <w:szCs w:val="20"/>
          <w:color w:val="auto"/>
        </w:rPr>
      </w:pPr>
    </w:p>
    <w:p>
      <w:pPr>
        <w:ind w:right="40" w:firstLine="438"/>
        <w:spacing w:after="0" w:line="265" w:lineRule="auto"/>
        <w:rPr>
          <w:sz w:val="20"/>
          <w:szCs w:val="20"/>
          <w:color w:val="auto"/>
        </w:rPr>
      </w:pPr>
      <w:r>
        <w:rPr>
          <w:rFonts w:ascii="Arial" w:cs="Arial" w:eastAsia="Arial" w:hAnsi="Arial"/>
          <w:sz w:val="17"/>
          <w:szCs w:val="17"/>
          <w:i w:val="1"/>
          <w:iCs w:val="1"/>
          <w:color w:val="auto"/>
        </w:rPr>
        <w:t xml:space="preserve">Incentive Stock Options. </w:t>
      </w:r>
      <w:r>
        <w:rPr>
          <w:rFonts w:ascii="Arial" w:cs="Arial" w:eastAsia="Arial" w:hAnsi="Arial"/>
          <w:sz w:val="17"/>
          <w:szCs w:val="17"/>
          <w:color w:val="auto"/>
        </w:rPr>
        <w:t>A participant will generally not recognize any taxable income upon either the grant or exercise of an ISO. However, for</w:t>
      </w:r>
      <w:r>
        <w:rPr>
          <w:rFonts w:ascii="Arial" w:cs="Arial" w:eastAsia="Arial" w:hAnsi="Arial"/>
          <w:sz w:val="17"/>
          <w:szCs w:val="17"/>
          <w:i w:val="1"/>
          <w:iCs w:val="1"/>
          <w:color w:val="auto"/>
        </w:rPr>
        <w:t xml:space="preserve"> </w:t>
      </w:r>
      <w:r>
        <w:rPr>
          <w:rFonts w:ascii="Arial" w:cs="Arial" w:eastAsia="Arial" w:hAnsi="Arial"/>
          <w:sz w:val="17"/>
          <w:szCs w:val="17"/>
          <w:color w:val="auto"/>
        </w:rPr>
        <w:t>purposes of the alternative minimum tax, upon the exercise of an ISO, a participant is required to include the difference between the option exercise price and the fair market value of the common stock received in alternative minimum taxable income for purposes of calculating the alternative minimum tax. If a participant sells or otherwise disposes of the common stock acquired pursuant to the exercise of an ISO within either two years from the date of grant or one year from the date of exercise of the option (an "Early Disposition"), the participant will recognize ordinary income at the time of the Early Disposition in an amount equal to the lesser of (i) the excess of the amount realized by the participant on the Early Disposition over the exercise price of the option, or (ii) the excess of the fair market value of the common stock on the date of exercise over the exercise price of the option. The excess, if any, of the amount realized by the participant on the Early</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20"/>
          </w:cols>
          <w:pgMar w:left="320" w:top="552" w:right="359" w:bottom="1440" w:gutter="0" w:footer="0" w:header="0"/>
        </w:sectPr>
      </w:pPr>
    </w:p>
    <w:bookmarkStart w:id="44" w:name="page45"/>
    <w:bookmarkEnd w:id="44"/>
    <w:p>
      <w:pPr>
        <w:spacing w:after="0" w:line="252" w:lineRule="auto"/>
        <w:rPr>
          <w:sz w:val="20"/>
          <w:szCs w:val="20"/>
          <w:color w:val="auto"/>
        </w:rPr>
      </w:pPr>
      <w:r>
        <w:rPr>
          <w:rFonts w:ascii="Arial" w:cs="Arial" w:eastAsia="Arial" w:hAnsi="Arial"/>
          <w:sz w:val="18"/>
          <w:szCs w:val="18"/>
          <w:color w:val="auto"/>
        </w:rPr>
        <w:t>Disposition over the fair market value of the common stock on the date of exercise will be treated as a capital gain, and will either be short term (taxable at ordinary income tax rates) or long term gain, depending on the participant's holding period. If a participant disposes of the common stock for an amount below the participant's tax basis, the difference between the amount realized in the Early Disposition and the tax basis will generally be a capital loss and will either be short-term or long-term depending on the participant's holding period.</w:t>
      </w:r>
    </w:p>
    <w:p>
      <w:pPr>
        <w:spacing w:after="0" w:line="86" w:lineRule="exact"/>
        <w:rPr>
          <w:sz w:val="20"/>
          <w:szCs w:val="20"/>
          <w:color w:val="auto"/>
        </w:rPr>
      </w:pPr>
    </w:p>
    <w:p>
      <w:pPr>
        <w:ind w:right="60" w:firstLine="438"/>
        <w:spacing w:after="0" w:line="255" w:lineRule="auto"/>
        <w:rPr>
          <w:sz w:val="20"/>
          <w:szCs w:val="20"/>
          <w:color w:val="auto"/>
        </w:rPr>
      </w:pPr>
      <w:r>
        <w:rPr>
          <w:rFonts w:ascii="Arial" w:cs="Arial" w:eastAsia="Arial" w:hAnsi="Arial"/>
          <w:sz w:val="18"/>
          <w:szCs w:val="18"/>
          <w:i w:val="1"/>
          <w:iCs w:val="1"/>
          <w:color w:val="auto"/>
        </w:rPr>
        <w:t xml:space="preserve">Nonqualified Stock Options. </w:t>
      </w:r>
      <w:r>
        <w:rPr>
          <w:rFonts w:ascii="Arial" w:cs="Arial" w:eastAsia="Arial" w:hAnsi="Arial"/>
          <w:sz w:val="18"/>
          <w:szCs w:val="18"/>
          <w:color w:val="auto"/>
        </w:rPr>
        <w:t>A participant will not recognize any taxable income upon the grant of an NSO. In general, a participant will recognize</w:t>
      </w:r>
      <w:r>
        <w:rPr>
          <w:rFonts w:ascii="Arial" w:cs="Arial" w:eastAsia="Arial" w:hAnsi="Arial"/>
          <w:sz w:val="18"/>
          <w:szCs w:val="18"/>
          <w:i w:val="1"/>
          <w:iCs w:val="1"/>
          <w:color w:val="auto"/>
        </w:rPr>
        <w:t xml:space="preserve"> </w:t>
      </w:r>
      <w:r>
        <w:rPr>
          <w:rFonts w:ascii="Arial" w:cs="Arial" w:eastAsia="Arial" w:hAnsi="Arial"/>
          <w:sz w:val="18"/>
          <w:szCs w:val="18"/>
          <w:color w:val="auto"/>
        </w:rPr>
        <w:t>ordinary income upon the exercise of an NSO in an amount equal to the difference between the fair market value of the common stock received on the date of exercise and the exercise price paid for the stock.</w:t>
      </w:r>
    </w:p>
    <w:p>
      <w:pPr>
        <w:spacing w:after="0" w:line="83" w:lineRule="exact"/>
        <w:rPr>
          <w:sz w:val="20"/>
          <w:szCs w:val="20"/>
          <w:color w:val="auto"/>
        </w:rPr>
      </w:pPr>
    </w:p>
    <w:p>
      <w:pPr>
        <w:ind w:right="420" w:firstLine="438"/>
        <w:spacing w:after="0" w:line="303" w:lineRule="auto"/>
        <w:rPr>
          <w:sz w:val="20"/>
          <w:szCs w:val="20"/>
          <w:color w:val="auto"/>
        </w:rPr>
      </w:pPr>
      <w:r>
        <w:rPr>
          <w:rFonts w:ascii="Arial" w:cs="Arial" w:eastAsia="Arial" w:hAnsi="Arial"/>
          <w:sz w:val="15"/>
          <w:szCs w:val="15"/>
          <w:i w:val="1"/>
          <w:iCs w:val="1"/>
          <w:color w:val="auto"/>
        </w:rPr>
        <w:t xml:space="preserve">Annual Incentive Awards, Performance-Based Awards and Discretionary Bonus Awards. </w:t>
      </w:r>
      <w:r>
        <w:rPr>
          <w:rFonts w:ascii="Arial" w:cs="Arial" w:eastAsia="Arial" w:hAnsi="Arial"/>
          <w:sz w:val="15"/>
          <w:szCs w:val="15"/>
          <w:color w:val="auto"/>
        </w:rPr>
        <w:t>In general, a participant who receives cash pursuant to an</w:t>
      </w:r>
      <w:r>
        <w:rPr>
          <w:rFonts w:ascii="Arial" w:cs="Arial" w:eastAsia="Arial" w:hAnsi="Arial"/>
          <w:sz w:val="15"/>
          <w:szCs w:val="15"/>
          <w:i w:val="1"/>
          <w:iCs w:val="1"/>
          <w:color w:val="auto"/>
        </w:rPr>
        <w:t xml:space="preserve"> </w:t>
      </w:r>
      <w:r>
        <w:rPr>
          <w:rFonts w:ascii="Arial" w:cs="Arial" w:eastAsia="Arial" w:hAnsi="Arial"/>
          <w:sz w:val="15"/>
          <w:szCs w:val="15"/>
          <w:color w:val="auto"/>
        </w:rPr>
        <w:t>award made under the Plan will recognize ordinary income equal to the amount of cash that is received. Except as discussed below in the section</w:t>
      </w:r>
    </w:p>
    <w:p>
      <w:pPr>
        <w:ind w:right="140"/>
        <w:spacing w:after="0" w:line="281" w:lineRule="auto"/>
        <w:rPr>
          <w:sz w:val="20"/>
          <w:szCs w:val="20"/>
          <w:color w:val="auto"/>
        </w:rPr>
      </w:pPr>
      <w:r>
        <w:rPr>
          <w:rFonts w:ascii="Arial" w:cs="Arial" w:eastAsia="Arial" w:hAnsi="Arial"/>
          <w:sz w:val="17"/>
          <w:szCs w:val="17"/>
          <w:color w:val="auto"/>
        </w:rPr>
        <w:t xml:space="preserve">entitled </w:t>
      </w:r>
      <w:r>
        <w:rPr>
          <w:rFonts w:ascii="Arial" w:cs="Arial" w:eastAsia="Arial" w:hAnsi="Arial"/>
          <w:sz w:val="17"/>
          <w:szCs w:val="17"/>
          <w:i w:val="1"/>
          <w:iCs w:val="1"/>
          <w:color w:val="auto"/>
        </w:rPr>
        <w:t>"Common Stock Subject to a Substantial Risk of Forfeiture,"</w:t>
      </w:r>
      <w:r>
        <w:rPr>
          <w:rFonts w:ascii="Arial" w:cs="Arial" w:eastAsia="Arial" w:hAnsi="Arial"/>
          <w:sz w:val="17"/>
          <w:szCs w:val="17"/>
          <w:color w:val="auto"/>
        </w:rPr>
        <w:t xml:space="preserve"> a participant who receives shares of common stock pursuant to an award under the Plan will recognize ordinary income at the time the shares are received in an amount equal to the fair market value of the shares.</w:t>
      </w:r>
    </w:p>
    <w:p>
      <w:pPr>
        <w:spacing w:after="0" w:line="62" w:lineRule="exact"/>
        <w:rPr>
          <w:sz w:val="20"/>
          <w:szCs w:val="20"/>
          <w:color w:val="auto"/>
        </w:rPr>
      </w:pPr>
    </w:p>
    <w:p>
      <w:pPr>
        <w:ind w:right="80" w:firstLine="438"/>
        <w:spacing w:after="0" w:line="305" w:lineRule="auto"/>
        <w:rPr>
          <w:sz w:val="20"/>
          <w:szCs w:val="20"/>
          <w:color w:val="auto"/>
        </w:rPr>
      </w:pPr>
      <w:r>
        <w:rPr>
          <w:rFonts w:ascii="Arial" w:cs="Arial" w:eastAsia="Arial" w:hAnsi="Arial"/>
          <w:sz w:val="15"/>
          <w:szCs w:val="15"/>
          <w:i w:val="1"/>
          <w:iCs w:val="1"/>
          <w:color w:val="auto"/>
        </w:rPr>
        <w:t xml:space="preserve">Common Stock Subject to a Substantial Risk of Forfeiture. </w:t>
      </w:r>
      <w:r>
        <w:rPr>
          <w:rFonts w:ascii="Arial" w:cs="Arial" w:eastAsia="Arial" w:hAnsi="Arial"/>
          <w:sz w:val="15"/>
          <w:szCs w:val="15"/>
          <w:color w:val="auto"/>
        </w:rPr>
        <w:t>In general, if a participant receives common stock pursuant to an award made under the Plan</w:t>
      </w:r>
      <w:r>
        <w:rPr>
          <w:rFonts w:ascii="Arial" w:cs="Arial" w:eastAsia="Arial" w:hAnsi="Arial"/>
          <w:sz w:val="15"/>
          <w:szCs w:val="15"/>
          <w:i w:val="1"/>
          <w:iCs w:val="1"/>
          <w:color w:val="auto"/>
        </w:rPr>
        <w:t xml:space="preserve"> </w:t>
      </w:r>
      <w:r>
        <w:rPr>
          <w:rFonts w:ascii="Arial" w:cs="Arial" w:eastAsia="Arial" w:hAnsi="Arial"/>
          <w:sz w:val="15"/>
          <w:szCs w:val="15"/>
          <w:color w:val="auto"/>
        </w:rPr>
        <w:t>that is subject to a substantial risk of forfeiture, then, unless the participant files an early income recognition election under Section 83(b) of the Internal Revenue Code of 1986, as amended ("Section 83(b)") (discussed below), the participant will not recognize any income at the time of receipt of the stock, but will recognize ordinary income when the shares become vested (i.e., when they are no longer subject to a substantial risk of forfeiture) in an amount equal to the difference between the fair market value of the stock at the time the restrictions lapse and the amount paid, if any, for the stock. However, a participant who receives common stock subject to a substantial risk of forfeiture may elect under Section 83(b) to recognize ordinary income at the time the stock is received in an amount equal to the fair market value of the stock at that time, reduced by the amount, if any, paid for the stock. An 83(b) election may be made, if at all, within 30 days after the date on which the non-vested restricted stock is received.</w:t>
      </w:r>
    </w:p>
    <w:p>
      <w:pPr>
        <w:spacing w:after="0" w:line="51" w:lineRule="exact"/>
        <w:rPr>
          <w:sz w:val="20"/>
          <w:szCs w:val="20"/>
          <w:color w:val="auto"/>
        </w:rPr>
      </w:pPr>
    </w:p>
    <w:p>
      <w:pPr>
        <w:ind w:right="40" w:firstLine="438"/>
        <w:spacing w:after="0" w:line="269" w:lineRule="auto"/>
        <w:rPr>
          <w:sz w:val="20"/>
          <w:szCs w:val="20"/>
          <w:color w:val="auto"/>
        </w:rPr>
      </w:pPr>
      <w:r>
        <w:rPr>
          <w:rFonts w:ascii="Arial" w:cs="Arial" w:eastAsia="Arial" w:hAnsi="Arial"/>
          <w:sz w:val="17"/>
          <w:szCs w:val="17"/>
          <w:i w:val="1"/>
          <w:iCs w:val="1"/>
          <w:color w:val="auto"/>
        </w:rPr>
        <w:t xml:space="preserve">Availability of Tax Deduction for Westwood. </w:t>
      </w:r>
      <w:r>
        <w:rPr>
          <w:rFonts w:ascii="Arial" w:cs="Arial" w:eastAsia="Arial" w:hAnsi="Arial"/>
          <w:sz w:val="17"/>
          <w:szCs w:val="17"/>
          <w:color w:val="auto"/>
        </w:rPr>
        <w:t>When ordinary income is recognized by a participant in connection with the receipt or exercise of an award</w:t>
      </w:r>
      <w:r>
        <w:rPr>
          <w:rFonts w:ascii="Arial" w:cs="Arial" w:eastAsia="Arial" w:hAnsi="Arial"/>
          <w:sz w:val="17"/>
          <w:szCs w:val="17"/>
          <w:i w:val="1"/>
          <w:iCs w:val="1"/>
          <w:color w:val="auto"/>
        </w:rPr>
        <w:t xml:space="preserve"> </w:t>
      </w:r>
      <w:r>
        <w:rPr>
          <w:rFonts w:ascii="Arial" w:cs="Arial" w:eastAsia="Arial" w:hAnsi="Arial"/>
          <w:sz w:val="17"/>
          <w:szCs w:val="17"/>
          <w:color w:val="auto"/>
        </w:rPr>
        <w:t>under the Plan (including the filing of an election under section 83(b) of the Code), we will generally be entitled to a deduction for federal income tax purposes at the same time and in the same amount, assuming the requisite withholding requirements are met. However, compensation paid by us to Covered Employees is generally subject to the $1 million annual deduction limitation of Section 162(m). For awards granted before November 2, 2017, this limitation does not apply to performance-based compensation that meets certain requirements of Section 162(m).</w:t>
      </w:r>
    </w:p>
    <w:p>
      <w:pPr>
        <w:spacing w:after="0" w:line="72" w:lineRule="exact"/>
        <w:rPr>
          <w:sz w:val="20"/>
          <w:szCs w:val="20"/>
          <w:color w:val="auto"/>
        </w:rPr>
      </w:pPr>
    </w:p>
    <w:p>
      <w:pPr>
        <w:ind w:firstLine="398"/>
        <w:spacing w:after="0" w:line="250" w:lineRule="auto"/>
        <w:rPr>
          <w:sz w:val="20"/>
          <w:szCs w:val="20"/>
          <w:color w:val="auto"/>
        </w:rPr>
      </w:pPr>
      <w:r>
        <w:rPr>
          <w:rFonts w:ascii="Arial" w:cs="Arial" w:eastAsia="Arial" w:hAnsi="Arial"/>
          <w:sz w:val="18"/>
          <w:szCs w:val="18"/>
          <w:i w:val="1"/>
          <w:iCs w:val="1"/>
          <w:color w:val="auto"/>
        </w:rPr>
        <w:t>Tax Withholding</w:t>
      </w:r>
      <w:r>
        <w:rPr>
          <w:rFonts w:ascii="Arial" w:cs="Arial" w:eastAsia="Arial" w:hAnsi="Arial"/>
          <w:sz w:val="18"/>
          <w:szCs w:val="18"/>
          <w:color w:val="auto"/>
        </w:rPr>
        <w:t>. Our obligation to make payments or issue shares in connection with any award will be subject to and conditioned upon the satisfaction</w:t>
      </w:r>
      <w:r>
        <w:rPr>
          <w:rFonts w:ascii="Arial" w:cs="Arial" w:eastAsia="Arial" w:hAnsi="Arial"/>
          <w:sz w:val="18"/>
          <w:szCs w:val="18"/>
          <w:i w:val="1"/>
          <w:iCs w:val="1"/>
          <w:color w:val="auto"/>
        </w:rPr>
        <w:t xml:space="preserve"> </w:t>
      </w:r>
      <w:r>
        <w:rPr>
          <w:rFonts w:ascii="Arial" w:cs="Arial" w:eastAsia="Arial" w:hAnsi="Arial"/>
          <w:sz w:val="18"/>
          <w:szCs w:val="18"/>
          <w:color w:val="auto"/>
        </w:rPr>
        <w:t>of applicable tax withholding obligations. The Compensation Committee may allow a participant to satisfy a withholding tax obligation in whole or in part by having us withhold shares that would otherwise be issued to the participant, or by having the participant deliver cash or shares to us, in either case with a value equal to the minimum amount of the withholding obligation. Shares that are withheld to satisfy part or all of a withholding tax obligation are not eligible for reissuance under the Plan.</w:t>
      </w:r>
    </w:p>
    <w:p>
      <w:pPr>
        <w:spacing w:after="0" w:line="89" w:lineRule="exact"/>
        <w:rPr>
          <w:sz w:val="20"/>
          <w:szCs w:val="20"/>
          <w:color w:val="auto"/>
        </w:rPr>
      </w:pPr>
    </w:p>
    <w:p>
      <w:pPr>
        <w:ind w:left="440"/>
        <w:spacing w:after="0"/>
        <w:rPr>
          <w:sz w:val="20"/>
          <w:szCs w:val="20"/>
          <w:color w:val="auto"/>
        </w:rPr>
      </w:pPr>
      <w:r>
        <w:rPr>
          <w:rFonts w:ascii="Arial" w:cs="Arial" w:eastAsia="Arial" w:hAnsi="Arial"/>
          <w:sz w:val="18"/>
          <w:szCs w:val="18"/>
          <w:i w:val="1"/>
          <w:iCs w:val="1"/>
          <w:u w:val="single" w:color="auto"/>
          <w:color w:val="auto"/>
        </w:rPr>
        <w:t>Plan Benefits</w:t>
      </w:r>
    </w:p>
    <w:p>
      <w:pPr>
        <w:spacing w:after="0" w:line="111" w:lineRule="exact"/>
        <w:rPr>
          <w:sz w:val="20"/>
          <w:szCs w:val="20"/>
          <w:color w:val="auto"/>
        </w:rPr>
      </w:pPr>
    </w:p>
    <w:p>
      <w:pPr>
        <w:ind w:firstLine="398"/>
        <w:spacing w:after="0" w:line="255" w:lineRule="auto"/>
        <w:rPr>
          <w:sz w:val="20"/>
          <w:szCs w:val="20"/>
          <w:color w:val="auto"/>
        </w:rPr>
      </w:pPr>
      <w:r>
        <w:rPr>
          <w:rFonts w:ascii="Arial" w:cs="Arial" w:eastAsia="Arial" w:hAnsi="Arial"/>
          <w:sz w:val="18"/>
          <w:szCs w:val="18"/>
          <w:color w:val="auto"/>
        </w:rPr>
        <w:t>Future awards that may be made to eligible participants under the Plan are subject to the discretion of the Compensation Committee, and, therefore, cannot be determined with certainty at this time. Awards made under the Plan in 2021 to our Named Executive Officers are set forth under the "2021 Grants of Plan Based Awards" table.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Sought and Recommendation</w:t>
      </w:r>
    </w:p>
    <w:p>
      <w:pPr>
        <w:spacing w:after="0" w:line="117" w:lineRule="exact"/>
        <w:rPr>
          <w:sz w:val="20"/>
          <w:szCs w:val="20"/>
          <w:color w:val="auto"/>
        </w:rPr>
      </w:pPr>
    </w:p>
    <w:p>
      <w:pPr>
        <w:jc w:val="both"/>
        <w:ind w:right="100" w:firstLine="438"/>
        <w:spacing w:after="0" w:line="255" w:lineRule="auto"/>
        <w:rPr>
          <w:sz w:val="20"/>
          <w:szCs w:val="20"/>
          <w:color w:val="auto"/>
        </w:rPr>
      </w:pPr>
      <w:r>
        <w:rPr>
          <w:rFonts w:ascii="Arial" w:cs="Arial" w:eastAsia="Arial" w:hAnsi="Arial"/>
          <w:sz w:val="18"/>
          <w:szCs w:val="18"/>
          <w:color w:val="auto"/>
        </w:rPr>
        <w:t>The approval of the Amendment requires the affirmative vote of a majority of the votes cast with respect to this Proposal. All proxies submitted will be voted "FOR" this Proposal unless stockholders specify a contrary vote in their proxies. Broker non-votes will not be counted as votes cast with respect to this Proposal; however, abstentions will have the same effect as votes against this Proposal.</w:t>
      </w:r>
    </w:p>
    <w:p>
      <w:pPr>
        <w:spacing w:after="0" w:line="210" w:lineRule="exact"/>
        <w:rPr>
          <w:sz w:val="20"/>
          <w:szCs w:val="20"/>
          <w:color w:val="auto"/>
        </w:rPr>
      </w:pPr>
    </w:p>
    <w:p>
      <w:pPr>
        <w:jc w:val="center"/>
        <w:spacing w:after="0" w:line="259" w:lineRule="auto"/>
        <w:rPr>
          <w:sz w:val="20"/>
          <w:szCs w:val="20"/>
          <w:color w:val="auto"/>
        </w:rPr>
      </w:pPr>
      <w:r>
        <w:rPr>
          <w:rFonts w:ascii="Arial" w:cs="Arial" w:eastAsia="Arial" w:hAnsi="Arial"/>
          <w:sz w:val="18"/>
          <w:szCs w:val="18"/>
          <w:b w:val="1"/>
          <w:bCs w:val="1"/>
          <w:color w:val="auto"/>
        </w:rPr>
        <w:t xml:space="preserve">THE BOARD OF DIRECTORS UNANIMOUSLY RECOMMENDS A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APPROVAL OF THE FIRST AMENDMENT OF THE EIGHTH AMENDED AND RESTATED WESTWOOD HOLDINGS GROUP, INC. STOCK INCENTIVE PLAN</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320" w:top="552" w:right="339" w:bottom="1440" w:gutter="0" w:footer="0" w:header="0"/>
        </w:sectPr>
      </w:pPr>
    </w:p>
    <w:bookmarkStart w:id="45" w:name="page46"/>
    <w:bookmarkEnd w:id="45"/>
    <w:p>
      <w:pPr>
        <w:jc w:val="center"/>
        <w:ind w:right="-79"/>
        <w:spacing w:after="0"/>
        <w:rPr>
          <w:sz w:val="20"/>
          <w:szCs w:val="20"/>
          <w:color w:val="auto"/>
        </w:rPr>
      </w:pPr>
      <w:r>
        <w:rPr>
          <w:rFonts w:ascii="Arial" w:cs="Arial" w:eastAsia="Arial" w:hAnsi="Arial"/>
          <w:sz w:val="18"/>
          <w:szCs w:val="18"/>
          <w:b w:val="1"/>
          <w:bCs w:val="1"/>
          <w:color w:val="auto"/>
        </w:rPr>
        <w:t>PROPOSAL 4:</w:t>
      </w:r>
    </w:p>
    <w:p>
      <w:pPr>
        <w:spacing w:after="0" w:line="200" w:lineRule="exact"/>
        <w:rPr>
          <w:sz w:val="20"/>
          <w:szCs w:val="20"/>
          <w:color w:val="auto"/>
        </w:rPr>
      </w:pPr>
    </w:p>
    <w:p>
      <w:pPr>
        <w:spacing w:after="0" w:line="25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Advisory Vote on Executive Compensation</w:t>
      </w:r>
    </w:p>
    <w:p>
      <w:pPr>
        <w:spacing w:after="0" w:line="117" w:lineRule="exact"/>
        <w:rPr>
          <w:sz w:val="20"/>
          <w:szCs w:val="20"/>
          <w:color w:val="auto"/>
        </w:rPr>
      </w:pPr>
    </w:p>
    <w:p>
      <w:pPr>
        <w:ind w:right="160" w:firstLine="398"/>
        <w:spacing w:after="0" w:line="265" w:lineRule="auto"/>
        <w:rPr>
          <w:sz w:val="20"/>
          <w:szCs w:val="20"/>
          <w:color w:val="auto"/>
        </w:rPr>
      </w:pPr>
      <w:r>
        <w:rPr>
          <w:rFonts w:ascii="Arial" w:cs="Arial" w:eastAsia="Arial" w:hAnsi="Arial"/>
          <w:sz w:val="18"/>
          <w:szCs w:val="18"/>
          <w:color w:val="auto"/>
        </w:rPr>
        <w:t>We are seeking a non-binding, advisory vote from our stockholders to approve the compensation paid to our named executive officers, as disclosed in this proxy statement pursuant to Item 402 of Regulation S-K.</w:t>
      </w:r>
    </w:p>
    <w:p>
      <w:pPr>
        <w:spacing w:after="0" w:line="74" w:lineRule="exact"/>
        <w:rPr>
          <w:sz w:val="20"/>
          <w:szCs w:val="20"/>
          <w:color w:val="auto"/>
        </w:rPr>
      </w:pPr>
    </w:p>
    <w:p>
      <w:pPr>
        <w:jc w:val="both"/>
        <w:ind w:right="60" w:firstLine="398"/>
        <w:spacing w:after="0" w:line="319" w:lineRule="auto"/>
        <w:rPr>
          <w:sz w:val="20"/>
          <w:szCs w:val="20"/>
          <w:color w:val="auto"/>
        </w:rPr>
      </w:pPr>
      <w:r>
        <w:rPr>
          <w:rFonts w:ascii="Arial" w:cs="Arial" w:eastAsia="Arial" w:hAnsi="Arial"/>
          <w:sz w:val="15"/>
          <w:szCs w:val="15"/>
          <w:color w:val="auto"/>
        </w:rPr>
        <w:t>The Compensation Committee has structured our executive compensation program to reflect our "pay-for-performance" philosophy. The compensation opportunities provided to the named executive officers are dependent on the Company’s financial performance and the named executive officers’ individual performances and are intended to drive the creation of sustainable stockholder value. The Compensation Committee will continue to emphasize responsible compensation arrangements that attract, retain, and motivate high caliber executive officers to achieve the Company’s business strategies and objectives.</w:t>
      </w:r>
    </w:p>
    <w:p>
      <w:pPr>
        <w:spacing w:after="0" w:line="38" w:lineRule="exact"/>
        <w:rPr>
          <w:sz w:val="20"/>
          <w:szCs w:val="20"/>
          <w:color w:val="auto"/>
        </w:rPr>
      </w:pPr>
    </w:p>
    <w:p>
      <w:pPr>
        <w:ind w:left="400"/>
        <w:spacing w:after="0"/>
        <w:rPr>
          <w:sz w:val="20"/>
          <w:szCs w:val="20"/>
          <w:color w:val="auto"/>
        </w:rPr>
      </w:pPr>
      <w:r>
        <w:rPr>
          <w:rFonts w:ascii="Arial" w:cs="Arial" w:eastAsia="Arial" w:hAnsi="Arial"/>
          <w:sz w:val="17"/>
          <w:szCs w:val="17"/>
          <w:color w:val="auto"/>
        </w:rPr>
        <w:t>You can vote "FOR" or "AGAINST" or to "ABSTAIN" from voting on the following non-binding resolution relating to executive compensation:</w:t>
      </w:r>
    </w:p>
    <w:p>
      <w:pPr>
        <w:spacing w:after="0" w:line="123" w:lineRule="exact"/>
        <w:rPr>
          <w:sz w:val="20"/>
          <w:szCs w:val="20"/>
          <w:color w:val="auto"/>
        </w:rPr>
      </w:pPr>
    </w:p>
    <w:p>
      <w:pPr>
        <w:jc w:val="both"/>
        <w:ind w:left="400" w:right="480"/>
        <w:spacing w:after="0" w:line="277" w:lineRule="auto"/>
        <w:rPr>
          <w:sz w:val="20"/>
          <w:szCs w:val="20"/>
          <w:color w:val="auto"/>
        </w:rPr>
      </w:pPr>
      <w:r>
        <w:rPr>
          <w:rFonts w:ascii="Arial" w:cs="Arial" w:eastAsia="Arial" w:hAnsi="Arial"/>
          <w:sz w:val="17"/>
          <w:szCs w:val="17"/>
          <w:color w:val="auto"/>
        </w:rPr>
        <w:t>"Resolved, that the stockholders approve, on a non-binding, advisory basis, the compensation paid to the Company’s named executive officers as disclosed in the Company’s proxy statement for the 2022 Annual Meeting of Stockholders pursuant to Item 402 of Regulation S-K, including the compensation discussion and analysis, the compensation tables, and the narrative discussion."</w:t>
      </w:r>
    </w:p>
    <w:p>
      <w:pPr>
        <w:spacing w:after="0" w:line="66" w:lineRule="exact"/>
        <w:rPr>
          <w:sz w:val="20"/>
          <w:szCs w:val="20"/>
          <w:color w:val="auto"/>
        </w:rPr>
      </w:pPr>
    </w:p>
    <w:p>
      <w:pPr>
        <w:ind w:right="300" w:firstLine="398"/>
        <w:spacing w:after="0" w:line="255" w:lineRule="auto"/>
        <w:rPr>
          <w:sz w:val="20"/>
          <w:szCs w:val="20"/>
          <w:color w:val="auto"/>
        </w:rPr>
      </w:pPr>
      <w:r>
        <w:rPr>
          <w:rFonts w:ascii="Arial" w:cs="Arial" w:eastAsia="Arial" w:hAnsi="Arial"/>
          <w:sz w:val="18"/>
          <w:szCs w:val="18"/>
          <w:color w:val="auto"/>
        </w:rPr>
        <w:t>In deciding how to vote on this proposal, you are encouraged to consider the Company’s executive compensation philosophy and objectives and the components of the Company’s executive compensation program as set forth in the Compensation Discussion and Analysis section above, as well as the following key aspects of our executive compensation program:</w:t>
      </w:r>
    </w:p>
    <w:p>
      <w:pPr>
        <w:spacing w:after="0" w:line="83" w:lineRule="exact"/>
        <w:rPr>
          <w:sz w:val="20"/>
          <w:szCs w:val="20"/>
          <w:color w:val="auto"/>
        </w:rPr>
      </w:pPr>
    </w:p>
    <w:p>
      <w:pPr>
        <w:ind w:left="640" w:right="140" w:hanging="316"/>
        <w:spacing w:after="0" w:line="255" w:lineRule="auto"/>
        <w:tabs>
          <w:tab w:leader="none" w:pos="635" w:val="left"/>
        </w:tabs>
        <w:numPr>
          <w:ilvl w:val="0"/>
          <w:numId w:val="69"/>
        </w:numPr>
        <w:rPr>
          <w:rFonts w:ascii="Arial" w:cs="Arial" w:eastAsia="Arial" w:hAnsi="Arial"/>
          <w:sz w:val="18"/>
          <w:szCs w:val="18"/>
          <w:color w:val="auto"/>
        </w:rPr>
      </w:pPr>
      <w:r>
        <w:rPr>
          <w:rFonts w:ascii="Arial" w:cs="Arial" w:eastAsia="Arial" w:hAnsi="Arial"/>
          <w:sz w:val="18"/>
          <w:szCs w:val="18"/>
          <w:color w:val="auto"/>
        </w:rPr>
        <w:t>A significant portion of each named executive officer's total direct compensation -- an average of 64% (excluding Mr. Casey as discussed above in "Compensation Discussion and Analysis") -- was "at risk" compensation in 2021, delivered in the form of an annual cash incentive award and an annual equity incentive award.</w:t>
      </w:r>
    </w:p>
    <w:p>
      <w:pPr>
        <w:spacing w:after="0" w:line="83" w:lineRule="exact"/>
        <w:rPr>
          <w:rFonts w:ascii="Arial" w:cs="Arial" w:eastAsia="Arial" w:hAnsi="Arial"/>
          <w:sz w:val="18"/>
          <w:szCs w:val="18"/>
          <w:color w:val="auto"/>
        </w:rPr>
      </w:pPr>
    </w:p>
    <w:p>
      <w:pPr>
        <w:ind w:left="640" w:hanging="316"/>
        <w:spacing w:after="0"/>
        <w:tabs>
          <w:tab w:leader="none" w:pos="6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Over the past three years, the named executive officers have not received any significant perquisites.</w:t>
      </w:r>
    </w:p>
    <w:p>
      <w:pPr>
        <w:spacing w:after="0" w:line="111" w:lineRule="exact"/>
        <w:rPr>
          <w:rFonts w:ascii="Arial" w:cs="Arial" w:eastAsia="Arial" w:hAnsi="Arial"/>
          <w:sz w:val="18"/>
          <w:szCs w:val="18"/>
          <w:color w:val="auto"/>
        </w:rPr>
      </w:pPr>
    </w:p>
    <w:p>
      <w:pPr>
        <w:ind w:left="640" w:hanging="316"/>
        <w:spacing w:after="0" w:line="319" w:lineRule="auto"/>
        <w:tabs>
          <w:tab w:leader="none" w:pos="635" w:val="left"/>
        </w:tabs>
        <w:numPr>
          <w:ilvl w:val="0"/>
          <w:numId w:val="69"/>
        </w:numPr>
        <w:rPr>
          <w:rFonts w:ascii="Arial" w:cs="Arial" w:eastAsia="Arial" w:hAnsi="Arial"/>
          <w:sz w:val="15"/>
          <w:szCs w:val="15"/>
          <w:color w:val="auto"/>
        </w:rPr>
      </w:pPr>
      <w:r>
        <w:rPr>
          <w:rFonts w:ascii="Arial" w:cs="Arial" w:eastAsia="Arial" w:hAnsi="Arial"/>
          <w:sz w:val="15"/>
          <w:szCs w:val="15"/>
          <w:color w:val="auto"/>
        </w:rPr>
        <w:t>The Compensation Committee endeavors to structure the Company's executive compensation program to motivate and reward our executive officers for taking appropriate business risks, while avoiding pay practices that incentivize excessive risk-taking. In connection with the Compensation Committee's review of our compensation policies and practices for all employees in February 2022, the Compensation Committee concluded that these policies and practices do not create risks that are reasonably likely to have a material adverse effect on the Company.</w:t>
      </w:r>
    </w:p>
    <w:p>
      <w:pPr>
        <w:spacing w:after="0" w:line="38" w:lineRule="exact"/>
        <w:rPr>
          <w:sz w:val="20"/>
          <w:szCs w:val="20"/>
          <w:color w:val="auto"/>
        </w:rPr>
      </w:pPr>
    </w:p>
    <w:p>
      <w:pPr>
        <w:jc w:val="both"/>
        <w:ind w:right="480" w:firstLine="398"/>
        <w:spacing w:after="0" w:line="255" w:lineRule="auto"/>
        <w:rPr>
          <w:sz w:val="20"/>
          <w:szCs w:val="20"/>
          <w:color w:val="auto"/>
        </w:rPr>
      </w:pPr>
      <w:r>
        <w:rPr>
          <w:rFonts w:ascii="Arial" w:cs="Arial" w:eastAsia="Arial" w:hAnsi="Arial"/>
          <w:sz w:val="18"/>
          <w:szCs w:val="18"/>
          <w:color w:val="auto"/>
        </w:rPr>
        <w:t>While your vote on this proposal is advisory and is not binding on the Compensation Committee, the Board of Directors of the Company and the Compensation Committee value the opinions of our stockholders on executive compensation matters and will take the results of this advisory vote into consideration for future decisions regarding our executive compensation program.</w:t>
      </w:r>
    </w:p>
    <w:p>
      <w:pPr>
        <w:spacing w:after="0" w:line="8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60"/>
          </w:cols>
          <w:pgMar w:left="320" w:top="546" w:right="41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Vote Sought and Recommendation</w:t>
      </w:r>
    </w:p>
    <w:p>
      <w:pPr>
        <w:spacing w:after="0" w:line="117" w:lineRule="exact"/>
        <w:rPr>
          <w:sz w:val="20"/>
          <w:szCs w:val="20"/>
          <w:color w:val="auto"/>
        </w:rPr>
      </w:pPr>
    </w:p>
    <w:p>
      <w:pPr>
        <w:ind w:firstLine="398"/>
        <w:spacing w:after="0" w:line="265" w:lineRule="auto"/>
        <w:rPr>
          <w:sz w:val="20"/>
          <w:szCs w:val="20"/>
          <w:color w:val="auto"/>
        </w:rPr>
      </w:pPr>
      <w:r>
        <w:rPr>
          <w:rFonts w:ascii="Arial" w:cs="Arial" w:eastAsia="Arial" w:hAnsi="Arial"/>
          <w:sz w:val="18"/>
          <w:szCs w:val="18"/>
          <w:color w:val="auto"/>
        </w:rPr>
        <w:t>The affirmative "FOR" vote of a majority of the votes cast at the annual meeting is required to approve, on a non-binding, advisory basis, the Company's executive compensation. Broker non-votes and abstentions will have no effect on the outcome of the proposal.</w:t>
      </w:r>
    </w:p>
    <w:p>
      <w:pPr>
        <w:spacing w:after="0" w:line="68" w:lineRule="exact"/>
        <w:rPr>
          <w:sz w:val="20"/>
          <w:szCs w:val="20"/>
          <w:color w:val="auto"/>
        </w:rPr>
      </w:pPr>
    </w:p>
    <w:p>
      <w:pPr>
        <w:jc w:val="center"/>
        <w:ind w:left="360" w:right="80"/>
        <w:spacing w:after="0" w:line="259" w:lineRule="auto"/>
        <w:rPr>
          <w:sz w:val="20"/>
          <w:szCs w:val="20"/>
          <w:color w:val="auto"/>
        </w:rPr>
      </w:pPr>
      <w:r>
        <w:rPr>
          <w:rFonts w:ascii="Arial" w:cs="Arial" w:eastAsia="Arial" w:hAnsi="Arial"/>
          <w:sz w:val="18"/>
          <w:szCs w:val="18"/>
          <w:b w:val="1"/>
          <w:bCs w:val="1"/>
          <w:color w:val="auto"/>
        </w:rPr>
        <w:t xml:space="preserve">THE BOARD OF DIRECTORS UNANIMOUSLY RECOMMENDS A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APPROVAL, ON A NON-BINDING, ADVISORY BASIS, OF THE COMPENSATION PAID TO THE NAMED EXECUTIVE OFFICERS, AS DISCLOSED IN THIS PROXY STATEMENT PURSUANT TO ITEM 402 OF REGULATION S-K.</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20"/>
          </w:cols>
          <w:pgMar w:left="320" w:top="546" w:right="359" w:bottom="1440" w:gutter="0" w:footer="0" w:header="0"/>
        </w:sectPr>
      </w:pPr>
    </w:p>
    <w:bookmarkStart w:id="47" w:name="page48"/>
    <w:bookmarkEnd w:id="47"/>
    <w:p>
      <w:pPr>
        <w:jc w:val="center"/>
        <w:ind w:right="-39"/>
        <w:spacing w:after="0"/>
        <w:rPr>
          <w:sz w:val="20"/>
          <w:szCs w:val="20"/>
          <w:color w:val="auto"/>
        </w:rPr>
      </w:pPr>
      <w:r>
        <w:rPr>
          <w:rFonts w:ascii="Arial" w:cs="Arial" w:eastAsia="Arial" w:hAnsi="Arial"/>
          <w:sz w:val="18"/>
          <w:szCs w:val="18"/>
          <w:b w:val="1"/>
          <w:bCs w:val="1"/>
          <w:color w:val="auto"/>
        </w:rPr>
        <w:t>PROPOSAL 5:</w:t>
      </w:r>
    </w:p>
    <w:p>
      <w:pPr>
        <w:spacing w:after="0" w:line="297"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Approval of Amendments to the Certificate of Incorporation to Eliminate Supermajority Voting Requirements to Amend the Certificate and Bylaws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 and Reasons for Amendments</w:t>
      </w:r>
    </w:p>
    <w:p>
      <w:pPr>
        <w:spacing w:after="0" w:line="117" w:lineRule="exact"/>
        <w:rPr>
          <w:sz w:val="20"/>
          <w:szCs w:val="20"/>
          <w:color w:val="auto"/>
        </w:rPr>
      </w:pPr>
    </w:p>
    <w:p>
      <w:pPr>
        <w:ind w:right="20" w:firstLine="477"/>
        <w:spacing w:after="0" w:line="266" w:lineRule="auto"/>
        <w:rPr>
          <w:sz w:val="20"/>
          <w:szCs w:val="20"/>
          <w:color w:val="auto"/>
        </w:rPr>
      </w:pPr>
      <w:r>
        <w:rPr>
          <w:rFonts w:ascii="Arial" w:cs="Arial" w:eastAsia="Arial" w:hAnsi="Arial"/>
          <w:sz w:val="17"/>
          <w:szCs w:val="17"/>
          <w:color w:val="auto"/>
        </w:rPr>
        <w:t>Our Certificate of Incorporation currently provides that certain amendments to the Certificate, and any amendments proposed to be made by stockholders to our Bylaws, require the affirmative vote of two-thirds of the voting power of the shares of the Company entitled to vote generally in the election of directors. Our Board of Directors has determined that it is advisable and in the best interests of the Company and our stockholders to amend the Certificate of Incorporation to eliminate these supermajority voting requirements. We believe that these proposed amendments (the “Proposed Amendments”) reflect our commitment to good corporate governance and further align our governance processes with practices supported by stockholders in the broader investor community who generally view a majority vote as sufficient for stockholder approval of amendments to governing documents. As a result, the Company recommends and is seeking stockholder approval of the Proposed Amendments.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 on the Proposed Amendments</w:t>
      </w:r>
    </w:p>
    <w:p>
      <w:pPr>
        <w:spacing w:after="0" w:line="117" w:lineRule="exact"/>
        <w:rPr>
          <w:sz w:val="20"/>
          <w:szCs w:val="20"/>
          <w:color w:val="auto"/>
        </w:rPr>
      </w:pPr>
    </w:p>
    <w:p>
      <w:pPr>
        <w:ind w:firstLine="477"/>
        <w:spacing w:after="0" w:line="252" w:lineRule="auto"/>
        <w:rPr>
          <w:sz w:val="20"/>
          <w:szCs w:val="20"/>
          <w:color w:val="auto"/>
        </w:rPr>
      </w:pPr>
      <w:r>
        <w:rPr>
          <w:rFonts w:ascii="Arial" w:cs="Arial" w:eastAsia="Arial" w:hAnsi="Arial"/>
          <w:sz w:val="18"/>
          <w:szCs w:val="18"/>
          <w:color w:val="auto"/>
        </w:rPr>
        <w:t>Section 14 of the Certificate of Incorporation provides that, in addition to any affirmative vote required by applicable law or other provision of the Certificate or specified in any agreement, the affirmative vote of the holders of not less than two-thirds of the voting power of all securities of the Company entitled to vote generally in the election of directors shall be required to amend, add, alter, change, repeal or adopt any provision of the Certificate inconsistent with the sections of the Certificate regarding:</w:t>
      </w:r>
    </w:p>
    <w:p>
      <w:pPr>
        <w:spacing w:after="0" w:line="86" w:lineRule="exact"/>
        <w:rPr>
          <w:sz w:val="20"/>
          <w:szCs w:val="20"/>
          <w:color w:val="auto"/>
        </w:rPr>
      </w:pPr>
    </w:p>
    <w:p>
      <w:pPr>
        <w:ind w:left="640" w:hanging="316"/>
        <w:spacing w:after="0"/>
        <w:tabs>
          <w:tab w:leader="none" w:pos="6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appointments of directors to fill newly created directorships and vacancies on the Board (Section 6);</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terms and voting requirements for removing directors from office (Section 8);</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cumulative voting in the election of directors and preemptive rights to acquire stock (Section 9);</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special meetings and written consents of stockholders (Section 13); and</w:t>
      </w:r>
    </w:p>
    <w:p>
      <w:pPr>
        <w:spacing w:after="0" w:line="133" w:lineRule="exact"/>
        <w:rPr>
          <w:rFonts w:ascii="Arial" w:cs="Arial" w:eastAsia="Arial" w:hAnsi="Arial"/>
          <w:sz w:val="18"/>
          <w:szCs w:val="18"/>
          <w:color w:val="auto"/>
        </w:rPr>
      </w:pPr>
    </w:p>
    <w:p>
      <w:pPr>
        <w:ind w:left="640" w:hanging="316"/>
        <w:spacing w:after="0"/>
        <w:tabs>
          <w:tab w:leader="none" w:pos="640" w:val="left"/>
        </w:tabs>
        <w:numPr>
          <w:ilvl w:val="0"/>
          <w:numId w:val="70"/>
        </w:numPr>
        <w:rPr>
          <w:rFonts w:ascii="Arial" w:cs="Arial" w:eastAsia="Arial" w:hAnsi="Arial"/>
          <w:sz w:val="21"/>
          <w:szCs w:val="21"/>
          <w:color w:val="auto"/>
        </w:rPr>
      </w:pPr>
      <w:r>
        <w:rPr>
          <w:rFonts w:ascii="Arial" w:cs="Arial" w:eastAsia="Arial" w:hAnsi="Arial"/>
          <w:sz w:val="18"/>
          <w:szCs w:val="18"/>
          <w:color w:val="auto"/>
        </w:rPr>
        <w:t>amendment of the Certificate (Section 14).</w:t>
      </w:r>
    </w:p>
    <w:p>
      <w:pPr>
        <w:spacing w:after="0" w:line="95" w:lineRule="exact"/>
        <w:rPr>
          <w:sz w:val="20"/>
          <w:szCs w:val="20"/>
          <w:color w:val="auto"/>
        </w:rPr>
      </w:pPr>
    </w:p>
    <w:p>
      <w:pPr>
        <w:ind w:right="140" w:firstLine="477"/>
        <w:spacing w:after="0" w:line="255" w:lineRule="auto"/>
        <w:rPr>
          <w:sz w:val="20"/>
          <w:szCs w:val="20"/>
          <w:color w:val="auto"/>
        </w:rPr>
      </w:pPr>
      <w:r>
        <w:rPr>
          <w:rFonts w:ascii="Arial" w:cs="Arial" w:eastAsia="Arial" w:hAnsi="Arial"/>
          <w:sz w:val="18"/>
          <w:szCs w:val="18"/>
          <w:color w:val="auto"/>
        </w:rPr>
        <w:t>Section 7 of the Certificate of Incorporation provides that the Bylaws shall not be amended or repealed by stockholders, and that no provision inconsistent with the Bylaws may be adopted by the stockholders, without the affirmative vote of the holders of at least two-thirds of the voting power of all shares of the Company entitled to vote generally in the election of directors voting together as a single class.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and Effects of the Proposed Amendments</w:t>
      </w:r>
    </w:p>
    <w:p>
      <w:pPr>
        <w:spacing w:after="0" w:line="117" w:lineRule="exact"/>
        <w:rPr>
          <w:sz w:val="20"/>
          <w:szCs w:val="20"/>
          <w:color w:val="auto"/>
        </w:rPr>
      </w:pPr>
    </w:p>
    <w:p>
      <w:pPr>
        <w:ind w:right="20" w:firstLine="477"/>
        <w:spacing w:after="0" w:line="249" w:lineRule="auto"/>
        <w:rPr>
          <w:sz w:val="20"/>
          <w:szCs w:val="20"/>
          <w:color w:val="auto"/>
        </w:rPr>
      </w:pPr>
      <w:r>
        <w:rPr>
          <w:rFonts w:ascii="Arial" w:cs="Arial" w:eastAsia="Arial" w:hAnsi="Arial"/>
          <w:sz w:val="18"/>
          <w:szCs w:val="18"/>
          <w:color w:val="auto"/>
        </w:rPr>
        <w:t>If Proposal 5 is approved by stockholders, the voting standard set forth in the Delaware General Corporation Law would apply, which would mean that future amendments to the Certificate of Incorporation would require the affirmative vote of the holders of at least a majority of the shares of common stock entitled to vote thereon, voting together as a single class (subject to any other provisions of the Certificate, any other vote required by law and the express terms of any outstanding preferred stock). Additionally, if Proposal 5 is approved by stockholders, future amendments by stockholders of the Bylaws will require the affirmative vote of the holders of at least a majority of the voting power of all shares of the Company entitled to vote generally in the election of directors voting together as a single class. Appendix B to this proxy statement shows the changes to the Certificate that would be effected by the Proposed Amendments, if adopted.</w:t>
      </w:r>
    </w:p>
    <w:p>
      <w:pPr>
        <w:spacing w:after="0" w:line="128" w:lineRule="exact"/>
        <w:rPr>
          <w:sz w:val="20"/>
          <w:szCs w:val="20"/>
          <w:color w:val="auto"/>
        </w:rPr>
      </w:pPr>
    </w:p>
    <w:p>
      <w:pPr>
        <w:ind w:firstLine="477"/>
        <w:spacing w:after="0" w:line="323" w:lineRule="auto"/>
        <w:rPr>
          <w:sz w:val="20"/>
          <w:szCs w:val="20"/>
          <w:color w:val="auto"/>
        </w:rPr>
      </w:pPr>
      <w:r>
        <w:rPr>
          <w:rFonts w:ascii="Arial" w:cs="Arial" w:eastAsia="Arial" w:hAnsi="Arial"/>
          <w:sz w:val="15"/>
          <w:szCs w:val="15"/>
          <w:color w:val="auto"/>
        </w:rPr>
        <w:t>If our stockholders approve the Proposed Amendments, then, subject to applicable law, they will become effective immediately upon the Company’s filing of an amended and restated certificate of incorporation with the Delaware Secretary of State, which we anticipate doing as soon as practicable following</w:t>
      </w:r>
    </w:p>
    <w:p>
      <w:pPr>
        <w:ind w:right="240"/>
        <w:spacing w:after="0" w:line="366" w:lineRule="auto"/>
        <w:rPr>
          <w:sz w:val="20"/>
          <w:szCs w:val="20"/>
          <w:color w:val="auto"/>
        </w:rPr>
      </w:pPr>
      <w:r>
        <w:rPr>
          <w:rFonts w:ascii="Arial" w:cs="Arial" w:eastAsia="Arial" w:hAnsi="Arial"/>
          <w:sz w:val="15"/>
          <w:szCs w:val="15"/>
          <w:color w:val="auto"/>
        </w:rPr>
        <w:t>stockholder approval of the Proposed Amendments. If stockholders do not approve the Proposed Amendments, the supermajority voting requirements will remain in place, and the Company will not file the anticipated amended and restated certificate of incorporation with the Delaware Secretary of State.</w:t>
      </w:r>
    </w:p>
    <w:p>
      <w:pPr>
        <w:spacing w:after="0" w:line="5" w:lineRule="exact"/>
        <w:rPr>
          <w:sz w:val="20"/>
          <w:szCs w:val="20"/>
          <w:color w:val="auto"/>
        </w:rPr>
      </w:pPr>
    </w:p>
    <w:p>
      <w:pPr>
        <w:ind w:right="500" w:firstLine="477"/>
        <w:spacing w:after="0" w:line="265" w:lineRule="auto"/>
        <w:rPr>
          <w:sz w:val="20"/>
          <w:szCs w:val="20"/>
          <w:color w:val="auto"/>
        </w:rPr>
      </w:pPr>
      <w:r>
        <w:rPr>
          <w:rFonts w:ascii="Arial" w:cs="Arial" w:eastAsia="Arial" w:hAnsi="Arial"/>
          <w:sz w:val="18"/>
          <w:szCs w:val="18"/>
          <w:color w:val="auto"/>
        </w:rPr>
        <w:t>The Board of Directors has also adopted conforming amendments to our Bylaws, which will become effective contingent upon and immediately following the effectiveness of the Proposed Amendments.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Sought and Recommendation</w:t>
      </w:r>
    </w:p>
    <w:p>
      <w:pPr>
        <w:spacing w:after="0" w:line="117" w:lineRule="exact"/>
        <w:rPr>
          <w:sz w:val="20"/>
          <w:szCs w:val="20"/>
          <w:color w:val="auto"/>
        </w:rPr>
      </w:pPr>
    </w:p>
    <w:p>
      <w:pPr>
        <w:ind w:right="20" w:firstLine="477"/>
        <w:spacing w:after="0" w:line="366" w:lineRule="auto"/>
        <w:rPr>
          <w:sz w:val="20"/>
          <w:szCs w:val="20"/>
          <w:color w:val="auto"/>
        </w:rPr>
      </w:pPr>
      <w:r>
        <w:rPr>
          <w:rFonts w:ascii="Arial" w:cs="Arial" w:eastAsia="Arial" w:hAnsi="Arial"/>
          <w:sz w:val="15"/>
          <w:szCs w:val="15"/>
          <w:color w:val="auto"/>
        </w:rPr>
        <w:t>The affirmative “FOR” vote of the holders of not less than two-thirds (2/3) of the voting power of the outstanding shares of common stock is needed to approve this Proposal 5 regarding the Proposed Amendments. Abstentions and broker non-votes will have the effect of votes "AGAINST" this proposal.</w:t>
      </w:r>
    </w:p>
    <w:p>
      <w:pPr>
        <w:spacing w:after="0" w:line="3" w:lineRule="exact"/>
        <w:rPr>
          <w:sz w:val="20"/>
          <w:szCs w:val="20"/>
          <w:color w:val="auto"/>
        </w:rPr>
      </w:pPr>
    </w:p>
    <w:p>
      <w:pPr>
        <w:ind w:left="320" w:right="260" w:firstLine="682"/>
        <w:spacing w:after="0" w:line="255" w:lineRule="auto"/>
        <w:rPr>
          <w:sz w:val="20"/>
          <w:szCs w:val="20"/>
          <w:color w:val="auto"/>
        </w:rPr>
      </w:pPr>
      <w:r>
        <w:rPr>
          <w:rFonts w:ascii="Arial" w:cs="Arial" w:eastAsia="Arial" w:hAnsi="Arial"/>
          <w:sz w:val="18"/>
          <w:szCs w:val="18"/>
          <w:b w:val="1"/>
          <w:bCs w:val="1"/>
          <w:color w:val="auto"/>
        </w:rPr>
        <w:t xml:space="preserve">THE BOARD OF DIRECTORS UNANIMOUSLY RECOMMENDS A VOTE </w:t>
      </w:r>
      <w:r>
        <w:rPr>
          <w:rFonts w:ascii="Arial" w:cs="Arial" w:eastAsia="Arial" w:hAnsi="Arial"/>
          <w:sz w:val="21"/>
          <w:szCs w:val="21"/>
          <w:b w:val="1"/>
          <w:bCs w:val="1"/>
          <w:u w:val="single" w:color="auto"/>
          <w:color w:val="auto"/>
        </w:rPr>
        <w:t>FOR</w:t>
      </w:r>
      <w:r>
        <w:rPr>
          <w:rFonts w:ascii="Arial" w:cs="Arial" w:eastAsia="Arial" w:hAnsi="Arial"/>
          <w:sz w:val="18"/>
          <w:szCs w:val="18"/>
          <w:b w:val="1"/>
          <w:bCs w:val="1"/>
          <w:color w:val="auto"/>
        </w:rPr>
        <w:t xml:space="preserve"> APPROVAL OF AMENDMENTS TO THE CERTIFICATE OF INCORPORATION TO ELIMINATE SUPERMAJORITY REQUIREMENTS TO AMEND THE CERTIFICATE AND</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BYLAWS</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00"/>
          </w:cols>
          <w:pgMar w:left="320" w:top="440" w:right="379" w:bottom="1440" w:gutter="0" w:footer="0" w:header="0"/>
        </w:sectPr>
      </w:pPr>
    </w:p>
    <w:bookmarkStart w:id="48" w:name="page49"/>
    <w:bookmarkEnd w:id="48"/>
    <w:p>
      <w:pPr>
        <w:jc w:val="center"/>
        <w:ind w:right="-19"/>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17" w:lineRule="exact"/>
        <w:rPr>
          <w:sz w:val="20"/>
          <w:szCs w:val="20"/>
          <w:color w:val="auto"/>
        </w:rPr>
      </w:pPr>
    </w:p>
    <w:p>
      <w:pPr>
        <w:ind w:right="160" w:firstLine="398"/>
        <w:spacing w:after="0" w:line="319" w:lineRule="auto"/>
        <w:rPr>
          <w:sz w:val="20"/>
          <w:szCs w:val="20"/>
          <w:color w:val="auto"/>
        </w:rPr>
      </w:pPr>
      <w:r>
        <w:rPr>
          <w:rFonts w:ascii="Arial" w:cs="Arial" w:eastAsia="Arial" w:hAnsi="Arial"/>
          <w:sz w:val="15"/>
          <w:szCs w:val="15"/>
          <w:color w:val="auto"/>
        </w:rPr>
        <w:t>No member of our Compensation Committee is a current or former officer or employee of Westwood or its subsidiaries or has had a relationship requiring disclosure by Westwood under applicable federal securities regulations. No executive officer of Westwood served as a director or member of the Compensation Committee of any entity that has one or more executive officers serving as a member of our Board of Directors or Compensation Committee. For 2021, the members of our Compensation Committee were Messrs. Frank (Chairman), Wooldridge, Norman and Bowman, and Ms. Masterson.</w:t>
      </w:r>
    </w:p>
    <w:p>
      <w:pPr>
        <w:spacing w:after="0" w:line="284"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 and Related Transactions</w:t>
      </w:r>
    </w:p>
    <w:p>
      <w:pPr>
        <w:spacing w:after="0" w:line="117" w:lineRule="exact"/>
        <w:rPr>
          <w:sz w:val="20"/>
          <w:szCs w:val="20"/>
          <w:color w:val="auto"/>
        </w:rPr>
      </w:pPr>
    </w:p>
    <w:p>
      <w:pPr>
        <w:ind w:right="80" w:firstLine="398"/>
        <w:spacing w:after="0" w:line="255" w:lineRule="auto"/>
        <w:rPr>
          <w:sz w:val="20"/>
          <w:szCs w:val="20"/>
          <w:color w:val="auto"/>
        </w:rPr>
      </w:pPr>
      <w:r>
        <w:rPr>
          <w:rFonts w:ascii="Arial" w:cs="Arial" w:eastAsia="Arial" w:hAnsi="Arial"/>
          <w:sz w:val="18"/>
          <w:szCs w:val="18"/>
          <w:color w:val="auto"/>
        </w:rPr>
        <w:t>John Porter Montgomery, the stepson of our Vice Chairman Ms. Byrne, was employed by Westwood Trust (Dallas), a wholly-owned subsidiary of Westwood Holdings Group, Inc., throughout 2021 and received total compensation of $467,400. He currently serves as President of Westwood Trust (Dallas) and is compensated in a manner consistent with our policies that apply to all employees.</w:t>
      </w:r>
    </w:p>
    <w:p>
      <w:pPr>
        <w:spacing w:after="0" w:line="83" w:lineRule="exact"/>
        <w:rPr>
          <w:sz w:val="20"/>
          <w:szCs w:val="20"/>
          <w:color w:val="auto"/>
        </w:rPr>
      </w:pPr>
    </w:p>
    <w:p>
      <w:pPr>
        <w:ind w:firstLine="398"/>
        <w:spacing w:after="0" w:line="265" w:lineRule="auto"/>
        <w:rPr>
          <w:sz w:val="20"/>
          <w:szCs w:val="20"/>
          <w:color w:val="auto"/>
        </w:rPr>
      </w:pPr>
      <w:r>
        <w:rPr>
          <w:rFonts w:ascii="Arial" w:cs="Arial" w:eastAsia="Arial" w:hAnsi="Arial"/>
          <w:sz w:val="18"/>
          <w:szCs w:val="18"/>
          <w:color w:val="auto"/>
        </w:rPr>
        <w:t>The Company earned revenues from an affiliate of a 5% beneficial owner, GAMCO Investors, Inc., in the amount of $228,000 during fiscal year 2021 in connection with sub-advisory services provided by the Company.</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Accounts</w:t>
      </w:r>
    </w:p>
    <w:p>
      <w:pPr>
        <w:spacing w:after="0" w:line="117" w:lineRule="exact"/>
        <w:rPr>
          <w:sz w:val="20"/>
          <w:szCs w:val="20"/>
          <w:color w:val="auto"/>
        </w:rPr>
      </w:pPr>
    </w:p>
    <w:p>
      <w:pPr>
        <w:ind w:right="20" w:firstLine="398"/>
        <w:spacing w:after="0" w:line="330" w:lineRule="auto"/>
        <w:rPr>
          <w:sz w:val="20"/>
          <w:szCs w:val="20"/>
          <w:color w:val="auto"/>
        </w:rPr>
      </w:pPr>
      <w:r>
        <w:rPr>
          <w:rFonts w:ascii="Arial" w:cs="Arial" w:eastAsia="Arial" w:hAnsi="Arial"/>
          <w:sz w:val="15"/>
          <w:szCs w:val="15"/>
          <w:color w:val="auto"/>
        </w:rPr>
        <w:t>Certain of our directors, executive officers and their affiliates invest their personal funds directly in accounts held and managed by us. All such funds are managed along with, and on the same terms as, funds deposited by our other clients. These individuals are charged management fees for our services at a preferred fee rate, consistent with fees charged to our other select clients who are not members of our Board of Directors or executive officers.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Review and Approval of Related Party Transactions</w:t>
      </w:r>
    </w:p>
    <w:p>
      <w:pPr>
        <w:spacing w:after="0" w:line="117" w:lineRule="exact"/>
        <w:rPr>
          <w:sz w:val="20"/>
          <w:szCs w:val="20"/>
          <w:color w:val="auto"/>
        </w:rPr>
      </w:pPr>
    </w:p>
    <w:p>
      <w:pPr>
        <w:ind w:right="40" w:firstLine="398"/>
        <w:spacing w:after="0" w:line="267" w:lineRule="auto"/>
        <w:rPr>
          <w:sz w:val="20"/>
          <w:szCs w:val="20"/>
          <w:color w:val="auto"/>
        </w:rPr>
      </w:pPr>
      <w:r>
        <w:rPr>
          <w:rFonts w:ascii="Arial" w:cs="Arial" w:eastAsia="Arial" w:hAnsi="Arial"/>
          <w:sz w:val="17"/>
          <w:szCs w:val="17"/>
          <w:color w:val="auto"/>
        </w:rPr>
        <w:t>All future material transactions involving affiliated parties will be subject to approval by a majority of our disinterested directors. We have a written policy, entitled the “Conflict of Interest Policy,” that addresses the review and approval of related party transactions. The Conflict of Interest Policy provides that, except with the Board of Directors’ prior knowledge and consent, no director, officer or employee of Westwood or its subsidiaries may be involved in a transaction or relationship that gives rise to a “conflict of interest” with Westwood. The policy defines “conflict of interest” as an occurrence where a director, officer or employee’s private interests interfere, or appear to interfere, in any way with our interests as a whole, and specifically includes all related party transactions and relationships that we are required to disclose in our proxy statement.</w:t>
      </w:r>
    </w:p>
    <w:p>
      <w:pPr>
        <w:spacing w:after="0" w:line="75" w:lineRule="exact"/>
        <w:rPr>
          <w:sz w:val="20"/>
          <w:szCs w:val="20"/>
          <w:color w:val="auto"/>
        </w:rPr>
      </w:pPr>
    </w:p>
    <w:p>
      <w:pPr>
        <w:ind w:right="60" w:firstLine="398"/>
        <w:spacing w:after="0" w:line="313" w:lineRule="auto"/>
        <w:rPr>
          <w:sz w:val="20"/>
          <w:szCs w:val="20"/>
          <w:color w:val="auto"/>
        </w:rPr>
      </w:pPr>
      <w:r>
        <w:rPr>
          <w:rFonts w:ascii="Arial" w:cs="Arial" w:eastAsia="Arial" w:hAnsi="Arial"/>
          <w:sz w:val="15"/>
          <w:szCs w:val="15"/>
          <w:color w:val="auto"/>
        </w:rPr>
        <w:t>In the event the Board of Directors’ consent to a conflict of interest is sought, the request must be addressed to our compliance officer (or, where the matter involves the compliance officer, to the Audit Committee) and referred to the Audit Committee for its consideration. If the matter involves any member of the Audit Committee, the matter is required to be addressed by the disinterested members of the Board of Directors. A majority of the members of the Audit Committee (or a majority of the disinterested members of the Board of Directors, where applicable) must approve any request. The terms of any such transaction must be as favorable to us as the terms would be if the transaction were entered into with an unrelated third party.</w:t>
      </w:r>
    </w:p>
    <w:p>
      <w:pPr>
        <w:spacing w:after="0" w:line="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20"/>
          </w:cols>
          <w:pgMar w:left="320" w:top="546" w:right="359" w:bottom="1440" w:gutter="0" w:footer="0" w:header="0"/>
        </w:sectPr>
      </w:pPr>
    </w:p>
    <w:bookmarkStart w:id="49" w:name="page50"/>
    <w:bookmarkEnd w:id="49"/>
    <w:p>
      <w:pPr>
        <w:jc w:val="center"/>
        <w:ind w:right="-39"/>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117" w:lineRule="exact"/>
        <w:rPr>
          <w:sz w:val="20"/>
          <w:szCs w:val="20"/>
          <w:color w:val="auto"/>
        </w:rPr>
      </w:pPr>
    </w:p>
    <w:p>
      <w:pPr>
        <w:jc w:val="both"/>
        <w:ind w:right="20" w:firstLine="398"/>
        <w:spacing w:after="0" w:line="255" w:lineRule="auto"/>
        <w:rPr>
          <w:sz w:val="20"/>
          <w:szCs w:val="20"/>
          <w:color w:val="auto"/>
        </w:rPr>
      </w:pPr>
      <w:r>
        <w:rPr>
          <w:rFonts w:ascii="Arial" w:cs="Arial" w:eastAsia="Arial" w:hAnsi="Arial"/>
          <w:sz w:val="18"/>
          <w:szCs w:val="18"/>
          <w:color w:val="auto"/>
        </w:rPr>
        <w:t>As of March 1, 2022, there were 8,587,606 shares of common stock issued and entitled to vote at the annual meeting. Except where otherwise indicated, the following table sets forth certain information as of March 1, 2022 regarding beneficial ownership of the common stock and the percentage of total voting power held by:</w:t>
      </w:r>
    </w:p>
    <w:p>
      <w:pPr>
        <w:spacing w:after="0" w:line="83" w:lineRule="exact"/>
        <w:rPr>
          <w:sz w:val="20"/>
          <w:szCs w:val="20"/>
          <w:color w:val="auto"/>
        </w:rPr>
      </w:pPr>
    </w:p>
    <w:p>
      <w:pPr>
        <w:ind w:left="640" w:hanging="316"/>
        <w:spacing w:after="0"/>
        <w:tabs>
          <w:tab w:leader="none" w:pos="6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each stockholder known by us to own more than five percent (5%) of outstanding common stock;</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each director and director nominee;</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each named executive officer; and</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all directors and executive officers as a group.</w:t>
      </w:r>
    </w:p>
    <w:p>
      <w:pPr>
        <w:spacing w:after="0" w:line="11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Unless otherwise noted, the persons named below have sole voting and investment power with respect to such shares.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Number of Shares</w:t>
            </w:r>
          </w:p>
        </w:tc>
        <w:tc>
          <w:tcPr>
            <w:tcW w:w="1160" w:type="dxa"/>
            <w:vAlign w:val="bottom"/>
            <w:vMerge w:val="restart"/>
          </w:tcPr>
          <w:p>
            <w:pPr>
              <w:jc w:val="right"/>
              <w:ind w:right="174"/>
              <w:spacing w:after="0"/>
              <w:rPr>
                <w:sz w:val="20"/>
                <w:szCs w:val="20"/>
                <w:color w:val="auto"/>
              </w:rPr>
            </w:pPr>
            <w:r>
              <w:rPr>
                <w:rFonts w:ascii="Arial" w:cs="Arial" w:eastAsia="Arial" w:hAnsi="Arial"/>
                <w:sz w:val="14"/>
                <w:szCs w:val="14"/>
                <w:b w:val="1"/>
                <w:bCs w:val="1"/>
                <w:color w:val="auto"/>
              </w:rPr>
              <w:t>Percent of</w:t>
            </w:r>
          </w:p>
        </w:tc>
        <w:tc>
          <w:tcPr>
            <w:tcW w:w="0" w:type="dxa"/>
            <w:vAlign w:val="bottom"/>
          </w:tcPr>
          <w:p>
            <w:pPr>
              <w:spacing w:after="0"/>
              <w:rPr>
                <w:sz w:val="1"/>
                <w:szCs w:val="1"/>
                <w:color w:val="auto"/>
              </w:rPr>
            </w:pPr>
          </w:p>
        </w:tc>
      </w:tr>
      <w:tr>
        <w:trPr>
          <w:trHeight w:val="133"/>
        </w:trPr>
        <w:tc>
          <w:tcPr>
            <w:tcW w:w="8340" w:type="dxa"/>
            <w:vAlign w:val="bottom"/>
            <w:vMerge w:val="restart"/>
          </w:tcPr>
          <w:p>
            <w:pPr>
              <w:ind w:left="3620"/>
              <w:spacing w:after="0"/>
              <w:rPr>
                <w:sz w:val="20"/>
                <w:szCs w:val="20"/>
                <w:color w:val="auto"/>
              </w:rPr>
            </w:pPr>
            <w:r>
              <w:rPr>
                <w:rFonts w:ascii="Arial" w:cs="Arial" w:eastAsia="Arial" w:hAnsi="Arial"/>
                <w:sz w:val="14"/>
                <w:szCs w:val="14"/>
                <w:b w:val="1"/>
                <w:bCs w:val="1"/>
                <w:color w:val="auto"/>
              </w:rPr>
              <w:t>Beneficial Owners</w:t>
            </w:r>
          </w:p>
        </w:tc>
        <w:tc>
          <w:tcPr>
            <w:tcW w:w="100" w:type="dxa"/>
            <w:vAlign w:val="bottom"/>
            <w:vMerge w:val="restart"/>
          </w:tcPr>
          <w:p>
            <w:pPr>
              <w:spacing w:after="0"/>
              <w:rPr>
                <w:sz w:val="11"/>
                <w:szCs w:val="11"/>
                <w:color w:val="auto"/>
              </w:rPr>
            </w:pPr>
          </w:p>
        </w:tc>
        <w:tc>
          <w:tcPr>
            <w:tcW w:w="160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89"/>
              </w:rPr>
              <w:t>Beneficially</w:t>
            </w:r>
          </w:p>
        </w:tc>
        <w:tc>
          <w:tcPr>
            <w:tcW w:w="1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83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Owned</w:t>
            </w:r>
          </w:p>
        </w:tc>
        <w:tc>
          <w:tcPr>
            <w:tcW w:w="10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Class</w:t>
            </w:r>
          </w:p>
        </w:tc>
        <w:tc>
          <w:tcPr>
            <w:tcW w:w="0" w:type="dxa"/>
            <w:vAlign w:val="bottom"/>
          </w:tcPr>
          <w:p>
            <w:pPr>
              <w:spacing w:after="0"/>
              <w:rPr>
                <w:sz w:val="1"/>
                <w:szCs w:val="1"/>
                <w:color w:val="auto"/>
              </w:rPr>
            </w:pPr>
          </w:p>
        </w:tc>
      </w:tr>
      <w:tr>
        <w:trPr>
          <w:trHeight w:val="220"/>
        </w:trPr>
        <w:tc>
          <w:tcPr>
            <w:tcW w:w="8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5% Beneficial Owners</w:t>
            </w: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440" w:type="dxa"/>
            <w:vAlign w:val="bottom"/>
            <w:gridSpan w:val="2"/>
          </w:tcPr>
          <w:p>
            <w:pPr>
              <w:ind w:left="180"/>
              <w:spacing w:after="0" w:line="225" w:lineRule="exact"/>
              <w:rPr>
                <w:sz w:val="20"/>
                <w:szCs w:val="20"/>
                <w:color w:val="auto"/>
              </w:rPr>
            </w:pPr>
            <w:r>
              <w:rPr>
                <w:rFonts w:ascii="Arial" w:cs="Arial" w:eastAsia="Arial" w:hAnsi="Arial"/>
                <w:sz w:val="18"/>
                <w:szCs w:val="18"/>
                <w:color w:val="auto"/>
              </w:rPr>
              <w:t>JCP Investment Management, LLC</w:t>
            </w:r>
            <w:r>
              <w:rPr>
                <w:rFonts w:ascii="Arial" w:cs="Arial" w:eastAsia="Arial" w:hAnsi="Arial"/>
                <w:sz w:val="22"/>
                <w:szCs w:val="22"/>
                <w:color w:val="auto"/>
                <w:vertAlign w:val="superscript"/>
              </w:rPr>
              <w:t>(2)(3)</w:t>
            </w:r>
          </w:p>
        </w:tc>
        <w:tc>
          <w:tcPr>
            <w:tcW w:w="1500" w:type="dxa"/>
            <w:vAlign w:val="bottom"/>
          </w:tcPr>
          <w:p>
            <w:pPr>
              <w:jc w:val="right"/>
              <w:spacing w:after="0"/>
              <w:rPr>
                <w:sz w:val="20"/>
                <w:szCs w:val="20"/>
                <w:color w:val="auto"/>
              </w:rPr>
            </w:pPr>
            <w:r>
              <w:rPr>
                <w:rFonts w:ascii="Arial" w:cs="Arial" w:eastAsia="Arial" w:hAnsi="Arial"/>
                <w:sz w:val="18"/>
                <w:szCs w:val="18"/>
                <w:color w:val="auto"/>
              </w:rPr>
              <w:t>860,416</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26"/>
        </w:trPr>
        <w:tc>
          <w:tcPr>
            <w:tcW w:w="8440" w:type="dxa"/>
            <w:vAlign w:val="bottom"/>
            <w:gridSpan w:val="2"/>
            <w:shd w:val="clear" w:color="auto" w:fill="CCEEFF"/>
          </w:tcPr>
          <w:p>
            <w:pPr>
              <w:ind w:left="180"/>
              <w:spacing w:after="0" w:line="225" w:lineRule="exact"/>
              <w:rPr>
                <w:sz w:val="20"/>
                <w:szCs w:val="20"/>
                <w:color w:val="auto"/>
              </w:rPr>
            </w:pPr>
            <w:r>
              <w:rPr>
                <w:rFonts w:ascii="Arial" w:cs="Arial" w:eastAsia="Arial" w:hAnsi="Arial"/>
                <w:sz w:val="18"/>
                <w:szCs w:val="18"/>
                <w:color w:val="auto"/>
              </w:rPr>
              <w:t>Allspring Global Investments Holdings LLC</w:t>
            </w:r>
            <w:r>
              <w:rPr>
                <w:rFonts w:ascii="Arial" w:cs="Arial" w:eastAsia="Arial" w:hAnsi="Arial"/>
                <w:sz w:val="22"/>
                <w:szCs w:val="22"/>
                <w:color w:val="auto"/>
                <w:vertAlign w:val="superscript"/>
              </w:rPr>
              <w:t>(2)(4)</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586,389</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6.8 %</w:t>
            </w:r>
          </w:p>
        </w:tc>
        <w:tc>
          <w:tcPr>
            <w:tcW w:w="0" w:type="dxa"/>
            <w:vAlign w:val="bottom"/>
          </w:tcPr>
          <w:p>
            <w:pPr>
              <w:spacing w:after="0"/>
              <w:rPr>
                <w:sz w:val="1"/>
                <w:szCs w:val="1"/>
                <w:color w:val="auto"/>
              </w:rPr>
            </w:pPr>
          </w:p>
        </w:tc>
      </w:tr>
      <w:tr>
        <w:trPr>
          <w:trHeight w:val="226"/>
        </w:trPr>
        <w:tc>
          <w:tcPr>
            <w:tcW w:w="8440" w:type="dxa"/>
            <w:vAlign w:val="bottom"/>
            <w:gridSpan w:val="2"/>
          </w:tcPr>
          <w:p>
            <w:pPr>
              <w:ind w:left="180"/>
              <w:spacing w:after="0" w:line="225" w:lineRule="exact"/>
              <w:rPr>
                <w:sz w:val="20"/>
                <w:szCs w:val="20"/>
                <w:color w:val="auto"/>
              </w:rPr>
            </w:pPr>
            <w:r>
              <w:rPr>
                <w:rFonts w:ascii="Arial" w:cs="Arial" w:eastAsia="Arial" w:hAnsi="Arial"/>
                <w:sz w:val="18"/>
                <w:szCs w:val="18"/>
                <w:color w:val="auto"/>
              </w:rPr>
              <w:t>Renaissance Technologies LLC</w:t>
            </w:r>
            <w:r>
              <w:rPr>
                <w:rFonts w:ascii="Arial" w:cs="Arial" w:eastAsia="Arial" w:hAnsi="Arial"/>
                <w:sz w:val="22"/>
                <w:szCs w:val="22"/>
                <w:color w:val="auto"/>
                <w:vertAlign w:val="superscript"/>
              </w:rPr>
              <w:t>(2)(5)</w:t>
            </w:r>
          </w:p>
        </w:tc>
        <w:tc>
          <w:tcPr>
            <w:tcW w:w="1500" w:type="dxa"/>
            <w:vAlign w:val="bottom"/>
          </w:tcPr>
          <w:p>
            <w:pPr>
              <w:jc w:val="right"/>
              <w:spacing w:after="0"/>
              <w:rPr>
                <w:sz w:val="20"/>
                <w:szCs w:val="20"/>
                <w:color w:val="auto"/>
              </w:rPr>
            </w:pPr>
            <w:r>
              <w:rPr>
                <w:rFonts w:ascii="Arial" w:cs="Arial" w:eastAsia="Arial" w:hAnsi="Arial"/>
                <w:sz w:val="18"/>
                <w:szCs w:val="18"/>
                <w:color w:val="auto"/>
              </w:rPr>
              <w:t>531,209</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6.2 %</w:t>
            </w:r>
          </w:p>
        </w:tc>
        <w:tc>
          <w:tcPr>
            <w:tcW w:w="0" w:type="dxa"/>
            <w:vAlign w:val="bottom"/>
          </w:tcPr>
          <w:p>
            <w:pPr>
              <w:spacing w:after="0"/>
              <w:rPr>
                <w:sz w:val="1"/>
                <w:szCs w:val="1"/>
                <w:color w:val="auto"/>
              </w:rPr>
            </w:pPr>
          </w:p>
        </w:tc>
      </w:tr>
      <w:tr>
        <w:trPr>
          <w:trHeight w:val="226"/>
        </w:trPr>
        <w:tc>
          <w:tcPr>
            <w:tcW w:w="8440" w:type="dxa"/>
            <w:vAlign w:val="bottom"/>
            <w:gridSpan w:val="2"/>
            <w:shd w:val="clear" w:color="auto" w:fill="CCEEFF"/>
          </w:tcPr>
          <w:p>
            <w:pPr>
              <w:ind w:left="180"/>
              <w:spacing w:after="0" w:line="225" w:lineRule="exact"/>
              <w:rPr>
                <w:sz w:val="20"/>
                <w:szCs w:val="20"/>
                <w:color w:val="auto"/>
              </w:rPr>
            </w:pPr>
            <w:r>
              <w:rPr>
                <w:rFonts w:ascii="Arial" w:cs="Arial" w:eastAsia="Arial" w:hAnsi="Arial"/>
                <w:sz w:val="18"/>
                <w:szCs w:val="18"/>
                <w:color w:val="auto"/>
              </w:rPr>
              <w:t>GAMCO Investors, Inc.</w:t>
            </w:r>
            <w:r>
              <w:rPr>
                <w:rFonts w:ascii="Arial" w:cs="Arial" w:eastAsia="Arial" w:hAnsi="Arial"/>
                <w:sz w:val="22"/>
                <w:szCs w:val="22"/>
                <w:color w:val="auto"/>
                <w:vertAlign w:val="superscript"/>
              </w:rPr>
              <w:t>(2)(6)</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453,959</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5.3 %</w:t>
            </w:r>
          </w:p>
        </w:tc>
        <w:tc>
          <w:tcPr>
            <w:tcW w:w="0" w:type="dxa"/>
            <w:vAlign w:val="bottom"/>
          </w:tcPr>
          <w:p>
            <w:pPr>
              <w:spacing w:after="0"/>
              <w:rPr>
                <w:sz w:val="1"/>
                <w:szCs w:val="1"/>
                <w:color w:val="auto"/>
              </w:rPr>
            </w:pPr>
          </w:p>
        </w:tc>
      </w:tr>
      <w:tr>
        <w:trPr>
          <w:trHeight w:val="226"/>
        </w:trPr>
        <w:tc>
          <w:tcPr>
            <w:tcW w:w="8440" w:type="dxa"/>
            <w:vAlign w:val="bottom"/>
            <w:gridSpan w:val="2"/>
          </w:tcPr>
          <w:p>
            <w:pPr>
              <w:ind w:left="180"/>
              <w:spacing w:after="0" w:line="225" w:lineRule="exact"/>
              <w:rPr>
                <w:sz w:val="20"/>
                <w:szCs w:val="20"/>
                <w:color w:val="auto"/>
              </w:rPr>
            </w:pPr>
            <w:r>
              <w:rPr>
                <w:rFonts w:ascii="Arial" w:cs="Arial" w:eastAsia="Arial" w:hAnsi="Arial"/>
                <w:sz w:val="18"/>
                <w:szCs w:val="18"/>
                <w:b w:val="1"/>
                <w:bCs w:val="1"/>
                <w:color w:val="auto"/>
              </w:rPr>
              <w:t>Directors and Named Executive Officers</w:t>
            </w:r>
            <w:r>
              <w:rPr>
                <w:rFonts w:ascii="Arial" w:cs="Arial" w:eastAsia="Arial" w:hAnsi="Arial"/>
                <w:sz w:val="22"/>
                <w:szCs w:val="22"/>
                <w:b w:val="1"/>
                <w:bCs w:val="1"/>
                <w:color w:val="auto"/>
                <w:vertAlign w:val="superscript"/>
              </w:rPr>
              <w:t>(1)</w:t>
            </w: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Brian O. Casey</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388,574</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4.5 %</w:t>
            </w:r>
          </w:p>
        </w:tc>
        <w:tc>
          <w:tcPr>
            <w:tcW w:w="0" w:type="dxa"/>
            <w:vAlign w:val="bottom"/>
          </w:tcPr>
          <w:p>
            <w:pPr>
              <w:spacing w:after="0"/>
              <w:rPr>
                <w:sz w:val="1"/>
                <w:szCs w:val="1"/>
                <w:color w:val="auto"/>
              </w:rPr>
            </w:pPr>
          </w:p>
        </w:tc>
      </w:tr>
      <w:tr>
        <w:trPr>
          <w:trHeight w:val="225"/>
        </w:trPr>
        <w:tc>
          <w:tcPr>
            <w:tcW w:w="8440" w:type="dxa"/>
            <w:vAlign w:val="bottom"/>
            <w:gridSpan w:val="2"/>
          </w:tcPr>
          <w:p>
            <w:pPr>
              <w:ind w:left="180"/>
              <w:spacing w:after="0"/>
              <w:rPr>
                <w:sz w:val="20"/>
                <w:szCs w:val="20"/>
                <w:color w:val="auto"/>
              </w:rPr>
            </w:pPr>
            <w:r>
              <w:rPr>
                <w:rFonts w:ascii="Arial" w:cs="Arial" w:eastAsia="Arial" w:hAnsi="Arial"/>
                <w:sz w:val="18"/>
                <w:szCs w:val="18"/>
                <w:color w:val="auto"/>
              </w:rPr>
              <w:t>Terry Forbes</w:t>
            </w:r>
          </w:p>
        </w:tc>
        <w:tc>
          <w:tcPr>
            <w:tcW w:w="1500" w:type="dxa"/>
            <w:vAlign w:val="bottom"/>
          </w:tcPr>
          <w:p>
            <w:pPr>
              <w:jc w:val="right"/>
              <w:spacing w:after="0"/>
              <w:rPr>
                <w:sz w:val="20"/>
                <w:szCs w:val="20"/>
                <w:color w:val="auto"/>
              </w:rPr>
            </w:pPr>
            <w:r>
              <w:rPr>
                <w:rFonts w:ascii="Arial" w:cs="Arial" w:eastAsia="Arial" w:hAnsi="Arial"/>
                <w:sz w:val="18"/>
                <w:szCs w:val="18"/>
                <w:color w:val="auto"/>
              </w:rPr>
              <w:t>42,401</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8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Fabian Gomez</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29,873</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8440" w:type="dxa"/>
            <w:vAlign w:val="bottom"/>
            <w:gridSpan w:val="2"/>
          </w:tcPr>
          <w:p>
            <w:pPr>
              <w:ind w:left="180"/>
              <w:spacing w:after="0"/>
              <w:rPr>
                <w:sz w:val="20"/>
                <w:szCs w:val="20"/>
                <w:color w:val="auto"/>
              </w:rPr>
            </w:pPr>
            <w:r>
              <w:rPr>
                <w:rFonts w:ascii="Arial" w:cs="Arial" w:eastAsia="Arial" w:hAnsi="Arial"/>
                <w:sz w:val="18"/>
                <w:szCs w:val="18"/>
                <w:color w:val="auto"/>
              </w:rPr>
              <w:t>Steven Paddon</w:t>
            </w:r>
          </w:p>
        </w:tc>
        <w:tc>
          <w:tcPr>
            <w:tcW w:w="1500" w:type="dxa"/>
            <w:vAlign w:val="bottom"/>
          </w:tcPr>
          <w:p>
            <w:pPr>
              <w:jc w:val="right"/>
              <w:spacing w:after="0"/>
              <w:rPr>
                <w:sz w:val="20"/>
                <w:szCs w:val="20"/>
                <w:color w:val="auto"/>
              </w:rPr>
            </w:pPr>
            <w:r>
              <w:rPr>
                <w:rFonts w:ascii="Arial" w:cs="Arial" w:eastAsia="Arial" w:hAnsi="Arial"/>
                <w:sz w:val="18"/>
                <w:szCs w:val="18"/>
                <w:color w:val="auto"/>
              </w:rPr>
              <w:t>58,745</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8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Julie K. Gerron</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49,418</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8440" w:type="dxa"/>
            <w:vAlign w:val="bottom"/>
            <w:gridSpan w:val="2"/>
          </w:tcPr>
          <w:p>
            <w:pPr>
              <w:ind w:left="180"/>
              <w:spacing w:after="0"/>
              <w:rPr>
                <w:sz w:val="20"/>
                <w:szCs w:val="20"/>
                <w:color w:val="auto"/>
              </w:rPr>
            </w:pPr>
            <w:r>
              <w:rPr>
                <w:rFonts w:ascii="Arial" w:cs="Arial" w:eastAsia="Arial" w:hAnsi="Arial"/>
                <w:sz w:val="18"/>
                <w:szCs w:val="18"/>
                <w:color w:val="auto"/>
              </w:rPr>
              <w:t>Richard M. Frank</w:t>
            </w:r>
          </w:p>
        </w:tc>
        <w:tc>
          <w:tcPr>
            <w:tcW w:w="1500" w:type="dxa"/>
            <w:vAlign w:val="bottom"/>
          </w:tcPr>
          <w:p>
            <w:pPr>
              <w:jc w:val="right"/>
              <w:spacing w:after="0"/>
              <w:rPr>
                <w:sz w:val="20"/>
                <w:szCs w:val="20"/>
                <w:color w:val="auto"/>
              </w:rPr>
            </w:pPr>
            <w:r>
              <w:rPr>
                <w:rFonts w:ascii="Arial" w:cs="Arial" w:eastAsia="Arial" w:hAnsi="Arial"/>
                <w:sz w:val="18"/>
                <w:szCs w:val="18"/>
                <w:color w:val="auto"/>
              </w:rPr>
              <w:t>60,866</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8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Susan M. Byrne</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261,629</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3.0 %</w:t>
            </w:r>
          </w:p>
        </w:tc>
        <w:tc>
          <w:tcPr>
            <w:tcW w:w="0" w:type="dxa"/>
            <w:vAlign w:val="bottom"/>
          </w:tcPr>
          <w:p>
            <w:pPr>
              <w:spacing w:after="0"/>
              <w:rPr>
                <w:sz w:val="1"/>
                <w:szCs w:val="1"/>
                <w:color w:val="auto"/>
              </w:rPr>
            </w:pPr>
          </w:p>
        </w:tc>
      </w:tr>
      <w:tr>
        <w:trPr>
          <w:trHeight w:val="225"/>
        </w:trPr>
        <w:tc>
          <w:tcPr>
            <w:tcW w:w="8440" w:type="dxa"/>
            <w:vAlign w:val="bottom"/>
            <w:gridSpan w:val="2"/>
          </w:tcPr>
          <w:p>
            <w:pPr>
              <w:ind w:left="180"/>
              <w:spacing w:after="0"/>
              <w:rPr>
                <w:sz w:val="20"/>
                <w:szCs w:val="20"/>
                <w:color w:val="auto"/>
              </w:rPr>
            </w:pPr>
            <w:r>
              <w:rPr>
                <w:rFonts w:ascii="Arial" w:cs="Arial" w:eastAsia="Arial" w:hAnsi="Arial"/>
                <w:sz w:val="18"/>
                <w:szCs w:val="18"/>
                <w:color w:val="auto"/>
              </w:rPr>
              <w:t>Ellen H. Masterson</w:t>
            </w:r>
          </w:p>
        </w:tc>
        <w:tc>
          <w:tcPr>
            <w:tcW w:w="1500" w:type="dxa"/>
            <w:vAlign w:val="bottom"/>
          </w:tcPr>
          <w:p>
            <w:pPr>
              <w:jc w:val="right"/>
              <w:spacing w:after="0"/>
              <w:rPr>
                <w:sz w:val="20"/>
                <w:szCs w:val="20"/>
                <w:color w:val="auto"/>
              </w:rPr>
            </w:pPr>
            <w:r>
              <w:rPr>
                <w:rFonts w:ascii="Arial" w:cs="Arial" w:eastAsia="Arial" w:hAnsi="Arial"/>
                <w:sz w:val="18"/>
                <w:szCs w:val="18"/>
                <w:color w:val="auto"/>
              </w:rPr>
              <w:t>19,782</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8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Geoffrey R. Norman</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23,032</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8440" w:type="dxa"/>
            <w:vAlign w:val="bottom"/>
            <w:gridSpan w:val="2"/>
          </w:tcPr>
          <w:p>
            <w:pPr>
              <w:ind w:left="180"/>
              <w:spacing w:after="0"/>
              <w:rPr>
                <w:sz w:val="20"/>
                <w:szCs w:val="20"/>
                <w:color w:val="auto"/>
              </w:rPr>
            </w:pPr>
            <w:r>
              <w:rPr>
                <w:rFonts w:ascii="Arial" w:cs="Arial" w:eastAsia="Arial" w:hAnsi="Arial"/>
                <w:sz w:val="18"/>
                <w:szCs w:val="18"/>
                <w:color w:val="auto"/>
              </w:rPr>
              <w:t>Randy A. Bowman</w:t>
            </w:r>
          </w:p>
        </w:tc>
        <w:tc>
          <w:tcPr>
            <w:tcW w:w="1500" w:type="dxa"/>
            <w:vAlign w:val="bottom"/>
          </w:tcPr>
          <w:p>
            <w:pPr>
              <w:jc w:val="right"/>
              <w:spacing w:after="0"/>
              <w:rPr>
                <w:sz w:val="20"/>
                <w:szCs w:val="20"/>
                <w:color w:val="auto"/>
              </w:rPr>
            </w:pPr>
            <w:r>
              <w:rPr>
                <w:rFonts w:ascii="Arial" w:cs="Arial" w:eastAsia="Arial" w:hAnsi="Arial"/>
                <w:sz w:val="18"/>
                <w:szCs w:val="18"/>
                <w:color w:val="auto"/>
              </w:rPr>
              <w:t>4,700</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8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Raymond E. Wooldridge</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82,597</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8440" w:type="dxa"/>
            <w:vAlign w:val="bottom"/>
            <w:gridSpan w:val="2"/>
          </w:tcPr>
          <w:p>
            <w:pPr>
              <w:ind w:left="180"/>
              <w:spacing w:after="0"/>
              <w:rPr>
                <w:sz w:val="20"/>
                <w:szCs w:val="20"/>
                <w:color w:val="auto"/>
              </w:rPr>
            </w:pPr>
            <w:r>
              <w:rPr>
                <w:rFonts w:ascii="Arial" w:cs="Arial" w:eastAsia="Arial" w:hAnsi="Arial"/>
                <w:sz w:val="18"/>
                <w:szCs w:val="18"/>
                <w:color w:val="auto"/>
              </w:rPr>
              <w:t>All directors and named executive officers as a group (11 Persons)</w:t>
            </w:r>
          </w:p>
        </w:tc>
        <w:tc>
          <w:tcPr>
            <w:tcW w:w="1500" w:type="dxa"/>
            <w:vAlign w:val="bottom"/>
          </w:tcPr>
          <w:p>
            <w:pPr>
              <w:jc w:val="right"/>
              <w:spacing w:after="0"/>
              <w:rPr>
                <w:sz w:val="20"/>
                <w:szCs w:val="20"/>
                <w:color w:val="auto"/>
              </w:rPr>
            </w:pPr>
            <w:r>
              <w:rPr>
                <w:rFonts w:ascii="Arial" w:cs="Arial" w:eastAsia="Arial" w:hAnsi="Arial"/>
                <w:sz w:val="18"/>
                <w:szCs w:val="18"/>
                <w:color w:val="auto"/>
              </w:rPr>
              <w:t>1,021,617</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11.9 %</w:t>
            </w: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20"/>
        <w:spacing w:after="0"/>
        <w:rPr>
          <w:sz w:val="20"/>
          <w:szCs w:val="20"/>
          <w:color w:val="auto"/>
        </w:rPr>
      </w:pPr>
      <w:r>
        <w:rPr>
          <w:rFonts w:ascii="Arial" w:cs="Arial" w:eastAsia="Arial" w:hAnsi="Arial"/>
          <w:sz w:val="9"/>
          <w:szCs w:val="9"/>
          <w:color w:val="auto"/>
        </w:rPr>
        <w:t>___________________</w:t>
      </w:r>
    </w:p>
    <w:p>
      <w:pPr>
        <w:spacing w:after="0" w:line="7" w:lineRule="exact"/>
        <w:rPr>
          <w:sz w:val="20"/>
          <w:szCs w:val="20"/>
          <w:color w:val="auto"/>
        </w:rPr>
      </w:pPr>
    </w:p>
    <w:p>
      <w:pPr>
        <w:spacing w:after="0"/>
        <w:tabs>
          <w:tab w:leader="none" w:pos="20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2"/>
          <w:szCs w:val="12"/>
          <w:color w:val="auto"/>
        </w:rPr>
        <w:t>Less than 1%</w:t>
      </w:r>
    </w:p>
    <w:p>
      <w:pPr>
        <w:spacing w:after="0" w:line="4" w:lineRule="exact"/>
        <w:rPr>
          <w:sz w:val="20"/>
          <w:szCs w:val="20"/>
          <w:color w:val="auto"/>
        </w:rPr>
      </w:pPr>
    </w:p>
    <w:p>
      <w:pPr>
        <w:ind w:left="300" w:hanging="294"/>
        <w:spacing w:after="0"/>
        <w:tabs>
          <w:tab w:leader="none" w:pos="300" w:val="left"/>
        </w:tabs>
        <w:numPr>
          <w:ilvl w:val="0"/>
          <w:numId w:val="72"/>
        </w:numPr>
        <w:rPr>
          <w:rFonts w:ascii="Arial" w:cs="Arial" w:eastAsia="Arial" w:hAnsi="Arial"/>
          <w:sz w:val="14"/>
          <w:szCs w:val="14"/>
          <w:color w:val="auto"/>
        </w:rPr>
      </w:pPr>
      <w:r>
        <w:rPr>
          <w:rFonts w:ascii="Arial" w:cs="Arial" w:eastAsia="Arial" w:hAnsi="Arial"/>
          <w:sz w:val="14"/>
          <w:szCs w:val="14"/>
          <w:color w:val="auto"/>
        </w:rPr>
        <w:t>The address of each director and named executive officer is 200 Crescent Court, Suite 1200, Dallas, Texas, 75201.</w:t>
      </w:r>
    </w:p>
    <w:p>
      <w:pPr>
        <w:ind w:left="300" w:hanging="294"/>
        <w:spacing w:after="0"/>
        <w:tabs>
          <w:tab w:leader="none" w:pos="300" w:val="left"/>
        </w:tabs>
        <w:numPr>
          <w:ilvl w:val="0"/>
          <w:numId w:val="72"/>
        </w:numPr>
        <w:rPr>
          <w:rFonts w:ascii="Arial" w:cs="Arial" w:eastAsia="Arial" w:hAnsi="Arial"/>
          <w:sz w:val="13"/>
          <w:szCs w:val="13"/>
          <w:color w:val="auto"/>
        </w:rPr>
      </w:pPr>
      <w:r>
        <w:rPr>
          <w:rFonts w:ascii="Arial" w:cs="Arial" w:eastAsia="Arial" w:hAnsi="Arial"/>
          <w:sz w:val="13"/>
          <w:szCs w:val="13"/>
          <w:color w:val="auto"/>
        </w:rPr>
        <w:t>The beneficial ownership information reported for this stockholder is based upon the most recent Form 13F, Schedule 13G or Schedule 13D filed with the SEC by such stockholder.</w:t>
      </w:r>
    </w:p>
    <w:p>
      <w:pPr>
        <w:spacing w:after="0" w:line="9" w:lineRule="exact"/>
        <w:rPr>
          <w:rFonts w:ascii="Arial" w:cs="Arial" w:eastAsia="Arial" w:hAnsi="Arial"/>
          <w:sz w:val="13"/>
          <w:szCs w:val="13"/>
          <w:color w:val="auto"/>
        </w:rPr>
      </w:pPr>
    </w:p>
    <w:p>
      <w:pPr>
        <w:ind w:left="480" w:right="20" w:hanging="474"/>
        <w:spacing w:after="0" w:line="237" w:lineRule="auto"/>
        <w:tabs>
          <w:tab w:leader="none" w:pos="306" w:val="left"/>
        </w:tabs>
        <w:numPr>
          <w:ilvl w:val="0"/>
          <w:numId w:val="72"/>
        </w:numPr>
        <w:rPr>
          <w:rFonts w:ascii="Arial" w:cs="Arial" w:eastAsia="Arial" w:hAnsi="Arial"/>
          <w:sz w:val="14"/>
          <w:szCs w:val="14"/>
          <w:color w:val="auto"/>
        </w:rPr>
      </w:pPr>
      <w:r>
        <w:rPr>
          <w:rFonts w:ascii="Arial" w:cs="Arial" w:eastAsia="Arial" w:hAnsi="Arial"/>
          <w:sz w:val="14"/>
          <w:szCs w:val="14"/>
          <w:color w:val="auto"/>
        </w:rPr>
        <w:t>The address of JCP Investment Management, LLC is 1177 West Loop South, Suite 1320, Houston, Texas 77027. On January 5, 2022, JCP Investment Management, LLC reported its beneficial ownership, indicating that it held sole voting power over 860,416 shares. The Schedule 13D filed by JCP Investment Management, LLC is filed on its own behalf and on behalf of any subsidiaries listed on Exhibit B of the Schedule 13G, which each hold sole voting power, sole dispositive power, shared voting power, and shared dispositive power over a different number of shares. However, the 860,416 shares reflects the aggregate beneficial ownership reported by JCP Investment Management, LLC on a consolidated basis and includes any beneficial ownership separately reported by a subsidiary.</w:t>
      </w:r>
    </w:p>
    <w:p>
      <w:pPr>
        <w:spacing w:after="0" w:line="1" w:lineRule="exact"/>
        <w:rPr>
          <w:rFonts w:ascii="Arial" w:cs="Arial" w:eastAsia="Arial" w:hAnsi="Arial"/>
          <w:sz w:val="14"/>
          <w:szCs w:val="14"/>
          <w:color w:val="auto"/>
        </w:rPr>
      </w:pPr>
    </w:p>
    <w:p>
      <w:pPr>
        <w:ind w:left="480" w:right="60" w:hanging="474"/>
        <w:spacing w:after="0" w:line="255" w:lineRule="auto"/>
        <w:tabs>
          <w:tab w:leader="none" w:pos="306" w:val="left"/>
        </w:tabs>
        <w:numPr>
          <w:ilvl w:val="0"/>
          <w:numId w:val="72"/>
        </w:numPr>
        <w:rPr>
          <w:rFonts w:ascii="Arial" w:cs="Arial" w:eastAsia="Arial" w:hAnsi="Arial"/>
          <w:sz w:val="13"/>
          <w:szCs w:val="13"/>
          <w:color w:val="auto"/>
        </w:rPr>
      </w:pPr>
      <w:r>
        <w:rPr>
          <w:rFonts w:ascii="Arial" w:cs="Arial" w:eastAsia="Arial" w:hAnsi="Arial"/>
          <w:sz w:val="13"/>
          <w:szCs w:val="13"/>
          <w:color w:val="auto"/>
        </w:rPr>
        <w:t>The address of Allspring Global Investments Holdings, LLC is 525 Market St., 10th Fl, San Francisco, CA 94105. On January 29, 2022, Allspring Global Investments Holdings, LLC reported its beneficial ownership, indicating that it held sole voting power over 552,629 shares and sole dispositive power over 586,389 shares. The Schedule 13G filed by Allspring Global Investments Holdings, LLC is filed on its own behalf and on behalf of any subsidiaries listed on Exhibit B of the Schedule 13G, which each hold sole voting power, sole dispositive power, shared voting power, and shared dispositive power over a different number of shares. However, the 586,389 shares reflects the aggregate beneficial ownership reported by Allspring Global Investments Holdings, LLC on a consolidated basis and includes any beneficial ownership separately reported by a subsidiary.</w:t>
      </w:r>
    </w:p>
    <w:p>
      <w:pPr>
        <w:spacing w:after="0" w:line="1" w:lineRule="exact"/>
        <w:rPr>
          <w:rFonts w:ascii="Arial" w:cs="Arial" w:eastAsia="Arial" w:hAnsi="Arial"/>
          <w:sz w:val="13"/>
          <w:szCs w:val="13"/>
          <w:color w:val="auto"/>
        </w:rPr>
      </w:pPr>
    </w:p>
    <w:p>
      <w:pPr>
        <w:ind w:left="480" w:right="40" w:hanging="474"/>
        <w:spacing w:after="0" w:line="237" w:lineRule="auto"/>
        <w:tabs>
          <w:tab w:leader="none" w:pos="306" w:val="left"/>
        </w:tabs>
        <w:numPr>
          <w:ilvl w:val="0"/>
          <w:numId w:val="72"/>
        </w:numPr>
        <w:rPr>
          <w:rFonts w:ascii="Arial" w:cs="Arial" w:eastAsia="Arial" w:hAnsi="Arial"/>
          <w:sz w:val="14"/>
          <w:szCs w:val="14"/>
          <w:color w:val="auto"/>
        </w:rPr>
      </w:pPr>
      <w:r>
        <w:rPr>
          <w:rFonts w:ascii="Arial" w:cs="Arial" w:eastAsia="Arial" w:hAnsi="Arial"/>
          <w:sz w:val="14"/>
          <w:szCs w:val="14"/>
          <w:color w:val="auto"/>
        </w:rPr>
        <w:t>The address of Renaissance Technologies LLC is 800 Third Avenue, New York, NY 10022. On February 11, 2022, Renaissance Technologies LLC reported its beneficial ownership, indicating that it held sole voting power over 517,712 shares, and sole dispositive power over 531,209 shares.</w:t>
      </w:r>
    </w:p>
    <w:p>
      <w:pPr>
        <w:ind w:left="480" w:right="200" w:hanging="474"/>
        <w:spacing w:after="0" w:line="247" w:lineRule="auto"/>
        <w:tabs>
          <w:tab w:leader="none" w:pos="306" w:val="left"/>
        </w:tabs>
        <w:numPr>
          <w:ilvl w:val="0"/>
          <w:numId w:val="72"/>
        </w:numPr>
        <w:rPr>
          <w:rFonts w:ascii="Arial" w:cs="Arial" w:eastAsia="Arial" w:hAnsi="Arial"/>
          <w:sz w:val="14"/>
          <w:szCs w:val="14"/>
          <w:color w:val="auto"/>
        </w:rPr>
      </w:pPr>
      <w:r>
        <w:rPr>
          <w:rFonts w:ascii="Arial" w:cs="Arial" w:eastAsia="Arial" w:hAnsi="Arial"/>
          <w:sz w:val="14"/>
          <w:szCs w:val="14"/>
          <w:color w:val="auto"/>
        </w:rPr>
        <w:t>The address of GAMCO Investors, Inc., or GAMCO is One Corporate Center, Rye, NY 10580. On February 11, 2022, GAMCO reported its beneficial ownership, indicating that it held sole voting power over 453,959 shares.</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00"/>
          </w:cols>
          <w:pgMar w:left="320" w:top="546" w:right="379"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t>REPORT OF THE AUDIT COMMITTEE</w:t>
      </w:r>
    </w:p>
    <w:p>
      <w:pPr>
        <w:spacing w:after="0" w:line="117" w:lineRule="exact"/>
        <w:rPr>
          <w:sz w:val="20"/>
          <w:szCs w:val="20"/>
          <w:color w:val="auto"/>
        </w:rPr>
      </w:pPr>
    </w:p>
    <w:p>
      <w:pPr>
        <w:ind w:firstLine="438"/>
        <w:spacing w:after="0" w:line="252" w:lineRule="auto"/>
        <w:rPr>
          <w:sz w:val="20"/>
          <w:szCs w:val="20"/>
          <w:color w:val="auto"/>
        </w:rPr>
      </w:pPr>
      <w:r>
        <w:rPr>
          <w:rFonts w:ascii="Arial" w:cs="Arial" w:eastAsia="Arial" w:hAnsi="Arial"/>
          <w:sz w:val="18"/>
          <w:szCs w:val="18"/>
          <w:color w:val="auto"/>
        </w:rPr>
        <w:t xml:space="preserve">In accordance with its written charter adopted by the Board of Directors, the Audit Committee assists the Board in fulfilling its oversight responsibilities by, among other things, reviewing the financial reports and other financial information provided by us to any governmental body or the public. The Audit Committee charter is available on our website </w:t>
      </w:r>
      <w:r>
        <w:rPr>
          <w:rFonts w:ascii="Arial" w:cs="Arial" w:eastAsia="Arial" w:hAnsi="Arial"/>
          <w:sz w:val="18"/>
          <w:szCs w:val="18"/>
          <w:i w:val="1"/>
          <w:iCs w:val="1"/>
          <w:color w:val="auto"/>
        </w:rPr>
        <w:t>westwoodgroup.com</w:t>
      </w:r>
      <w:r>
        <w:rPr>
          <w:rFonts w:ascii="Arial" w:cs="Arial" w:eastAsia="Arial" w:hAnsi="Arial"/>
          <w:sz w:val="18"/>
          <w:szCs w:val="18"/>
          <w:color w:val="auto"/>
        </w:rPr>
        <w:t xml:space="preserve"> under the corporate governance section. The Audit Committee reviews the adequacy of and compliance with such charter annually.</w:t>
      </w:r>
    </w:p>
    <w:p>
      <w:pPr>
        <w:spacing w:after="0" w:line="86" w:lineRule="exact"/>
        <w:rPr>
          <w:sz w:val="20"/>
          <w:szCs w:val="20"/>
          <w:color w:val="auto"/>
        </w:rPr>
      </w:pPr>
    </w:p>
    <w:p>
      <w:pPr>
        <w:ind w:firstLine="438"/>
        <w:spacing w:after="0" w:line="264" w:lineRule="auto"/>
        <w:rPr>
          <w:sz w:val="20"/>
          <w:szCs w:val="20"/>
          <w:color w:val="auto"/>
        </w:rPr>
      </w:pPr>
      <w:r>
        <w:rPr>
          <w:rFonts w:ascii="Arial" w:cs="Arial" w:eastAsia="Arial" w:hAnsi="Arial"/>
          <w:sz w:val="17"/>
          <w:szCs w:val="17"/>
          <w:color w:val="auto"/>
        </w:rPr>
        <w:t>In discharging its oversight responsibilities, the Audit Committee reviewed and discussed the audited consolidated financial statements of Westwood Holdings Group, Inc. ("Westwood") as of and for the fiscal year ended December 31, 2021 with management and Deloitte &amp; Touche LLP ("Deloitte"), our independent auditors. Management is responsible for Westwood’s financial reporting process, including its system of internal control over financial reporting (as defined in Rule 13a-15(f) and15d-15(f) promulgated under the Securities Exchange Act of 1934), and for the preparation of Westwood’s consolidated financial statements in accordance with generally accepted accounting principles. Deloitte is responsible for auditing those financial statements and expressing an opinion on the conformity of the financial statements with generally accepted accounting principles. The Audit Committee’s responsibility is to monitor and review these processes. The members of the Audit Committee are "independent" as defined by SEC and NYSE rules, and, although the Board of Directors has determined that Ms. Masterson and Mr. Norman are "audit committee financial experts" as defined by SEC rules, neither Ms. Masterson, Mr. Norman, nor any other member of the Audit Committee, represent themselves to be, or to serve as, accountants or auditors by profession or experts in the field of accounting or auditing.</w:t>
      </w:r>
    </w:p>
    <w:p>
      <w:pPr>
        <w:spacing w:after="0" w:line="78" w:lineRule="exact"/>
        <w:rPr>
          <w:sz w:val="20"/>
          <w:szCs w:val="20"/>
          <w:color w:val="auto"/>
        </w:rPr>
      </w:pPr>
    </w:p>
    <w:p>
      <w:pPr>
        <w:ind w:right="80" w:firstLine="438"/>
        <w:spacing w:after="0" w:line="250" w:lineRule="auto"/>
        <w:rPr>
          <w:sz w:val="20"/>
          <w:szCs w:val="20"/>
          <w:color w:val="auto"/>
        </w:rPr>
      </w:pPr>
      <w:r>
        <w:rPr>
          <w:rFonts w:ascii="Arial" w:cs="Arial" w:eastAsia="Arial" w:hAnsi="Arial"/>
          <w:sz w:val="18"/>
          <w:szCs w:val="18"/>
          <w:color w:val="auto"/>
        </w:rPr>
        <w:t>The Audit Committee is directly responsible for the appointment, compensation, retention and oversight of the work of Deloitte. As part of fulfilling this responsibility, the Audit Committee engages in an annual evaluation of the independent auditing firm's qualifications, performance, independence, tenure and work quality as part of its decision as to whether the current firm should be retained for the upcoming year's audit. The Audit Committee discussed with Deloitte the overall scope and plan for their audits and met with the firm throughout the year, with and without management present, to monitor the firm's progress and results obtained from their audits.</w:t>
      </w:r>
    </w:p>
    <w:p>
      <w:pPr>
        <w:spacing w:after="0" w:line="89" w:lineRule="exact"/>
        <w:rPr>
          <w:sz w:val="20"/>
          <w:szCs w:val="20"/>
          <w:color w:val="auto"/>
        </w:rPr>
      </w:pPr>
    </w:p>
    <w:p>
      <w:pPr>
        <w:ind w:right="20" w:firstLine="438"/>
        <w:spacing w:after="0" w:line="250" w:lineRule="auto"/>
        <w:rPr>
          <w:sz w:val="20"/>
          <w:szCs w:val="20"/>
          <w:color w:val="auto"/>
        </w:rPr>
      </w:pPr>
      <w:r>
        <w:rPr>
          <w:rFonts w:ascii="Arial" w:cs="Arial" w:eastAsia="Arial" w:hAnsi="Arial"/>
          <w:sz w:val="18"/>
          <w:szCs w:val="18"/>
          <w:color w:val="auto"/>
        </w:rPr>
        <w:t>The Audit Committee received from Deloitte a formal written statement describing all relationships between the firm and Westwood that might bear on the auditors’ independence consistent with Independent Standards Board Standard No. 1, discussed with Deloitte any relationships that might impact their objectivity and independence and, based on such information, satisfied itself as to Deloitte’s independence. The Audit Committee also approved in advance all audit and permitted non-audit services to be provided and concluded that Deloitte's provision of other permitted non-audit services to Westwood and related entities is compatible with Deloitte's independence.</w:t>
      </w:r>
    </w:p>
    <w:p>
      <w:pPr>
        <w:spacing w:after="0" w:line="89" w:lineRule="exact"/>
        <w:rPr>
          <w:sz w:val="20"/>
          <w:szCs w:val="20"/>
          <w:color w:val="auto"/>
        </w:rPr>
      </w:pPr>
    </w:p>
    <w:p>
      <w:pPr>
        <w:ind w:right="60" w:firstLine="438"/>
        <w:spacing w:after="0" w:line="265" w:lineRule="auto"/>
        <w:rPr>
          <w:sz w:val="20"/>
          <w:szCs w:val="20"/>
          <w:color w:val="auto"/>
        </w:rPr>
      </w:pPr>
      <w:r>
        <w:rPr>
          <w:rFonts w:ascii="Arial" w:cs="Arial" w:eastAsia="Arial" w:hAnsi="Arial"/>
          <w:sz w:val="18"/>
          <w:szCs w:val="18"/>
          <w:color w:val="auto"/>
        </w:rPr>
        <w:t>The Audit Committee discussed with management, Westwood’s internal auditors and Deloitte the quality and adequacy of Westwood’s internal controls over financial reporting and the audit scope and plans for audits performed by the internal auditors and Deloitte.</w:t>
      </w:r>
    </w:p>
    <w:p>
      <w:pPr>
        <w:spacing w:after="0" w:line="74" w:lineRule="exact"/>
        <w:rPr>
          <w:sz w:val="20"/>
          <w:szCs w:val="20"/>
          <w:color w:val="auto"/>
        </w:rPr>
      </w:pPr>
    </w:p>
    <w:p>
      <w:pPr>
        <w:ind w:right="220" w:firstLine="438"/>
        <w:spacing w:after="0" w:line="255" w:lineRule="auto"/>
        <w:rPr>
          <w:sz w:val="20"/>
          <w:szCs w:val="20"/>
          <w:color w:val="auto"/>
        </w:rPr>
      </w:pPr>
      <w:r>
        <w:rPr>
          <w:rFonts w:ascii="Arial" w:cs="Arial" w:eastAsia="Arial" w:hAnsi="Arial"/>
          <w:sz w:val="18"/>
          <w:szCs w:val="18"/>
          <w:color w:val="auto"/>
        </w:rPr>
        <w:t>The Audit Committee also discussed with Deloitte all communications required by generally accepted auditing standards used in the United States, including those described in Statement on Auditing Standards No. 16, as amended, as adopted by the Public Company Accounting Oversight Board in Rule 3200T.</w:t>
      </w:r>
    </w:p>
    <w:p>
      <w:pPr>
        <w:spacing w:after="0" w:line="83" w:lineRule="exact"/>
        <w:rPr>
          <w:sz w:val="20"/>
          <w:szCs w:val="20"/>
          <w:color w:val="auto"/>
        </w:rPr>
      </w:pPr>
    </w:p>
    <w:p>
      <w:pPr>
        <w:ind w:firstLine="438"/>
        <w:spacing w:after="0" w:line="264" w:lineRule="auto"/>
        <w:rPr>
          <w:sz w:val="20"/>
          <w:szCs w:val="20"/>
          <w:color w:val="auto"/>
        </w:rPr>
      </w:pPr>
      <w:r>
        <w:rPr>
          <w:rFonts w:ascii="Arial" w:cs="Arial" w:eastAsia="Arial" w:hAnsi="Arial"/>
          <w:sz w:val="17"/>
          <w:szCs w:val="17"/>
          <w:color w:val="auto"/>
        </w:rPr>
        <w:t>For the fiscal year 2021, management completed the documentation, testing and evaluation of Westwood’s system of internal control over financial reporting in response to the requirements set forth in Section 404 of the Sarbanes-Oxley Act of 2002, and related regulations. In making its assessment, management used the criteria set forth by the Committee of Sponsoring Organizations of the Treadway Commission ("COSO") in Internal Control - Integrated Framework (2013 framework). The Audit Committee monitored the progress of the evaluation and provided oversight and guidance to management and internal audit during the process. In connection with this oversight, the Audit Committee received periodic updates provided by management, internal audit and Deloitte. At the conclusion of the process, management provided the Audit Committee with a report on management’s assessment of the effectiveness of Westwood’s internal control over financial reporting as of December 31, 2021. The Audit Committee discussed with management and Deloitte the significant accounting policies used and significant estimates made by management in the preparation of our audited consolidated financial statements and the overall quality of management's financial reporting process. In addition, the Audit Committee reviewed the quarterly and annual earnings reports with management and Deloitte prior to earnings announcements throughout the year.</w:t>
      </w:r>
    </w:p>
    <w:p>
      <w:pPr>
        <w:spacing w:after="0" w:line="78" w:lineRule="exact"/>
        <w:rPr>
          <w:sz w:val="20"/>
          <w:szCs w:val="20"/>
          <w:color w:val="auto"/>
        </w:rPr>
      </w:pPr>
    </w:p>
    <w:p>
      <w:pPr>
        <w:ind w:right="100" w:firstLine="438"/>
        <w:spacing w:after="0" w:line="255" w:lineRule="auto"/>
        <w:rPr>
          <w:sz w:val="20"/>
          <w:szCs w:val="20"/>
          <w:color w:val="auto"/>
        </w:rPr>
      </w:pPr>
      <w:r>
        <w:rPr>
          <w:rFonts w:ascii="Arial" w:cs="Arial" w:eastAsia="Arial" w:hAnsi="Arial"/>
          <w:sz w:val="18"/>
          <w:szCs w:val="18"/>
          <w:color w:val="auto"/>
        </w:rPr>
        <w:t>Based upon the above-mentioned review and discussions with management and Deloitte, the Audit Committee recommended to the Board of Directors that Westwood’s audited consolidated financial statements be included in its Annual Report on Form 10-K for the fiscal year ended December 31, 2021, for filing with the Securities and Exchange Commission.</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40"/>
          </w:cols>
          <w:pgMar w:left="320" w:top="439" w:right="339" w:bottom="1440" w:gutter="0" w:footer="0" w:header="0"/>
        </w:sectPr>
      </w:pPr>
    </w:p>
    <w:bookmarkStart w:id="51" w:name="page52"/>
    <w:bookmarkEnd w:id="51"/>
    <w:p>
      <w:pPr>
        <w:ind w:left="400"/>
        <w:spacing w:after="0"/>
        <w:rPr>
          <w:sz w:val="20"/>
          <w:szCs w:val="20"/>
          <w:color w:val="auto"/>
        </w:rPr>
      </w:pPr>
      <w:r>
        <w:rPr>
          <w:rFonts w:ascii="Arial" w:cs="Arial" w:eastAsia="Arial" w:hAnsi="Arial"/>
          <w:sz w:val="18"/>
          <w:szCs w:val="18"/>
          <w:color w:val="auto"/>
        </w:rPr>
        <w:t>AUDIT COMMITTEE</w:t>
      </w:r>
    </w:p>
    <w:p>
      <w:pPr>
        <w:spacing w:after="0" w:line="8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Ellen H. Masterson, Chairperson</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Richard M. Frank</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Geoffrey R. Norman</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Randy A. Bowman</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Raymond E. Wooldridge</w:t>
      </w:r>
    </w:p>
    <w:p>
      <w:pPr>
        <w:spacing w:after="0" w:line="200" w:lineRule="exact"/>
        <w:rPr>
          <w:sz w:val="20"/>
          <w:szCs w:val="20"/>
          <w:color w:val="auto"/>
        </w:rPr>
      </w:pPr>
    </w:p>
    <w:p>
      <w:pPr>
        <w:spacing w:after="0" w:line="391"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9679"/>
          </w:cols>
          <w:pgMar w:left="780" w:top="645" w:right="1440" w:bottom="1440" w:gutter="0" w:footer="0" w:header="0"/>
        </w:sectPr>
      </w:pPr>
    </w:p>
    <w:bookmarkStart w:id="52" w:name="page53"/>
    <w:bookmarkEnd w:id="52"/>
    <w:p>
      <w:pPr>
        <w:jc w:val="center"/>
        <w:ind w:right="-19"/>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17" w:lineRule="exact"/>
        <w:rPr>
          <w:sz w:val="20"/>
          <w:szCs w:val="20"/>
          <w:color w:val="auto"/>
        </w:rPr>
      </w:pPr>
    </w:p>
    <w:p>
      <w:pPr>
        <w:jc w:val="both"/>
        <w:ind w:right="420" w:firstLine="398"/>
        <w:spacing w:after="0" w:line="330" w:lineRule="auto"/>
        <w:rPr>
          <w:sz w:val="20"/>
          <w:szCs w:val="20"/>
          <w:color w:val="auto"/>
        </w:rPr>
      </w:pPr>
      <w:r>
        <w:rPr>
          <w:rFonts w:ascii="Arial" w:cs="Arial" w:eastAsia="Arial" w:hAnsi="Arial"/>
          <w:sz w:val="15"/>
          <w:szCs w:val="15"/>
          <w:color w:val="auto"/>
        </w:rPr>
        <w:t>Section 16(a) of the Securities Exchange Act of 1934 requires our directors, executive officers and persons who own more than ten percent of our common stock to file with the SEC initial statements of beneficial ownership of securities and subsequent changes in beneficial ownership. Our officers, directors and greater-than-ten-percent stockholders are required by the SEC's regulations to furnish us with copies of all Section 16(a) forms they file.</w:t>
      </w:r>
    </w:p>
    <w:p>
      <w:pPr>
        <w:spacing w:after="0" w:line="31" w:lineRule="exact"/>
        <w:rPr>
          <w:sz w:val="20"/>
          <w:szCs w:val="20"/>
          <w:color w:val="auto"/>
        </w:rPr>
      </w:pPr>
    </w:p>
    <w:p>
      <w:pPr>
        <w:ind w:right="140" w:firstLine="398"/>
        <w:spacing w:after="0" w:line="255" w:lineRule="auto"/>
        <w:rPr>
          <w:sz w:val="20"/>
          <w:szCs w:val="20"/>
          <w:color w:val="auto"/>
        </w:rPr>
      </w:pPr>
      <w:r>
        <w:rPr>
          <w:rFonts w:ascii="Arial" w:cs="Arial" w:eastAsia="Arial" w:hAnsi="Arial"/>
          <w:sz w:val="18"/>
          <w:szCs w:val="18"/>
          <w:color w:val="auto"/>
        </w:rPr>
        <w:t>To Westwood's knowledge, based solely on a review of the copies of such reports furnished to us and written representations that no other reports were required, we believe that our officers, directors and greater-than-ten-percent beneficial owners complied in a timely fashion with all Section 16(a) filing requirements applicable to them.</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STOCKHOLDER PROPOSALS</w:t>
      </w:r>
    </w:p>
    <w:p>
      <w:pPr>
        <w:spacing w:after="0" w:line="117" w:lineRule="exact"/>
        <w:rPr>
          <w:sz w:val="20"/>
          <w:szCs w:val="20"/>
          <w:color w:val="auto"/>
        </w:rPr>
      </w:pPr>
    </w:p>
    <w:p>
      <w:pPr>
        <w:ind w:right="80" w:firstLine="477"/>
        <w:spacing w:after="0" w:line="250" w:lineRule="auto"/>
        <w:rPr>
          <w:sz w:val="20"/>
          <w:szCs w:val="20"/>
          <w:color w:val="auto"/>
        </w:rPr>
      </w:pPr>
      <w:r>
        <w:rPr>
          <w:rFonts w:ascii="Arial" w:cs="Arial" w:eastAsia="Arial" w:hAnsi="Arial"/>
          <w:sz w:val="18"/>
          <w:szCs w:val="18"/>
          <w:color w:val="auto"/>
        </w:rPr>
        <w:t>Stockholders may present proper proposals for inclusion in our proxy statement and form of proxy for consideration at the 2023 annual meeting of stockholders pursuant to Rule 14a-8 under the Exchange Act by submitting their proposals to our Corporate Secretary in a timely manner. Such proposals must be received at our principal executive offices no later than the close of business on November 22, 2022. Proposals should be submitted in writing to 200 Crescent Court, Suite 1200, Dallas, Texas 75201, Attn: Corporate Secretary. Such stockholder proposals must comply with all applicable legal requirements, including Rule 14a-8 under the Exchange Act.</w:t>
      </w:r>
    </w:p>
    <w:p>
      <w:pPr>
        <w:spacing w:after="0" w:line="89" w:lineRule="exact"/>
        <w:rPr>
          <w:sz w:val="20"/>
          <w:szCs w:val="20"/>
          <w:color w:val="auto"/>
        </w:rPr>
      </w:pPr>
    </w:p>
    <w:p>
      <w:pPr>
        <w:ind w:right="80" w:firstLine="477"/>
        <w:spacing w:after="0" w:line="307" w:lineRule="auto"/>
        <w:rPr>
          <w:sz w:val="20"/>
          <w:szCs w:val="20"/>
          <w:color w:val="auto"/>
        </w:rPr>
      </w:pPr>
      <w:r>
        <w:rPr>
          <w:rFonts w:ascii="Arial" w:cs="Arial" w:eastAsia="Arial" w:hAnsi="Arial"/>
          <w:sz w:val="15"/>
          <w:szCs w:val="15"/>
          <w:color w:val="auto"/>
        </w:rPr>
        <w:t>For stockholder proposals not intended to be submitted in next year’s proxy materials, but sought to be presented at next year’s annual meeting of stockholders, our Bylaws provide that such proposals, including director nominations, must be received by our Corporate Secretary at our principal executive offices not later than the close of business on January 27, 2023 and not earlier than the close of business on December 28, 2022. In the event that the date of the 2023 annual meeting of stockholders is more than 30 days before or more than 60 days after the one-year anniversary of the 2022 Annual Meeting of Stockholders, notice of such any such stockholder proposal must be received no earlier than the close of business on the 120th day before 2023 annual meeting of stockholders and no later than the close of business on the later of the two following dates: the ninetieth 90th day prior to 2023 annual meeting of stockholders, or the 10th day following the day on which public announcement of the date our 2023 annual meeting of stockholders is first made.</w:t>
      </w:r>
    </w:p>
    <w:p>
      <w:pPr>
        <w:spacing w:after="0" w:line="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ANNUAL REPORT</w:t>
      </w:r>
    </w:p>
    <w:p>
      <w:pPr>
        <w:spacing w:after="0" w:line="117" w:lineRule="exact"/>
        <w:rPr>
          <w:sz w:val="20"/>
          <w:szCs w:val="20"/>
          <w:color w:val="auto"/>
        </w:rPr>
      </w:pPr>
    </w:p>
    <w:p>
      <w:pPr>
        <w:ind w:firstLine="398"/>
        <w:spacing w:after="0" w:line="252" w:lineRule="auto"/>
        <w:rPr>
          <w:sz w:val="20"/>
          <w:szCs w:val="20"/>
          <w:color w:val="auto"/>
        </w:rPr>
      </w:pPr>
      <w:r>
        <w:rPr>
          <w:rFonts w:ascii="Arial" w:cs="Arial" w:eastAsia="Arial" w:hAnsi="Arial"/>
          <w:sz w:val="18"/>
          <w:szCs w:val="18"/>
          <w:color w:val="auto"/>
        </w:rPr>
        <w:t>Our 2021 Annual Report to Stockholders, which includes our consolidated financial statements as of and for the year ended December 31, 2021, is being mailed to you along with this proxy statement. Upon written request, we are pleased to provide, without charge to any stockholder, a copy of our 2021 Form 10-K, including the financial statements and financial statement schedules to such report. Such request should be directed to 200 Crescent Court, Suite 1200, Dallas, Texas 75201, Attn: Corporate Secretary.</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HOUSEHOLDING OF PROXY MATERIALS</w:t>
      </w:r>
    </w:p>
    <w:p>
      <w:pPr>
        <w:spacing w:after="0" w:line="117" w:lineRule="exact"/>
        <w:rPr>
          <w:sz w:val="20"/>
          <w:szCs w:val="20"/>
          <w:color w:val="auto"/>
        </w:rPr>
      </w:pPr>
    </w:p>
    <w:p>
      <w:pPr>
        <w:ind w:right="140" w:firstLine="398"/>
        <w:spacing w:after="0" w:line="309" w:lineRule="auto"/>
        <w:rPr>
          <w:sz w:val="20"/>
          <w:szCs w:val="20"/>
          <w:color w:val="auto"/>
        </w:rPr>
      </w:pPr>
      <w:r>
        <w:rPr>
          <w:rFonts w:ascii="Arial" w:cs="Arial" w:eastAsia="Arial" w:hAnsi="Arial"/>
          <w:sz w:val="15"/>
          <w:szCs w:val="15"/>
          <w:color w:val="auto"/>
        </w:rPr>
        <w:t>Unless we have received contrary instructions, we may send a single copy of this proxy statement and notice of annual meeting to any household at which two or more stockholders reside if we believe the stockholders are members of the same family. Each stockholder in the household will continue to receive a separate proxy card. This process, known as "householding," reduces the volume of duplicate information received at any one household and helps to reduce our expenses. However, if stockholders prefer to receive multiple sets of our disclosure documents at the same address this year or in future years, they should follow the instructions described below. Similarly, if an address is shared with another stockholder and both of the stockholders would like to receive only a single set of our disclosure documents, they should follow these instructions:</w:t>
      </w:r>
    </w:p>
    <w:p>
      <w:pPr>
        <w:spacing w:after="0" w:line="47" w:lineRule="exact"/>
        <w:rPr>
          <w:sz w:val="20"/>
          <w:szCs w:val="20"/>
          <w:color w:val="auto"/>
        </w:rPr>
      </w:pPr>
    </w:p>
    <w:p>
      <w:pPr>
        <w:ind w:left="640" w:right="280" w:hanging="316"/>
        <w:spacing w:after="0" w:line="265" w:lineRule="auto"/>
        <w:tabs>
          <w:tab w:leader="none" w:pos="635" w:val="left"/>
        </w:tabs>
        <w:numPr>
          <w:ilvl w:val="0"/>
          <w:numId w:val="73"/>
        </w:numPr>
        <w:rPr>
          <w:rFonts w:ascii="Arial" w:cs="Arial" w:eastAsia="Arial" w:hAnsi="Arial"/>
          <w:sz w:val="18"/>
          <w:szCs w:val="18"/>
          <w:color w:val="auto"/>
        </w:rPr>
      </w:pPr>
      <w:r>
        <w:rPr>
          <w:rFonts w:ascii="Arial" w:cs="Arial" w:eastAsia="Arial" w:hAnsi="Arial"/>
          <w:sz w:val="18"/>
          <w:szCs w:val="18"/>
          <w:color w:val="auto"/>
        </w:rPr>
        <w:t>If the shares are registered in the name of the stockholder, stockholders should contact us at our offices at 200 Crescent Court, Suite 1200, Dallas, Texas 75201, Attention: Corporate Secretary, or by telephone at 214-756-6900, to inform us of the request.</w:t>
      </w:r>
    </w:p>
    <w:p>
      <w:pPr>
        <w:spacing w:after="0" w:line="73" w:lineRule="exact"/>
        <w:rPr>
          <w:rFonts w:ascii="Arial" w:cs="Arial" w:eastAsia="Arial" w:hAnsi="Arial"/>
          <w:sz w:val="18"/>
          <w:szCs w:val="18"/>
          <w:color w:val="auto"/>
        </w:rPr>
      </w:pPr>
    </w:p>
    <w:p>
      <w:pPr>
        <w:ind w:left="640" w:hanging="316"/>
        <w:spacing w:after="0"/>
        <w:tabs>
          <w:tab w:leader="none" w:pos="6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If a bank, broker or other nominee holds the shares, stockholders should contact the bank, broker or other nominee directly.</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20"/>
          </w:cols>
          <w:pgMar w:left="320" w:top="546" w:right="359" w:bottom="1440" w:gutter="0" w:footer="0" w:header="0"/>
        </w:sectPr>
      </w:pPr>
    </w:p>
    <w:bookmarkStart w:id="53" w:name="page54"/>
    <w:bookmarkEnd w:id="53"/>
    <w:p>
      <w:pPr>
        <w:jc w:val="center"/>
        <w:ind w:right="-359"/>
        <w:spacing w:after="0"/>
        <w:rPr>
          <w:sz w:val="20"/>
          <w:szCs w:val="20"/>
          <w:color w:val="auto"/>
        </w:rPr>
      </w:pPr>
      <w:r>
        <w:rPr>
          <w:rFonts w:ascii="Arial" w:cs="Arial" w:eastAsia="Arial" w:hAnsi="Arial"/>
          <w:sz w:val="18"/>
          <w:szCs w:val="18"/>
          <w:b w:val="1"/>
          <w:bCs w:val="1"/>
          <w:color w:val="auto"/>
        </w:rPr>
        <w:t>OTHER MATTERS</w:t>
      </w:r>
    </w:p>
    <w:p>
      <w:pPr>
        <w:spacing w:after="0" w:line="117" w:lineRule="exact"/>
        <w:rPr>
          <w:sz w:val="20"/>
          <w:szCs w:val="20"/>
          <w:color w:val="auto"/>
        </w:rPr>
      </w:pPr>
    </w:p>
    <w:p>
      <w:pPr>
        <w:ind w:firstLine="398"/>
        <w:spacing w:after="0" w:line="366" w:lineRule="auto"/>
        <w:rPr>
          <w:sz w:val="20"/>
          <w:szCs w:val="20"/>
          <w:color w:val="auto"/>
        </w:rPr>
      </w:pPr>
      <w:r>
        <w:rPr>
          <w:rFonts w:ascii="Arial" w:cs="Arial" w:eastAsia="Arial" w:hAnsi="Arial"/>
          <w:sz w:val="15"/>
          <w:szCs w:val="15"/>
          <w:color w:val="auto"/>
        </w:rPr>
        <w:t>Our Board of Directors knows of no other matters that will be presented for consideration at the annual meeting. If any other matters are properly brought before the meeting, it is the intention of the persons named as proxy holder in the accompanying proxy to vote on such matters in their discretion.</w:t>
      </w:r>
    </w:p>
    <w:p>
      <w:pPr>
        <w:spacing w:after="0" w:line="97" w:lineRule="exact"/>
        <w:rPr>
          <w:sz w:val="20"/>
          <w:szCs w:val="20"/>
          <w:color w:val="auto"/>
        </w:rPr>
      </w:pPr>
    </w:p>
    <w:p>
      <w:pPr>
        <w:ind w:left="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61595</wp:posOffset>
            </wp:positionV>
            <wp:extent cx="960120" cy="3200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960120" cy="320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Brian O. Casey</w:t>
      </w:r>
    </w:p>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color w:val="auto"/>
        </w:rPr>
        <w:t>President and Chief Executive Officer</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March 22, 2022</w:t>
      </w:r>
    </w:p>
    <w:p>
      <w:pPr>
        <w:spacing w:after="0" w:line="111"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0900"/>
          </w:cols>
          <w:pgMar w:left="320" w:top="546" w:right="679" w:bottom="1440" w:gutter="0" w:footer="0" w:header="0"/>
        </w:sectPr>
      </w:pPr>
    </w:p>
    <w:bookmarkStart w:id="54" w:name="page55"/>
    <w:bookmarkEnd w:id="54"/>
    <w:p>
      <w:pPr>
        <w:jc w:val="right"/>
        <w:spacing w:after="0"/>
        <w:rPr>
          <w:sz w:val="20"/>
          <w:szCs w:val="20"/>
          <w:color w:val="auto"/>
        </w:rPr>
      </w:pPr>
      <w:r>
        <w:rPr>
          <w:rFonts w:ascii="Arial" w:cs="Arial" w:eastAsia="Arial" w:hAnsi="Arial"/>
          <w:sz w:val="21"/>
          <w:szCs w:val="21"/>
          <w:b w:val="1"/>
          <w:bCs w:val="1"/>
          <w:color w:val="auto"/>
        </w:rPr>
        <w:t>Appendix A</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EIGHTH AMENDED AND RESTATED WESTWOOD HOLDINGS GROUP, INC.</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INCENTIVE PLAN</w:t>
      </w:r>
    </w:p>
    <w:p>
      <w:pPr>
        <w:spacing w:after="0" w:line="200" w:lineRule="exact"/>
        <w:rPr>
          <w:sz w:val="20"/>
          <w:szCs w:val="20"/>
          <w:color w:val="auto"/>
        </w:rPr>
      </w:pPr>
    </w:p>
    <w:p>
      <w:pPr>
        <w:spacing w:after="0" w:line="256" w:lineRule="exact"/>
        <w:rPr>
          <w:sz w:val="20"/>
          <w:szCs w:val="20"/>
          <w:color w:val="auto"/>
        </w:rPr>
      </w:pPr>
    </w:p>
    <w:p>
      <w:pPr>
        <w:ind w:left="320" w:hanging="314"/>
        <w:spacing w:after="0"/>
        <w:tabs>
          <w:tab w:leader="none" w:pos="320" w:val="left"/>
        </w:tabs>
        <w:numPr>
          <w:ilvl w:val="0"/>
          <w:numId w:val="74"/>
        </w:numPr>
        <w:rPr>
          <w:rFonts w:ascii="Arial" w:cs="Arial" w:eastAsia="Arial" w:hAnsi="Arial"/>
          <w:sz w:val="18"/>
          <w:szCs w:val="18"/>
          <w:color w:val="auto"/>
        </w:rPr>
      </w:pPr>
      <w:r>
        <w:rPr>
          <w:rFonts w:ascii="Arial" w:cs="Arial" w:eastAsia="Arial" w:hAnsi="Arial"/>
          <w:sz w:val="18"/>
          <w:szCs w:val="18"/>
          <w:b w:val="1"/>
          <w:bCs w:val="1"/>
          <w:u w:val="single" w:color="auto"/>
          <w:color w:val="auto"/>
        </w:rPr>
        <w:t>ESTABLISHMENT, PURPOSE AND TERM OF PLAN</w:t>
      </w:r>
      <w:r>
        <w:rPr>
          <w:rFonts w:ascii="Arial" w:cs="Arial" w:eastAsia="Arial" w:hAnsi="Arial"/>
          <w:sz w:val="18"/>
          <w:szCs w:val="18"/>
          <w:b w:val="1"/>
          <w:bCs w:val="1"/>
          <w:color w:val="auto"/>
        </w:rPr>
        <w:t>.</w:t>
      </w:r>
    </w:p>
    <w:p>
      <w:pPr>
        <w:spacing w:after="0" w:line="111" w:lineRule="exact"/>
        <w:rPr>
          <w:rFonts w:ascii="Arial" w:cs="Arial" w:eastAsia="Arial" w:hAnsi="Arial"/>
          <w:sz w:val="18"/>
          <w:szCs w:val="18"/>
          <w:color w:val="auto"/>
        </w:rPr>
      </w:pPr>
    </w:p>
    <w:p>
      <w:pPr>
        <w:ind w:left="1280" w:right="440" w:hanging="637"/>
        <w:spacing w:after="0" w:line="272" w:lineRule="auto"/>
        <w:tabs>
          <w:tab w:leader="none" w:pos="1280" w:val="left"/>
        </w:tabs>
        <w:numPr>
          <w:ilvl w:val="1"/>
          <w:numId w:val="74"/>
        </w:numPr>
        <w:rPr>
          <w:rFonts w:ascii="Arial" w:cs="Arial" w:eastAsia="Arial" w:hAnsi="Arial"/>
          <w:sz w:val="18"/>
          <w:szCs w:val="18"/>
          <w:color w:val="auto"/>
        </w:rPr>
      </w:pPr>
      <w:r>
        <w:rPr>
          <w:rFonts w:ascii="Arial" w:cs="Arial" w:eastAsia="Arial" w:hAnsi="Arial"/>
          <w:sz w:val="18"/>
          <w:szCs w:val="18"/>
          <w:b w:val="1"/>
          <w:bCs w:val="1"/>
          <w:color w:val="auto"/>
        </w:rPr>
        <w:t xml:space="preserve">Establishment. </w:t>
      </w:r>
      <w:r>
        <w:rPr>
          <w:rFonts w:ascii="Arial" w:cs="Arial" w:eastAsia="Arial" w:hAnsi="Arial"/>
          <w:sz w:val="18"/>
          <w:szCs w:val="18"/>
          <w:color w:val="auto"/>
        </w:rPr>
        <w:t>This Eighth Amended and Restated Westwood Holdings Group, Inc. Stock Incentive Plan, as amended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is</w:t>
      </w:r>
      <w:r>
        <w:rPr>
          <w:rFonts w:ascii="Arial" w:cs="Arial" w:eastAsia="Arial" w:hAnsi="Arial"/>
          <w:sz w:val="18"/>
          <w:szCs w:val="18"/>
          <w:b w:val="1"/>
          <w:bCs w:val="1"/>
          <w:color w:val="auto"/>
        </w:rPr>
        <w:t xml:space="preserve"> </w:t>
      </w:r>
      <w:r>
        <w:rPr>
          <w:rFonts w:ascii="Arial" w:cs="Arial" w:eastAsia="Arial" w:hAnsi="Arial"/>
          <w:sz w:val="18"/>
          <w:szCs w:val="18"/>
          <w:color w:val="auto"/>
        </w:rPr>
        <w:t>hereby established effective as of March 4, 2021 (the “</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w:t>
      </w:r>
    </w:p>
    <w:p>
      <w:pPr>
        <w:spacing w:after="0" w:line="61" w:lineRule="exact"/>
        <w:rPr>
          <w:rFonts w:ascii="Arial" w:cs="Arial" w:eastAsia="Arial" w:hAnsi="Arial"/>
          <w:sz w:val="18"/>
          <w:szCs w:val="18"/>
          <w:color w:val="auto"/>
        </w:rPr>
      </w:pPr>
    </w:p>
    <w:p>
      <w:pPr>
        <w:ind w:left="1280" w:right="460" w:hanging="637"/>
        <w:spacing w:after="0" w:line="259" w:lineRule="auto"/>
        <w:tabs>
          <w:tab w:leader="none" w:pos="1280" w:val="left"/>
        </w:tabs>
        <w:numPr>
          <w:ilvl w:val="1"/>
          <w:numId w:val="74"/>
        </w:numPr>
        <w:rPr>
          <w:rFonts w:ascii="Arial" w:cs="Arial" w:eastAsia="Arial" w:hAnsi="Arial"/>
          <w:sz w:val="18"/>
          <w:szCs w:val="18"/>
          <w:color w:val="auto"/>
        </w:rPr>
      </w:pPr>
      <w:r>
        <w:rPr>
          <w:rFonts w:ascii="Arial" w:cs="Arial" w:eastAsia="Arial" w:hAnsi="Arial"/>
          <w:sz w:val="18"/>
          <w:szCs w:val="18"/>
          <w:b w:val="1"/>
          <w:bCs w:val="1"/>
          <w:color w:val="auto"/>
        </w:rPr>
        <w:t xml:space="preserve">Purpose. </w:t>
      </w:r>
      <w:r>
        <w:rPr>
          <w:rFonts w:ascii="Arial" w:cs="Arial" w:eastAsia="Arial" w:hAnsi="Arial"/>
          <w:sz w:val="18"/>
          <w:szCs w:val="18"/>
          <w:color w:val="auto"/>
        </w:rPr>
        <w:t>The purpose of the Plan is to advance the interests of the Participating Company Group and its stockholders by providing an</w:t>
      </w:r>
      <w:r>
        <w:rPr>
          <w:rFonts w:ascii="Arial" w:cs="Arial" w:eastAsia="Arial" w:hAnsi="Arial"/>
          <w:sz w:val="18"/>
          <w:szCs w:val="18"/>
          <w:b w:val="1"/>
          <w:bCs w:val="1"/>
          <w:color w:val="auto"/>
        </w:rPr>
        <w:t xml:space="preserve"> </w:t>
      </w:r>
      <w:r>
        <w:rPr>
          <w:rFonts w:ascii="Arial" w:cs="Arial" w:eastAsia="Arial" w:hAnsi="Arial"/>
          <w:sz w:val="18"/>
          <w:szCs w:val="18"/>
          <w:color w:val="auto"/>
        </w:rPr>
        <w:t>incentive to attract and retain persons performing services for the Participating Company Group and by motivating such persons to contribute to the growth and profitability of the Participating Company Group.</w:t>
      </w:r>
    </w:p>
    <w:p>
      <w:pPr>
        <w:spacing w:after="0" w:line="72" w:lineRule="exact"/>
        <w:rPr>
          <w:rFonts w:ascii="Arial" w:cs="Arial" w:eastAsia="Arial" w:hAnsi="Arial"/>
          <w:sz w:val="18"/>
          <w:szCs w:val="18"/>
          <w:color w:val="auto"/>
        </w:rPr>
      </w:pPr>
    </w:p>
    <w:p>
      <w:pPr>
        <w:ind w:left="1280" w:right="160" w:hanging="637"/>
        <w:spacing w:after="0" w:line="254" w:lineRule="auto"/>
        <w:tabs>
          <w:tab w:leader="none" w:pos="1280" w:val="left"/>
        </w:tabs>
        <w:numPr>
          <w:ilvl w:val="1"/>
          <w:numId w:val="74"/>
        </w:numPr>
        <w:rPr>
          <w:rFonts w:ascii="Arial" w:cs="Arial" w:eastAsia="Arial" w:hAnsi="Arial"/>
          <w:sz w:val="18"/>
          <w:szCs w:val="18"/>
          <w:color w:val="auto"/>
        </w:rPr>
      </w:pPr>
      <w:r>
        <w:rPr>
          <w:rFonts w:ascii="Arial" w:cs="Arial" w:eastAsia="Arial" w:hAnsi="Arial"/>
          <w:sz w:val="18"/>
          <w:szCs w:val="18"/>
          <w:b w:val="1"/>
          <w:bCs w:val="1"/>
          <w:color w:val="auto"/>
        </w:rPr>
        <w:t xml:space="preserve">Term of Plan. </w:t>
      </w:r>
      <w:r>
        <w:rPr>
          <w:rFonts w:ascii="Arial" w:cs="Arial" w:eastAsia="Arial" w:hAnsi="Arial"/>
          <w:sz w:val="18"/>
          <w:szCs w:val="18"/>
          <w:color w:val="auto"/>
        </w:rPr>
        <w:t>The Plan shall continue in effect until the earlier of its termination by the Board or the date on which all of the shares of</w:t>
      </w:r>
      <w:r>
        <w:rPr>
          <w:rFonts w:ascii="Arial" w:cs="Arial" w:eastAsia="Arial" w:hAnsi="Arial"/>
          <w:sz w:val="18"/>
          <w:szCs w:val="18"/>
          <w:b w:val="1"/>
          <w:bCs w:val="1"/>
          <w:color w:val="auto"/>
        </w:rPr>
        <w:t xml:space="preserve"> </w:t>
      </w:r>
      <w:r>
        <w:rPr>
          <w:rFonts w:ascii="Arial" w:cs="Arial" w:eastAsia="Arial" w:hAnsi="Arial"/>
          <w:sz w:val="18"/>
          <w:szCs w:val="18"/>
          <w:color w:val="auto"/>
        </w:rPr>
        <w:t>Stock available for issuance under the Plan have been issued and all restrictions on such shares (if any) under the terms of the Plan and the agreements evidencing the Awards granted under the Plan have lapsed. However, all Awards shall be granted, if at all, on or before March 10, 2027.</w:t>
      </w:r>
    </w:p>
    <w:p>
      <w:pPr>
        <w:spacing w:after="0" w:line="78" w:lineRule="exact"/>
        <w:rPr>
          <w:rFonts w:ascii="Arial" w:cs="Arial" w:eastAsia="Arial" w:hAnsi="Arial"/>
          <w:sz w:val="18"/>
          <w:szCs w:val="18"/>
          <w:color w:val="auto"/>
        </w:rPr>
      </w:pPr>
    </w:p>
    <w:p>
      <w:pPr>
        <w:ind w:left="320" w:hanging="314"/>
        <w:spacing w:after="0"/>
        <w:tabs>
          <w:tab w:leader="none" w:pos="320" w:val="left"/>
        </w:tabs>
        <w:numPr>
          <w:ilvl w:val="0"/>
          <w:numId w:val="74"/>
        </w:numPr>
        <w:rPr>
          <w:rFonts w:ascii="Arial" w:cs="Arial" w:eastAsia="Arial" w:hAnsi="Arial"/>
          <w:sz w:val="18"/>
          <w:szCs w:val="18"/>
          <w:color w:val="auto"/>
        </w:rPr>
      </w:pPr>
      <w:r>
        <w:rPr>
          <w:rFonts w:ascii="Arial" w:cs="Arial" w:eastAsia="Arial" w:hAnsi="Arial"/>
          <w:sz w:val="18"/>
          <w:szCs w:val="18"/>
          <w:b w:val="1"/>
          <w:bCs w:val="1"/>
          <w:u w:val="single" w:color="auto"/>
          <w:color w:val="auto"/>
        </w:rPr>
        <w:t>DEFINITIONS AND CONSTRUCTION</w:t>
      </w:r>
      <w:r>
        <w:rPr>
          <w:rFonts w:ascii="Arial" w:cs="Arial" w:eastAsia="Arial" w:hAnsi="Arial"/>
          <w:sz w:val="18"/>
          <w:szCs w:val="18"/>
          <w:b w:val="1"/>
          <w:bCs w:val="1"/>
          <w:color w:val="auto"/>
        </w:rPr>
        <w:t>.</w:t>
      </w:r>
    </w:p>
    <w:p>
      <w:pPr>
        <w:spacing w:after="0" w:line="111" w:lineRule="exact"/>
        <w:rPr>
          <w:rFonts w:ascii="Arial" w:cs="Arial" w:eastAsia="Arial" w:hAnsi="Arial"/>
          <w:sz w:val="18"/>
          <w:szCs w:val="18"/>
          <w:color w:val="auto"/>
        </w:rPr>
      </w:pPr>
    </w:p>
    <w:p>
      <w:pPr>
        <w:ind w:left="1280" w:hanging="637"/>
        <w:spacing w:after="0"/>
        <w:tabs>
          <w:tab w:leader="none" w:pos="1280" w:val="left"/>
        </w:tabs>
        <w:numPr>
          <w:ilvl w:val="1"/>
          <w:numId w:val="74"/>
        </w:numPr>
        <w:rPr>
          <w:rFonts w:ascii="Arial" w:cs="Arial" w:eastAsia="Arial" w:hAnsi="Arial"/>
          <w:sz w:val="18"/>
          <w:szCs w:val="18"/>
          <w:color w:val="auto"/>
        </w:rPr>
      </w:pPr>
      <w:r>
        <w:rPr>
          <w:rFonts w:ascii="Arial" w:cs="Arial" w:eastAsia="Arial" w:hAnsi="Arial"/>
          <w:sz w:val="18"/>
          <w:szCs w:val="18"/>
          <w:b w:val="1"/>
          <w:bCs w:val="1"/>
          <w:color w:val="auto"/>
        </w:rPr>
        <w:t>Definitions. Whenever used herein, the followin</w:t>
      </w:r>
      <w:r>
        <w:rPr>
          <w:rFonts w:ascii="Arial" w:cs="Arial" w:eastAsia="Arial" w:hAnsi="Arial"/>
          <w:sz w:val="18"/>
          <w:szCs w:val="18"/>
          <w:color w:val="auto"/>
        </w:rPr>
        <w:t>g terms shall have their respective meanings set forth below:</w:t>
      </w:r>
    </w:p>
    <w:p>
      <w:pPr>
        <w:spacing w:after="0" w:line="117" w:lineRule="exact"/>
        <w:rPr>
          <w:rFonts w:ascii="Arial" w:cs="Arial" w:eastAsia="Arial" w:hAnsi="Arial"/>
          <w:sz w:val="18"/>
          <w:szCs w:val="18"/>
          <w:color w:val="auto"/>
        </w:rPr>
      </w:pPr>
    </w:p>
    <w:p>
      <w:pPr>
        <w:ind w:left="1900" w:hanging="620"/>
        <w:spacing w:after="0"/>
        <w:tabs>
          <w:tab w:leader="none" w:pos="1900" w:val="left"/>
        </w:tabs>
        <w:numPr>
          <w:ilvl w:val="2"/>
          <w:numId w:val="74"/>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Acquiring Corporation</w:t>
      </w:r>
      <w:r>
        <w:rPr>
          <w:rFonts w:ascii="Arial" w:cs="Arial" w:eastAsia="Arial" w:hAnsi="Arial"/>
          <w:sz w:val="18"/>
          <w:szCs w:val="18"/>
          <w:i w:val="1"/>
          <w:iCs w:val="1"/>
          <w:color w:val="auto"/>
        </w:rPr>
        <w:t xml:space="preserve">” </w:t>
      </w:r>
      <w:r>
        <w:rPr>
          <w:rFonts w:ascii="Arial" w:cs="Arial" w:eastAsia="Arial" w:hAnsi="Arial"/>
          <w:sz w:val="18"/>
          <w:szCs w:val="18"/>
          <w:color w:val="auto"/>
        </w:rPr>
        <w:t>has the meaning given to it in Section 17.2.</w:t>
      </w:r>
    </w:p>
    <w:p>
      <w:pPr>
        <w:spacing w:after="0" w:line="111" w:lineRule="exact"/>
        <w:rPr>
          <w:rFonts w:ascii="Arial" w:cs="Arial" w:eastAsia="Arial" w:hAnsi="Arial"/>
          <w:sz w:val="18"/>
          <w:szCs w:val="18"/>
          <w:color w:val="auto"/>
        </w:rPr>
      </w:pPr>
    </w:p>
    <w:p>
      <w:pPr>
        <w:ind w:left="1920" w:hanging="640"/>
        <w:spacing w:after="0"/>
        <w:tabs>
          <w:tab w:leader="none" w:pos="1920" w:val="left"/>
        </w:tabs>
        <w:numPr>
          <w:ilvl w:val="2"/>
          <w:numId w:val="74"/>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Annual Incentive Award</w:t>
      </w:r>
      <w:r>
        <w:rPr>
          <w:rFonts w:ascii="Arial" w:cs="Arial" w:eastAsia="Arial" w:hAnsi="Arial"/>
          <w:sz w:val="18"/>
          <w:szCs w:val="18"/>
          <w:i w:val="1"/>
          <w:iCs w:val="1"/>
          <w:color w:val="auto"/>
        </w:rPr>
        <w:t xml:space="preserve">” </w:t>
      </w:r>
      <w:r>
        <w:rPr>
          <w:rFonts w:ascii="Arial" w:cs="Arial" w:eastAsia="Arial" w:hAnsi="Arial"/>
          <w:sz w:val="18"/>
          <w:szCs w:val="18"/>
          <w:color w:val="auto"/>
        </w:rPr>
        <w:t>has the meaning given to it in Section 11.1.</w:t>
      </w:r>
    </w:p>
    <w:p>
      <w:pPr>
        <w:spacing w:after="0" w:line="111" w:lineRule="exact"/>
        <w:rPr>
          <w:rFonts w:ascii="Arial" w:cs="Arial" w:eastAsia="Arial" w:hAnsi="Arial"/>
          <w:sz w:val="18"/>
          <w:szCs w:val="18"/>
          <w:color w:val="auto"/>
        </w:rPr>
      </w:pPr>
    </w:p>
    <w:p>
      <w:pPr>
        <w:ind w:left="1920" w:right="420" w:hanging="640"/>
        <w:spacing w:after="0" w:line="255" w:lineRule="auto"/>
        <w:tabs>
          <w:tab w:leader="none" w:pos="1910" w:val="left"/>
        </w:tabs>
        <w:numPr>
          <w:ilvl w:val="2"/>
          <w:numId w:val="74"/>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Award</w:t>
      </w:r>
      <w:r>
        <w:rPr>
          <w:rFonts w:ascii="Arial" w:cs="Arial" w:eastAsia="Arial" w:hAnsi="Arial"/>
          <w:sz w:val="18"/>
          <w:szCs w:val="18"/>
          <w:i w:val="1"/>
          <w:iCs w:val="1"/>
          <w:color w:val="auto"/>
        </w:rPr>
        <w:t xml:space="preserve">” </w:t>
      </w:r>
      <w:r>
        <w:rPr>
          <w:rFonts w:ascii="Arial" w:cs="Arial" w:eastAsia="Arial" w:hAnsi="Arial"/>
          <w:sz w:val="18"/>
          <w:szCs w:val="18"/>
          <w:color w:val="auto"/>
        </w:rPr>
        <w:t>means any form of incentive or performance award granted under the Plan, whether singly or in combination, to a</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 by the Committee pursuant to such terms, conditions, restrictions and/or limitations (if any) as the Committee may establish. Awards granted under the Plan may include:</w:t>
      </w:r>
    </w:p>
    <w:p>
      <w:pPr>
        <w:spacing w:after="0" w:line="83" w:lineRule="exact"/>
        <w:rPr>
          <w:rFonts w:ascii="Arial" w:cs="Arial" w:eastAsia="Arial" w:hAnsi="Arial"/>
          <w:sz w:val="18"/>
          <w:szCs w:val="18"/>
          <w:color w:val="auto"/>
        </w:rPr>
      </w:pPr>
    </w:p>
    <w:p>
      <w:pPr>
        <w:ind w:left="2560" w:hanging="737"/>
        <w:spacing w:after="0"/>
        <w:tabs>
          <w:tab w:leader="none" w:pos="2560" w:val="left"/>
        </w:tabs>
        <w:numPr>
          <w:ilvl w:val="4"/>
          <w:numId w:val="74"/>
        </w:numPr>
        <w:rPr>
          <w:rFonts w:ascii="Arial" w:cs="Arial" w:eastAsia="Arial" w:hAnsi="Arial"/>
          <w:sz w:val="18"/>
          <w:szCs w:val="18"/>
          <w:color w:val="auto"/>
        </w:rPr>
      </w:pPr>
      <w:r>
        <w:rPr>
          <w:rFonts w:ascii="Arial" w:cs="Arial" w:eastAsia="Arial" w:hAnsi="Arial"/>
          <w:sz w:val="18"/>
          <w:szCs w:val="18"/>
          <w:color w:val="auto"/>
        </w:rPr>
        <w:t>Options awarded pursuant to Sections 6;</w:t>
      </w:r>
    </w:p>
    <w:p>
      <w:pPr>
        <w:spacing w:after="0" w:line="111" w:lineRule="exact"/>
        <w:rPr>
          <w:rFonts w:ascii="Arial" w:cs="Arial" w:eastAsia="Arial" w:hAnsi="Arial"/>
          <w:sz w:val="18"/>
          <w:szCs w:val="18"/>
          <w:color w:val="auto"/>
        </w:rPr>
      </w:pPr>
    </w:p>
    <w:p>
      <w:pPr>
        <w:ind w:left="2560" w:hanging="786"/>
        <w:spacing w:after="0"/>
        <w:tabs>
          <w:tab w:leader="none" w:pos="2560" w:val="left"/>
        </w:tabs>
        <w:numPr>
          <w:ilvl w:val="4"/>
          <w:numId w:val="74"/>
        </w:numPr>
        <w:rPr>
          <w:rFonts w:ascii="Arial" w:cs="Arial" w:eastAsia="Arial" w:hAnsi="Arial"/>
          <w:sz w:val="18"/>
          <w:szCs w:val="18"/>
          <w:color w:val="auto"/>
        </w:rPr>
      </w:pPr>
      <w:r>
        <w:rPr>
          <w:rFonts w:ascii="Arial" w:cs="Arial" w:eastAsia="Arial" w:hAnsi="Arial"/>
          <w:sz w:val="18"/>
          <w:szCs w:val="18"/>
          <w:color w:val="auto"/>
        </w:rPr>
        <w:t>Stock Appreciation Rights awarded pursuant to Section 7;</w:t>
      </w:r>
    </w:p>
    <w:p>
      <w:pPr>
        <w:spacing w:after="0" w:line="111" w:lineRule="exact"/>
        <w:rPr>
          <w:rFonts w:ascii="Arial" w:cs="Arial" w:eastAsia="Arial" w:hAnsi="Arial"/>
          <w:sz w:val="18"/>
          <w:szCs w:val="18"/>
          <w:color w:val="auto"/>
        </w:rPr>
      </w:pPr>
    </w:p>
    <w:p>
      <w:pPr>
        <w:ind w:left="2560" w:hanging="835"/>
        <w:spacing w:after="0"/>
        <w:tabs>
          <w:tab w:leader="none" w:pos="2560" w:val="left"/>
        </w:tabs>
        <w:numPr>
          <w:ilvl w:val="4"/>
          <w:numId w:val="74"/>
        </w:numPr>
        <w:rPr>
          <w:rFonts w:ascii="Arial" w:cs="Arial" w:eastAsia="Arial" w:hAnsi="Arial"/>
          <w:sz w:val="18"/>
          <w:szCs w:val="18"/>
          <w:color w:val="auto"/>
        </w:rPr>
      </w:pPr>
      <w:r>
        <w:rPr>
          <w:rFonts w:ascii="Arial" w:cs="Arial" w:eastAsia="Arial" w:hAnsi="Arial"/>
          <w:sz w:val="18"/>
          <w:szCs w:val="18"/>
          <w:color w:val="auto"/>
        </w:rPr>
        <w:t>Restricted Stock awarded pursuant to Section 9;</w:t>
      </w:r>
    </w:p>
    <w:p>
      <w:pPr>
        <w:spacing w:after="0" w:line="111" w:lineRule="exact"/>
        <w:rPr>
          <w:rFonts w:ascii="Arial" w:cs="Arial" w:eastAsia="Arial" w:hAnsi="Arial"/>
          <w:sz w:val="18"/>
          <w:szCs w:val="18"/>
          <w:color w:val="auto"/>
        </w:rPr>
      </w:pPr>
    </w:p>
    <w:p>
      <w:pPr>
        <w:ind w:left="2540" w:hanging="805"/>
        <w:spacing w:after="0"/>
        <w:tabs>
          <w:tab w:leader="none" w:pos="2540" w:val="left"/>
        </w:tabs>
        <w:numPr>
          <w:ilvl w:val="3"/>
          <w:numId w:val="74"/>
        </w:numPr>
        <w:rPr>
          <w:rFonts w:ascii="Arial" w:cs="Arial" w:eastAsia="Arial" w:hAnsi="Arial"/>
          <w:sz w:val="18"/>
          <w:szCs w:val="18"/>
          <w:color w:val="auto"/>
        </w:rPr>
      </w:pPr>
      <w:r>
        <w:rPr>
          <w:rFonts w:ascii="Arial" w:cs="Arial" w:eastAsia="Arial" w:hAnsi="Arial"/>
          <w:sz w:val="18"/>
          <w:szCs w:val="18"/>
          <w:color w:val="auto"/>
        </w:rPr>
        <w:t>Restricted Stock Units awarded pursuant to Section 10.</w:t>
      </w:r>
    </w:p>
    <w:p>
      <w:pPr>
        <w:spacing w:after="0" w:line="111" w:lineRule="exact"/>
        <w:rPr>
          <w:rFonts w:ascii="Arial" w:cs="Arial" w:eastAsia="Arial" w:hAnsi="Arial"/>
          <w:sz w:val="18"/>
          <w:szCs w:val="18"/>
          <w:color w:val="auto"/>
        </w:rPr>
      </w:pPr>
    </w:p>
    <w:p>
      <w:pPr>
        <w:ind w:left="2540" w:hanging="756"/>
        <w:spacing w:after="0"/>
        <w:tabs>
          <w:tab w:leader="none" w:pos="2540" w:val="left"/>
        </w:tabs>
        <w:numPr>
          <w:ilvl w:val="3"/>
          <w:numId w:val="74"/>
        </w:numPr>
        <w:rPr>
          <w:rFonts w:ascii="Arial" w:cs="Arial" w:eastAsia="Arial" w:hAnsi="Arial"/>
          <w:sz w:val="18"/>
          <w:szCs w:val="18"/>
          <w:color w:val="auto"/>
        </w:rPr>
      </w:pPr>
      <w:r>
        <w:rPr>
          <w:rFonts w:ascii="Arial" w:cs="Arial" w:eastAsia="Arial" w:hAnsi="Arial"/>
          <w:sz w:val="18"/>
          <w:szCs w:val="18"/>
          <w:color w:val="auto"/>
        </w:rPr>
        <w:t>Other Stock-Based Awards awarded pursuant to Section 14.</w:t>
      </w:r>
    </w:p>
    <w:p>
      <w:pPr>
        <w:spacing w:after="0" w:line="111" w:lineRule="exact"/>
        <w:rPr>
          <w:rFonts w:ascii="Arial" w:cs="Arial" w:eastAsia="Arial" w:hAnsi="Arial"/>
          <w:sz w:val="18"/>
          <w:szCs w:val="18"/>
          <w:color w:val="auto"/>
        </w:rPr>
      </w:pPr>
    </w:p>
    <w:p>
      <w:pPr>
        <w:ind w:left="2560" w:hanging="825"/>
        <w:spacing w:after="0"/>
        <w:tabs>
          <w:tab w:leader="none" w:pos="2560" w:val="left"/>
        </w:tabs>
        <w:numPr>
          <w:ilvl w:val="4"/>
          <w:numId w:val="75"/>
        </w:numPr>
        <w:rPr>
          <w:rFonts w:ascii="Arial" w:cs="Arial" w:eastAsia="Arial" w:hAnsi="Arial"/>
          <w:sz w:val="18"/>
          <w:szCs w:val="18"/>
          <w:color w:val="auto"/>
        </w:rPr>
      </w:pPr>
      <w:r>
        <w:rPr>
          <w:rFonts w:ascii="Arial" w:cs="Arial" w:eastAsia="Arial" w:hAnsi="Arial"/>
          <w:sz w:val="18"/>
          <w:szCs w:val="18"/>
          <w:color w:val="auto"/>
        </w:rPr>
        <w:t>Annual Incentive Awards awarded pursuant to Section 11;</w:t>
      </w:r>
    </w:p>
    <w:p>
      <w:pPr>
        <w:spacing w:after="0" w:line="111" w:lineRule="exact"/>
        <w:rPr>
          <w:rFonts w:ascii="Arial" w:cs="Arial" w:eastAsia="Arial" w:hAnsi="Arial"/>
          <w:sz w:val="18"/>
          <w:szCs w:val="18"/>
          <w:color w:val="auto"/>
        </w:rPr>
      </w:pPr>
    </w:p>
    <w:p>
      <w:pPr>
        <w:ind w:left="2560" w:hanging="874"/>
        <w:spacing w:after="0"/>
        <w:tabs>
          <w:tab w:leader="none" w:pos="2560" w:val="left"/>
        </w:tabs>
        <w:numPr>
          <w:ilvl w:val="4"/>
          <w:numId w:val="75"/>
        </w:numPr>
        <w:rPr>
          <w:rFonts w:ascii="Arial" w:cs="Arial" w:eastAsia="Arial" w:hAnsi="Arial"/>
          <w:sz w:val="18"/>
          <w:szCs w:val="18"/>
          <w:color w:val="auto"/>
        </w:rPr>
      </w:pPr>
      <w:r>
        <w:rPr>
          <w:rFonts w:ascii="Arial" w:cs="Arial" w:eastAsia="Arial" w:hAnsi="Arial"/>
          <w:sz w:val="18"/>
          <w:szCs w:val="18"/>
          <w:color w:val="auto"/>
        </w:rPr>
        <w:t>Performance-Based Awards awarded pursuant to Section 12; and</w:t>
      </w:r>
    </w:p>
    <w:p>
      <w:pPr>
        <w:spacing w:after="0" w:line="111" w:lineRule="exact"/>
        <w:rPr>
          <w:rFonts w:ascii="Arial" w:cs="Arial" w:eastAsia="Arial" w:hAnsi="Arial"/>
          <w:sz w:val="18"/>
          <w:szCs w:val="18"/>
          <w:color w:val="auto"/>
        </w:rPr>
      </w:pPr>
    </w:p>
    <w:p>
      <w:pPr>
        <w:ind w:left="2560" w:hanging="923"/>
        <w:spacing w:after="0"/>
        <w:tabs>
          <w:tab w:leader="none" w:pos="2560" w:val="left"/>
        </w:tabs>
        <w:numPr>
          <w:ilvl w:val="4"/>
          <w:numId w:val="75"/>
        </w:numPr>
        <w:rPr>
          <w:rFonts w:ascii="Arial" w:cs="Arial" w:eastAsia="Arial" w:hAnsi="Arial"/>
          <w:sz w:val="18"/>
          <w:szCs w:val="18"/>
          <w:color w:val="auto"/>
        </w:rPr>
      </w:pPr>
      <w:r>
        <w:rPr>
          <w:rFonts w:ascii="Arial" w:cs="Arial" w:eastAsia="Arial" w:hAnsi="Arial"/>
          <w:sz w:val="18"/>
          <w:szCs w:val="18"/>
          <w:color w:val="auto"/>
        </w:rPr>
        <w:t>Discretionary Bonus Awards awarded pursuant to Section 13.</w:t>
      </w:r>
    </w:p>
    <w:p>
      <w:pPr>
        <w:spacing w:after="0" w:line="111" w:lineRule="exact"/>
        <w:rPr>
          <w:rFonts w:ascii="Arial" w:cs="Arial" w:eastAsia="Arial" w:hAnsi="Arial"/>
          <w:sz w:val="18"/>
          <w:szCs w:val="18"/>
          <w:color w:val="auto"/>
        </w:rPr>
      </w:pPr>
    </w:p>
    <w:p>
      <w:pPr>
        <w:ind w:left="1920" w:right="440" w:hanging="640"/>
        <w:spacing w:after="0" w:line="265" w:lineRule="auto"/>
        <w:tabs>
          <w:tab w:leader="none" w:pos="1920" w:val="left"/>
        </w:tabs>
        <w:numPr>
          <w:ilvl w:val="2"/>
          <w:numId w:val="76"/>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Award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means a written or electronic agreement between the Company and a Participant setting forth the terms,</w:t>
      </w:r>
      <w:r>
        <w:rPr>
          <w:rFonts w:ascii="Arial" w:cs="Arial" w:eastAsia="Arial" w:hAnsi="Arial"/>
          <w:sz w:val="18"/>
          <w:szCs w:val="18"/>
          <w:i w:val="1"/>
          <w:iCs w:val="1"/>
          <w:color w:val="auto"/>
        </w:rPr>
        <w:t xml:space="preserve"> </w:t>
      </w:r>
      <w:r>
        <w:rPr>
          <w:rFonts w:ascii="Arial" w:cs="Arial" w:eastAsia="Arial" w:hAnsi="Arial"/>
          <w:sz w:val="18"/>
          <w:szCs w:val="18"/>
          <w:color w:val="auto"/>
        </w:rPr>
        <w:t>conditions and restrictions of an Award granted to the Participant.</w:t>
      </w:r>
    </w:p>
    <w:p>
      <w:pPr>
        <w:spacing w:after="0" w:line="73" w:lineRule="exact"/>
        <w:rPr>
          <w:rFonts w:ascii="Arial" w:cs="Arial" w:eastAsia="Arial" w:hAnsi="Arial"/>
          <w:sz w:val="18"/>
          <w:szCs w:val="18"/>
          <w:color w:val="auto"/>
        </w:rPr>
      </w:pPr>
    </w:p>
    <w:p>
      <w:pPr>
        <w:ind w:left="1900" w:hanging="620"/>
        <w:spacing w:after="0"/>
        <w:tabs>
          <w:tab w:leader="none" w:pos="1900" w:val="left"/>
        </w:tabs>
        <w:numPr>
          <w:ilvl w:val="2"/>
          <w:numId w:val="76"/>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i w:val="1"/>
          <w:iCs w:val="1"/>
          <w:color w:val="auto"/>
        </w:rPr>
        <w:t xml:space="preserve">” </w:t>
      </w:r>
      <w:r>
        <w:rPr>
          <w:rFonts w:ascii="Arial" w:cs="Arial" w:eastAsia="Arial" w:hAnsi="Arial"/>
          <w:sz w:val="18"/>
          <w:szCs w:val="18"/>
          <w:color w:val="auto"/>
        </w:rPr>
        <w:t>means the Board of Directors of the Company.</w:t>
      </w:r>
    </w:p>
    <w:p>
      <w:pPr>
        <w:spacing w:after="0" w:line="111" w:lineRule="exact"/>
        <w:rPr>
          <w:rFonts w:ascii="Arial" w:cs="Arial" w:eastAsia="Arial" w:hAnsi="Arial"/>
          <w:sz w:val="18"/>
          <w:szCs w:val="18"/>
          <w:color w:val="auto"/>
        </w:rPr>
      </w:pPr>
    </w:p>
    <w:p>
      <w:pPr>
        <w:ind w:left="1920" w:hanging="640"/>
        <w:spacing w:after="0"/>
        <w:tabs>
          <w:tab w:leader="none" w:pos="1920" w:val="left"/>
        </w:tabs>
        <w:numPr>
          <w:ilvl w:val="2"/>
          <w:numId w:val="76"/>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Cashless Exercise</w:t>
      </w:r>
      <w:r>
        <w:rPr>
          <w:rFonts w:ascii="Arial" w:cs="Arial" w:eastAsia="Arial" w:hAnsi="Arial"/>
          <w:sz w:val="18"/>
          <w:szCs w:val="18"/>
          <w:i w:val="1"/>
          <w:iCs w:val="1"/>
          <w:color w:val="auto"/>
        </w:rPr>
        <w:t xml:space="preserve">” </w:t>
      </w:r>
      <w:r>
        <w:rPr>
          <w:rFonts w:ascii="Arial" w:cs="Arial" w:eastAsia="Arial" w:hAnsi="Arial"/>
          <w:sz w:val="18"/>
          <w:szCs w:val="18"/>
          <w:color w:val="auto"/>
        </w:rPr>
        <w:t>has the meaning given to it in Section 6.3(a).</w:t>
      </w:r>
    </w:p>
    <w:p>
      <w:pPr>
        <w:spacing w:after="0" w:line="111" w:lineRule="exact"/>
        <w:rPr>
          <w:rFonts w:ascii="Arial" w:cs="Arial" w:eastAsia="Arial" w:hAnsi="Arial"/>
          <w:sz w:val="18"/>
          <w:szCs w:val="18"/>
          <w:color w:val="auto"/>
        </w:rPr>
      </w:pPr>
    </w:p>
    <w:p>
      <w:pPr>
        <w:ind w:left="1920" w:right="80" w:hanging="640"/>
        <w:spacing w:after="0" w:line="304" w:lineRule="auto"/>
        <w:tabs>
          <w:tab w:leader="none" w:pos="1920" w:val="left"/>
        </w:tabs>
        <w:numPr>
          <w:ilvl w:val="2"/>
          <w:numId w:val="76"/>
        </w:numPr>
        <w:rPr>
          <w:rFonts w:ascii="Arial" w:cs="Arial" w:eastAsia="Arial" w:hAnsi="Arial"/>
          <w:sz w:val="15"/>
          <w:szCs w:val="15"/>
          <w:color w:val="auto"/>
        </w:rPr>
      </w:pPr>
      <w:r>
        <w:rPr>
          <w:rFonts w:ascii="Arial" w:cs="Arial" w:eastAsia="Arial" w:hAnsi="Arial"/>
          <w:sz w:val="15"/>
          <w:szCs w:val="15"/>
          <w:i w:val="1"/>
          <w:iCs w:val="1"/>
          <w:color w:val="auto"/>
        </w:rPr>
        <w:t>“</w:t>
      </w:r>
      <w:r>
        <w:rPr>
          <w:rFonts w:ascii="Arial" w:cs="Arial" w:eastAsia="Arial" w:hAnsi="Arial"/>
          <w:sz w:val="15"/>
          <w:szCs w:val="15"/>
          <w:b w:val="1"/>
          <w:bCs w:val="1"/>
          <w:i w:val="1"/>
          <w:iCs w:val="1"/>
          <w:color w:val="auto"/>
        </w:rPr>
        <w:t>Cause</w:t>
      </w:r>
      <w:r>
        <w:rPr>
          <w:rFonts w:ascii="Arial" w:cs="Arial" w:eastAsia="Arial" w:hAnsi="Arial"/>
          <w:sz w:val="15"/>
          <w:szCs w:val="15"/>
          <w:i w:val="1"/>
          <w:iCs w:val="1"/>
          <w:color w:val="auto"/>
        </w:rPr>
        <w:t xml:space="preserve">” </w:t>
      </w:r>
      <w:r>
        <w:rPr>
          <w:rFonts w:ascii="Arial" w:cs="Arial" w:eastAsia="Arial" w:hAnsi="Arial"/>
          <w:sz w:val="15"/>
          <w:szCs w:val="15"/>
          <w:color w:val="auto"/>
        </w:rPr>
        <w:t>shall mean any of the following: (i) the Participant’s theft of a Participating Company’s property or falsification of any</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Participating Company documents or records; (ii) the Participant’s improper use or disclosure of a Participating Company’s confidential or proprietary information; (iii) any action by the Participant which has a detrimental effect on a Participating Company’s reputation or business; (iv) the Participant’s failure or inability to perform any reasonable assigned duties after written notice from the Participating Company Group or any Participating Company of, and a reasonable opportunity to cure, such failure or inability; (v) any material breach by the Participant of any employment agreement between the Participant and the Participating Company Group or any Participating Company, which breach is not cured pursuant to the terms of such agreement; or (vi) the Participant’s conviction (including any plea of guilty or </w:t>
      </w:r>
      <w:r>
        <w:rPr>
          <w:rFonts w:ascii="Arial" w:cs="Arial" w:eastAsia="Arial" w:hAnsi="Arial"/>
          <w:sz w:val="15"/>
          <w:szCs w:val="15"/>
          <w:i w:val="1"/>
          <w:iCs w:val="1"/>
          <w:color w:val="auto"/>
        </w:rPr>
        <w:t>nolo contendere</w:t>
      </w:r>
      <w:r>
        <w:rPr>
          <w:rFonts w:ascii="Arial" w:cs="Arial" w:eastAsia="Arial" w:hAnsi="Arial"/>
          <w:sz w:val="15"/>
          <w:szCs w:val="15"/>
          <w:color w:val="auto"/>
        </w:rPr>
        <w:t>) of any felony or any other criminal act which impairs the Participant’s ability to perform his or her duties with the Participating Company Group or any Participating Company.</w:t>
      </w:r>
    </w:p>
    <w:p>
      <w:pPr>
        <w:spacing w:after="0" w:line="50" w:lineRule="exact"/>
        <w:rPr>
          <w:rFonts w:ascii="Arial" w:cs="Arial" w:eastAsia="Arial" w:hAnsi="Arial"/>
          <w:sz w:val="15"/>
          <w:szCs w:val="15"/>
          <w:color w:val="auto"/>
        </w:rPr>
      </w:pPr>
    </w:p>
    <w:p>
      <w:pPr>
        <w:ind w:left="1920" w:hanging="640"/>
        <w:spacing w:after="0"/>
        <w:tabs>
          <w:tab w:leader="none" w:pos="1920" w:val="left"/>
        </w:tabs>
        <w:numPr>
          <w:ilvl w:val="2"/>
          <w:numId w:val="76"/>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Change in Control</w:t>
      </w:r>
      <w:r>
        <w:rPr>
          <w:rFonts w:ascii="Arial" w:cs="Arial" w:eastAsia="Arial" w:hAnsi="Arial"/>
          <w:sz w:val="18"/>
          <w:szCs w:val="18"/>
          <w:i w:val="1"/>
          <w:iCs w:val="1"/>
          <w:color w:val="auto"/>
        </w:rPr>
        <w:t xml:space="preserve">” </w:t>
      </w:r>
      <w:r>
        <w:rPr>
          <w:rFonts w:ascii="Arial" w:cs="Arial" w:eastAsia="Arial" w:hAnsi="Arial"/>
          <w:sz w:val="18"/>
          <w:szCs w:val="18"/>
          <w:color w:val="auto"/>
        </w:rPr>
        <w:t>has the meaning given to it in Section 17.1.</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444" w:right="339" w:bottom="1440" w:gutter="0" w:footer="0" w:header="0"/>
        </w:sectPr>
      </w:pPr>
    </w:p>
    <w:bookmarkStart w:id="55" w:name="page56"/>
    <w:bookmarkEnd w:id="55"/>
    <w:p>
      <w:pPr>
        <w:ind w:left="780" w:hanging="620"/>
        <w:spacing w:after="0"/>
        <w:tabs>
          <w:tab w:leader="none" w:pos="780" w:val="left"/>
        </w:tabs>
        <w:numPr>
          <w:ilvl w:val="0"/>
          <w:numId w:val="77"/>
        </w:numPr>
        <w:rPr>
          <w:rFonts w:ascii="Arial" w:cs="Arial" w:eastAsia="Arial" w:hAnsi="Arial"/>
          <w:sz w:val="17"/>
          <w:szCs w:val="17"/>
          <w:color w:val="auto"/>
        </w:rPr>
      </w:pP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Code</w:t>
      </w:r>
      <w:r>
        <w:rPr>
          <w:rFonts w:ascii="Arial" w:cs="Arial" w:eastAsia="Arial" w:hAnsi="Arial"/>
          <w:sz w:val="17"/>
          <w:szCs w:val="17"/>
          <w:i w:val="1"/>
          <w:iCs w:val="1"/>
          <w:color w:val="auto"/>
        </w:rPr>
        <w:t xml:space="preserve">” </w:t>
      </w:r>
      <w:r>
        <w:rPr>
          <w:rFonts w:ascii="Arial" w:cs="Arial" w:eastAsia="Arial" w:hAnsi="Arial"/>
          <w:sz w:val="17"/>
          <w:szCs w:val="17"/>
          <w:color w:val="auto"/>
        </w:rPr>
        <w:t>means the Internal Revenue Code of 1986, as amended, and any applicable regulations promulgated thereunder.</w:t>
      </w:r>
    </w:p>
    <w:p>
      <w:pPr>
        <w:spacing w:after="0" w:line="122" w:lineRule="exact"/>
        <w:rPr>
          <w:rFonts w:ascii="Arial" w:cs="Arial" w:eastAsia="Arial" w:hAnsi="Arial"/>
          <w:sz w:val="17"/>
          <w:szCs w:val="17"/>
          <w:color w:val="auto"/>
        </w:rPr>
      </w:pPr>
    </w:p>
    <w:p>
      <w:pPr>
        <w:ind w:left="800" w:right="60" w:hanging="640"/>
        <w:spacing w:after="0" w:line="249" w:lineRule="auto"/>
        <w:tabs>
          <w:tab w:leader="none" w:pos="787" w:val="left"/>
        </w:tabs>
        <w:numPr>
          <w:ilvl w:val="0"/>
          <w:numId w:val="77"/>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Committee</w:t>
      </w:r>
      <w:r>
        <w:rPr>
          <w:rFonts w:ascii="Arial" w:cs="Arial" w:eastAsia="Arial" w:hAnsi="Arial"/>
          <w:sz w:val="18"/>
          <w:szCs w:val="18"/>
          <w:i w:val="1"/>
          <w:iCs w:val="1"/>
          <w:color w:val="auto"/>
        </w:rPr>
        <w:t xml:space="preserve">” </w:t>
      </w:r>
      <w:r>
        <w:rPr>
          <w:rFonts w:ascii="Arial" w:cs="Arial" w:eastAsia="Arial" w:hAnsi="Arial"/>
          <w:sz w:val="18"/>
          <w:szCs w:val="18"/>
          <w:color w:val="auto"/>
        </w:rPr>
        <w:t>means the Compensation Committee or other committee of the Board duly appointed to administer the Plan and</w:t>
      </w:r>
      <w:r>
        <w:rPr>
          <w:rFonts w:ascii="Arial" w:cs="Arial" w:eastAsia="Arial" w:hAnsi="Arial"/>
          <w:sz w:val="18"/>
          <w:szCs w:val="18"/>
          <w:i w:val="1"/>
          <w:iCs w:val="1"/>
          <w:color w:val="auto"/>
        </w:rPr>
        <w:t xml:space="preserve"> </w:t>
      </w:r>
      <w:r>
        <w:rPr>
          <w:rFonts w:ascii="Arial" w:cs="Arial" w:eastAsia="Arial" w:hAnsi="Arial"/>
          <w:sz w:val="18"/>
          <w:szCs w:val="18"/>
          <w:color w:val="auto"/>
        </w:rPr>
        <w:t>having such powers as shall be specified by the Board. Unless the powers of the Committee have been specifically limited, the Committee shall have all of the powers of the Board granted herein, including, without limitation, the power to amend or terminate the Plan at any time, subject to the terms of the Plan and any applicable limitations imposed by law. In the absence of the Compensation Committee or other committee of the Board duly appointed to administer the Plan, “</w:t>
      </w:r>
      <w:r>
        <w:rPr>
          <w:rFonts w:ascii="Arial" w:cs="Arial" w:eastAsia="Arial" w:hAnsi="Arial"/>
          <w:sz w:val="18"/>
          <w:szCs w:val="18"/>
          <w:b w:val="1"/>
          <w:bCs w:val="1"/>
          <w:i w:val="1"/>
          <w:iCs w:val="1"/>
          <w:color w:val="auto"/>
        </w:rPr>
        <w:t>Committee</w:t>
      </w:r>
      <w:r>
        <w:rPr>
          <w:rFonts w:ascii="Arial" w:cs="Arial" w:eastAsia="Arial" w:hAnsi="Arial"/>
          <w:sz w:val="18"/>
          <w:szCs w:val="18"/>
          <w:i w:val="1"/>
          <w:iCs w:val="1"/>
          <w:color w:val="auto"/>
        </w:rPr>
        <w:t>”</w:t>
      </w:r>
      <w:r>
        <w:rPr>
          <w:rFonts w:ascii="Arial" w:cs="Arial" w:eastAsia="Arial" w:hAnsi="Arial"/>
          <w:sz w:val="18"/>
          <w:szCs w:val="18"/>
          <w:color w:val="auto"/>
        </w:rPr>
        <w:t xml:space="preserve"> also means the Board.</w:t>
      </w:r>
    </w:p>
    <w:p>
      <w:pPr>
        <w:spacing w:after="0" w:line="91" w:lineRule="exact"/>
        <w:rPr>
          <w:rFonts w:ascii="Arial" w:cs="Arial" w:eastAsia="Arial" w:hAnsi="Arial"/>
          <w:sz w:val="18"/>
          <w:szCs w:val="18"/>
          <w:color w:val="auto"/>
        </w:rPr>
      </w:pPr>
    </w:p>
    <w:p>
      <w:pPr>
        <w:ind w:left="800" w:hanging="640"/>
        <w:spacing w:after="0"/>
        <w:tabs>
          <w:tab w:leader="none" w:pos="800" w:val="left"/>
        </w:tabs>
        <w:numPr>
          <w:ilvl w:val="0"/>
          <w:numId w:val="77"/>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i w:val="1"/>
          <w:iCs w:val="1"/>
          <w:color w:val="auto"/>
        </w:rPr>
        <w:t xml:space="preserve">” </w:t>
      </w:r>
      <w:r>
        <w:rPr>
          <w:rFonts w:ascii="Arial" w:cs="Arial" w:eastAsia="Arial" w:hAnsi="Arial"/>
          <w:sz w:val="18"/>
          <w:szCs w:val="18"/>
          <w:color w:val="auto"/>
        </w:rPr>
        <w:t>means Westwood Holdings Group, Inc., a Delaware corporation, or any successor corporation thereto.</w:t>
      </w:r>
    </w:p>
    <w:p>
      <w:pPr>
        <w:spacing w:after="0" w:line="111" w:lineRule="exact"/>
        <w:rPr>
          <w:rFonts w:ascii="Arial" w:cs="Arial" w:eastAsia="Arial" w:hAnsi="Arial"/>
          <w:sz w:val="18"/>
          <w:szCs w:val="18"/>
          <w:color w:val="auto"/>
        </w:rPr>
      </w:pPr>
    </w:p>
    <w:p>
      <w:pPr>
        <w:ind w:left="800" w:right="100" w:hanging="640"/>
        <w:spacing w:after="0" w:line="313" w:lineRule="auto"/>
        <w:tabs>
          <w:tab w:leader="none" w:pos="787" w:val="left"/>
        </w:tabs>
        <w:numPr>
          <w:ilvl w:val="0"/>
          <w:numId w:val="77"/>
        </w:numPr>
        <w:rPr>
          <w:rFonts w:ascii="Arial" w:cs="Arial" w:eastAsia="Arial" w:hAnsi="Arial"/>
          <w:sz w:val="15"/>
          <w:szCs w:val="15"/>
          <w:color w:val="auto"/>
        </w:rPr>
      </w:pPr>
      <w:r>
        <w:rPr>
          <w:rFonts w:ascii="Arial" w:cs="Arial" w:eastAsia="Arial" w:hAnsi="Arial"/>
          <w:sz w:val="15"/>
          <w:szCs w:val="15"/>
          <w:i w:val="1"/>
          <w:iCs w:val="1"/>
          <w:color w:val="auto"/>
        </w:rPr>
        <w:t>“</w:t>
      </w:r>
      <w:r>
        <w:rPr>
          <w:rFonts w:ascii="Arial" w:cs="Arial" w:eastAsia="Arial" w:hAnsi="Arial"/>
          <w:sz w:val="15"/>
          <w:szCs w:val="15"/>
          <w:b w:val="1"/>
          <w:bCs w:val="1"/>
          <w:i w:val="1"/>
          <w:iCs w:val="1"/>
          <w:color w:val="auto"/>
        </w:rPr>
        <w:t>Consultant</w:t>
      </w:r>
      <w:r>
        <w:rPr>
          <w:rFonts w:ascii="Arial" w:cs="Arial" w:eastAsia="Arial" w:hAnsi="Arial"/>
          <w:sz w:val="15"/>
          <w:szCs w:val="15"/>
          <w:i w:val="1"/>
          <w:iCs w:val="1"/>
          <w:color w:val="auto"/>
        </w:rPr>
        <w:t xml:space="preserve">” </w:t>
      </w:r>
      <w:r>
        <w:rPr>
          <w:rFonts w:ascii="Arial" w:cs="Arial" w:eastAsia="Arial" w:hAnsi="Arial"/>
          <w:sz w:val="15"/>
          <w:szCs w:val="15"/>
          <w:color w:val="auto"/>
        </w:rPr>
        <w:t>means a person engaged to provide consulting or advisory services (other than as an Employee or a Director) to a</w:t>
      </w:r>
      <w:r>
        <w:rPr>
          <w:rFonts w:ascii="Arial" w:cs="Arial" w:eastAsia="Arial" w:hAnsi="Arial"/>
          <w:sz w:val="15"/>
          <w:szCs w:val="15"/>
          <w:i w:val="1"/>
          <w:iCs w:val="1"/>
          <w:color w:val="auto"/>
        </w:rPr>
        <w:t xml:space="preserve"> </w:t>
      </w:r>
      <w:r>
        <w:rPr>
          <w:rFonts w:ascii="Arial" w:cs="Arial" w:eastAsia="Arial" w:hAnsi="Arial"/>
          <w:sz w:val="15"/>
          <w:szCs w:val="15"/>
          <w:color w:val="auto"/>
        </w:rPr>
        <w:t>Participating Company, provided that the identity of such person, the nature of such services or the entity to which such services are provided would not preclude the Company from offering or selling securities to such person pursuant to the Plan in reliance on either the exemption from registration provided by Rule 701 under the Securities Act or, if the Company is required to file reports pursuant to Section 13 or 15(d) of the Exchange Act, registration on a Form S-8 Registration Statement under the Securities Act.</w:t>
      </w:r>
    </w:p>
    <w:p>
      <w:pPr>
        <w:spacing w:after="0" w:line="42" w:lineRule="exact"/>
        <w:rPr>
          <w:rFonts w:ascii="Arial" w:cs="Arial" w:eastAsia="Arial" w:hAnsi="Arial"/>
          <w:sz w:val="15"/>
          <w:szCs w:val="15"/>
          <w:color w:val="auto"/>
        </w:rPr>
      </w:pPr>
    </w:p>
    <w:p>
      <w:pPr>
        <w:ind w:left="800" w:hanging="640"/>
        <w:spacing w:after="0"/>
        <w:tabs>
          <w:tab w:leader="none" w:pos="800" w:val="left"/>
        </w:tabs>
        <w:numPr>
          <w:ilvl w:val="0"/>
          <w:numId w:val="77"/>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Director</w:t>
      </w:r>
      <w:r>
        <w:rPr>
          <w:rFonts w:ascii="Arial" w:cs="Arial" w:eastAsia="Arial" w:hAnsi="Arial"/>
          <w:sz w:val="18"/>
          <w:szCs w:val="18"/>
          <w:i w:val="1"/>
          <w:iCs w:val="1"/>
          <w:color w:val="auto"/>
        </w:rPr>
        <w:t xml:space="preserve">” </w:t>
      </w:r>
      <w:r>
        <w:rPr>
          <w:rFonts w:ascii="Arial" w:cs="Arial" w:eastAsia="Arial" w:hAnsi="Arial"/>
          <w:sz w:val="18"/>
          <w:szCs w:val="18"/>
          <w:color w:val="auto"/>
        </w:rPr>
        <w:t>means a member of the Board or of the board of directors of any other Participating Company.</w:t>
      </w:r>
    </w:p>
    <w:p>
      <w:pPr>
        <w:spacing w:after="0" w:line="111" w:lineRule="exact"/>
        <w:rPr>
          <w:rFonts w:ascii="Arial" w:cs="Arial" w:eastAsia="Arial" w:hAnsi="Arial"/>
          <w:sz w:val="18"/>
          <w:szCs w:val="18"/>
          <w:color w:val="auto"/>
        </w:rPr>
      </w:pPr>
    </w:p>
    <w:p>
      <w:pPr>
        <w:ind w:left="800" w:hanging="640"/>
        <w:spacing w:after="0"/>
        <w:tabs>
          <w:tab w:leader="none" w:pos="800" w:val="left"/>
        </w:tabs>
        <w:numPr>
          <w:ilvl w:val="0"/>
          <w:numId w:val="77"/>
        </w:numPr>
        <w:rPr>
          <w:rFonts w:ascii="Arial" w:cs="Arial" w:eastAsia="Arial" w:hAnsi="Arial"/>
          <w:sz w:val="17"/>
          <w:szCs w:val="17"/>
          <w:color w:val="auto"/>
        </w:rPr>
      </w:pP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Disability</w:t>
      </w:r>
      <w:r>
        <w:rPr>
          <w:rFonts w:ascii="Arial" w:cs="Arial" w:eastAsia="Arial" w:hAnsi="Arial"/>
          <w:sz w:val="17"/>
          <w:szCs w:val="17"/>
          <w:i w:val="1"/>
          <w:iCs w:val="1"/>
          <w:color w:val="auto"/>
        </w:rPr>
        <w:t xml:space="preserve">” </w:t>
      </w:r>
      <w:r>
        <w:rPr>
          <w:rFonts w:ascii="Arial" w:cs="Arial" w:eastAsia="Arial" w:hAnsi="Arial"/>
          <w:sz w:val="17"/>
          <w:szCs w:val="17"/>
          <w:color w:val="auto"/>
        </w:rPr>
        <w:t>means the permanent and total disability of the Participant within the meaning of Section 22(e)(3) of the Code.</w:t>
      </w:r>
    </w:p>
    <w:p>
      <w:pPr>
        <w:spacing w:after="0" w:line="122" w:lineRule="exact"/>
        <w:rPr>
          <w:rFonts w:ascii="Arial" w:cs="Arial" w:eastAsia="Arial" w:hAnsi="Arial"/>
          <w:sz w:val="17"/>
          <w:szCs w:val="17"/>
          <w:color w:val="auto"/>
        </w:rPr>
      </w:pPr>
    </w:p>
    <w:p>
      <w:pPr>
        <w:ind w:left="800" w:hanging="640"/>
        <w:spacing w:after="0" w:line="252" w:lineRule="auto"/>
        <w:tabs>
          <w:tab w:leader="none" w:pos="800" w:val="left"/>
        </w:tabs>
        <w:numPr>
          <w:ilvl w:val="0"/>
          <w:numId w:val="77"/>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Employee</w:t>
      </w:r>
      <w:r>
        <w:rPr>
          <w:rFonts w:ascii="Arial" w:cs="Arial" w:eastAsia="Arial" w:hAnsi="Arial"/>
          <w:sz w:val="18"/>
          <w:szCs w:val="18"/>
          <w:i w:val="1"/>
          <w:iCs w:val="1"/>
          <w:color w:val="auto"/>
        </w:rPr>
        <w:t xml:space="preserve">” </w:t>
      </w:r>
      <w:r>
        <w:rPr>
          <w:rFonts w:ascii="Arial" w:cs="Arial" w:eastAsia="Arial" w:hAnsi="Arial"/>
          <w:sz w:val="18"/>
          <w:szCs w:val="18"/>
          <w:color w:val="auto"/>
        </w:rPr>
        <w:t>means any person treated as an employee (including an officer or a Director who is also treated as an employee) in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records of a Participating Company and, with respect to any Incentive Stock Option granted to such person, who is an employee for purposes of Section 422 of the Code;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neither service as a Director nor payment of a director’s fee shall be sufficient to constitute employment for purposes of the Plan.</w:t>
      </w:r>
    </w:p>
    <w:p>
      <w:pPr>
        <w:spacing w:after="0" w:line="85" w:lineRule="exact"/>
        <w:rPr>
          <w:rFonts w:ascii="Arial" w:cs="Arial" w:eastAsia="Arial" w:hAnsi="Arial"/>
          <w:sz w:val="18"/>
          <w:szCs w:val="18"/>
          <w:color w:val="auto"/>
        </w:rPr>
      </w:pPr>
    </w:p>
    <w:p>
      <w:pPr>
        <w:ind w:left="800" w:hanging="640"/>
        <w:spacing w:after="0"/>
        <w:tabs>
          <w:tab w:leader="none" w:pos="800" w:val="left"/>
        </w:tabs>
        <w:numPr>
          <w:ilvl w:val="0"/>
          <w:numId w:val="77"/>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i w:val="1"/>
          <w:iCs w:val="1"/>
          <w:color w:val="auto"/>
        </w:rPr>
        <w:t xml:space="preserve">” </w:t>
      </w:r>
      <w:r>
        <w:rPr>
          <w:rFonts w:ascii="Arial" w:cs="Arial" w:eastAsia="Arial" w:hAnsi="Arial"/>
          <w:sz w:val="18"/>
          <w:szCs w:val="18"/>
          <w:color w:val="auto"/>
        </w:rPr>
        <w:t>means the Securities Exchange Act of 1934, as amended.</w:t>
      </w:r>
    </w:p>
    <w:p>
      <w:pPr>
        <w:spacing w:after="0" w:line="111" w:lineRule="exact"/>
        <w:rPr>
          <w:rFonts w:ascii="Arial" w:cs="Arial" w:eastAsia="Arial" w:hAnsi="Arial"/>
          <w:sz w:val="18"/>
          <w:szCs w:val="18"/>
          <w:color w:val="auto"/>
        </w:rPr>
      </w:pPr>
    </w:p>
    <w:p>
      <w:pPr>
        <w:ind w:left="800" w:right="80" w:hanging="640"/>
        <w:spacing w:after="0" w:line="255" w:lineRule="auto"/>
        <w:tabs>
          <w:tab w:leader="none" w:pos="800" w:val="left"/>
        </w:tabs>
        <w:numPr>
          <w:ilvl w:val="0"/>
          <w:numId w:val="77"/>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Fair Market Value</w:t>
      </w:r>
      <w:r>
        <w:rPr>
          <w:rFonts w:ascii="Arial" w:cs="Arial" w:eastAsia="Arial" w:hAnsi="Arial"/>
          <w:sz w:val="18"/>
          <w:szCs w:val="18"/>
          <w:i w:val="1"/>
          <w:iCs w:val="1"/>
          <w:color w:val="auto"/>
        </w:rPr>
        <w:t xml:space="preserve">” </w:t>
      </w:r>
      <w:r>
        <w:rPr>
          <w:rFonts w:ascii="Arial" w:cs="Arial" w:eastAsia="Arial" w:hAnsi="Arial"/>
          <w:sz w:val="18"/>
          <w:szCs w:val="18"/>
          <w:color w:val="auto"/>
        </w:rPr>
        <w:t>means, as of any date, the value of a share of Stock or other property as determined by the Committee, in its</w:t>
      </w:r>
      <w:r>
        <w:rPr>
          <w:rFonts w:ascii="Arial" w:cs="Arial" w:eastAsia="Arial" w:hAnsi="Arial"/>
          <w:sz w:val="18"/>
          <w:szCs w:val="18"/>
          <w:i w:val="1"/>
          <w:iCs w:val="1"/>
          <w:color w:val="auto"/>
        </w:rPr>
        <w:t xml:space="preserve"> </w:t>
      </w:r>
      <w:r>
        <w:rPr>
          <w:rFonts w:ascii="Arial" w:cs="Arial" w:eastAsia="Arial" w:hAnsi="Arial"/>
          <w:sz w:val="18"/>
          <w:szCs w:val="18"/>
          <w:color w:val="auto"/>
        </w:rPr>
        <w:t>discretion, or by the Company, in its discretion, if such determination is expressly allocated to the Company herein, subject to the following:</w:t>
      </w:r>
    </w:p>
    <w:p>
      <w:pPr>
        <w:spacing w:after="0" w:line="83" w:lineRule="exact"/>
        <w:rPr>
          <w:rFonts w:ascii="Arial" w:cs="Arial" w:eastAsia="Arial" w:hAnsi="Arial"/>
          <w:sz w:val="18"/>
          <w:szCs w:val="18"/>
          <w:color w:val="auto"/>
        </w:rPr>
      </w:pPr>
    </w:p>
    <w:p>
      <w:pPr>
        <w:ind w:left="1440" w:right="40" w:hanging="737"/>
        <w:spacing w:after="0" w:line="265" w:lineRule="auto"/>
        <w:tabs>
          <w:tab w:leader="none" w:pos="1440" w:val="left"/>
        </w:tabs>
        <w:numPr>
          <w:ilvl w:val="1"/>
          <w:numId w:val="77"/>
        </w:numPr>
        <w:rPr>
          <w:rFonts w:ascii="Arial" w:cs="Arial" w:eastAsia="Arial" w:hAnsi="Arial"/>
          <w:sz w:val="17"/>
          <w:szCs w:val="17"/>
          <w:color w:val="auto"/>
        </w:rPr>
      </w:pPr>
      <w:r>
        <w:rPr>
          <w:rFonts w:ascii="Arial" w:cs="Arial" w:eastAsia="Arial" w:hAnsi="Arial"/>
          <w:sz w:val="17"/>
          <w:szCs w:val="17"/>
          <w:color w:val="auto"/>
        </w:rPr>
        <w:t xml:space="preserve">If, on such date, the Stock is listed on a national or regional securities exchange or market system, the Fair Market Value of a share of Stock shall be the closing price of a share of Stock (or the mean of the closing bid and asked prices of a share of Stock if the Stock is so quoted instead) as quoted on the New York Stock Exchange or such other national or regional securities exchange or market system constituting the primary market for the Stock, as reported in </w:t>
      </w:r>
      <w:r>
        <w:rPr>
          <w:rFonts w:ascii="Arial" w:cs="Arial" w:eastAsia="Arial" w:hAnsi="Arial"/>
          <w:sz w:val="17"/>
          <w:szCs w:val="17"/>
          <w:u w:val="single" w:color="auto"/>
          <w:color w:val="auto"/>
        </w:rPr>
        <w:t>The Wall Street Journal</w:t>
      </w:r>
      <w:r>
        <w:rPr>
          <w:rFonts w:ascii="Arial" w:cs="Arial" w:eastAsia="Arial" w:hAnsi="Arial"/>
          <w:sz w:val="17"/>
          <w:szCs w:val="17"/>
          <w:color w:val="auto"/>
        </w:rPr>
        <w:t xml:space="preserve"> or such other source as the Company deems reliable. If the relevant date does not fall on a day on which the Stock has traded on such securities exchange or market system, the date on which the Fair Market Value shall be established shall be the last day on which the Stock was so traded prior to the relevant date, or such other appropriate day as shall be determined by the Committee, in its discretion.</w:t>
      </w:r>
    </w:p>
    <w:p>
      <w:pPr>
        <w:spacing w:after="0" w:line="77" w:lineRule="exact"/>
        <w:rPr>
          <w:rFonts w:ascii="Arial" w:cs="Arial" w:eastAsia="Arial" w:hAnsi="Arial"/>
          <w:sz w:val="17"/>
          <w:szCs w:val="17"/>
          <w:color w:val="auto"/>
        </w:rPr>
      </w:pPr>
    </w:p>
    <w:p>
      <w:pPr>
        <w:ind w:left="1440" w:right="60" w:hanging="786"/>
        <w:spacing w:after="0" w:line="272" w:lineRule="auto"/>
        <w:tabs>
          <w:tab w:leader="none" w:pos="1440" w:val="left"/>
        </w:tabs>
        <w:numPr>
          <w:ilvl w:val="1"/>
          <w:numId w:val="77"/>
        </w:numPr>
        <w:rPr>
          <w:rFonts w:ascii="Arial" w:cs="Arial" w:eastAsia="Arial" w:hAnsi="Arial"/>
          <w:sz w:val="17"/>
          <w:szCs w:val="17"/>
          <w:color w:val="auto"/>
        </w:rPr>
      </w:pPr>
      <w:r>
        <w:rPr>
          <w:rFonts w:ascii="Arial" w:cs="Arial" w:eastAsia="Arial" w:hAnsi="Arial"/>
          <w:sz w:val="17"/>
          <w:szCs w:val="17"/>
          <w:color w:val="auto"/>
        </w:rPr>
        <w:t>If, on such date, the Stock is not listed on a national or regional securities exchange or market system, the Fair Market Value of a share of Stock shall be as determined by the Committee in good faith based on a reasonable valuation method that is consistent with the requirements of Section 409A of the Code and the regulations thereunder, without regard to any restriction other than a restriction which, by its terms, will never lapse.</w:t>
      </w:r>
    </w:p>
    <w:p>
      <w:pPr>
        <w:spacing w:after="0" w:line="68" w:lineRule="exact"/>
        <w:rPr>
          <w:rFonts w:ascii="Arial" w:cs="Arial" w:eastAsia="Arial" w:hAnsi="Arial"/>
          <w:sz w:val="17"/>
          <w:szCs w:val="17"/>
          <w:color w:val="auto"/>
        </w:rPr>
      </w:pPr>
    </w:p>
    <w:p>
      <w:pPr>
        <w:ind w:left="800" w:right="60" w:hanging="640"/>
        <w:spacing w:after="0" w:line="272" w:lineRule="auto"/>
        <w:tabs>
          <w:tab w:leader="none" w:pos="787" w:val="left"/>
        </w:tabs>
        <w:numPr>
          <w:ilvl w:val="0"/>
          <w:numId w:val="77"/>
        </w:numPr>
        <w:rPr>
          <w:rFonts w:ascii="Arial" w:cs="Arial" w:eastAsia="Arial" w:hAnsi="Arial"/>
          <w:sz w:val="17"/>
          <w:szCs w:val="17"/>
          <w:color w:val="auto"/>
        </w:rPr>
      </w:pP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Good Reason</w:t>
      </w:r>
      <w:r>
        <w:rPr>
          <w:rFonts w:ascii="Arial" w:cs="Arial" w:eastAsia="Arial" w:hAnsi="Arial"/>
          <w:sz w:val="17"/>
          <w:szCs w:val="17"/>
          <w:i w:val="1"/>
          <w:iCs w:val="1"/>
          <w:color w:val="auto"/>
        </w:rPr>
        <w:t xml:space="preserve">” </w:t>
      </w:r>
      <w:r>
        <w:rPr>
          <w:rFonts w:ascii="Arial" w:cs="Arial" w:eastAsia="Arial" w:hAnsi="Arial"/>
          <w:sz w:val="17"/>
          <w:szCs w:val="17"/>
          <w:color w:val="auto"/>
        </w:rPr>
        <w:t>means (i) a resignation occurring within ninety (90) days following a Change in Control; (ii) the relocation of the</w:t>
      </w:r>
      <w:r>
        <w:rPr>
          <w:rFonts w:ascii="Arial" w:cs="Arial" w:eastAsia="Arial" w:hAnsi="Arial"/>
          <w:sz w:val="17"/>
          <w:szCs w:val="17"/>
          <w:i w:val="1"/>
          <w:iCs w:val="1"/>
          <w:color w:val="auto"/>
        </w:rPr>
        <w:t xml:space="preserve"> </w:t>
      </w:r>
      <w:r>
        <w:rPr>
          <w:rFonts w:ascii="Arial" w:cs="Arial" w:eastAsia="Arial" w:hAnsi="Arial"/>
          <w:sz w:val="17"/>
          <w:szCs w:val="17"/>
          <w:color w:val="auto"/>
        </w:rPr>
        <w:t>principal place of business of the Participating Company for which the Participant renders Service to a location more than 40 miles from its location as of the date of the Change in Control without the Participant’s consent or (iii) a material reduction in the Participant’s salary or bonus opportunity, or in the Participant’s responsibilities.</w:t>
      </w:r>
    </w:p>
    <w:p>
      <w:pPr>
        <w:spacing w:after="0" w:line="68" w:lineRule="exact"/>
        <w:rPr>
          <w:rFonts w:ascii="Arial" w:cs="Arial" w:eastAsia="Arial" w:hAnsi="Arial"/>
          <w:sz w:val="17"/>
          <w:szCs w:val="17"/>
          <w:color w:val="auto"/>
        </w:rPr>
      </w:pPr>
    </w:p>
    <w:p>
      <w:pPr>
        <w:ind w:left="800" w:right="520" w:hanging="640"/>
        <w:spacing w:after="0" w:line="265" w:lineRule="auto"/>
        <w:tabs>
          <w:tab w:leader="none" w:pos="794" w:val="left"/>
        </w:tabs>
        <w:numPr>
          <w:ilvl w:val="0"/>
          <w:numId w:val="77"/>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Incentive Stock Option</w:t>
      </w:r>
      <w:r>
        <w:rPr>
          <w:rFonts w:ascii="Arial" w:cs="Arial" w:eastAsia="Arial" w:hAnsi="Arial"/>
          <w:sz w:val="18"/>
          <w:szCs w:val="18"/>
          <w:i w:val="1"/>
          <w:iCs w:val="1"/>
          <w:color w:val="auto"/>
        </w:rPr>
        <w:t xml:space="preserve">” </w:t>
      </w:r>
      <w:r>
        <w:rPr>
          <w:rFonts w:ascii="Arial" w:cs="Arial" w:eastAsia="Arial" w:hAnsi="Arial"/>
          <w:sz w:val="18"/>
          <w:szCs w:val="18"/>
          <w:color w:val="auto"/>
        </w:rPr>
        <w:t>means an Option intended to be (as set forth in the Option Agreement), and which qualifies as, an</w:t>
      </w:r>
      <w:r>
        <w:rPr>
          <w:rFonts w:ascii="Arial" w:cs="Arial" w:eastAsia="Arial" w:hAnsi="Arial"/>
          <w:sz w:val="18"/>
          <w:szCs w:val="18"/>
          <w:i w:val="1"/>
          <w:iCs w:val="1"/>
          <w:color w:val="auto"/>
        </w:rPr>
        <w:t xml:space="preserve"> </w:t>
      </w:r>
      <w:r>
        <w:rPr>
          <w:rFonts w:ascii="Arial" w:cs="Arial" w:eastAsia="Arial" w:hAnsi="Arial"/>
          <w:sz w:val="18"/>
          <w:szCs w:val="18"/>
          <w:color w:val="auto"/>
        </w:rPr>
        <w:t>incentive stock option within the meaning of Section 422(b) of the Code.</w:t>
      </w:r>
    </w:p>
    <w:p>
      <w:pPr>
        <w:spacing w:after="0" w:line="73" w:lineRule="exact"/>
        <w:rPr>
          <w:rFonts w:ascii="Arial" w:cs="Arial" w:eastAsia="Arial" w:hAnsi="Arial"/>
          <w:sz w:val="18"/>
          <w:szCs w:val="18"/>
          <w:color w:val="auto"/>
        </w:rPr>
      </w:pPr>
    </w:p>
    <w:p>
      <w:pPr>
        <w:ind w:left="800" w:right="60" w:hanging="640"/>
        <w:spacing w:after="0" w:line="265" w:lineRule="auto"/>
        <w:tabs>
          <w:tab w:leader="none" w:pos="787" w:val="left"/>
        </w:tabs>
        <w:numPr>
          <w:ilvl w:val="0"/>
          <w:numId w:val="77"/>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Insider</w:t>
      </w:r>
      <w:r>
        <w:rPr>
          <w:rFonts w:ascii="Arial" w:cs="Arial" w:eastAsia="Arial" w:hAnsi="Arial"/>
          <w:sz w:val="18"/>
          <w:szCs w:val="18"/>
          <w:i w:val="1"/>
          <w:iCs w:val="1"/>
          <w:color w:val="auto"/>
        </w:rPr>
        <w:t xml:space="preserve">” </w:t>
      </w:r>
      <w:r>
        <w:rPr>
          <w:rFonts w:ascii="Arial" w:cs="Arial" w:eastAsia="Arial" w:hAnsi="Arial"/>
          <w:sz w:val="18"/>
          <w:szCs w:val="18"/>
          <w:color w:val="auto"/>
        </w:rPr>
        <w:t>means an officer or a Director of the Company or any other person whose transactions in Stock are subject to Section 16</w:t>
      </w:r>
      <w:r>
        <w:rPr>
          <w:rFonts w:ascii="Arial" w:cs="Arial" w:eastAsia="Arial" w:hAnsi="Arial"/>
          <w:sz w:val="18"/>
          <w:szCs w:val="18"/>
          <w:i w:val="1"/>
          <w:iCs w:val="1"/>
          <w:color w:val="auto"/>
        </w:rPr>
        <w:t xml:space="preserve"> </w:t>
      </w:r>
      <w:r>
        <w:rPr>
          <w:rFonts w:ascii="Arial" w:cs="Arial" w:eastAsia="Arial" w:hAnsi="Arial"/>
          <w:sz w:val="18"/>
          <w:szCs w:val="18"/>
          <w:color w:val="auto"/>
        </w:rPr>
        <w:t>of the Exchange Act.</w:t>
      </w:r>
    </w:p>
    <w:p>
      <w:pPr>
        <w:spacing w:after="0" w:line="74"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120"/>
          </w:cols>
          <w:pgMar w:left="1440" w:top="552" w:right="339" w:bottom="1440" w:gutter="0" w:footer="0" w:header="0"/>
        </w:sectPr>
      </w:pPr>
    </w:p>
    <w:bookmarkStart w:id="56" w:name="page57"/>
    <w:bookmarkEnd w:id="56"/>
    <w:p>
      <w:pPr>
        <w:ind w:left="800" w:hanging="640"/>
        <w:spacing w:after="0"/>
        <w:tabs>
          <w:tab w:leader="none" w:pos="800" w:val="left"/>
        </w:tabs>
        <w:numPr>
          <w:ilvl w:val="0"/>
          <w:numId w:val="78"/>
        </w:numPr>
        <w:rPr>
          <w:rFonts w:ascii="Arial" w:cs="Arial" w:eastAsia="Arial" w:hAnsi="Arial"/>
          <w:sz w:val="15"/>
          <w:szCs w:val="15"/>
          <w:color w:val="auto"/>
        </w:rPr>
      </w:pPr>
      <w:r>
        <w:rPr>
          <w:rFonts w:ascii="Arial" w:cs="Arial" w:eastAsia="Arial" w:hAnsi="Arial"/>
          <w:sz w:val="15"/>
          <w:szCs w:val="15"/>
          <w:i w:val="1"/>
          <w:iCs w:val="1"/>
          <w:color w:val="auto"/>
        </w:rPr>
        <w:t>“</w:t>
      </w:r>
      <w:r>
        <w:rPr>
          <w:rFonts w:ascii="Arial" w:cs="Arial" w:eastAsia="Arial" w:hAnsi="Arial"/>
          <w:sz w:val="15"/>
          <w:szCs w:val="15"/>
          <w:b w:val="1"/>
          <w:bCs w:val="1"/>
          <w:i w:val="1"/>
          <w:iCs w:val="1"/>
          <w:color w:val="auto"/>
        </w:rPr>
        <w:t>Non-Employee Director</w:t>
      </w:r>
      <w:r>
        <w:rPr>
          <w:rFonts w:ascii="Arial" w:cs="Arial" w:eastAsia="Arial" w:hAnsi="Arial"/>
          <w:sz w:val="15"/>
          <w:szCs w:val="15"/>
          <w:i w:val="1"/>
          <w:iCs w:val="1"/>
          <w:color w:val="auto"/>
        </w:rPr>
        <w:t xml:space="preserve">” </w:t>
      </w:r>
      <w:r>
        <w:rPr>
          <w:rFonts w:ascii="Arial" w:cs="Arial" w:eastAsia="Arial" w:hAnsi="Arial"/>
          <w:sz w:val="15"/>
          <w:szCs w:val="15"/>
          <w:color w:val="auto"/>
        </w:rPr>
        <w:t>means a member of the Board who is not an active Employee of the Company or any Subsidiary.</w:t>
      </w:r>
    </w:p>
    <w:p>
      <w:pPr>
        <w:spacing w:after="0" w:line="145" w:lineRule="exact"/>
        <w:rPr>
          <w:rFonts w:ascii="Arial" w:cs="Arial" w:eastAsia="Arial" w:hAnsi="Arial"/>
          <w:sz w:val="15"/>
          <w:szCs w:val="15"/>
          <w:color w:val="auto"/>
        </w:rPr>
      </w:pPr>
    </w:p>
    <w:p>
      <w:pPr>
        <w:ind w:left="800" w:right="500" w:hanging="640"/>
        <w:spacing w:after="0" w:line="265" w:lineRule="auto"/>
        <w:tabs>
          <w:tab w:leader="none" w:pos="788" w:val="left"/>
        </w:tabs>
        <w:numPr>
          <w:ilvl w:val="0"/>
          <w:numId w:val="78"/>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Nonstatutory Stock Option</w:t>
      </w:r>
      <w:r>
        <w:rPr>
          <w:rFonts w:ascii="Arial" w:cs="Arial" w:eastAsia="Arial" w:hAnsi="Arial"/>
          <w:sz w:val="18"/>
          <w:szCs w:val="18"/>
          <w:i w:val="1"/>
          <w:iCs w:val="1"/>
          <w:color w:val="auto"/>
        </w:rPr>
        <w:t xml:space="preserve">” </w:t>
      </w:r>
      <w:r>
        <w:rPr>
          <w:rFonts w:ascii="Arial" w:cs="Arial" w:eastAsia="Arial" w:hAnsi="Arial"/>
          <w:sz w:val="18"/>
          <w:szCs w:val="18"/>
          <w:color w:val="auto"/>
        </w:rPr>
        <w:t>means an Option not intended to be (as set forth in the Option Agreement), or which does not</w:t>
      </w:r>
      <w:r>
        <w:rPr>
          <w:rFonts w:ascii="Arial" w:cs="Arial" w:eastAsia="Arial" w:hAnsi="Arial"/>
          <w:sz w:val="18"/>
          <w:szCs w:val="18"/>
          <w:i w:val="1"/>
          <w:iCs w:val="1"/>
          <w:color w:val="auto"/>
        </w:rPr>
        <w:t xml:space="preserve"> </w:t>
      </w:r>
      <w:r>
        <w:rPr>
          <w:rFonts w:ascii="Arial" w:cs="Arial" w:eastAsia="Arial" w:hAnsi="Arial"/>
          <w:sz w:val="18"/>
          <w:szCs w:val="18"/>
          <w:color w:val="auto"/>
        </w:rPr>
        <w:t>qualify as, an Incentive Stock Option.</w:t>
      </w:r>
    </w:p>
    <w:p>
      <w:pPr>
        <w:spacing w:after="0" w:line="73" w:lineRule="exact"/>
        <w:rPr>
          <w:rFonts w:ascii="Arial" w:cs="Arial" w:eastAsia="Arial" w:hAnsi="Arial"/>
          <w:sz w:val="18"/>
          <w:szCs w:val="18"/>
          <w:color w:val="auto"/>
        </w:rPr>
      </w:pPr>
    </w:p>
    <w:p>
      <w:pPr>
        <w:ind w:left="780" w:hanging="620"/>
        <w:spacing w:after="0"/>
        <w:tabs>
          <w:tab w:leader="none" w:pos="7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Other Stock-Based Award</w:t>
      </w:r>
      <w:r>
        <w:rPr>
          <w:rFonts w:ascii="Arial" w:cs="Arial" w:eastAsia="Arial" w:hAnsi="Arial"/>
          <w:sz w:val="18"/>
          <w:szCs w:val="18"/>
          <w:i w:val="1"/>
          <w:iCs w:val="1"/>
          <w:color w:val="auto"/>
        </w:rPr>
        <w:t>”</w:t>
      </w:r>
      <w:r>
        <w:rPr>
          <w:rFonts w:ascii="Arial" w:cs="Arial" w:eastAsia="Arial" w:hAnsi="Arial"/>
          <w:sz w:val="18"/>
          <w:szCs w:val="18"/>
          <w:color w:val="auto"/>
        </w:rPr>
        <w:t xml:space="preserve"> means an Award granted to an eligible person under Section 14 hereof.</w:t>
      </w:r>
    </w:p>
    <w:p>
      <w:pPr>
        <w:spacing w:after="0" w:line="111" w:lineRule="exact"/>
        <w:rPr>
          <w:rFonts w:ascii="Arial" w:cs="Arial" w:eastAsia="Arial" w:hAnsi="Arial"/>
          <w:sz w:val="18"/>
          <w:szCs w:val="18"/>
          <w:color w:val="auto"/>
        </w:rPr>
      </w:pPr>
    </w:p>
    <w:p>
      <w:pPr>
        <w:ind w:left="800" w:right="120" w:hanging="640"/>
        <w:spacing w:after="0" w:line="265" w:lineRule="auto"/>
        <w:tabs>
          <w:tab w:leader="none" w:pos="800" w:val="left"/>
        </w:tabs>
        <w:numPr>
          <w:ilvl w:val="0"/>
          <w:numId w:val="78"/>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Option</w:t>
      </w:r>
      <w:r>
        <w:rPr>
          <w:rFonts w:ascii="Arial" w:cs="Arial" w:eastAsia="Arial" w:hAnsi="Arial"/>
          <w:sz w:val="18"/>
          <w:szCs w:val="18"/>
          <w:i w:val="1"/>
          <w:iCs w:val="1"/>
          <w:color w:val="auto"/>
        </w:rPr>
        <w:t xml:space="preserve">” </w:t>
      </w:r>
      <w:r>
        <w:rPr>
          <w:rFonts w:ascii="Arial" w:cs="Arial" w:eastAsia="Arial" w:hAnsi="Arial"/>
          <w:sz w:val="18"/>
          <w:szCs w:val="18"/>
          <w:color w:val="auto"/>
        </w:rPr>
        <w:t>means a right to purchase Stock (subject to adjustment as provided in Section 4.3) pursuant to the terms and conditions</w:t>
      </w:r>
      <w:r>
        <w:rPr>
          <w:rFonts w:ascii="Arial" w:cs="Arial" w:eastAsia="Arial" w:hAnsi="Arial"/>
          <w:sz w:val="18"/>
          <w:szCs w:val="18"/>
          <w:i w:val="1"/>
          <w:iCs w:val="1"/>
          <w:color w:val="auto"/>
        </w:rPr>
        <w:t xml:space="preserve"> </w:t>
      </w:r>
      <w:r>
        <w:rPr>
          <w:rFonts w:ascii="Arial" w:cs="Arial" w:eastAsia="Arial" w:hAnsi="Arial"/>
          <w:sz w:val="18"/>
          <w:szCs w:val="18"/>
          <w:color w:val="auto"/>
        </w:rPr>
        <w:t>of the Plan. An Option may be either an Incentive Stock Option or a Nonstatutory Stock Option.</w:t>
      </w:r>
    </w:p>
    <w:p>
      <w:pPr>
        <w:spacing w:after="0" w:line="73" w:lineRule="exact"/>
        <w:rPr>
          <w:rFonts w:ascii="Arial" w:cs="Arial" w:eastAsia="Arial" w:hAnsi="Arial"/>
          <w:sz w:val="18"/>
          <w:szCs w:val="18"/>
          <w:color w:val="auto"/>
        </w:rPr>
      </w:pPr>
    </w:p>
    <w:p>
      <w:pPr>
        <w:ind w:left="800" w:right="80" w:hanging="640"/>
        <w:spacing w:after="0" w:line="252" w:lineRule="auto"/>
        <w:tabs>
          <w:tab w:leader="none" w:pos="788" w:val="left"/>
        </w:tabs>
        <w:numPr>
          <w:ilvl w:val="0"/>
          <w:numId w:val="78"/>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Option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means an Award Agreement setting forth the terms, conditions and restrictions of an Option granted to a</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 and any shares acquired upon the exercise thereof. An Option Agreement may consist of a form of “Notice of Grant of Stock Option” and a form of “Stock Option Agreement” incorporated therein by reference, or such other form or forms as the Committee may approve from time to time.</w:t>
      </w:r>
    </w:p>
    <w:p>
      <w:pPr>
        <w:spacing w:after="0" w:line="85" w:lineRule="exact"/>
        <w:rPr>
          <w:rFonts w:ascii="Arial" w:cs="Arial" w:eastAsia="Arial" w:hAnsi="Arial"/>
          <w:sz w:val="18"/>
          <w:szCs w:val="18"/>
          <w:color w:val="auto"/>
        </w:rPr>
      </w:pPr>
    </w:p>
    <w:p>
      <w:pPr>
        <w:ind w:left="780" w:hanging="620"/>
        <w:spacing w:after="0"/>
        <w:tabs>
          <w:tab w:leader="none" w:pos="780" w:val="left"/>
        </w:tabs>
        <w:numPr>
          <w:ilvl w:val="0"/>
          <w:numId w:val="78"/>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Option Expiration Date</w:t>
      </w:r>
      <w:r>
        <w:rPr>
          <w:rFonts w:ascii="Arial" w:cs="Arial" w:eastAsia="Arial" w:hAnsi="Arial"/>
          <w:sz w:val="18"/>
          <w:szCs w:val="18"/>
          <w:i w:val="1"/>
          <w:iCs w:val="1"/>
          <w:color w:val="auto"/>
        </w:rPr>
        <w:t xml:space="preserve">” </w:t>
      </w:r>
      <w:r>
        <w:rPr>
          <w:rFonts w:ascii="Arial" w:cs="Arial" w:eastAsia="Arial" w:hAnsi="Arial"/>
          <w:sz w:val="18"/>
          <w:szCs w:val="18"/>
          <w:color w:val="auto"/>
        </w:rPr>
        <w:t>has the meaning given to it in Section 6.4(a)(i).</w:t>
      </w:r>
    </w:p>
    <w:p>
      <w:pPr>
        <w:spacing w:after="0" w:line="111" w:lineRule="exact"/>
        <w:rPr>
          <w:sz w:val="20"/>
          <w:szCs w:val="20"/>
          <w:color w:val="auto"/>
        </w:rPr>
      </w:pPr>
    </w:p>
    <w:p>
      <w:pPr>
        <w:ind w:left="780" w:hanging="620"/>
        <w:spacing w:after="0"/>
        <w:tabs>
          <w:tab w:leader="none" w:pos="7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Ownership Change Event</w:t>
      </w:r>
      <w:r>
        <w:rPr>
          <w:rFonts w:ascii="Arial" w:cs="Arial" w:eastAsia="Arial" w:hAnsi="Arial"/>
          <w:sz w:val="18"/>
          <w:szCs w:val="18"/>
          <w:i w:val="1"/>
          <w:iCs w:val="1"/>
          <w:color w:val="auto"/>
        </w:rPr>
        <w:t>”</w:t>
      </w:r>
      <w:r>
        <w:rPr>
          <w:rFonts w:ascii="Arial" w:cs="Arial" w:eastAsia="Arial" w:hAnsi="Arial"/>
          <w:sz w:val="18"/>
          <w:szCs w:val="18"/>
          <w:color w:val="auto"/>
        </w:rPr>
        <w:t xml:space="preserve"> has the meaning given to it in Section 17.1.</w:t>
      </w:r>
    </w:p>
    <w:p>
      <w:pPr>
        <w:spacing w:after="0" w:line="111" w:lineRule="exact"/>
        <w:rPr>
          <w:sz w:val="20"/>
          <w:szCs w:val="20"/>
          <w:color w:val="auto"/>
        </w:rPr>
      </w:pPr>
    </w:p>
    <w:p>
      <w:pPr>
        <w:ind w:left="800" w:hanging="639"/>
        <w:spacing w:after="0" w:line="313" w:lineRule="auto"/>
        <w:tabs>
          <w:tab w:leader="none" w:pos="780" w:val="left"/>
        </w:tabs>
        <w:rPr>
          <w:sz w:val="20"/>
          <w:szCs w:val="20"/>
          <w:color w:val="auto"/>
        </w:rPr>
      </w:pPr>
      <w:r>
        <w:rPr>
          <w:rFonts w:ascii="Arial" w:cs="Arial" w:eastAsia="Arial" w:hAnsi="Arial"/>
          <w:sz w:val="15"/>
          <w:szCs w:val="15"/>
          <w:color w:val="auto"/>
        </w:rPr>
        <w:t>ab.</w:t>
      </w:r>
      <w:r>
        <w:rPr>
          <w:sz w:val="20"/>
          <w:szCs w:val="20"/>
          <w:color w:val="auto"/>
        </w:rPr>
        <w:tab/>
      </w:r>
      <w:r>
        <w:rPr>
          <w:rFonts w:ascii="Arial" w:cs="Arial" w:eastAsia="Arial" w:hAnsi="Arial"/>
          <w:sz w:val="15"/>
          <w:szCs w:val="15"/>
          <w:i w:val="1"/>
          <w:iCs w:val="1"/>
          <w:color w:val="auto"/>
        </w:rPr>
        <w:t>“</w:t>
      </w:r>
      <w:r>
        <w:rPr>
          <w:rFonts w:ascii="Arial" w:cs="Arial" w:eastAsia="Arial" w:hAnsi="Arial"/>
          <w:sz w:val="15"/>
          <w:szCs w:val="15"/>
          <w:b w:val="1"/>
          <w:bCs w:val="1"/>
          <w:i w:val="1"/>
          <w:iCs w:val="1"/>
          <w:color w:val="auto"/>
        </w:rPr>
        <w:t>Parent</w:t>
      </w:r>
      <w:r>
        <w:rPr>
          <w:rFonts w:ascii="Arial" w:cs="Arial" w:eastAsia="Arial" w:hAnsi="Arial"/>
          <w:sz w:val="15"/>
          <w:szCs w:val="15"/>
          <w:i w:val="1"/>
          <w:iCs w:val="1"/>
          <w:color w:val="auto"/>
        </w:rPr>
        <w:t xml:space="preserve">” </w:t>
      </w:r>
      <w:r>
        <w:rPr>
          <w:rFonts w:ascii="Arial" w:cs="Arial" w:eastAsia="Arial" w:hAnsi="Arial"/>
          <w:sz w:val="15"/>
          <w:szCs w:val="15"/>
          <w:color w:val="auto"/>
        </w:rPr>
        <w:t>means (i) any “parent corporation” as defined in Section 424(e) of the Code and any successor provisions; (ii) any other</w:t>
      </w:r>
      <w:r>
        <w:rPr>
          <w:rFonts w:ascii="Arial" w:cs="Arial" w:eastAsia="Arial" w:hAnsi="Arial"/>
          <w:sz w:val="15"/>
          <w:szCs w:val="15"/>
          <w:i w:val="1"/>
          <w:iCs w:val="1"/>
          <w:color w:val="auto"/>
        </w:rPr>
        <w:t xml:space="preserve"> </w:t>
      </w:r>
      <w:r>
        <w:rPr>
          <w:rFonts w:ascii="Arial" w:cs="Arial" w:eastAsia="Arial" w:hAnsi="Arial"/>
          <w:sz w:val="15"/>
          <w:szCs w:val="15"/>
          <w:color w:val="auto"/>
        </w:rPr>
        <w:t>entity that is taxed as a corporation under Section 7701(a)(3) of the Code and is a member of the “affiliated group” as defined in Section 1504(a) of the Code of which the Company is a common subsidiary corporation, and (iii) any other entity as may be permitted from time to time by the Code or the Internal Revenue Service to be an employer of employees to whom Options may be granted; provided, however, that in each case the Company must be consolidated in the Parent’s financial statements.</w:t>
      </w:r>
    </w:p>
    <w:p>
      <w:pPr>
        <w:spacing w:after="0" w:line="43" w:lineRule="exact"/>
        <w:rPr>
          <w:sz w:val="20"/>
          <w:szCs w:val="20"/>
          <w:color w:val="auto"/>
        </w:rPr>
      </w:pPr>
    </w:p>
    <w:p>
      <w:pPr>
        <w:ind w:left="160"/>
        <w:spacing w:after="0"/>
        <w:tabs>
          <w:tab w:leader="none" w:pos="760" w:val="left"/>
        </w:tabs>
        <w:rPr>
          <w:sz w:val="20"/>
          <w:szCs w:val="20"/>
          <w:color w:val="auto"/>
        </w:rPr>
      </w:pPr>
      <w:r>
        <w:rPr>
          <w:rFonts w:ascii="Arial" w:cs="Arial" w:eastAsia="Arial" w:hAnsi="Arial"/>
          <w:sz w:val="17"/>
          <w:szCs w:val="17"/>
          <w:color w:val="auto"/>
        </w:rPr>
        <w:t>ac.</w:t>
      </w:r>
      <w:r>
        <w:rPr>
          <w:sz w:val="20"/>
          <w:szCs w:val="20"/>
          <w:color w:val="auto"/>
        </w:rPr>
        <w:tab/>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Participant</w:t>
      </w:r>
      <w:r>
        <w:rPr>
          <w:rFonts w:ascii="Arial" w:cs="Arial" w:eastAsia="Arial" w:hAnsi="Arial"/>
          <w:sz w:val="17"/>
          <w:szCs w:val="17"/>
          <w:i w:val="1"/>
          <w:iCs w:val="1"/>
          <w:color w:val="auto"/>
        </w:rPr>
        <w:t xml:space="preserve">” </w:t>
      </w:r>
      <w:r>
        <w:rPr>
          <w:rFonts w:ascii="Arial" w:cs="Arial" w:eastAsia="Arial" w:hAnsi="Arial"/>
          <w:sz w:val="17"/>
          <w:szCs w:val="17"/>
          <w:color w:val="auto"/>
        </w:rPr>
        <w:t>means a person who has been granted one or more awards pursuant to the terms and conditions of the Plan.</w:t>
      </w:r>
    </w:p>
    <w:p>
      <w:pPr>
        <w:spacing w:after="0" w:line="123" w:lineRule="exact"/>
        <w:rPr>
          <w:sz w:val="20"/>
          <w:szCs w:val="20"/>
          <w:color w:val="auto"/>
        </w:rPr>
      </w:pPr>
    </w:p>
    <w:p>
      <w:pPr>
        <w:ind w:left="160"/>
        <w:spacing w:after="0"/>
        <w:tabs>
          <w:tab w:leader="none" w:pos="780" w:val="left"/>
        </w:tabs>
        <w:rPr>
          <w:sz w:val="20"/>
          <w:szCs w:val="20"/>
          <w:color w:val="auto"/>
        </w:rPr>
      </w:pPr>
      <w:r>
        <w:rPr>
          <w:rFonts w:ascii="Arial" w:cs="Arial" w:eastAsia="Arial" w:hAnsi="Arial"/>
          <w:sz w:val="18"/>
          <w:szCs w:val="18"/>
          <w:color w:val="auto"/>
        </w:rPr>
        <w:t>ad.</w:t>
      </w:r>
      <w:r>
        <w:rPr>
          <w:sz w:val="20"/>
          <w:szCs w:val="20"/>
          <w:color w:val="auto"/>
        </w:rPr>
        <w:tab/>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Participating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means the Company or any Parent or Subsidiary.</w:t>
      </w:r>
    </w:p>
    <w:p>
      <w:pPr>
        <w:spacing w:after="0" w:line="111" w:lineRule="exact"/>
        <w:rPr>
          <w:sz w:val="20"/>
          <w:szCs w:val="20"/>
          <w:color w:val="auto"/>
        </w:rPr>
      </w:pPr>
    </w:p>
    <w:p>
      <w:pPr>
        <w:ind w:left="780" w:right="620" w:hanging="636"/>
        <w:spacing w:after="0" w:line="265" w:lineRule="auto"/>
        <w:tabs>
          <w:tab w:leader="none" w:pos="760" w:val="left"/>
        </w:tabs>
        <w:rPr>
          <w:sz w:val="20"/>
          <w:szCs w:val="20"/>
          <w:color w:val="auto"/>
        </w:rPr>
      </w:pPr>
      <w:r>
        <w:rPr>
          <w:rFonts w:ascii="Arial" w:cs="Arial" w:eastAsia="Arial" w:hAnsi="Arial"/>
          <w:sz w:val="18"/>
          <w:szCs w:val="18"/>
          <w:color w:val="auto"/>
        </w:rPr>
        <w:t>ae.</w:t>
      </w:r>
      <w:r>
        <w:rPr>
          <w:sz w:val="20"/>
          <w:szCs w:val="20"/>
          <w:color w:val="auto"/>
        </w:rPr>
        <w:tab/>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Participating Company Group</w:t>
      </w:r>
      <w:r>
        <w:rPr>
          <w:rFonts w:ascii="Arial" w:cs="Arial" w:eastAsia="Arial" w:hAnsi="Arial"/>
          <w:sz w:val="18"/>
          <w:szCs w:val="18"/>
          <w:i w:val="1"/>
          <w:iCs w:val="1"/>
          <w:color w:val="auto"/>
        </w:rPr>
        <w:t xml:space="preserve">” </w:t>
      </w:r>
      <w:r>
        <w:rPr>
          <w:rFonts w:ascii="Arial" w:cs="Arial" w:eastAsia="Arial" w:hAnsi="Arial"/>
          <w:sz w:val="18"/>
          <w:szCs w:val="18"/>
          <w:color w:val="auto"/>
        </w:rPr>
        <w:t>means, at any point in time, all corporations or other entities collectively which are then</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Participating Companies.</w:t>
      </w:r>
    </w:p>
    <w:p>
      <w:pPr>
        <w:spacing w:after="0" w:line="74" w:lineRule="exact"/>
        <w:rPr>
          <w:sz w:val="20"/>
          <w:szCs w:val="20"/>
          <w:color w:val="auto"/>
        </w:rPr>
      </w:pPr>
    </w:p>
    <w:p>
      <w:pPr>
        <w:ind w:left="800" w:right="80" w:hanging="636"/>
        <w:spacing w:after="0" w:line="252" w:lineRule="auto"/>
        <w:tabs>
          <w:tab w:leader="none" w:pos="780" w:val="left"/>
        </w:tabs>
        <w:rPr>
          <w:sz w:val="20"/>
          <w:szCs w:val="20"/>
          <w:color w:val="auto"/>
        </w:rPr>
      </w:pPr>
      <w:r>
        <w:rPr>
          <w:rFonts w:ascii="Arial" w:cs="Arial" w:eastAsia="Arial" w:hAnsi="Arial"/>
          <w:sz w:val="18"/>
          <w:szCs w:val="18"/>
          <w:color w:val="auto"/>
        </w:rPr>
        <w:t>af.</w:t>
      </w:r>
      <w:r>
        <w:rPr>
          <w:sz w:val="20"/>
          <w:szCs w:val="20"/>
          <w:color w:val="auto"/>
        </w:rPr>
        <w:tab/>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Performance-Based Exception</w:t>
      </w:r>
      <w:r>
        <w:rPr>
          <w:rFonts w:ascii="Arial" w:cs="Arial" w:eastAsia="Arial" w:hAnsi="Arial"/>
          <w:sz w:val="18"/>
          <w:szCs w:val="18"/>
          <w:i w:val="1"/>
          <w:iCs w:val="1"/>
          <w:color w:val="auto"/>
        </w:rPr>
        <w:t xml:space="preserve">” </w:t>
      </w:r>
      <w:r>
        <w:rPr>
          <w:rFonts w:ascii="Arial" w:cs="Arial" w:eastAsia="Arial" w:hAnsi="Arial"/>
          <w:sz w:val="18"/>
          <w:szCs w:val="18"/>
          <w:color w:val="auto"/>
        </w:rPr>
        <w:t>means the performance-based exception from the tax deductibility limitation imposed by Prior</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162(m) of the Code, as set forth in Prior Section 162(m)(4)(C) of the Code. Notwithstanding any other provision in the Plan, the Plan is not intended to modify in any material respect any outstanding Performance-Based Award intended to qualify for the Performance-Based Exception.</w:t>
      </w:r>
    </w:p>
    <w:p>
      <w:pPr>
        <w:spacing w:after="0" w:line="86" w:lineRule="exact"/>
        <w:rPr>
          <w:sz w:val="20"/>
          <w:szCs w:val="20"/>
          <w:color w:val="auto"/>
        </w:rPr>
      </w:pPr>
    </w:p>
    <w:p>
      <w:pPr>
        <w:ind w:left="800" w:right="40" w:hanging="639"/>
        <w:spacing w:after="0" w:line="265" w:lineRule="auto"/>
        <w:tabs>
          <w:tab w:leader="none" w:pos="780" w:val="left"/>
        </w:tabs>
        <w:rPr>
          <w:sz w:val="20"/>
          <w:szCs w:val="20"/>
          <w:color w:val="auto"/>
        </w:rPr>
      </w:pPr>
      <w:r>
        <w:rPr>
          <w:rFonts w:ascii="Arial" w:cs="Arial" w:eastAsia="Arial" w:hAnsi="Arial"/>
          <w:sz w:val="18"/>
          <w:szCs w:val="18"/>
          <w:color w:val="auto"/>
        </w:rPr>
        <w:t>ag.</w:t>
      </w:r>
      <w:r>
        <w:rPr>
          <w:sz w:val="20"/>
          <w:szCs w:val="20"/>
          <w:color w:val="auto"/>
        </w:rPr>
        <w:tab/>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Performance Cycle</w:t>
      </w:r>
      <w:r>
        <w:rPr>
          <w:rFonts w:ascii="Arial" w:cs="Arial" w:eastAsia="Arial" w:hAnsi="Arial"/>
          <w:sz w:val="18"/>
          <w:szCs w:val="18"/>
          <w:i w:val="1"/>
          <w:iCs w:val="1"/>
          <w:color w:val="auto"/>
        </w:rPr>
        <w:t xml:space="preserve">” </w:t>
      </w:r>
      <w:r>
        <w:rPr>
          <w:rFonts w:ascii="Arial" w:cs="Arial" w:eastAsia="Arial" w:hAnsi="Arial"/>
          <w:sz w:val="18"/>
          <w:szCs w:val="18"/>
          <w:color w:val="auto"/>
        </w:rPr>
        <w:t>means, with respect to any Annual Incentive Award, each calendar year, unless otherwise designated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w:t>
      </w:r>
    </w:p>
    <w:p>
      <w:pPr>
        <w:spacing w:after="0" w:line="74" w:lineRule="exact"/>
        <w:rPr>
          <w:sz w:val="20"/>
          <w:szCs w:val="20"/>
          <w:color w:val="auto"/>
        </w:rPr>
      </w:pPr>
    </w:p>
    <w:p>
      <w:pPr>
        <w:ind w:left="800" w:right="340" w:hanging="639"/>
        <w:spacing w:after="0" w:line="255" w:lineRule="auto"/>
        <w:tabs>
          <w:tab w:leader="none" w:pos="780" w:val="left"/>
        </w:tabs>
        <w:rPr>
          <w:sz w:val="20"/>
          <w:szCs w:val="20"/>
          <w:color w:val="auto"/>
        </w:rPr>
      </w:pPr>
      <w:r>
        <w:rPr>
          <w:rFonts w:ascii="Arial" w:cs="Arial" w:eastAsia="Arial" w:hAnsi="Arial"/>
          <w:sz w:val="18"/>
          <w:szCs w:val="18"/>
          <w:color w:val="auto"/>
        </w:rPr>
        <w:t>ah.</w:t>
      </w:r>
      <w:r>
        <w:rPr>
          <w:sz w:val="20"/>
          <w:szCs w:val="20"/>
          <w:color w:val="auto"/>
        </w:rPr>
        <w:tab/>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Performance Goals</w:t>
      </w:r>
      <w:r>
        <w:rPr>
          <w:rFonts w:ascii="Arial" w:cs="Arial" w:eastAsia="Arial" w:hAnsi="Arial"/>
          <w:sz w:val="18"/>
          <w:szCs w:val="18"/>
          <w:i w:val="1"/>
          <w:iCs w:val="1"/>
          <w:color w:val="auto"/>
        </w:rPr>
        <w:t xml:space="preserve">” </w:t>
      </w:r>
      <w:r>
        <w:rPr>
          <w:rFonts w:ascii="Arial" w:cs="Arial" w:eastAsia="Arial" w:hAnsi="Arial"/>
          <w:sz w:val="18"/>
          <w:szCs w:val="18"/>
          <w:color w:val="auto"/>
        </w:rPr>
        <w:t>means, with respect to any Annual Incentive Award or Performance-Based Award, one or more targets,</w:t>
      </w:r>
      <w:r>
        <w:rPr>
          <w:rFonts w:ascii="Arial" w:cs="Arial" w:eastAsia="Arial" w:hAnsi="Arial"/>
          <w:sz w:val="18"/>
          <w:szCs w:val="18"/>
          <w:i w:val="1"/>
          <w:iCs w:val="1"/>
          <w:color w:val="auto"/>
        </w:rPr>
        <w:t xml:space="preserve"> </w:t>
      </w:r>
      <w:r>
        <w:rPr>
          <w:rFonts w:ascii="Arial" w:cs="Arial" w:eastAsia="Arial" w:hAnsi="Arial"/>
          <w:sz w:val="18"/>
          <w:szCs w:val="18"/>
          <w:color w:val="auto"/>
        </w:rPr>
        <w:t>goals or levels of attainment required to be achieved in terms of the specified Performance Measure(s) during a fiscal year or specified performance period.</w:t>
      </w:r>
    </w:p>
    <w:p>
      <w:pPr>
        <w:spacing w:after="0" w:line="83" w:lineRule="exact"/>
        <w:rPr>
          <w:sz w:val="20"/>
          <w:szCs w:val="20"/>
          <w:color w:val="auto"/>
        </w:rPr>
      </w:pPr>
    </w:p>
    <w:p>
      <w:pPr>
        <w:ind w:left="160"/>
        <w:spacing w:after="0"/>
        <w:tabs>
          <w:tab w:leader="none" w:pos="780" w:val="left"/>
        </w:tabs>
        <w:rPr>
          <w:sz w:val="20"/>
          <w:szCs w:val="20"/>
          <w:color w:val="auto"/>
        </w:rPr>
      </w:pPr>
      <w:r>
        <w:rPr>
          <w:rFonts w:ascii="Arial" w:cs="Arial" w:eastAsia="Arial" w:hAnsi="Arial"/>
          <w:sz w:val="18"/>
          <w:szCs w:val="18"/>
          <w:color w:val="auto"/>
        </w:rPr>
        <w:t>ai.</w:t>
      </w:r>
      <w:r>
        <w:rPr>
          <w:sz w:val="20"/>
          <w:szCs w:val="20"/>
          <w:color w:val="auto"/>
        </w:rPr>
        <w:tab/>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Performance Measure</w:t>
      </w:r>
      <w:r>
        <w:rPr>
          <w:rFonts w:ascii="Arial" w:cs="Arial" w:eastAsia="Arial" w:hAnsi="Arial"/>
          <w:sz w:val="18"/>
          <w:szCs w:val="18"/>
          <w:i w:val="1"/>
          <w:iCs w:val="1"/>
          <w:color w:val="auto"/>
        </w:rPr>
        <w:t xml:space="preserve">” </w:t>
      </w:r>
      <w:r>
        <w:rPr>
          <w:rFonts w:ascii="Arial" w:cs="Arial" w:eastAsia="Arial" w:hAnsi="Arial"/>
          <w:sz w:val="18"/>
          <w:szCs w:val="18"/>
          <w:color w:val="auto"/>
        </w:rPr>
        <w:t>has the meaning given to it in Section 12.</w:t>
      </w:r>
    </w:p>
    <w:p>
      <w:pPr>
        <w:spacing w:after="0" w:line="111" w:lineRule="exact"/>
        <w:rPr>
          <w:sz w:val="20"/>
          <w:szCs w:val="20"/>
          <w:color w:val="auto"/>
        </w:rPr>
      </w:pPr>
    </w:p>
    <w:p>
      <w:pPr>
        <w:ind w:left="160"/>
        <w:spacing w:after="0"/>
        <w:tabs>
          <w:tab w:leader="none" w:pos="780" w:val="left"/>
        </w:tabs>
        <w:rPr>
          <w:sz w:val="20"/>
          <w:szCs w:val="20"/>
          <w:color w:val="auto"/>
        </w:rPr>
      </w:pPr>
      <w:r>
        <w:rPr>
          <w:rFonts w:ascii="Arial" w:cs="Arial" w:eastAsia="Arial" w:hAnsi="Arial"/>
          <w:sz w:val="18"/>
          <w:szCs w:val="18"/>
          <w:color w:val="auto"/>
        </w:rPr>
        <w:t>aj.</w:t>
      </w:r>
      <w:r>
        <w:rPr>
          <w:sz w:val="20"/>
          <w:szCs w:val="20"/>
          <w:color w:val="auto"/>
        </w:rPr>
        <w:tab/>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Performance-Based Award</w:t>
      </w:r>
      <w:r>
        <w:rPr>
          <w:rFonts w:ascii="Arial" w:cs="Arial" w:eastAsia="Arial" w:hAnsi="Arial"/>
          <w:sz w:val="18"/>
          <w:szCs w:val="18"/>
          <w:i w:val="1"/>
          <w:iCs w:val="1"/>
          <w:color w:val="auto"/>
        </w:rPr>
        <w:t xml:space="preserve">” </w:t>
      </w:r>
      <w:r>
        <w:rPr>
          <w:rFonts w:ascii="Arial" w:cs="Arial" w:eastAsia="Arial" w:hAnsi="Arial"/>
          <w:sz w:val="18"/>
          <w:szCs w:val="18"/>
          <w:color w:val="auto"/>
        </w:rPr>
        <w:t>has the meaning given to it in Section 12.</w:t>
      </w:r>
    </w:p>
    <w:p>
      <w:pPr>
        <w:spacing w:after="0" w:line="111" w:lineRule="exact"/>
        <w:rPr>
          <w:sz w:val="20"/>
          <w:szCs w:val="20"/>
          <w:color w:val="auto"/>
        </w:rPr>
      </w:pPr>
    </w:p>
    <w:p>
      <w:pPr>
        <w:ind w:left="800" w:right="120" w:hanging="639"/>
        <w:spacing w:after="0" w:line="313" w:lineRule="auto"/>
        <w:tabs>
          <w:tab w:leader="none" w:pos="780" w:val="left"/>
        </w:tabs>
        <w:rPr>
          <w:sz w:val="20"/>
          <w:szCs w:val="20"/>
          <w:color w:val="auto"/>
        </w:rPr>
      </w:pPr>
      <w:r>
        <w:rPr>
          <w:rFonts w:ascii="Arial" w:cs="Arial" w:eastAsia="Arial" w:hAnsi="Arial"/>
          <w:sz w:val="15"/>
          <w:szCs w:val="15"/>
          <w:color w:val="auto"/>
        </w:rPr>
        <w:t>ak.</w:t>
      </w:r>
      <w:r>
        <w:rPr>
          <w:sz w:val="20"/>
          <w:szCs w:val="20"/>
          <w:color w:val="auto"/>
        </w:rPr>
        <w:tab/>
      </w:r>
      <w:r>
        <w:rPr>
          <w:rFonts w:ascii="Arial" w:cs="Arial" w:eastAsia="Arial" w:hAnsi="Arial"/>
          <w:sz w:val="15"/>
          <w:szCs w:val="15"/>
          <w:i w:val="1"/>
          <w:iCs w:val="1"/>
          <w:color w:val="auto"/>
        </w:rPr>
        <w:t>“</w:t>
      </w:r>
      <w:r>
        <w:rPr>
          <w:rFonts w:ascii="Arial" w:cs="Arial" w:eastAsia="Arial" w:hAnsi="Arial"/>
          <w:sz w:val="15"/>
          <w:szCs w:val="15"/>
          <w:b w:val="1"/>
          <w:bCs w:val="1"/>
          <w:i w:val="1"/>
          <w:iCs w:val="1"/>
          <w:color w:val="auto"/>
        </w:rPr>
        <w:t>Permitted Transferees</w:t>
      </w:r>
      <w:r>
        <w:rPr>
          <w:rFonts w:ascii="Arial" w:cs="Arial" w:eastAsia="Arial" w:hAnsi="Arial"/>
          <w:sz w:val="15"/>
          <w:szCs w:val="15"/>
          <w:i w:val="1"/>
          <w:iCs w:val="1"/>
          <w:color w:val="auto"/>
        </w:rPr>
        <w:t xml:space="preserve">” </w:t>
      </w:r>
      <w:r>
        <w:rPr>
          <w:rFonts w:ascii="Arial" w:cs="Arial" w:eastAsia="Arial" w:hAnsi="Arial"/>
          <w:sz w:val="15"/>
          <w:szCs w:val="15"/>
          <w:color w:val="auto"/>
        </w:rPr>
        <w:t>means a member of a Participant’s immediate family, trusts for the exclusive benefit of such Participant</w:t>
      </w:r>
      <w:r>
        <w:rPr>
          <w:rFonts w:ascii="Arial" w:cs="Arial" w:eastAsia="Arial" w:hAnsi="Arial"/>
          <w:sz w:val="15"/>
          <w:szCs w:val="15"/>
          <w:i w:val="1"/>
          <w:iCs w:val="1"/>
          <w:color w:val="auto"/>
        </w:rPr>
        <w:t xml:space="preserve"> </w:t>
      </w:r>
      <w:r>
        <w:rPr>
          <w:rFonts w:ascii="Arial" w:cs="Arial" w:eastAsia="Arial" w:hAnsi="Arial"/>
          <w:sz w:val="15"/>
          <w:szCs w:val="15"/>
          <w:color w:val="auto"/>
        </w:rPr>
        <w:t>and/or such Participant’s immediate family members, and partnerships or other entities in which the Participant and/or such immediate family members are the only partners, provided that no consideration is provided for the transfer. Immediate family members shall include a Participant’s spouse, descendants (children, grandchildren and more remote descendants), spouses of descendants, and shall include step-children and relationships arising from legal adoption.</w:t>
      </w:r>
    </w:p>
    <w:p>
      <w:pPr>
        <w:spacing w:after="0" w:line="43" w:lineRule="exact"/>
        <w:rPr>
          <w:sz w:val="20"/>
          <w:szCs w:val="20"/>
          <w:color w:val="auto"/>
        </w:rPr>
      </w:pPr>
    </w:p>
    <w:p>
      <w:pPr>
        <w:ind w:left="160"/>
        <w:spacing w:after="0"/>
        <w:tabs>
          <w:tab w:leader="none" w:pos="780" w:val="left"/>
        </w:tabs>
        <w:rPr>
          <w:sz w:val="20"/>
          <w:szCs w:val="20"/>
          <w:color w:val="auto"/>
        </w:rPr>
      </w:pPr>
      <w:r>
        <w:rPr>
          <w:rFonts w:ascii="Arial" w:cs="Arial" w:eastAsia="Arial" w:hAnsi="Arial"/>
          <w:sz w:val="18"/>
          <w:szCs w:val="18"/>
          <w:color w:val="auto"/>
        </w:rPr>
        <w:t>al.</w:t>
      </w:r>
      <w:r>
        <w:rPr>
          <w:sz w:val="20"/>
          <w:szCs w:val="20"/>
          <w:color w:val="auto"/>
        </w:rPr>
        <w:tab/>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Plan</w:t>
      </w:r>
      <w:r>
        <w:rPr>
          <w:rFonts w:ascii="Arial" w:cs="Arial" w:eastAsia="Arial" w:hAnsi="Arial"/>
          <w:sz w:val="18"/>
          <w:szCs w:val="18"/>
          <w:i w:val="1"/>
          <w:iCs w:val="1"/>
          <w:color w:val="auto"/>
        </w:rPr>
        <w:t xml:space="preserve">” </w:t>
      </w:r>
      <w:r>
        <w:rPr>
          <w:rFonts w:ascii="Arial" w:cs="Arial" w:eastAsia="Arial" w:hAnsi="Arial"/>
          <w:sz w:val="18"/>
          <w:szCs w:val="18"/>
          <w:color w:val="auto"/>
        </w:rPr>
        <w:t>has the meaning given to it in Section 1.1.</w:t>
      </w:r>
    </w:p>
    <w:p>
      <w:pPr>
        <w:spacing w:after="0" w:line="111" w:lineRule="exact"/>
        <w:rPr>
          <w:sz w:val="20"/>
          <w:szCs w:val="20"/>
          <w:color w:val="auto"/>
        </w:rPr>
      </w:pPr>
    </w:p>
    <w:p>
      <w:pPr>
        <w:ind w:left="800" w:right="100" w:hanging="636"/>
        <w:spacing w:after="0" w:line="255" w:lineRule="auto"/>
        <w:tabs>
          <w:tab w:leader="none" w:pos="780" w:val="left"/>
        </w:tabs>
        <w:rPr>
          <w:sz w:val="20"/>
          <w:szCs w:val="20"/>
          <w:color w:val="auto"/>
        </w:rPr>
      </w:pPr>
      <w:r>
        <w:rPr>
          <w:rFonts w:ascii="Arial" w:cs="Arial" w:eastAsia="Arial" w:hAnsi="Arial"/>
          <w:sz w:val="18"/>
          <w:szCs w:val="18"/>
          <w:color w:val="auto"/>
        </w:rPr>
        <w:t>am.</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i w:val="1"/>
          <w:iCs w:val="1"/>
          <w:color w:val="auto"/>
        </w:rPr>
        <w:t>Prior Section 162(m) of the Code</w:t>
      </w:r>
      <w:r>
        <w:rPr>
          <w:rFonts w:ascii="Arial" w:cs="Arial" w:eastAsia="Arial" w:hAnsi="Arial"/>
          <w:sz w:val="18"/>
          <w:szCs w:val="18"/>
          <w:color w:val="auto"/>
        </w:rPr>
        <w:t>” means Section 162(m) of the Code as in effect immediately prior to the amendments made to Section 162(m) of the Code by Section 13601 of the Tax Cuts and Jobs Act of 2017, and the regulations and other guidance promulgated thereunder.</w:t>
      </w:r>
    </w:p>
    <w:p>
      <w:pPr>
        <w:spacing w:after="0" w:line="83" w:lineRule="exact"/>
        <w:rPr>
          <w:sz w:val="20"/>
          <w:szCs w:val="20"/>
          <w:color w:val="auto"/>
        </w:rPr>
      </w:pPr>
    </w:p>
    <w:p>
      <w:pPr>
        <w:ind w:left="160"/>
        <w:spacing w:after="0"/>
        <w:tabs>
          <w:tab w:leader="none" w:pos="780" w:val="left"/>
        </w:tabs>
        <w:rPr>
          <w:sz w:val="20"/>
          <w:szCs w:val="20"/>
          <w:color w:val="auto"/>
        </w:rPr>
      </w:pPr>
      <w:r>
        <w:rPr>
          <w:rFonts w:ascii="Arial" w:cs="Arial" w:eastAsia="Arial" w:hAnsi="Arial"/>
          <w:sz w:val="18"/>
          <w:szCs w:val="18"/>
          <w:color w:val="auto"/>
        </w:rPr>
        <w:t>an.</w:t>
      </w:r>
      <w:r>
        <w:rPr>
          <w:sz w:val="20"/>
          <w:szCs w:val="20"/>
          <w:color w:val="auto"/>
        </w:rPr>
        <w:tab/>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Restricted Period</w:t>
      </w:r>
      <w:r>
        <w:rPr>
          <w:rFonts w:ascii="Arial" w:cs="Arial" w:eastAsia="Arial" w:hAnsi="Arial"/>
          <w:sz w:val="18"/>
          <w:szCs w:val="18"/>
          <w:i w:val="1"/>
          <w:iCs w:val="1"/>
          <w:color w:val="auto"/>
        </w:rPr>
        <w:t xml:space="preserve">” </w:t>
      </w:r>
      <w:r>
        <w:rPr>
          <w:rFonts w:ascii="Arial" w:cs="Arial" w:eastAsia="Arial" w:hAnsi="Arial"/>
          <w:sz w:val="18"/>
          <w:szCs w:val="18"/>
          <w:color w:val="auto"/>
        </w:rPr>
        <w:t>has the meaning given to it in Section 9.1.</w:t>
      </w:r>
    </w:p>
    <w:p>
      <w:pPr>
        <w:spacing w:after="0" w:line="111" w:lineRule="exact"/>
        <w:rPr>
          <w:sz w:val="20"/>
          <w:szCs w:val="20"/>
          <w:color w:val="auto"/>
        </w:rPr>
      </w:pPr>
    </w:p>
    <w:p>
      <w:pPr>
        <w:ind w:left="160"/>
        <w:spacing w:after="0"/>
        <w:tabs>
          <w:tab w:leader="none" w:pos="780" w:val="left"/>
        </w:tabs>
        <w:rPr>
          <w:sz w:val="20"/>
          <w:szCs w:val="20"/>
          <w:color w:val="auto"/>
        </w:rPr>
      </w:pPr>
      <w:r>
        <w:rPr>
          <w:rFonts w:ascii="Arial" w:cs="Arial" w:eastAsia="Arial" w:hAnsi="Arial"/>
          <w:sz w:val="18"/>
          <w:szCs w:val="18"/>
          <w:color w:val="auto"/>
        </w:rPr>
        <w:t>ao.</w:t>
      </w:r>
      <w:r>
        <w:rPr>
          <w:sz w:val="20"/>
          <w:szCs w:val="20"/>
          <w:color w:val="auto"/>
        </w:rPr>
        <w:tab/>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Restricted Stock</w:t>
      </w:r>
      <w:r>
        <w:rPr>
          <w:rFonts w:ascii="Arial" w:cs="Arial" w:eastAsia="Arial" w:hAnsi="Arial"/>
          <w:sz w:val="18"/>
          <w:szCs w:val="18"/>
          <w:i w:val="1"/>
          <w:iCs w:val="1"/>
          <w:color w:val="auto"/>
        </w:rPr>
        <w:t xml:space="preserve">” </w:t>
      </w:r>
      <w:r>
        <w:rPr>
          <w:rFonts w:ascii="Arial" w:cs="Arial" w:eastAsia="Arial" w:hAnsi="Arial"/>
          <w:sz w:val="18"/>
          <w:szCs w:val="18"/>
          <w:color w:val="auto"/>
        </w:rPr>
        <w:t>means an award of Stock made under Section 9, which is subject to vesting provisions.</w:t>
      </w:r>
    </w:p>
    <w:p>
      <w:pPr>
        <w:spacing w:after="0" w:line="11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080"/>
          </w:cols>
          <w:pgMar w:left="1440" w:top="552" w:right="379" w:bottom="1440" w:gutter="0" w:footer="0" w:header="0"/>
        </w:sectPr>
      </w:pPr>
    </w:p>
    <w:bookmarkStart w:id="57" w:name="page58"/>
    <w:bookmarkEnd w:id="57"/>
    <w:p>
      <w:pPr>
        <w:ind w:left="1914" w:right="780" w:hanging="639"/>
        <w:spacing w:after="0" w:line="265" w:lineRule="auto"/>
        <w:tabs>
          <w:tab w:leader="none" w:pos="1893" w:val="left"/>
        </w:tabs>
        <w:rPr>
          <w:sz w:val="20"/>
          <w:szCs w:val="20"/>
          <w:color w:val="auto"/>
        </w:rPr>
      </w:pPr>
      <w:r>
        <w:rPr>
          <w:rFonts w:ascii="Arial" w:cs="Arial" w:eastAsia="Arial" w:hAnsi="Arial"/>
          <w:sz w:val="18"/>
          <w:szCs w:val="18"/>
          <w:color w:val="auto"/>
        </w:rPr>
        <w:t>ap.</w:t>
      </w:r>
      <w:r>
        <w:rPr>
          <w:sz w:val="20"/>
          <w:szCs w:val="20"/>
          <w:color w:val="auto"/>
        </w:rPr>
        <w:tab/>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Restricted Stock Unit</w:t>
      </w:r>
      <w:r>
        <w:rPr>
          <w:rFonts w:ascii="Arial" w:cs="Arial" w:eastAsia="Arial" w:hAnsi="Arial"/>
          <w:sz w:val="18"/>
          <w:szCs w:val="18"/>
          <w:i w:val="1"/>
          <w:iCs w:val="1"/>
          <w:color w:val="auto"/>
        </w:rPr>
        <w:t xml:space="preserve">” </w:t>
      </w:r>
      <w:r>
        <w:rPr>
          <w:rFonts w:ascii="Arial" w:cs="Arial" w:eastAsia="Arial" w:hAnsi="Arial"/>
          <w:sz w:val="18"/>
          <w:szCs w:val="18"/>
          <w:color w:val="auto"/>
        </w:rPr>
        <w:t>means an Award granted pursuant to Section 10 and shall be evidenced by a bookkeeping entry</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representing the equivalent of one share of Stock.</w:t>
      </w:r>
    </w:p>
    <w:p>
      <w:pPr>
        <w:spacing w:after="0" w:line="74" w:lineRule="exact"/>
        <w:rPr>
          <w:sz w:val="20"/>
          <w:szCs w:val="20"/>
          <w:color w:val="auto"/>
        </w:rPr>
      </w:pPr>
    </w:p>
    <w:p>
      <w:pPr>
        <w:ind w:left="1274"/>
        <w:spacing w:after="0"/>
        <w:tabs>
          <w:tab w:leader="none" w:pos="1893" w:val="left"/>
        </w:tabs>
        <w:rPr>
          <w:sz w:val="20"/>
          <w:szCs w:val="20"/>
          <w:color w:val="auto"/>
        </w:rPr>
      </w:pPr>
      <w:r>
        <w:rPr>
          <w:rFonts w:ascii="Arial" w:cs="Arial" w:eastAsia="Arial" w:hAnsi="Arial"/>
          <w:sz w:val="15"/>
          <w:szCs w:val="15"/>
          <w:color w:val="auto"/>
        </w:rPr>
        <w:t>aq.</w:t>
      </w:r>
      <w:r>
        <w:rPr>
          <w:sz w:val="20"/>
          <w:szCs w:val="20"/>
          <w:color w:val="auto"/>
        </w:rPr>
        <w:tab/>
      </w:r>
      <w:r>
        <w:rPr>
          <w:rFonts w:ascii="Arial" w:cs="Arial" w:eastAsia="Arial" w:hAnsi="Arial"/>
          <w:sz w:val="15"/>
          <w:szCs w:val="15"/>
          <w:i w:val="1"/>
          <w:iCs w:val="1"/>
          <w:color w:val="auto"/>
        </w:rPr>
        <w:t>“</w:t>
      </w:r>
      <w:r>
        <w:rPr>
          <w:rFonts w:ascii="Arial" w:cs="Arial" w:eastAsia="Arial" w:hAnsi="Arial"/>
          <w:sz w:val="15"/>
          <w:szCs w:val="15"/>
          <w:b w:val="1"/>
          <w:bCs w:val="1"/>
          <w:i w:val="1"/>
          <w:iCs w:val="1"/>
          <w:color w:val="auto"/>
        </w:rPr>
        <w:t>Rule 16b</w:t>
      </w:r>
      <w:r>
        <w:rPr>
          <w:rFonts w:ascii="Arial" w:cs="Arial" w:eastAsia="Arial" w:hAnsi="Arial"/>
          <w:sz w:val="15"/>
          <w:szCs w:val="15"/>
          <w:i w:val="1"/>
          <w:iCs w:val="1"/>
          <w:color w:val="auto"/>
        </w:rPr>
        <w:t>-</w:t>
      </w:r>
      <w:r>
        <w:rPr>
          <w:rFonts w:ascii="Arial" w:cs="Arial" w:eastAsia="Arial" w:hAnsi="Arial"/>
          <w:sz w:val="15"/>
          <w:szCs w:val="15"/>
          <w:b w:val="1"/>
          <w:bCs w:val="1"/>
          <w:i w:val="1"/>
          <w:iCs w:val="1"/>
          <w:color w:val="auto"/>
        </w:rPr>
        <w:t>3</w:t>
      </w:r>
      <w:r>
        <w:rPr>
          <w:rFonts w:ascii="Arial" w:cs="Arial" w:eastAsia="Arial" w:hAnsi="Arial"/>
          <w:sz w:val="15"/>
          <w:szCs w:val="15"/>
          <w:i w:val="1"/>
          <w:iCs w:val="1"/>
          <w:color w:val="auto"/>
        </w:rPr>
        <w:t xml:space="preserve">” </w:t>
      </w:r>
      <w:r>
        <w:rPr>
          <w:rFonts w:ascii="Arial" w:cs="Arial" w:eastAsia="Arial" w:hAnsi="Arial"/>
          <w:sz w:val="15"/>
          <w:szCs w:val="15"/>
          <w:color w:val="auto"/>
        </w:rPr>
        <w:t>means Rule 16b-3 under the Exchange Act, as amended from time to time, or any successor rule or regulation.</w:t>
      </w:r>
    </w:p>
    <w:p>
      <w:pPr>
        <w:spacing w:after="0" w:line="146" w:lineRule="exact"/>
        <w:rPr>
          <w:sz w:val="20"/>
          <w:szCs w:val="20"/>
          <w:color w:val="auto"/>
        </w:rPr>
      </w:pPr>
    </w:p>
    <w:p>
      <w:pPr>
        <w:ind w:left="1274"/>
        <w:spacing w:after="0"/>
        <w:tabs>
          <w:tab w:leader="none" w:pos="1873" w:val="left"/>
        </w:tabs>
        <w:rPr>
          <w:sz w:val="20"/>
          <w:szCs w:val="20"/>
          <w:color w:val="auto"/>
        </w:rPr>
      </w:pPr>
      <w:r>
        <w:rPr>
          <w:rFonts w:ascii="Arial" w:cs="Arial" w:eastAsia="Arial" w:hAnsi="Arial"/>
          <w:sz w:val="18"/>
          <w:szCs w:val="18"/>
          <w:color w:val="auto"/>
        </w:rPr>
        <w:t>ar.</w:t>
      </w:r>
      <w:r>
        <w:rPr>
          <w:sz w:val="20"/>
          <w:szCs w:val="20"/>
          <w:color w:val="auto"/>
        </w:rPr>
        <w:tab/>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Securities Act</w:t>
      </w:r>
      <w:r>
        <w:rPr>
          <w:rFonts w:ascii="Arial" w:cs="Arial" w:eastAsia="Arial" w:hAnsi="Arial"/>
          <w:sz w:val="18"/>
          <w:szCs w:val="18"/>
          <w:i w:val="1"/>
          <w:iCs w:val="1"/>
          <w:color w:val="auto"/>
        </w:rPr>
        <w:t xml:space="preserve">” </w:t>
      </w:r>
      <w:r>
        <w:rPr>
          <w:rFonts w:ascii="Arial" w:cs="Arial" w:eastAsia="Arial" w:hAnsi="Arial"/>
          <w:sz w:val="18"/>
          <w:szCs w:val="18"/>
          <w:color w:val="auto"/>
        </w:rPr>
        <w:t>means the Securities Act of 1933, as amended.</w:t>
      </w:r>
    </w:p>
    <w:p>
      <w:pPr>
        <w:spacing w:after="0" w:line="111" w:lineRule="exact"/>
        <w:rPr>
          <w:sz w:val="20"/>
          <w:szCs w:val="20"/>
          <w:color w:val="auto"/>
        </w:rPr>
      </w:pPr>
    </w:p>
    <w:p>
      <w:pPr>
        <w:ind w:left="1894" w:right="40" w:hanging="636"/>
        <w:spacing w:after="0" w:line="301" w:lineRule="auto"/>
        <w:tabs>
          <w:tab w:leader="none" w:pos="1873" w:val="left"/>
        </w:tabs>
        <w:rPr>
          <w:sz w:val="20"/>
          <w:szCs w:val="20"/>
          <w:color w:val="auto"/>
        </w:rPr>
      </w:pPr>
      <w:r>
        <w:rPr>
          <w:rFonts w:ascii="Arial" w:cs="Arial" w:eastAsia="Arial" w:hAnsi="Arial"/>
          <w:sz w:val="18"/>
          <w:szCs w:val="18"/>
          <w:color w:val="auto"/>
        </w:rPr>
        <w:t>as.</w:t>
      </w:r>
      <w:r>
        <w:rPr>
          <w:sz w:val="20"/>
          <w:szCs w:val="20"/>
          <w:color w:val="auto"/>
        </w:rPr>
        <w:tab/>
      </w:r>
      <w:r>
        <w:rPr>
          <w:rFonts w:ascii="Arial" w:cs="Arial" w:eastAsia="Arial" w:hAnsi="Arial"/>
          <w:sz w:val="15"/>
          <w:szCs w:val="15"/>
          <w:i w:val="1"/>
          <w:iCs w:val="1"/>
          <w:color w:val="auto"/>
        </w:rPr>
        <w:t>“</w:t>
      </w:r>
      <w:r>
        <w:rPr>
          <w:rFonts w:ascii="Arial" w:cs="Arial" w:eastAsia="Arial" w:hAnsi="Arial"/>
          <w:sz w:val="15"/>
          <w:szCs w:val="15"/>
          <w:b w:val="1"/>
          <w:bCs w:val="1"/>
          <w:i w:val="1"/>
          <w:iCs w:val="1"/>
          <w:color w:val="auto"/>
        </w:rPr>
        <w:t>Service</w:t>
      </w:r>
      <w:r>
        <w:rPr>
          <w:rFonts w:ascii="Arial" w:cs="Arial" w:eastAsia="Arial" w:hAnsi="Arial"/>
          <w:sz w:val="15"/>
          <w:szCs w:val="15"/>
          <w:i w:val="1"/>
          <w:iCs w:val="1"/>
          <w:color w:val="auto"/>
        </w:rPr>
        <w:t xml:space="preserve">” </w:t>
      </w:r>
      <w:r>
        <w:rPr>
          <w:rFonts w:ascii="Arial" w:cs="Arial" w:eastAsia="Arial" w:hAnsi="Arial"/>
          <w:sz w:val="15"/>
          <w:szCs w:val="15"/>
          <w:color w:val="auto"/>
        </w:rPr>
        <w:t>means a Participant’s employment or service with the Participating Company Group, whether in the capacity of an</w:t>
      </w:r>
      <w:r>
        <w:rPr>
          <w:rFonts w:ascii="Arial" w:cs="Arial" w:eastAsia="Arial" w:hAnsi="Arial"/>
          <w:sz w:val="15"/>
          <w:szCs w:val="15"/>
          <w:i w:val="1"/>
          <w:iCs w:val="1"/>
          <w:color w:val="auto"/>
        </w:rPr>
        <w:t xml:space="preserve"> </w:t>
      </w:r>
      <w:r>
        <w:rPr>
          <w:rFonts w:ascii="Arial" w:cs="Arial" w:eastAsia="Arial" w:hAnsi="Arial"/>
          <w:sz w:val="15"/>
          <w:szCs w:val="15"/>
          <w:color w:val="auto"/>
        </w:rPr>
        <w:t>Employee, a Director or a Consultant. A Participant’s Service shall not be deemed to have terminated merely because of a change in the capacity in which the Participant renders Service to the Participating Company Group or a change in the Participating Company for which the Participant renders such Service, provided that there is no interruption or termination of the Participant’s Service. Furthermore, a Participant’s Service with the Participating Company Group shall not be deemed to have terminated if the Participant takes any military leave, sick leave, or other bona fide leave of absence approved by the Company; provided, however, that if any such leave exceeds ninety (90) days, on the ninety-first (91st) day of such leave the Participant’s Service shall be deemed to have terminated unless the Participant’s right to return to Service with the Participating Company Group is guaranteed by statute or contract. Notwithstanding the foregoing, unless otherwise designated by the Company or required by law, a leave of absence shall not be treated as Service for purposes of determining vesting under any Option Agreement. The Participant’s Service shall be deemed to have terminated either upon an actual termination of Service or upon the corporation for which the Participant performs Service ceasing to be a Participating Company. Subject to the foregoing, the Company, in its discretion, shall determine whether the Participant’s Service has terminated and the effective date of such termination.</w:t>
      </w:r>
    </w:p>
    <w:p>
      <w:pPr>
        <w:spacing w:after="0" w:line="269" w:lineRule="exact"/>
        <w:rPr>
          <w:sz w:val="20"/>
          <w:szCs w:val="20"/>
          <w:color w:val="auto"/>
        </w:rPr>
      </w:pPr>
    </w:p>
    <w:p>
      <w:pPr>
        <w:jc w:val="both"/>
        <w:ind w:left="1914" w:right="40" w:hanging="639"/>
        <w:spacing w:after="0" w:line="255" w:lineRule="auto"/>
        <w:tabs>
          <w:tab w:leader="none" w:pos="1893" w:val="left"/>
        </w:tabs>
        <w:rPr>
          <w:sz w:val="20"/>
          <w:szCs w:val="20"/>
          <w:color w:val="auto"/>
        </w:rPr>
      </w:pPr>
      <w:r>
        <w:rPr>
          <w:rFonts w:ascii="Arial" w:cs="Arial" w:eastAsia="Arial" w:hAnsi="Arial"/>
          <w:sz w:val="18"/>
          <w:szCs w:val="18"/>
          <w:color w:val="auto"/>
        </w:rPr>
        <w:t>at.</w:t>
      </w:r>
      <w:r>
        <w:rPr>
          <w:sz w:val="20"/>
          <w:szCs w:val="20"/>
          <w:color w:val="auto"/>
        </w:rPr>
        <w:tab/>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Stock Appreciation Right</w:t>
      </w:r>
      <w:r>
        <w:rPr>
          <w:rFonts w:ascii="Arial" w:cs="Arial" w:eastAsia="Arial" w:hAnsi="Arial"/>
          <w:sz w:val="18"/>
          <w:szCs w:val="18"/>
          <w:i w:val="1"/>
          <w:iCs w:val="1"/>
          <w:color w:val="auto"/>
        </w:rPr>
        <w:t>” or “</w:t>
      </w:r>
      <w:r>
        <w:rPr>
          <w:rFonts w:ascii="Arial" w:cs="Arial" w:eastAsia="Arial" w:hAnsi="Arial"/>
          <w:sz w:val="18"/>
          <w:szCs w:val="18"/>
          <w:b w:val="1"/>
          <w:bCs w:val="1"/>
          <w:i w:val="1"/>
          <w:iCs w:val="1"/>
          <w:color w:val="auto"/>
        </w:rPr>
        <w:t>SAR</w:t>
      </w:r>
      <w:r>
        <w:rPr>
          <w:rFonts w:ascii="Arial" w:cs="Arial" w:eastAsia="Arial" w:hAnsi="Arial"/>
          <w:sz w:val="18"/>
          <w:szCs w:val="18"/>
          <w:i w:val="1"/>
          <w:iCs w:val="1"/>
          <w:color w:val="auto"/>
        </w:rPr>
        <w:t xml:space="preserve">” </w:t>
      </w:r>
      <w:r>
        <w:rPr>
          <w:rFonts w:ascii="Arial" w:cs="Arial" w:eastAsia="Arial" w:hAnsi="Arial"/>
          <w:sz w:val="18"/>
          <w:szCs w:val="18"/>
          <w:color w:val="auto"/>
        </w:rPr>
        <w:t>means a right granted pursuant to Section 7 to receive a payment equal to the excess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Fair Market Value of a specified number of shares of Stock on the date the SAR is exercised over the grant price of the SAR, as set forth in the applicable Award Agreement.</w:t>
      </w:r>
    </w:p>
    <w:p>
      <w:pPr>
        <w:spacing w:after="0" w:line="83" w:lineRule="exact"/>
        <w:rPr>
          <w:sz w:val="20"/>
          <w:szCs w:val="20"/>
          <w:color w:val="auto"/>
        </w:rPr>
      </w:pPr>
    </w:p>
    <w:p>
      <w:pPr>
        <w:ind w:left="1274"/>
        <w:spacing w:after="0"/>
        <w:tabs>
          <w:tab w:leader="none" w:pos="1893" w:val="left"/>
        </w:tabs>
        <w:rPr>
          <w:sz w:val="20"/>
          <w:szCs w:val="20"/>
          <w:color w:val="auto"/>
        </w:rPr>
      </w:pPr>
      <w:r>
        <w:rPr>
          <w:rFonts w:ascii="Arial" w:cs="Arial" w:eastAsia="Arial" w:hAnsi="Arial"/>
          <w:sz w:val="18"/>
          <w:szCs w:val="18"/>
          <w:color w:val="auto"/>
        </w:rPr>
        <w:t>au.</w:t>
      </w:r>
      <w:r>
        <w:rPr>
          <w:sz w:val="20"/>
          <w:szCs w:val="20"/>
          <w:color w:val="auto"/>
        </w:rPr>
        <w:tab/>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Stock</w:t>
      </w:r>
      <w:r>
        <w:rPr>
          <w:rFonts w:ascii="Arial" w:cs="Arial" w:eastAsia="Arial" w:hAnsi="Arial"/>
          <w:sz w:val="18"/>
          <w:szCs w:val="18"/>
          <w:i w:val="1"/>
          <w:iCs w:val="1"/>
          <w:color w:val="auto"/>
        </w:rPr>
        <w:t xml:space="preserve">” </w:t>
      </w:r>
      <w:r>
        <w:rPr>
          <w:rFonts w:ascii="Arial" w:cs="Arial" w:eastAsia="Arial" w:hAnsi="Arial"/>
          <w:sz w:val="18"/>
          <w:szCs w:val="18"/>
          <w:color w:val="auto"/>
        </w:rPr>
        <w:t>means the common stock of the Company, as adjusted from time to time in accordance with Section 4.3.</w:t>
      </w:r>
    </w:p>
    <w:p>
      <w:pPr>
        <w:spacing w:after="0" w:line="111" w:lineRule="exact"/>
        <w:rPr>
          <w:sz w:val="20"/>
          <w:szCs w:val="20"/>
          <w:color w:val="auto"/>
        </w:rPr>
      </w:pPr>
    </w:p>
    <w:p>
      <w:pPr>
        <w:ind w:left="1894" w:right="60" w:hanging="636"/>
        <w:spacing w:after="0" w:line="249" w:lineRule="auto"/>
        <w:tabs>
          <w:tab w:leader="none" w:pos="1873" w:val="left"/>
        </w:tabs>
        <w:rPr>
          <w:sz w:val="20"/>
          <w:szCs w:val="20"/>
          <w:color w:val="auto"/>
        </w:rPr>
      </w:pPr>
      <w:r>
        <w:rPr>
          <w:rFonts w:ascii="Arial" w:cs="Arial" w:eastAsia="Arial" w:hAnsi="Arial"/>
          <w:sz w:val="18"/>
          <w:szCs w:val="18"/>
          <w:color w:val="auto"/>
        </w:rPr>
        <w:t>av.</w:t>
      </w:r>
      <w:r>
        <w:rPr>
          <w:sz w:val="20"/>
          <w:szCs w:val="20"/>
          <w:color w:val="auto"/>
        </w:rPr>
        <w:tab/>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Subsidiary</w:t>
      </w:r>
      <w:r>
        <w:rPr>
          <w:rFonts w:ascii="Arial" w:cs="Arial" w:eastAsia="Arial" w:hAnsi="Arial"/>
          <w:sz w:val="18"/>
          <w:szCs w:val="18"/>
          <w:i w:val="1"/>
          <w:iCs w:val="1"/>
          <w:color w:val="auto"/>
        </w:rPr>
        <w:t xml:space="preserve">” </w:t>
      </w:r>
      <w:r>
        <w:rPr>
          <w:rFonts w:ascii="Arial" w:cs="Arial" w:eastAsia="Arial" w:hAnsi="Arial"/>
          <w:sz w:val="18"/>
          <w:szCs w:val="18"/>
          <w:color w:val="auto"/>
        </w:rPr>
        <w:t>means (i) any “subsidiary corporation” of the Company, as defined in Section 424(f) of the Code and any successor</w:t>
      </w:r>
      <w:r>
        <w:rPr>
          <w:rFonts w:ascii="Arial" w:cs="Arial" w:eastAsia="Arial" w:hAnsi="Arial"/>
          <w:sz w:val="18"/>
          <w:szCs w:val="18"/>
          <w:i w:val="1"/>
          <w:iCs w:val="1"/>
          <w:color w:val="auto"/>
        </w:rPr>
        <w:t xml:space="preserve"> </w:t>
      </w:r>
      <w:r>
        <w:rPr>
          <w:rFonts w:ascii="Arial" w:cs="Arial" w:eastAsia="Arial" w:hAnsi="Arial"/>
          <w:sz w:val="18"/>
          <w:szCs w:val="18"/>
          <w:color w:val="auto"/>
        </w:rPr>
        <w:t>provisions, (ii) any other entity that is taxed as a corporation under Section 7701(a)(3) of the Code and is a member of the “affiliated group” as defined in Section 1504(a) of the Code of which the Company is a common parent corporation, and (iii) any other entity as may be permitted from time to time by the Code or the Internal Revenue Service to be an employer of employees to whom Options may be granted; provided, however, that in each case the subsidiary corporation must be consolidated in the Company’s financial statements.</w:t>
      </w:r>
    </w:p>
    <w:p>
      <w:pPr>
        <w:spacing w:after="0" w:line="91" w:lineRule="exact"/>
        <w:rPr>
          <w:sz w:val="20"/>
          <w:szCs w:val="20"/>
          <w:color w:val="auto"/>
        </w:rPr>
      </w:pPr>
    </w:p>
    <w:p>
      <w:pPr>
        <w:ind w:left="1894" w:right="400" w:hanging="636"/>
        <w:spacing w:after="0" w:line="255" w:lineRule="auto"/>
        <w:tabs>
          <w:tab w:leader="none" w:pos="1873" w:val="left"/>
        </w:tabs>
        <w:rPr>
          <w:sz w:val="20"/>
          <w:szCs w:val="20"/>
          <w:color w:val="auto"/>
        </w:rPr>
      </w:pPr>
      <w:r>
        <w:rPr>
          <w:rFonts w:ascii="Arial" w:cs="Arial" w:eastAsia="Arial" w:hAnsi="Arial"/>
          <w:sz w:val="18"/>
          <w:szCs w:val="18"/>
          <w:color w:val="auto"/>
        </w:rPr>
        <w:t>aw.</w:t>
      </w:r>
      <w:r>
        <w:rPr>
          <w:sz w:val="20"/>
          <w:szCs w:val="20"/>
          <w:color w:val="auto"/>
        </w:rPr>
        <w:tab/>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Ten Percent Owner Participant</w:t>
      </w:r>
      <w:r>
        <w:rPr>
          <w:rFonts w:ascii="Arial" w:cs="Arial" w:eastAsia="Arial" w:hAnsi="Arial"/>
          <w:sz w:val="18"/>
          <w:szCs w:val="18"/>
          <w:i w:val="1"/>
          <w:iCs w:val="1"/>
          <w:color w:val="auto"/>
        </w:rPr>
        <w:t xml:space="preserve">” </w:t>
      </w:r>
      <w:r>
        <w:rPr>
          <w:rFonts w:ascii="Arial" w:cs="Arial" w:eastAsia="Arial" w:hAnsi="Arial"/>
          <w:sz w:val="18"/>
          <w:szCs w:val="18"/>
          <w:color w:val="auto"/>
        </w:rPr>
        <w:t>means a Participant who, at the time an Option is granted to the Participant, owns stock</w:t>
      </w:r>
      <w:r>
        <w:rPr>
          <w:rFonts w:ascii="Arial" w:cs="Arial" w:eastAsia="Arial" w:hAnsi="Arial"/>
          <w:sz w:val="18"/>
          <w:szCs w:val="18"/>
          <w:i w:val="1"/>
          <w:iCs w:val="1"/>
          <w:color w:val="auto"/>
        </w:rPr>
        <w:t xml:space="preserve"> </w:t>
      </w:r>
      <w:r>
        <w:rPr>
          <w:rFonts w:ascii="Arial" w:cs="Arial" w:eastAsia="Arial" w:hAnsi="Arial"/>
          <w:sz w:val="18"/>
          <w:szCs w:val="18"/>
          <w:color w:val="auto"/>
        </w:rPr>
        <w:t>possessing more than ten percent (10%) of the total combined voting power of all classes of stock of a Participating Company within the meaning of Section 422(b)(6) of the Code.</w:t>
      </w:r>
    </w:p>
    <w:p>
      <w:pPr>
        <w:spacing w:after="0" w:line="77" w:lineRule="exact"/>
        <w:rPr>
          <w:sz w:val="20"/>
          <w:szCs w:val="20"/>
          <w:color w:val="auto"/>
        </w:rPr>
      </w:pPr>
    </w:p>
    <w:p>
      <w:pPr>
        <w:ind w:left="1274" w:right="160" w:hanging="637"/>
        <w:spacing w:after="0" w:line="281" w:lineRule="auto"/>
        <w:tabs>
          <w:tab w:leader="none" w:pos="946" w:val="left"/>
        </w:tabs>
        <w:numPr>
          <w:ilvl w:val="1"/>
          <w:numId w:val="80"/>
        </w:numPr>
        <w:rPr>
          <w:rFonts w:ascii="Arial" w:cs="Arial" w:eastAsia="Arial" w:hAnsi="Arial"/>
          <w:sz w:val="17"/>
          <w:szCs w:val="17"/>
          <w:color w:val="auto"/>
        </w:rPr>
      </w:pPr>
      <w:r>
        <w:rPr>
          <w:rFonts w:ascii="Arial" w:cs="Arial" w:eastAsia="Arial" w:hAnsi="Arial"/>
          <w:sz w:val="17"/>
          <w:szCs w:val="17"/>
          <w:b w:val="1"/>
          <w:bCs w:val="1"/>
          <w:color w:val="auto"/>
        </w:rPr>
        <w:t xml:space="preserve">Construction. </w:t>
      </w:r>
      <w:r>
        <w:rPr>
          <w:rFonts w:ascii="Arial" w:cs="Arial" w:eastAsia="Arial" w:hAnsi="Arial"/>
          <w:sz w:val="17"/>
          <w:szCs w:val="17"/>
          <w:color w:val="auto"/>
        </w:rPr>
        <w:t>Captions and titles contained herein are for convenience only and shall not affect the meaning or interpretation of any provision</w:t>
      </w:r>
      <w:r>
        <w:rPr>
          <w:rFonts w:ascii="Arial" w:cs="Arial" w:eastAsia="Arial" w:hAnsi="Arial"/>
          <w:sz w:val="17"/>
          <w:szCs w:val="17"/>
          <w:b w:val="1"/>
          <w:bCs w:val="1"/>
          <w:color w:val="auto"/>
        </w:rPr>
        <w:t xml:space="preserve"> </w:t>
      </w:r>
      <w:r>
        <w:rPr>
          <w:rFonts w:ascii="Arial" w:cs="Arial" w:eastAsia="Arial" w:hAnsi="Arial"/>
          <w:sz w:val="17"/>
          <w:szCs w:val="17"/>
          <w:color w:val="auto"/>
        </w:rPr>
        <w:t>of the Plan. Except when otherwise indicated by the context, the singular shall include the plural and the plural shall include the singular. Use of the term “or” is not intended to be exclusive, unless the context clearly requires otherwise.</w:t>
      </w:r>
    </w:p>
    <w:p>
      <w:pPr>
        <w:spacing w:after="0" w:line="56" w:lineRule="exact"/>
        <w:rPr>
          <w:rFonts w:ascii="Arial" w:cs="Arial" w:eastAsia="Arial" w:hAnsi="Arial"/>
          <w:sz w:val="17"/>
          <w:szCs w:val="17"/>
          <w:color w:val="auto"/>
        </w:rPr>
      </w:pPr>
    </w:p>
    <w:p>
      <w:pPr>
        <w:ind w:left="314" w:hanging="314"/>
        <w:spacing w:after="0"/>
        <w:tabs>
          <w:tab w:leader="none" w:pos="314"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ADMINISTRATION</w:t>
      </w:r>
      <w:r>
        <w:rPr>
          <w:rFonts w:ascii="Arial" w:cs="Arial" w:eastAsia="Arial" w:hAnsi="Arial"/>
          <w:sz w:val="18"/>
          <w:szCs w:val="18"/>
          <w:b w:val="1"/>
          <w:bCs w:val="1"/>
          <w:color w:val="auto"/>
        </w:rPr>
        <w:t>.</w:t>
      </w:r>
    </w:p>
    <w:p>
      <w:pPr>
        <w:spacing w:after="0" w:line="111" w:lineRule="exact"/>
        <w:rPr>
          <w:rFonts w:ascii="Arial" w:cs="Arial" w:eastAsia="Arial" w:hAnsi="Arial"/>
          <w:sz w:val="18"/>
          <w:szCs w:val="18"/>
          <w:b w:val="1"/>
          <w:bCs w:val="1"/>
          <w:color w:val="auto"/>
        </w:rPr>
      </w:pPr>
    </w:p>
    <w:p>
      <w:pPr>
        <w:jc w:val="both"/>
        <w:ind w:left="1274" w:hanging="637"/>
        <w:spacing w:after="0" w:line="259" w:lineRule="auto"/>
        <w:tabs>
          <w:tab w:leader="none" w:pos="1274" w:val="left"/>
        </w:tabs>
        <w:numPr>
          <w:ilvl w:val="1"/>
          <w:numId w:val="81"/>
        </w:numPr>
        <w:rPr>
          <w:rFonts w:ascii="Arial" w:cs="Arial" w:eastAsia="Arial" w:hAnsi="Arial"/>
          <w:sz w:val="18"/>
          <w:szCs w:val="18"/>
          <w:color w:val="auto"/>
        </w:rPr>
      </w:pPr>
      <w:r>
        <w:rPr>
          <w:rFonts w:ascii="Arial" w:cs="Arial" w:eastAsia="Arial" w:hAnsi="Arial"/>
          <w:sz w:val="18"/>
          <w:szCs w:val="18"/>
          <w:b w:val="1"/>
          <w:bCs w:val="1"/>
          <w:color w:val="auto"/>
        </w:rPr>
        <w:t xml:space="preserve">Administration. </w:t>
      </w:r>
      <w:r>
        <w:rPr>
          <w:rFonts w:ascii="Arial" w:cs="Arial" w:eastAsia="Arial" w:hAnsi="Arial"/>
          <w:sz w:val="18"/>
          <w:szCs w:val="18"/>
          <w:color w:val="auto"/>
        </w:rPr>
        <w:t>Unless the Board determines otherwise, the Plan shall be administered by the Committee. All questions of interpretation of</w:t>
      </w:r>
      <w:r>
        <w:rPr>
          <w:rFonts w:ascii="Arial" w:cs="Arial" w:eastAsia="Arial" w:hAnsi="Arial"/>
          <w:sz w:val="18"/>
          <w:szCs w:val="18"/>
          <w:b w:val="1"/>
          <w:bCs w:val="1"/>
          <w:color w:val="auto"/>
        </w:rPr>
        <w:t xml:space="preserve"> </w:t>
      </w:r>
      <w:r>
        <w:rPr>
          <w:rFonts w:ascii="Arial" w:cs="Arial" w:eastAsia="Arial" w:hAnsi="Arial"/>
          <w:sz w:val="18"/>
          <w:szCs w:val="18"/>
          <w:color w:val="auto"/>
        </w:rPr>
        <w:t>the Plan or of any Award shall be determined by the Committee, and such determinations shall be final and binding upon all persons having an interest in the Plan.</w:t>
      </w:r>
    </w:p>
    <w:p>
      <w:pPr>
        <w:spacing w:after="0" w:line="72" w:lineRule="exact"/>
        <w:rPr>
          <w:rFonts w:ascii="Arial" w:cs="Arial" w:eastAsia="Arial" w:hAnsi="Arial"/>
          <w:sz w:val="18"/>
          <w:szCs w:val="18"/>
          <w:color w:val="auto"/>
        </w:rPr>
      </w:pPr>
    </w:p>
    <w:p>
      <w:pPr>
        <w:jc w:val="both"/>
        <w:ind w:left="1274" w:right="40" w:hanging="637"/>
        <w:spacing w:after="0" w:line="281" w:lineRule="auto"/>
        <w:tabs>
          <w:tab w:leader="none" w:pos="1274" w:val="left"/>
        </w:tabs>
        <w:numPr>
          <w:ilvl w:val="1"/>
          <w:numId w:val="81"/>
        </w:numPr>
        <w:rPr>
          <w:rFonts w:ascii="Arial" w:cs="Arial" w:eastAsia="Arial" w:hAnsi="Arial"/>
          <w:sz w:val="17"/>
          <w:szCs w:val="17"/>
          <w:color w:val="auto"/>
        </w:rPr>
      </w:pPr>
      <w:r>
        <w:rPr>
          <w:rFonts w:ascii="Arial" w:cs="Arial" w:eastAsia="Arial" w:hAnsi="Arial"/>
          <w:sz w:val="17"/>
          <w:szCs w:val="17"/>
          <w:b w:val="1"/>
          <w:bCs w:val="1"/>
          <w:color w:val="auto"/>
        </w:rPr>
        <w:t xml:space="preserve">Authority of Officers. </w:t>
      </w:r>
      <w:r>
        <w:rPr>
          <w:rFonts w:ascii="Arial" w:cs="Arial" w:eastAsia="Arial" w:hAnsi="Arial"/>
          <w:sz w:val="17"/>
          <w:szCs w:val="17"/>
          <w:color w:val="auto"/>
        </w:rPr>
        <w:t>Any officer of a Participating Company shall have the authority to act on behalf of the Company with respect to any</w:t>
      </w:r>
      <w:r>
        <w:rPr>
          <w:rFonts w:ascii="Arial" w:cs="Arial" w:eastAsia="Arial" w:hAnsi="Arial"/>
          <w:sz w:val="17"/>
          <w:szCs w:val="17"/>
          <w:b w:val="1"/>
          <w:bCs w:val="1"/>
          <w:color w:val="auto"/>
        </w:rPr>
        <w:t xml:space="preserve"> </w:t>
      </w:r>
      <w:r>
        <w:rPr>
          <w:rFonts w:ascii="Arial" w:cs="Arial" w:eastAsia="Arial" w:hAnsi="Arial"/>
          <w:sz w:val="17"/>
          <w:szCs w:val="17"/>
          <w:color w:val="auto"/>
        </w:rPr>
        <w:t>matter, right, obligation, determination or election which is the responsibility of, or which is allocated, to the Company herein, provided the officer has apparent authority with respect to such matter, right, obligation, determination or election.</w:t>
      </w:r>
    </w:p>
    <w:p>
      <w:pPr>
        <w:spacing w:after="0" w:line="56" w:lineRule="exact"/>
        <w:rPr>
          <w:rFonts w:ascii="Arial" w:cs="Arial" w:eastAsia="Arial" w:hAnsi="Arial"/>
          <w:sz w:val="17"/>
          <w:szCs w:val="17"/>
          <w:color w:val="auto"/>
        </w:rPr>
      </w:pPr>
    </w:p>
    <w:p>
      <w:pPr>
        <w:ind w:left="1274" w:right="40" w:hanging="637"/>
        <w:spacing w:after="0" w:line="272" w:lineRule="auto"/>
        <w:tabs>
          <w:tab w:leader="none" w:pos="1274" w:val="left"/>
        </w:tabs>
        <w:numPr>
          <w:ilvl w:val="1"/>
          <w:numId w:val="81"/>
        </w:numPr>
        <w:rPr>
          <w:rFonts w:ascii="Arial" w:cs="Arial" w:eastAsia="Arial" w:hAnsi="Arial"/>
          <w:sz w:val="18"/>
          <w:szCs w:val="18"/>
          <w:color w:val="auto"/>
        </w:rPr>
      </w:pPr>
      <w:r>
        <w:rPr>
          <w:rFonts w:ascii="Arial" w:cs="Arial" w:eastAsia="Arial" w:hAnsi="Arial"/>
          <w:sz w:val="18"/>
          <w:szCs w:val="18"/>
          <w:b w:val="1"/>
          <w:bCs w:val="1"/>
          <w:color w:val="auto"/>
        </w:rPr>
        <w:t xml:space="preserve">Powers. </w:t>
      </w:r>
      <w:r>
        <w:rPr>
          <w:rFonts w:ascii="Arial" w:cs="Arial" w:eastAsia="Arial" w:hAnsi="Arial"/>
          <w:sz w:val="18"/>
          <w:szCs w:val="18"/>
          <w:color w:val="auto"/>
        </w:rPr>
        <w:t>In addition to any other powers set forth in the Plan and subject to the provisions of the Plan, the Committee shall have the full and</w:t>
      </w:r>
      <w:r>
        <w:rPr>
          <w:rFonts w:ascii="Arial" w:cs="Arial" w:eastAsia="Arial" w:hAnsi="Arial"/>
          <w:sz w:val="18"/>
          <w:szCs w:val="18"/>
          <w:b w:val="1"/>
          <w:bCs w:val="1"/>
          <w:color w:val="auto"/>
        </w:rPr>
        <w:t xml:space="preserve"> </w:t>
      </w:r>
      <w:r>
        <w:rPr>
          <w:rFonts w:ascii="Arial" w:cs="Arial" w:eastAsia="Arial" w:hAnsi="Arial"/>
          <w:sz w:val="18"/>
          <w:szCs w:val="18"/>
          <w:color w:val="auto"/>
        </w:rPr>
        <w:t>final power and authority, in its discretion:</w:t>
      </w:r>
    </w:p>
    <w:p>
      <w:pPr>
        <w:spacing w:after="0" w:line="67" w:lineRule="exact"/>
        <w:rPr>
          <w:rFonts w:ascii="Arial" w:cs="Arial" w:eastAsia="Arial" w:hAnsi="Arial"/>
          <w:sz w:val="18"/>
          <w:szCs w:val="18"/>
          <w:color w:val="auto"/>
        </w:rPr>
      </w:pPr>
    </w:p>
    <w:p>
      <w:pPr>
        <w:ind w:left="1914" w:right="60" w:hanging="640"/>
        <w:spacing w:after="0" w:line="265" w:lineRule="auto"/>
        <w:tabs>
          <w:tab w:leader="none" w:pos="1904" w:val="left"/>
        </w:tabs>
        <w:numPr>
          <w:ilvl w:val="2"/>
          <w:numId w:val="81"/>
        </w:numPr>
        <w:rPr>
          <w:rFonts w:ascii="Arial" w:cs="Arial" w:eastAsia="Arial" w:hAnsi="Arial"/>
          <w:sz w:val="18"/>
          <w:szCs w:val="18"/>
          <w:color w:val="auto"/>
        </w:rPr>
      </w:pPr>
      <w:r>
        <w:rPr>
          <w:rFonts w:ascii="Arial" w:cs="Arial" w:eastAsia="Arial" w:hAnsi="Arial"/>
          <w:sz w:val="18"/>
          <w:szCs w:val="18"/>
          <w:color w:val="auto"/>
        </w:rPr>
        <w:t>to determine the persons to whom, and the time or times at which, Awards shall be granted and, if applicable, the number of shares of Stock to be subject thereto;</w:t>
      </w:r>
    </w:p>
    <w:p>
      <w:pPr>
        <w:spacing w:after="0" w:line="73" w:lineRule="exact"/>
        <w:rPr>
          <w:rFonts w:ascii="Arial" w:cs="Arial" w:eastAsia="Arial" w:hAnsi="Arial"/>
          <w:sz w:val="18"/>
          <w:szCs w:val="18"/>
          <w:color w:val="auto"/>
        </w:rPr>
      </w:pPr>
    </w:p>
    <w:p>
      <w:pPr>
        <w:ind w:left="1914" w:hanging="640"/>
        <w:spacing w:after="0"/>
        <w:tabs>
          <w:tab w:leader="none" w:pos="1914" w:val="left"/>
        </w:tabs>
        <w:numPr>
          <w:ilvl w:val="2"/>
          <w:numId w:val="81"/>
        </w:numPr>
        <w:rPr>
          <w:rFonts w:ascii="Arial" w:cs="Arial" w:eastAsia="Arial" w:hAnsi="Arial"/>
          <w:sz w:val="18"/>
          <w:szCs w:val="18"/>
          <w:color w:val="auto"/>
        </w:rPr>
      </w:pPr>
      <w:r>
        <w:rPr>
          <w:rFonts w:ascii="Arial" w:cs="Arial" w:eastAsia="Arial" w:hAnsi="Arial"/>
          <w:sz w:val="18"/>
          <w:szCs w:val="18"/>
          <w:color w:val="auto"/>
        </w:rPr>
        <w:t>to designate Options as Incentive Stock Options or Nonstatutory Stock Options;</w:t>
      </w:r>
    </w:p>
    <w:p>
      <w:pPr>
        <w:spacing w:after="0" w:line="111" w:lineRule="exact"/>
        <w:rPr>
          <w:sz w:val="20"/>
          <w:szCs w:val="20"/>
          <w:color w:val="auto"/>
        </w:rPr>
      </w:pPr>
    </w:p>
    <w:p>
      <w:pPr>
        <w:jc w:val="center"/>
        <w:ind w:right="-1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14"/>
          </w:cols>
          <w:pgMar w:left="326" w:top="552" w:right="359" w:bottom="1440" w:gutter="0" w:footer="0" w:header="0"/>
        </w:sectPr>
      </w:pPr>
    </w:p>
    <w:bookmarkStart w:id="58" w:name="page59"/>
    <w:bookmarkEnd w:id="58"/>
    <w:p>
      <w:pPr>
        <w:ind w:left="1257" w:hanging="620"/>
        <w:spacing w:after="0"/>
        <w:tabs>
          <w:tab w:leader="none" w:pos="1257" w:val="left"/>
        </w:tabs>
        <w:numPr>
          <w:ilvl w:val="1"/>
          <w:numId w:val="82"/>
        </w:numPr>
        <w:rPr>
          <w:rFonts w:ascii="Arial" w:cs="Arial" w:eastAsia="Arial" w:hAnsi="Arial"/>
          <w:sz w:val="18"/>
          <w:szCs w:val="18"/>
          <w:color w:val="auto"/>
        </w:rPr>
      </w:pPr>
      <w:r>
        <w:rPr>
          <w:rFonts w:ascii="Arial" w:cs="Arial" w:eastAsia="Arial" w:hAnsi="Arial"/>
          <w:sz w:val="18"/>
          <w:szCs w:val="18"/>
          <w:color w:val="auto"/>
        </w:rPr>
        <w:t>to determine the Fair Market Value of shares of Stock or other property;</w:t>
      </w:r>
    </w:p>
    <w:p>
      <w:pPr>
        <w:spacing w:after="0" w:line="111" w:lineRule="exact"/>
        <w:rPr>
          <w:rFonts w:ascii="Arial" w:cs="Arial" w:eastAsia="Arial" w:hAnsi="Arial"/>
          <w:sz w:val="18"/>
          <w:szCs w:val="18"/>
          <w:color w:val="auto"/>
        </w:rPr>
      </w:pPr>
    </w:p>
    <w:p>
      <w:pPr>
        <w:ind w:left="1277" w:right="40" w:hanging="640"/>
        <w:spacing w:after="0" w:line="305" w:lineRule="auto"/>
        <w:tabs>
          <w:tab w:leader="none" w:pos="1277" w:val="left"/>
        </w:tabs>
        <w:numPr>
          <w:ilvl w:val="1"/>
          <w:numId w:val="82"/>
        </w:numPr>
        <w:rPr>
          <w:rFonts w:ascii="Arial" w:cs="Arial" w:eastAsia="Arial" w:hAnsi="Arial"/>
          <w:sz w:val="15"/>
          <w:szCs w:val="15"/>
          <w:color w:val="auto"/>
        </w:rPr>
      </w:pPr>
      <w:r>
        <w:rPr>
          <w:rFonts w:ascii="Arial" w:cs="Arial" w:eastAsia="Arial" w:hAnsi="Arial"/>
          <w:sz w:val="15"/>
          <w:szCs w:val="15"/>
          <w:color w:val="auto"/>
        </w:rPr>
        <w:t>to determine the terms, conditions and restrictions applicable to each Award (which need not be identical) and, if applicable, any shares acquired upon the exercise thereof, including, without limitation, (i) the exercise price of an Option, (ii) the grant price of an SAR, (iii) the method of payment for shares purchased upon the exercise of the Option, (iv) the method for satisfaction of any tax withholding obligation arising in connection with the Award or such shares of Stock issued or cash provided thereunder, including by the withholding or delivery of shares of Stock or cash, (v) the timing, terms and conditions of the exercisability of the Award or the vesting of any shares acquired upon the exercise thereof, (vi) the time of the expiration of the Award, (vi) the effect of the Participant’s termination of Service with the Participating Company Group on any of the foregoing, and (vii) all other terms, conditions and restrictions applicable to the Award not inconsistent with the terms of the Plan;</w:t>
      </w:r>
    </w:p>
    <w:p>
      <w:pPr>
        <w:spacing w:after="0" w:line="50" w:lineRule="exact"/>
        <w:rPr>
          <w:rFonts w:ascii="Arial" w:cs="Arial" w:eastAsia="Arial" w:hAnsi="Arial"/>
          <w:sz w:val="15"/>
          <w:szCs w:val="15"/>
          <w:color w:val="auto"/>
        </w:rPr>
      </w:pPr>
    </w:p>
    <w:p>
      <w:pPr>
        <w:ind w:left="1257" w:hanging="620"/>
        <w:spacing w:after="0"/>
        <w:tabs>
          <w:tab w:leader="none" w:pos="1257" w:val="left"/>
        </w:tabs>
        <w:numPr>
          <w:ilvl w:val="1"/>
          <w:numId w:val="82"/>
        </w:numPr>
        <w:rPr>
          <w:rFonts w:ascii="Arial" w:cs="Arial" w:eastAsia="Arial" w:hAnsi="Arial"/>
          <w:sz w:val="18"/>
          <w:szCs w:val="18"/>
          <w:color w:val="auto"/>
        </w:rPr>
      </w:pPr>
      <w:r>
        <w:rPr>
          <w:rFonts w:ascii="Arial" w:cs="Arial" w:eastAsia="Arial" w:hAnsi="Arial"/>
          <w:sz w:val="18"/>
          <w:szCs w:val="18"/>
          <w:color w:val="auto"/>
        </w:rPr>
        <w:t>to approve one or more forms of Award Agreement or Option Agreement;</w:t>
      </w:r>
    </w:p>
    <w:p>
      <w:pPr>
        <w:spacing w:after="0" w:line="111" w:lineRule="exact"/>
        <w:rPr>
          <w:rFonts w:ascii="Arial" w:cs="Arial" w:eastAsia="Arial" w:hAnsi="Arial"/>
          <w:sz w:val="18"/>
          <w:szCs w:val="18"/>
          <w:color w:val="auto"/>
        </w:rPr>
      </w:pPr>
    </w:p>
    <w:p>
      <w:pPr>
        <w:ind w:left="1277" w:right="160" w:hanging="640"/>
        <w:spacing w:after="0" w:line="303" w:lineRule="auto"/>
        <w:tabs>
          <w:tab w:leader="none" w:pos="1274" w:val="left"/>
        </w:tabs>
        <w:numPr>
          <w:ilvl w:val="1"/>
          <w:numId w:val="82"/>
        </w:numPr>
        <w:rPr>
          <w:rFonts w:ascii="Arial" w:cs="Arial" w:eastAsia="Arial" w:hAnsi="Arial"/>
          <w:sz w:val="15"/>
          <w:szCs w:val="15"/>
          <w:color w:val="auto"/>
        </w:rPr>
      </w:pPr>
      <w:r>
        <w:rPr>
          <w:rFonts w:ascii="Arial" w:cs="Arial" w:eastAsia="Arial" w:hAnsi="Arial"/>
          <w:sz w:val="15"/>
          <w:szCs w:val="15"/>
          <w:color w:val="auto"/>
        </w:rPr>
        <w:t xml:space="preserve">to amend, modify, extend, cancel or renew any Award, or to waive any restrictions or conditions applicable to any Award or any shares of Stock acquired upon the exercise thereof, </w:t>
      </w:r>
      <w:r>
        <w:rPr>
          <w:rFonts w:ascii="Arial" w:cs="Arial" w:eastAsia="Arial" w:hAnsi="Arial"/>
          <w:sz w:val="15"/>
          <w:szCs w:val="15"/>
          <w:i w:val="1"/>
          <w:iCs w:val="1"/>
          <w:color w:val="auto"/>
        </w:rPr>
        <w:t>provided, however</w:t>
      </w:r>
      <w:r>
        <w:rPr>
          <w:rFonts w:ascii="Arial" w:cs="Arial" w:eastAsia="Arial" w:hAnsi="Arial"/>
          <w:sz w:val="15"/>
          <w:szCs w:val="15"/>
          <w:color w:val="auto"/>
        </w:rPr>
        <w:t>, that, notwithstanding anything in this Plan to the contrary:</w:t>
      </w:r>
    </w:p>
    <w:p>
      <w:pPr>
        <w:ind w:left="1277" w:right="40"/>
        <w:spacing w:after="0" w:line="295" w:lineRule="auto"/>
        <w:rPr>
          <w:rFonts w:ascii="Arial" w:cs="Arial" w:eastAsia="Arial" w:hAnsi="Arial"/>
          <w:sz w:val="15"/>
          <w:szCs w:val="15"/>
          <w:color w:val="auto"/>
        </w:rPr>
      </w:pPr>
      <w:r>
        <w:rPr>
          <w:rFonts w:ascii="Arial" w:cs="Arial" w:eastAsia="Arial" w:hAnsi="Arial"/>
          <w:sz w:val="15"/>
          <w:szCs w:val="15"/>
          <w:color w:val="auto"/>
        </w:rPr>
        <w:t>(i) the Committee shall not have discretion to accelerate vesting of an outstanding Award other than in connection with the Participant’s death or Disability, or in connection with the consummation of a Change in Control; and (ii) other than with respect to an adjustment described in Section 4.3, the Committee shall not, without stockholder approval, (A) lower the exercise price of an existing Option, (B) lower the grant price of an existing SAR, (C) cancel an existing Option (or SAR) in exchange for the grant of any new Option (or SAR) with a lower exercise price or grant price than the cancelled or exchanged Option (or SAR), (D) cancel an existing Option (or SAR) in exchange for cash, other property or the grant of any new Award at a time when the exercise price of the existing Option (or the grant price of the existing SAR) is greater than the current Fair Market Value of a share of Stock, or</w:t>
      </w:r>
    </w:p>
    <w:p>
      <w:pPr>
        <w:spacing w:after="0" w:line="1" w:lineRule="exact"/>
        <w:rPr>
          <w:rFonts w:ascii="Arial" w:cs="Arial" w:eastAsia="Arial" w:hAnsi="Arial"/>
          <w:sz w:val="15"/>
          <w:szCs w:val="15"/>
          <w:color w:val="auto"/>
        </w:rPr>
      </w:pPr>
    </w:p>
    <w:p>
      <w:pPr>
        <w:ind w:left="1277" w:right="660"/>
        <w:spacing w:after="0" w:line="252" w:lineRule="auto"/>
        <w:rPr>
          <w:rFonts w:ascii="Arial" w:cs="Arial" w:eastAsia="Arial" w:hAnsi="Arial"/>
          <w:sz w:val="15"/>
          <w:szCs w:val="15"/>
          <w:color w:val="auto"/>
        </w:rPr>
      </w:pPr>
      <w:r>
        <w:rPr>
          <w:rFonts w:ascii="Arial" w:cs="Arial" w:eastAsia="Arial" w:hAnsi="Arial"/>
          <w:sz w:val="18"/>
          <w:szCs w:val="18"/>
          <w:color w:val="auto"/>
        </w:rPr>
        <w:t>(E) take any other action with respect to an Option or SAR that would be treated as a “repricing” under generally accepted accounting principles;</w:t>
      </w:r>
    </w:p>
    <w:p>
      <w:pPr>
        <w:spacing w:after="0" w:line="84" w:lineRule="exact"/>
        <w:rPr>
          <w:rFonts w:ascii="Arial" w:cs="Arial" w:eastAsia="Arial" w:hAnsi="Arial"/>
          <w:sz w:val="15"/>
          <w:szCs w:val="15"/>
          <w:color w:val="auto"/>
        </w:rPr>
      </w:pPr>
    </w:p>
    <w:p>
      <w:pPr>
        <w:jc w:val="both"/>
        <w:ind w:left="1277" w:right="560" w:hanging="640"/>
        <w:spacing w:after="0" w:line="366" w:lineRule="auto"/>
        <w:tabs>
          <w:tab w:leader="none" w:pos="1277" w:val="left"/>
        </w:tabs>
        <w:numPr>
          <w:ilvl w:val="1"/>
          <w:numId w:val="82"/>
        </w:numPr>
        <w:rPr>
          <w:rFonts w:ascii="Arial" w:cs="Arial" w:eastAsia="Arial" w:hAnsi="Arial"/>
          <w:sz w:val="15"/>
          <w:szCs w:val="15"/>
          <w:color w:val="auto"/>
        </w:rPr>
      </w:pPr>
      <w:r>
        <w:rPr>
          <w:rFonts w:ascii="Arial" w:cs="Arial" w:eastAsia="Arial" w:hAnsi="Arial"/>
          <w:sz w:val="15"/>
          <w:szCs w:val="15"/>
          <w:color w:val="auto"/>
        </w:rPr>
        <w:t>to continue, extend or defer the exercisability of any Award or the vesting of any shares acquired upon the exercise thereof, including with respect to the period following a Participant’s termination of Service with the Participating Company Group;</w:t>
      </w:r>
    </w:p>
    <w:p>
      <w:pPr>
        <w:spacing w:after="0" w:line="4" w:lineRule="exact"/>
        <w:rPr>
          <w:rFonts w:ascii="Arial" w:cs="Arial" w:eastAsia="Arial" w:hAnsi="Arial"/>
          <w:sz w:val="15"/>
          <w:szCs w:val="15"/>
          <w:color w:val="auto"/>
        </w:rPr>
      </w:pPr>
    </w:p>
    <w:p>
      <w:pPr>
        <w:ind w:left="1277" w:right="80" w:hanging="640"/>
        <w:spacing w:after="0" w:line="277" w:lineRule="auto"/>
        <w:tabs>
          <w:tab w:leader="none" w:pos="1277" w:val="left"/>
        </w:tabs>
        <w:numPr>
          <w:ilvl w:val="1"/>
          <w:numId w:val="82"/>
        </w:numPr>
        <w:rPr>
          <w:rFonts w:ascii="Arial" w:cs="Arial" w:eastAsia="Arial" w:hAnsi="Arial"/>
          <w:sz w:val="17"/>
          <w:szCs w:val="17"/>
          <w:color w:val="auto"/>
        </w:rPr>
      </w:pPr>
      <w:r>
        <w:rPr>
          <w:rFonts w:ascii="Arial" w:cs="Arial" w:eastAsia="Arial" w:hAnsi="Arial"/>
          <w:sz w:val="17"/>
          <w:szCs w:val="17"/>
          <w:color w:val="auto"/>
        </w:rPr>
        <w:t>to prescribe, amend or rescind rules, guidelines and policies relating to the Plan, or to adopt supplements to, or alternative versions of, the Plan, including, without limitation, as the Committee deems necessary or desirable to comply with the laws of, or to accommodate the tax policy or custom of, foreign jurisdictions whose citizens may be granted Awards;</w:t>
      </w:r>
    </w:p>
    <w:p>
      <w:pPr>
        <w:spacing w:after="0" w:line="66" w:lineRule="exact"/>
        <w:rPr>
          <w:rFonts w:ascii="Arial" w:cs="Arial" w:eastAsia="Arial" w:hAnsi="Arial"/>
          <w:sz w:val="17"/>
          <w:szCs w:val="17"/>
          <w:color w:val="auto"/>
        </w:rPr>
      </w:pPr>
    </w:p>
    <w:p>
      <w:pPr>
        <w:ind w:left="1277" w:right="20" w:hanging="640"/>
        <w:spacing w:after="0" w:line="277" w:lineRule="auto"/>
        <w:tabs>
          <w:tab w:leader="none" w:pos="1264" w:val="left"/>
        </w:tabs>
        <w:numPr>
          <w:ilvl w:val="1"/>
          <w:numId w:val="82"/>
        </w:numPr>
        <w:rPr>
          <w:rFonts w:ascii="Arial" w:cs="Arial" w:eastAsia="Arial" w:hAnsi="Arial"/>
          <w:sz w:val="17"/>
          <w:szCs w:val="17"/>
          <w:color w:val="auto"/>
        </w:rPr>
      </w:pPr>
      <w:r>
        <w:rPr>
          <w:rFonts w:ascii="Arial" w:cs="Arial" w:eastAsia="Arial" w:hAnsi="Arial"/>
          <w:sz w:val="17"/>
          <w:szCs w:val="17"/>
          <w:color w:val="auto"/>
        </w:rPr>
        <w:t>to correct any defect, supply any omission or reconcile any inconsistency in the Plan, any Award Agreement or Option Agreement and to make all other determinations and take such other actions with respect to the Plan or any Award as the Committee may deem advisable to the extent not inconsistent with the provisions of the Plan or applicable law; and</w:t>
      </w:r>
    </w:p>
    <w:p>
      <w:pPr>
        <w:spacing w:after="0" w:line="66" w:lineRule="exact"/>
        <w:rPr>
          <w:rFonts w:ascii="Arial" w:cs="Arial" w:eastAsia="Arial" w:hAnsi="Arial"/>
          <w:sz w:val="17"/>
          <w:szCs w:val="17"/>
          <w:color w:val="auto"/>
        </w:rPr>
      </w:pPr>
    </w:p>
    <w:p>
      <w:pPr>
        <w:ind w:left="1277" w:right="600" w:hanging="640"/>
        <w:spacing w:after="0" w:line="255" w:lineRule="auto"/>
        <w:tabs>
          <w:tab w:leader="none" w:pos="1264" w:val="left"/>
        </w:tabs>
        <w:numPr>
          <w:ilvl w:val="1"/>
          <w:numId w:val="82"/>
        </w:numPr>
        <w:rPr>
          <w:rFonts w:ascii="Arial" w:cs="Arial" w:eastAsia="Arial" w:hAnsi="Arial"/>
          <w:sz w:val="18"/>
          <w:szCs w:val="18"/>
          <w:color w:val="auto"/>
        </w:rPr>
      </w:pPr>
      <w:r>
        <w:rPr>
          <w:rFonts w:ascii="Arial" w:cs="Arial" w:eastAsia="Arial" w:hAnsi="Arial"/>
          <w:sz w:val="18"/>
          <w:szCs w:val="18"/>
          <w:color w:val="auto"/>
        </w:rPr>
        <w:t>to consider, upon an Employee’s termination of Service on account of a Disability, the circumstances of such Disability and whether the Employee’s Award should be amended to provide that it is fully vested, if the Committee in its sole discretion considers such action in the best interest of the Company and the Employee.</w:t>
      </w:r>
    </w:p>
    <w:p>
      <w:pPr>
        <w:spacing w:after="0" w:line="77" w:lineRule="exact"/>
        <w:rPr>
          <w:rFonts w:ascii="Arial" w:cs="Arial" w:eastAsia="Arial" w:hAnsi="Arial"/>
          <w:sz w:val="18"/>
          <w:szCs w:val="18"/>
          <w:color w:val="auto"/>
        </w:rPr>
      </w:pPr>
    </w:p>
    <w:p>
      <w:pPr>
        <w:ind w:left="637" w:right="100" w:hanging="637"/>
        <w:spacing w:after="0" w:line="259" w:lineRule="auto"/>
        <w:tabs>
          <w:tab w:leader="none" w:pos="310" w:val="left"/>
        </w:tabs>
        <w:numPr>
          <w:ilvl w:val="0"/>
          <w:numId w:val="83"/>
        </w:numPr>
        <w:rPr>
          <w:rFonts w:ascii="Arial" w:cs="Arial" w:eastAsia="Arial" w:hAnsi="Arial"/>
          <w:sz w:val="18"/>
          <w:szCs w:val="18"/>
          <w:color w:val="auto"/>
        </w:rPr>
      </w:pPr>
      <w:r>
        <w:rPr>
          <w:rFonts w:ascii="Arial" w:cs="Arial" w:eastAsia="Arial" w:hAnsi="Arial"/>
          <w:sz w:val="18"/>
          <w:szCs w:val="18"/>
          <w:b w:val="1"/>
          <w:bCs w:val="1"/>
          <w:color w:val="auto"/>
        </w:rPr>
        <w:t xml:space="preserve">Administration with Respect to Insiders. </w:t>
      </w:r>
      <w:r>
        <w:rPr>
          <w:rFonts w:ascii="Arial" w:cs="Arial" w:eastAsia="Arial" w:hAnsi="Arial"/>
          <w:sz w:val="18"/>
          <w:szCs w:val="18"/>
          <w:color w:val="auto"/>
        </w:rPr>
        <w:t>With respect to participation by Insiders in the Plan, at any time that any class of equity security of</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is registered pursuant to Section 12 of the Exchange Act, the Plan shall be administered in compliance with the requirements, if any, of Rule 16b-3.</w:t>
      </w:r>
    </w:p>
    <w:p>
      <w:pPr>
        <w:spacing w:after="0" w:line="72" w:lineRule="exact"/>
        <w:rPr>
          <w:rFonts w:ascii="Arial" w:cs="Arial" w:eastAsia="Arial" w:hAnsi="Arial"/>
          <w:sz w:val="18"/>
          <w:szCs w:val="18"/>
          <w:color w:val="auto"/>
        </w:rPr>
      </w:pPr>
    </w:p>
    <w:p>
      <w:pPr>
        <w:ind w:left="637" w:hanging="637"/>
        <w:spacing w:after="0" w:line="265" w:lineRule="auto"/>
        <w:tabs>
          <w:tab w:leader="none" w:pos="310" w:val="left"/>
        </w:tabs>
        <w:numPr>
          <w:ilvl w:val="0"/>
          <w:numId w:val="83"/>
        </w:numPr>
        <w:rPr>
          <w:rFonts w:ascii="Arial" w:cs="Arial" w:eastAsia="Arial" w:hAnsi="Arial"/>
          <w:sz w:val="17"/>
          <w:szCs w:val="17"/>
          <w:color w:val="auto"/>
        </w:rPr>
      </w:pPr>
      <w:r>
        <w:rPr>
          <w:rFonts w:ascii="Arial" w:cs="Arial" w:eastAsia="Arial" w:hAnsi="Arial"/>
          <w:sz w:val="17"/>
          <w:szCs w:val="17"/>
          <w:b w:val="1"/>
          <w:bCs w:val="1"/>
          <w:color w:val="auto"/>
        </w:rPr>
        <w:t xml:space="preserve">Indemnification. </w:t>
      </w:r>
      <w:r>
        <w:rPr>
          <w:rFonts w:ascii="Arial" w:cs="Arial" w:eastAsia="Arial" w:hAnsi="Arial"/>
          <w:sz w:val="17"/>
          <w:szCs w:val="17"/>
          <w:color w:val="auto"/>
        </w:rPr>
        <w:t>In addition to such other rights of indemnification as they may have as members of the Committee or Board or officers or</w:t>
      </w:r>
      <w:r>
        <w:rPr>
          <w:rFonts w:ascii="Arial" w:cs="Arial" w:eastAsia="Arial" w:hAnsi="Arial"/>
          <w:sz w:val="17"/>
          <w:szCs w:val="17"/>
          <w:b w:val="1"/>
          <w:bCs w:val="1"/>
          <w:color w:val="auto"/>
        </w:rPr>
        <w:t xml:space="preserve"> </w:t>
      </w:r>
      <w:r>
        <w:rPr>
          <w:rFonts w:ascii="Arial" w:cs="Arial" w:eastAsia="Arial" w:hAnsi="Arial"/>
          <w:sz w:val="17"/>
          <w:szCs w:val="17"/>
          <w:color w:val="auto"/>
        </w:rPr>
        <w:t>employees of the Participating Company Group, members of the Committee or Board and any officers or employees of the Participating Company Group to whom authority to act for the Committee or Board or the Company is delegated shall be indemnified by the Company against all reasonable expenses, including attorneys’ fees, actually and necessarily incurred in connection with the defense of any action, suit or proceeding, or in connection with any appeal therein, to which they or any of them may be a party by reason of any action taken or failure to act under or in connection with the Plan, or any right granted hereunder, and against all amounts paid by them in settlement thereof (provided such settlement is approved by independent legal counsel selected by the Company) or paid by them in satisfaction of a judgment in any such action, suit or proceeding, except in relation to matters as to which it shall be adjudged in such action, suit or proceeding that such person is liable for gross negligence, bad faith or intentional misconduct in duties; provided, however, that within sixty (60) days after the institution of such</w:t>
      </w:r>
    </w:p>
    <w:p>
      <w:pPr>
        <w:spacing w:after="0" w:line="76" w:lineRule="exact"/>
        <w:rPr>
          <w:sz w:val="20"/>
          <w:szCs w:val="20"/>
          <w:color w:val="auto"/>
        </w:rPr>
      </w:pPr>
    </w:p>
    <w:p>
      <w:pPr>
        <w:ind w:left="4937"/>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597"/>
          </w:cols>
          <w:pgMar w:left="963" w:top="552" w:right="339" w:bottom="1440" w:gutter="0" w:footer="0" w:header="0"/>
        </w:sectPr>
      </w:pPr>
    </w:p>
    <w:bookmarkStart w:id="59" w:name="page60"/>
    <w:bookmarkEnd w:id="59"/>
    <w:p>
      <w:pPr>
        <w:ind w:left="1274" w:right="220"/>
        <w:spacing w:after="0" w:line="265" w:lineRule="auto"/>
        <w:rPr>
          <w:sz w:val="20"/>
          <w:szCs w:val="20"/>
          <w:color w:val="auto"/>
        </w:rPr>
      </w:pPr>
      <w:r>
        <w:rPr>
          <w:rFonts w:ascii="Arial" w:cs="Arial" w:eastAsia="Arial" w:hAnsi="Arial"/>
          <w:sz w:val="18"/>
          <w:szCs w:val="18"/>
          <w:color w:val="auto"/>
        </w:rPr>
        <w:t>action, suit or proceeding, such person shall offer to the Company, in writing, the opportunity at its own expense to handle and defend the same.</w:t>
      </w:r>
    </w:p>
    <w:p>
      <w:pPr>
        <w:spacing w:after="0" w:line="68" w:lineRule="exact"/>
        <w:rPr>
          <w:sz w:val="20"/>
          <w:szCs w:val="20"/>
          <w:color w:val="auto"/>
        </w:rPr>
      </w:pPr>
    </w:p>
    <w:p>
      <w:pPr>
        <w:ind w:left="314" w:hanging="314"/>
        <w:spacing w:after="0"/>
        <w:tabs>
          <w:tab w:leader="none" w:pos="314"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SHARES SUBJECT TO PLAN</w:t>
      </w:r>
      <w:r>
        <w:rPr>
          <w:rFonts w:ascii="Arial" w:cs="Arial" w:eastAsia="Arial" w:hAnsi="Arial"/>
          <w:sz w:val="18"/>
          <w:szCs w:val="18"/>
          <w:b w:val="1"/>
          <w:bCs w:val="1"/>
          <w:color w:val="auto"/>
        </w:rPr>
        <w:t>.</w:t>
      </w:r>
    </w:p>
    <w:p>
      <w:pPr>
        <w:spacing w:after="0" w:line="111" w:lineRule="exact"/>
        <w:rPr>
          <w:rFonts w:ascii="Arial" w:cs="Arial" w:eastAsia="Arial" w:hAnsi="Arial"/>
          <w:sz w:val="18"/>
          <w:szCs w:val="18"/>
          <w:b w:val="1"/>
          <w:bCs w:val="1"/>
          <w:color w:val="auto"/>
        </w:rPr>
      </w:pPr>
    </w:p>
    <w:p>
      <w:pPr>
        <w:ind w:left="1274" w:right="20" w:hanging="637"/>
        <w:spacing w:after="0" w:line="303" w:lineRule="auto"/>
        <w:tabs>
          <w:tab w:leader="none" w:pos="1274" w:val="left"/>
        </w:tabs>
        <w:numPr>
          <w:ilvl w:val="1"/>
          <w:numId w:val="84"/>
        </w:numPr>
        <w:rPr>
          <w:rFonts w:ascii="Arial" w:cs="Arial" w:eastAsia="Arial" w:hAnsi="Arial"/>
          <w:sz w:val="15"/>
          <w:szCs w:val="15"/>
          <w:color w:val="auto"/>
        </w:rPr>
      </w:pPr>
      <w:r>
        <w:rPr>
          <w:rFonts w:ascii="Arial" w:cs="Arial" w:eastAsia="Arial" w:hAnsi="Arial"/>
          <w:sz w:val="15"/>
          <w:szCs w:val="15"/>
          <w:b w:val="1"/>
          <w:bCs w:val="1"/>
          <w:color w:val="auto"/>
        </w:rPr>
        <w:t xml:space="preserve">Maximum Number of Shares Issuable. </w:t>
      </w:r>
      <w:r>
        <w:rPr>
          <w:rFonts w:ascii="Arial" w:cs="Arial" w:eastAsia="Arial" w:hAnsi="Arial"/>
          <w:sz w:val="15"/>
          <w:szCs w:val="15"/>
          <w:color w:val="auto"/>
        </w:rPr>
        <w:t>Subject to adjustment as provided in Section 4.3, the maximum aggregate number of shares of</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Stock that may be issued under the Plan shall be </w:t>
      </w:r>
      <w:r>
        <w:rPr>
          <w:rFonts w:ascii="Arial" w:cs="Arial" w:eastAsia="Arial" w:hAnsi="Arial"/>
          <w:sz w:val="15"/>
          <w:szCs w:val="15"/>
          <w:b w:val="1"/>
          <w:bCs w:val="1"/>
          <w:color w:val="auto"/>
        </w:rPr>
        <w:t>5,898,100</w:t>
      </w:r>
      <w:r>
        <w:rPr>
          <w:rFonts w:ascii="Arial" w:cs="Arial" w:eastAsia="Arial" w:hAnsi="Arial"/>
          <w:sz w:val="15"/>
          <w:szCs w:val="15"/>
          <w:color w:val="auto"/>
        </w:rPr>
        <w:t>. Shares issued under the Plan shall consist of authorized but unissued or reacquired shares of Stock or any combination thereof. If all or a portion of an outstanding Award for any reason expires, terminates, is canceled or settled in cash, any shares of Stock subject to that portion of the Award that expired, terminated, was cancelled or was settled in cash shall again be available for issuance under the Plan. If shares of Restricted Stock are forfeited, the shares of Stock so forfeited shall again be available for issuance under the Plan. Notwithstanding the foregoing, shares of Stock that are exchanged by a Participant or withheld by the Company as full or partial payment of the exercise price of an Option, as well as any shares of Stock exchanged by a Participant or withheld by the Company or any Subsidiary to satisfy the tax withholding obligations related to any Award under the Plan, shall not be available for subsequent Awards under the Plan. If any shares of Stock delivered to a Participant upon the exercise of an Option, or any shares of Stock issued to a Participant pursuant to any other Award, shall for any reason be repurchased by the Company under a repurchase option provided under any Award Agreement, the shares of Stock repurchased by the Company under such repurchase option shall revert to and become available for issuance again under the Plan.</w:t>
      </w:r>
    </w:p>
    <w:p>
      <w:pPr>
        <w:spacing w:after="0" w:line="257" w:lineRule="exact"/>
        <w:rPr>
          <w:rFonts w:ascii="Arial" w:cs="Arial" w:eastAsia="Arial" w:hAnsi="Arial"/>
          <w:sz w:val="15"/>
          <w:szCs w:val="15"/>
          <w:color w:val="auto"/>
        </w:rPr>
      </w:pPr>
    </w:p>
    <w:p>
      <w:pPr>
        <w:ind w:left="1274" w:right="160" w:hanging="637"/>
        <w:spacing w:after="0" w:line="254" w:lineRule="auto"/>
        <w:tabs>
          <w:tab w:leader="none" w:pos="1274" w:val="left"/>
        </w:tabs>
        <w:numPr>
          <w:ilvl w:val="1"/>
          <w:numId w:val="84"/>
        </w:numPr>
        <w:rPr>
          <w:rFonts w:ascii="Arial" w:cs="Arial" w:eastAsia="Arial" w:hAnsi="Arial"/>
          <w:sz w:val="18"/>
          <w:szCs w:val="18"/>
          <w:color w:val="auto"/>
        </w:rPr>
      </w:pPr>
      <w:r>
        <w:rPr>
          <w:rFonts w:ascii="Arial" w:cs="Arial" w:eastAsia="Arial" w:hAnsi="Arial"/>
          <w:sz w:val="18"/>
          <w:szCs w:val="18"/>
          <w:b w:val="1"/>
          <w:bCs w:val="1"/>
          <w:color w:val="auto"/>
        </w:rPr>
        <w:t xml:space="preserve">Award Limits. </w:t>
      </w:r>
      <w:r>
        <w:rPr>
          <w:rFonts w:ascii="Arial" w:cs="Arial" w:eastAsia="Arial" w:hAnsi="Arial"/>
          <w:sz w:val="18"/>
          <w:szCs w:val="18"/>
          <w:color w:val="auto"/>
        </w:rPr>
        <w:t>Subject to adjustment as provided in Section 4.3, the maximum aggregate number of shares of Stock with respect to which</w:t>
      </w:r>
      <w:r>
        <w:rPr>
          <w:rFonts w:ascii="Arial" w:cs="Arial" w:eastAsia="Arial" w:hAnsi="Arial"/>
          <w:sz w:val="18"/>
          <w:szCs w:val="18"/>
          <w:b w:val="1"/>
          <w:bCs w:val="1"/>
          <w:color w:val="auto"/>
        </w:rPr>
        <w:t xml:space="preserve"> </w:t>
      </w:r>
      <w:r>
        <w:rPr>
          <w:rFonts w:ascii="Arial" w:cs="Arial" w:eastAsia="Arial" w:hAnsi="Arial"/>
          <w:sz w:val="18"/>
          <w:szCs w:val="18"/>
          <w:color w:val="auto"/>
        </w:rPr>
        <w:t>Awards may be granted in a single calendar year to an individual Participant may not exceed 316,033 shares. The maximum amount a Participant may earn for any calendar year under cash incentive awards (including Annual Incentive Awards and cash Performance Based Awards) granted to such Participant under the Plan is $5 million.</w:t>
      </w:r>
    </w:p>
    <w:p>
      <w:pPr>
        <w:spacing w:after="0" w:line="78" w:lineRule="exact"/>
        <w:rPr>
          <w:rFonts w:ascii="Arial" w:cs="Arial" w:eastAsia="Arial" w:hAnsi="Arial"/>
          <w:sz w:val="18"/>
          <w:szCs w:val="18"/>
          <w:color w:val="auto"/>
        </w:rPr>
      </w:pPr>
    </w:p>
    <w:p>
      <w:pPr>
        <w:ind w:left="1274" w:hanging="637"/>
        <w:spacing w:after="0"/>
        <w:tabs>
          <w:tab w:leader="none" w:pos="1274" w:val="left"/>
        </w:tabs>
        <w:numPr>
          <w:ilvl w:val="1"/>
          <w:numId w:val="84"/>
        </w:numPr>
        <w:rPr>
          <w:rFonts w:ascii="Arial" w:cs="Arial" w:eastAsia="Arial" w:hAnsi="Arial"/>
          <w:sz w:val="18"/>
          <w:szCs w:val="18"/>
          <w:color w:val="auto"/>
        </w:rPr>
      </w:pPr>
      <w:r>
        <w:rPr>
          <w:rFonts w:ascii="Arial" w:cs="Arial" w:eastAsia="Arial" w:hAnsi="Arial"/>
          <w:sz w:val="18"/>
          <w:szCs w:val="18"/>
          <w:b w:val="1"/>
          <w:bCs w:val="1"/>
          <w:color w:val="auto"/>
        </w:rPr>
        <w:t>Adjustments for Changes in Capital Structure</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914" w:hanging="640"/>
        <w:spacing w:after="0" w:line="301" w:lineRule="auto"/>
        <w:tabs>
          <w:tab w:leader="none" w:pos="1904" w:val="left"/>
        </w:tabs>
        <w:numPr>
          <w:ilvl w:val="2"/>
          <w:numId w:val="84"/>
        </w:numPr>
        <w:rPr>
          <w:rFonts w:ascii="Arial" w:cs="Arial" w:eastAsia="Arial" w:hAnsi="Arial"/>
          <w:sz w:val="15"/>
          <w:szCs w:val="15"/>
          <w:color w:val="auto"/>
        </w:rPr>
      </w:pPr>
      <w:r>
        <w:rPr>
          <w:rFonts w:ascii="Arial" w:cs="Arial" w:eastAsia="Arial" w:hAnsi="Arial"/>
          <w:sz w:val="15"/>
          <w:szCs w:val="15"/>
          <w:color w:val="auto"/>
        </w:rPr>
        <w:t>In the event of any stock dividend, stock split, reverse stock split, recapitalization, combination, reclassification or similar change in the capital structure of the Company, appropriate adjustments shall be made (i) in the number and class of shares subject to the Plan and to any outstanding Awards (if applicable), (ii) in the exercise or grant price per share of any outstanding Awards (if applicable), and (iii) in the maximum number of shares with respect to which Awards may be granted to any Participant in a calendar year. If a majority of the shares which are of the same class as the shares that are subject to outstanding Awards are exchanged for, converted into, or otherwise become (whether or not pursuant to an Ownership Change Event, as defined in Section 17.1) shares of another corporation (the “</w:t>
      </w:r>
      <w:r>
        <w:rPr>
          <w:rFonts w:ascii="Arial" w:cs="Arial" w:eastAsia="Arial" w:hAnsi="Arial"/>
          <w:sz w:val="15"/>
          <w:szCs w:val="15"/>
          <w:b w:val="1"/>
          <w:bCs w:val="1"/>
          <w:i w:val="1"/>
          <w:iCs w:val="1"/>
          <w:color w:val="auto"/>
        </w:rPr>
        <w:t>New Shares</w:t>
      </w:r>
      <w:r>
        <w:rPr>
          <w:rFonts w:ascii="Arial" w:cs="Arial" w:eastAsia="Arial" w:hAnsi="Arial"/>
          <w:sz w:val="15"/>
          <w:szCs w:val="15"/>
          <w:color w:val="auto"/>
        </w:rPr>
        <w:t>”), the Committee may unilaterally amend the outstanding Awards to provide that such Awards are exercisable for or settled in New Shares. In the event of any such amendment, the number of shares subject to, and the exercise price per share of, the outstanding Awards shall be adjusted in a fair and equitable manner as determined by the Committee, in its discretion. Notwithstanding the foregoing, any fractional share resulting from an adjustment pursuant to this Section 4.3 shall be rounded down to the nearest whole number, and in no event may the exercise price of any Award be decreased to an amount less than the par value, if any, of the stock subject to the Award. The adjustments determined by the Committee pursuant to this Section 4.3 shall be final, binding and conclusive.</w:t>
      </w:r>
    </w:p>
    <w:p>
      <w:pPr>
        <w:spacing w:after="0" w:line="269" w:lineRule="exact"/>
        <w:rPr>
          <w:rFonts w:ascii="Arial" w:cs="Arial" w:eastAsia="Arial" w:hAnsi="Arial"/>
          <w:sz w:val="15"/>
          <w:szCs w:val="15"/>
          <w:color w:val="auto"/>
        </w:rPr>
      </w:pPr>
    </w:p>
    <w:p>
      <w:pPr>
        <w:ind w:left="1914" w:right="60" w:hanging="640"/>
        <w:spacing w:after="0" w:line="264" w:lineRule="auto"/>
        <w:tabs>
          <w:tab w:leader="none" w:pos="1914" w:val="left"/>
        </w:tabs>
        <w:numPr>
          <w:ilvl w:val="2"/>
          <w:numId w:val="84"/>
        </w:numPr>
        <w:rPr>
          <w:rFonts w:ascii="Arial" w:cs="Arial" w:eastAsia="Arial" w:hAnsi="Arial"/>
          <w:sz w:val="17"/>
          <w:szCs w:val="17"/>
          <w:color w:val="auto"/>
        </w:rPr>
      </w:pPr>
      <w:r>
        <w:rPr>
          <w:rFonts w:ascii="Arial" w:cs="Arial" w:eastAsia="Arial" w:hAnsi="Arial"/>
          <w:sz w:val="17"/>
          <w:szCs w:val="17"/>
          <w:color w:val="auto"/>
        </w:rPr>
        <w:t>In addition to the adjustments permitted under paragraph (a) above, the Committee, in its sole discretion, may make such other adjustments or modifications in the terms of any Awards that it deems appropriate to reflect any of the events described in Section 4.3(a), including, but not limited to, (i) modifications of performance goals and changes in the length of Performance Cycles or performance periods, (ii) the substitution of other property of equivalent value (including, without limitation, cash, other securities and securities of entities other than the Company that agree to such substitution) for the shares of Stock available under the Plan or the shares of Stock covered by outstanding Awards, including arranging for the assumption, or replacement with new awards, of Awards held by Participants, but in either case only to the extent permitted by Prior Section 162(m) of the Code with respect to Awards intended to qualify for the Performance-Based Exception, or (iii) in connection with any sale of a Subsidiary, arranging for the assumption, or replacement with new</w:t>
      </w:r>
    </w:p>
    <w:p>
      <w:pPr>
        <w:spacing w:after="0" w:line="81" w:lineRule="exact"/>
        <w:rPr>
          <w:sz w:val="20"/>
          <w:szCs w:val="20"/>
          <w:color w:val="auto"/>
        </w:rPr>
      </w:pPr>
    </w:p>
    <w:p>
      <w:pPr>
        <w:jc w:val="center"/>
        <w:ind w:right="-1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34"/>
          </w:cols>
          <w:pgMar w:left="326" w:top="552" w:right="339" w:bottom="1440" w:gutter="0" w:footer="0" w:header="0"/>
        </w:sectPr>
      </w:pPr>
    </w:p>
    <w:bookmarkStart w:id="60" w:name="page61"/>
    <w:bookmarkEnd w:id="60"/>
    <w:p>
      <w:pPr>
        <w:ind w:left="1920" w:right="620"/>
        <w:spacing w:after="0" w:line="265" w:lineRule="auto"/>
        <w:rPr>
          <w:sz w:val="20"/>
          <w:szCs w:val="20"/>
          <w:color w:val="auto"/>
        </w:rPr>
      </w:pPr>
      <w:r>
        <w:rPr>
          <w:rFonts w:ascii="Arial" w:cs="Arial" w:eastAsia="Arial" w:hAnsi="Arial"/>
          <w:sz w:val="18"/>
          <w:szCs w:val="18"/>
          <w:color w:val="auto"/>
        </w:rPr>
        <w:t>awards, of Awards held by Participants employed by the affected Subsidiary by the Subsidiary or an entity that controls the Subsidiary following the sale of such Subsidiary.</w:t>
      </w:r>
    </w:p>
    <w:p>
      <w:pPr>
        <w:spacing w:after="0" w:line="74" w:lineRule="exact"/>
        <w:rPr>
          <w:sz w:val="20"/>
          <w:szCs w:val="20"/>
          <w:color w:val="auto"/>
        </w:rPr>
      </w:pPr>
    </w:p>
    <w:p>
      <w:pPr>
        <w:ind w:left="1920" w:right="260" w:hanging="640"/>
        <w:spacing w:after="0" w:line="255" w:lineRule="auto"/>
        <w:tabs>
          <w:tab w:leader="none" w:pos="1910" w:val="left"/>
        </w:tabs>
        <w:numPr>
          <w:ilvl w:val="2"/>
          <w:numId w:val="85"/>
        </w:numPr>
        <w:rPr>
          <w:rFonts w:ascii="Arial" w:cs="Arial" w:eastAsia="Arial" w:hAnsi="Arial"/>
          <w:sz w:val="18"/>
          <w:szCs w:val="18"/>
          <w:color w:val="auto"/>
        </w:rPr>
      </w:pPr>
      <w:r>
        <w:rPr>
          <w:rFonts w:ascii="Arial" w:cs="Arial" w:eastAsia="Arial" w:hAnsi="Arial"/>
          <w:sz w:val="18"/>
          <w:szCs w:val="18"/>
          <w:color w:val="auto"/>
        </w:rPr>
        <w:t>The determination of the Committee as to the foregoing adjustments set forth in this Section 4.3(c), if any, shall be made in accordance with Sections 409A or 424 of the Code, to the extent applicable, and shall be conclusive and binding on Participants under the Plan.</w:t>
      </w:r>
    </w:p>
    <w:p>
      <w:pPr>
        <w:spacing w:after="0" w:line="77" w:lineRule="exact"/>
        <w:rPr>
          <w:rFonts w:ascii="Arial" w:cs="Arial" w:eastAsia="Arial" w:hAnsi="Arial"/>
          <w:sz w:val="18"/>
          <w:szCs w:val="18"/>
          <w:color w:val="auto"/>
        </w:rPr>
      </w:pPr>
    </w:p>
    <w:p>
      <w:pPr>
        <w:ind w:left="320" w:hanging="314"/>
        <w:spacing w:after="0"/>
        <w:tabs>
          <w:tab w:leader="none" w:pos="320"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ELIGIBILITY AND OPTION LIMITATIONS</w:t>
      </w:r>
      <w:r>
        <w:rPr>
          <w:rFonts w:ascii="Arial" w:cs="Arial" w:eastAsia="Arial" w:hAnsi="Arial"/>
          <w:sz w:val="18"/>
          <w:szCs w:val="18"/>
          <w:b w:val="1"/>
          <w:bCs w:val="1"/>
          <w:color w:val="auto"/>
        </w:rPr>
        <w:t>.</w:t>
      </w:r>
    </w:p>
    <w:p>
      <w:pPr>
        <w:spacing w:after="0" w:line="111" w:lineRule="exact"/>
        <w:rPr>
          <w:rFonts w:ascii="Arial" w:cs="Arial" w:eastAsia="Arial" w:hAnsi="Arial"/>
          <w:sz w:val="18"/>
          <w:szCs w:val="18"/>
          <w:b w:val="1"/>
          <w:bCs w:val="1"/>
          <w:color w:val="auto"/>
        </w:rPr>
      </w:pPr>
    </w:p>
    <w:p>
      <w:pPr>
        <w:ind w:left="1280" w:right="40" w:hanging="637"/>
        <w:spacing w:after="0" w:line="274" w:lineRule="auto"/>
        <w:tabs>
          <w:tab w:leader="none" w:pos="1280" w:val="left"/>
        </w:tabs>
        <w:numPr>
          <w:ilvl w:val="1"/>
          <w:numId w:val="86"/>
        </w:numPr>
        <w:rPr>
          <w:rFonts w:ascii="Arial" w:cs="Arial" w:eastAsia="Arial" w:hAnsi="Arial"/>
          <w:sz w:val="17"/>
          <w:szCs w:val="17"/>
          <w:color w:val="auto"/>
        </w:rPr>
      </w:pPr>
      <w:r>
        <w:rPr>
          <w:rFonts w:ascii="Arial" w:cs="Arial" w:eastAsia="Arial" w:hAnsi="Arial"/>
          <w:sz w:val="17"/>
          <w:szCs w:val="17"/>
          <w:b w:val="1"/>
          <w:bCs w:val="1"/>
          <w:color w:val="auto"/>
        </w:rPr>
        <w:t xml:space="preserve">Persons Eligible for Awards. </w:t>
      </w:r>
      <w:r>
        <w:rPr>
          <w:rFonts w:ascii="Arial" w:cs="Arial" w:eastAsia="Arial" w:hAnsi="Arial"/>
          <w:sz w:val="17"/>
          <w:szCs w:val="17"/>
          <w:color w:val="auto"/>
        </w:rPr>
        <w:t>Awards may be granted pursuant to this Plan only to Employees, Consultants, and Directors. For purposes of</w:t>
      </w:r>
      <w:r>
        <w:rPr>
          <w:rFonts w:ascii="Arial" w:cs="Arial" w:eastAsia="Arial" w:hAnsi="Arial"/>
          <w:sz w:val="17"/>
          <w:szCs w:val="17"/>
          <w:b w:val="1"/>
          <w:bCs w:val="1"/>
          <w:color w:val="auto"/>
        </w:rPr>
        <w:t xml:space="preserve"> </w:t>
      </w:r>
      <w:r>
        <w:rPr>
          <w:rFonts w:ascii="Arial" w:cs="Arial" w:eastAsia="Arial" w:hAnsi="Arial"/>
          <w:sz w:val="17"/>
          <w:szCs w:val="17"/>
          <w:color w:val="auto"/>
        </w:rPr>
        <w:t>the foregoing sentence, “Employees,” “Consultants” and “Directors” shall include prospective Employees, prospective Consultants and prospective Directors to whom Awards are granted in connection with written offers of an employment or other service relationship with the Participating Company Group. Eligible persons may be granted more than one Award.</w:t>
      </w:r>
    </w:p>
    <w:p>
      <w:pPr>
        <w:spacing w:after="0" w:line="62" w:lineRule="exact"/>
        <w:rPr>
          <w:rFonts w:ascii="Arial" w:cs="Arial" w:eastAsia="Arial" w:hAnsi="Arial"/>
          <w:sz w:val="17"/>
          <w:szCs w:val="17"/>
          <w:color w:val="auto"/>
        </w:rPr>
      </w:pPr>
    </w:p>
    <w:p>
      <w:pPr>
        <w:ind w:left="1280" w:right="160" w:hanging="637"/>
        <w:spacing w:after="0" w:line="274" w:lineRule="auto"/>
        <w:tabs>
          <w:tab w:leader="none" w:pos="1280" w:val="left"/>
        </w:tabs>
        <w:numPr>
          <w:ilvl w:val="1"/>
          <w:numId w:val="86"/>
        </w:numPr>
        <w:rPr>
          <w:rFonts w:ascii="Arial" w:cs="Arial" w:eastAsia="Arial" w:hAnsi="Arial"/>
          <w:sz w:val="17"/>
          <w:szCs w:val="17"/>
          <w:color w:val="auto"/>
        </w:rPr>
      </w:pPr>
      <w:r>
        <w:rPr>
          <w:rFonts w:ascii="Arial" w:cs="Arial" w:eastAsia="Arial" w:hAnsi="Arial"/>
          <w:sz w:val="17"/>
          <w:szCs w:val="17"/>
          <w:b w:val="1"/>
          <w:bCs w:val="1"/>
          <w:color w:val="auto"/>
        </w:rPr>
        <w:t xml:space="preserve">Option Grant Restrictions. </w:t>
      </w:r>
      <w:r>
        <w:rPr>
          <w:rFonts w:ascii="Arial" w:cs="Arial" w:eastAsia="Arial" w:hAnsi="Arial"/>
          <w:sz w:val="17"/>
          <w:szCs w:val="17"/>
          <w:color w:val="auto"/>
        </w:rPr>
        <w:t>Any person who is not an Employee on the effective date of the grant of an Option to such person may be</w:t>
      </w:r>
      <w:r>
        <w:rPr>
          <w:rFonts w:ascii="Arial" w:cs="Arial" w:eastAsia="Arial" w:hAnsi="Arial"/>
          <w:sz w:val="17"/>
          <w:szCs w:val="17"/>
          <w:b w:val="1"/>
          <w:bCs w:val="1"/>
          <w:color w:val="auto"/>
        </w:rPr>
        <w:t xml:space="preserve"> </w:t>
      </w:r>
      <w:r>
        <w:rPr>
          <w:rFonts w:ascii="Arial" w:cs="Arial" w:eastAsia="Arial" w:hAnsi="Arial"/>
          <w:sz w:val="17"/>
          <w:szCs w:val="17"/>
          <w:color w:val="auto"/>
        </w:rPr>
        <w:t>granted only a Nonstatutory Stock Option. An Incentive Stock Option granted to a prospective Employee upon the condition that such person become an Employee shall be deemed granted effective on the date such person commences Service with a Participating Company, with an exercise price determined as of such date in accordance with Section 6.1.</w:t>
      </w:r>
    </w:p>
    <w:p>
      <w:pPr>
        <w:spacing w:after="0" w:line="62" w:lineRule="exact"/>
        <w:rPr>
          <w:rFonts w:ascii="Arial" w:cs="Arial" w:eastAsia="Arial" w:hAnsi="Arial"/>
          <w:sz w:val="17"/>
          <w:szCs w:val="17"/>
          <w:color w:val="auto"/>
        </w:rPr>
      </w:pPr>
    </w:p>
    <w:p>
      <w:pPr>
        <w:ind w:left="1280" w:right="40" w:hanging="637"/>
        <w:spacing w:after="0" w:line="303" w:lineRule="auto"/>
        <w:tabs>
          <w:tab w:leader="none" w:pos="1280" w:val="left"/>
        </w:tabs>
        <w:numPr>
          <w:ilvl w:val="1"/>
          <w:numId w:val="86"/>
        </w:numPr>
        <w:rPr>
          <w:rFonts w:ascii="Arial" w:cs="Arial" w:eastAsia="Arial" w:hAnsi="Arial"/>
          <w:sz w:val="15"/>
          <w:szCs w:val="15"/>
          <w:color w:val="auto"/>
        </w:rPr>
      </w:pPr>
      <w:r>
        <w:rPr>
          <w:rFonts w:ascii="Arial" w:cs="Arial" w:eastAsia="Arial" w:hAnsi="Arial"/>
          <w:sz w:val="15"/>
          <w:szCs w:val="15"/>
          <w:b w:val="1"/>
          <w:bCs w:val="1"/>
          <w:color w:val="auto"/>
        </w:rPr>
        <w:t xml:space="preserve">Fair Market Value Limitation. </w:t>
      </w:r>
      <w:r>
        <w:rPr>
          <w:rFonts w:ascii="Arial" w:cs="Arial" w:eastAsia="Arial" w:hAnsi="Arial"/>
          <w:sz w:val="15"/>
          <w:szCs w:val="15"/>
          <w:color w:val="auto"/>
        </w:rPr>
        <w:t>To the extent that Options designated as Incentive Stock Options (granted under all stock option plans of</w:t>
      </w:r>
      <w:r>
        <w:rPr>
          <w:rFonts w:ascii="Arial" w:cs="Arial" w:eastAsia="Arial" w:hAnsi="Arial"/>
          <w:sz w:val="15"/>
          <w:szCs w:val="15"/>
          <w:b w:val="1"/>
          <w:bCs w:val="1"/>
          <w:color w:val="auto"/>
        </w:rPr>
        <w:t xml:space="preserve"> </w:t>
      </w:r>
      <w:r>
        <w:rPr>
          <w:rFonts w:ascii="Arial" w:cs="Arial" w:eastAsia="Arial" w:hAnsi="Arial"/>
          <w:sz w:val="15"/>
          <w:szCs w:val="15"/>
          <w:color w:val="auto"/>
        </w:rPr>
        <w:t>the Participating Company Group, including the Plan) become exercisable by a Participant for the first time during any calendar year for Stock having a Fair Market Value greater than One Hundred Thousand Dollars ($100,000), the portions of such Options which exceed such amount shall be treated as Nonstatutory Stock Options. For purposes of this Section 5.3, options designated as Incentive Stock Options shall be taken into account in the order in which they were granted, and the Fair Market Value of Stock shall be determined as of the time the Option with respect to such Stock is granted. If the Code is amended to provide for a different limitation from that set forth in this Section 5.3, such different limitation shall be deemed incorporated herein effective as of the date and with respect to such Options as required or permitted by such amendment to the Code. If an Option is treated as an Incentive Stock Option in part and as a Nonstatutory Stock Option in part by reason of the limitation set forth in this Section 5.3, the Participant may designate which portion of such Option the Participant is exercising. In the absence of such designation, the Participant shall be deemed to have exercised the Incentive Stock Option portion of the Option first. Separate certificates representing each such portion shall be issued upon the exercise of the Option.</w:t>
      </w:r>
    </w:p>
    <w:p>
      <w:pPr>
        <w:spacing w:after="0" w:line="45" w:lineRule="exact"/>
        <w:rPr>
          <w:rFonts w:ascii="Arial" w:cs="Arial" w:eastAsia="Arial" w:hAnsi="Arial"/>
          <w:sz w:val="15"/>
          <w:szCs w:val="15"/>
          <w:color w:val="auto"/>
        </w:rPr>
      </w:pPr>
    </w:p>
    <w:p>
      <w:pPr>
        <w:ind w:left="320" w:hanging="314"/>
        <w:spacing w:after="0"/>
        <w:tabs>
          <w:tab w:leader="none" w:pos="320"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TERMS AND CONDITIONS OF OPTIONS</w:t>
      </w:r>
      <w:r>
        <w:rPr>
          <w:rFonts w:ascii="Arial" w:cs="Arial" w:eastAsia="Arial" w:hAnsi="Arial"/>
          <w:sz w:val="18"/>
          <w:szCs w:val="18"/>
          <w:b w:val="1"/>
          <w:bCs w:val="1"/>
          <w:color w:val="auto"/>
        </w:rPr>
        <w:t>.</w:t>
      </w:r>
    </w:p>
    <w:p>
      <w:pPr>
        <w:spacing w:after="0" w:line="117" w:lineRule="exact"/>
        <w:rPr>
          <w:sz w:val="20"/>
          <w:szCs w:val="20"/>
          <w:color w:val="auto"/>
        </w:rPr>
      </w:pPr>
    </w:p>
    <w:p>
      <w:pPr>
        <w:jc w:val="both"/>
        <w:ind w:firstLine="637"/>
        <w:spacing w:after="0" w:line="252" w:lineRule="auto"/>
        <w:rPr>
          <w:sz w:val="20"/>
          <w:szCs w:val="20"/>
          <w:color w:val="auto"/>
        </w:rPr>
      </w:pPr>
      <w:r>
        <w:rPr>
          <w:rFonts w:ascii="Arial" w:cs="Arial" w:eastAsia="Arial" w:hAnsi="Arial"/>
          <w:sz w:val="18"/>
          <w:szCs w:val="18"/>
          <w:color w:val="auto"/>
        </w:rPr>
        <w:t>Options shall be evidenced by Option Agreements specifying the number of shares of Stock covered thereby, in such form as the Committee shall from time to time establish. No Option or purported Option shall be a valid and binding obligation of the Company unless evidenced by a fully executed Option Agreement. Option Agreements may incorporate all or any of the terms of the Plan by reference and shall comply with and be subject to the following terms and conditions:</w:t>
      </w:r>
    </w:p>
    <w:p>
      <w:pPr>
        <w:spacing w:after="0" w:line="80" w:lineRule="exact"/>
        <w:rPr>
          <w:sz w:val="20"/>
          <w:szCs w:val="20"/>
          <w:color w:val="auto"/>
        </w:rPr>
      </w:pPr>
    </w:p>
    <w:p>
      <w:pPr>
        <w:jc w:val="both"/>
        <w:ind w:left="1280" w:hanging="637"/>
        <w:spacing w:after="0" w:line="267" w:lineRule="auto"/>
        <w:tabs>
          <w:tab w:leader="none" w:pos="1280" w:val="left"/>
        </w:tabs>
        <w:numPr>
          <w:ilvl w:val="0"/>
          <w:numId w:val="87"/>
        </w:numPr>
        <w:rPr>
          <w:rFonts w:ascii="Arial" w:cs="Arial" w:eastAsia="Arial" w:hAnsi="Arial"/>
          <w:sz w:val="17"/>
          <w:szCs w:val="17"/>
          <w:color w:val="auto"/>
        </w:rPr>
      </w:pPr>
      <w:r>
        <w:rPr>
          <w:rFonts w:ascii="Arial" w:cs="Arial" w:eastAsia="Arial" w:hAnsi="Arial"/>
          <w:sz w:val="17"/>
          <w:szCs w:val="17"/>
          <w:b w:val="1"/>
          <w:bCs w:val="1"/>
          <w:color w:val="auto"/>
        </w:rPr>
        <w:t xml:space="preserve">Exercise Price. </w:t>
      </w:r>
      <w:r>
        <w:rPr>
          <w:rFonts w:ascii="Arial" w:cs="Arial" w:eastAsia="Arial" w:hAnsi="Arial"/>
          <w:sz w:val="17"/>
          <w:szCs w:val="17"/>
          <w:color w:val="auto"/>
        </w:rPr>
        <w:t>The exercise price for each Option shall be established in the discretion of the Committee; provided, however, that (a) the</w:t>
      </w:r>
      <w:r>
        <w:rPr>
          <w:rFonts w:ascii="Arial" w:cs="Arial" w:eastAsia="Arial" w:hAnsi="Arial"/>
          <w:sz w:val="17"/>
          <w:szCs w:val="17"/>
          <w:b w:val="1"/>
          <w:bCs w:val="1"/>
          <w:color w:val="auto"/>
        </w:rPr>
        <w:t xml:space="preserve"> </w:t>
      </w:r>
      <w:r>
        <w:rPr>
          <w:rFonts w:ascii="Arial" w:cs="Arial" w:eastAsia="Arial" w:hAnsi="Arial"/>
          <w:sz w:val="17"/>
          <w:szCs w:val="17"/>
          <w:color w:val="auto"/>
        </w:rPr>
        <w:t>exercise price per share for an Option shall be not less than the Fair Market Value of a share of Stock on the effective date of grant of the Option, and (b) no Incentive Stock Option granted to a Ten Percent Owner Participant shall have an exercise price per share less than one hundred ten percent (110%) of the Fair Market Value of a share of Stock on the effective date of grant of the Option. Notwithstanding the foregoing, an Option (whether an Incentive Stock Option or a Nonstatutory Stock Option) may be granted with an exercise price lower than the minimum exercise price set forth above if such Option is granted pursuant to an assumption or substitution for another option in a manner qualifying under the provisions of Section 424(a) of the Code.</w:t>
      </w:r>
    </w:p>
    <w:p>
      <w:pPr>
        <w:spacing w:after="0" w:line="69" w:lineRule="exact"/>
        <w:rPr>
          <w:rFonts w:ascii="Arial" w:cs="Arial" w:eastAsia="Arial" w:hAnsi="Arial"/>
          <w:sz w:val="17"/>
          <w:szCs w:val="17"/>
          <w:color w:val="auto"/>
        </w:rPr>
      </w:pPr>
    </w:p>
    <w:p>
      <w:pPr>
        <w:jc w:val="both"/>
        <w:ind w:left="1280" w:hanging="637"/>
        <w:spacing w:after="0" w:line="306" w:lineRule="auto"/>
        <w:tabs>
          <w:tab w:leader="none" w:pos="1280" w:val="left"/>
        </w:tabs>
        <w:numPr>
          <w:ilvl w:val="0"/>
          <w:numId w:val="87"/>
        </w:numPr>
        <w:rPr>
          <w:rFonts w:ascii="Arial" w:cs="Arial" w:eastAsia="Arial" w:hAnsi="Arial"/>
          <w:sz w:val="15"/>
          <w:szCs w:val="15"/>
          <w:color w:val="auto"/>
        </w:rPr>
      </w:pPr>
      <w:r>
        <w:rPr>
          <w:rFonts w:ascii="Arial" w:cs="Arial" w:eastAsia="Arial" w:hAnsi="Arial"/>
          <w:sz w:val="15"/>
          <w:szCs w:val="15"/>
          <w:b w:val="1"/>
          <w:bCs w:val="1"/>
          <w:color w:val="auto"/>
        </w:rPr>
        <w:t xml:space="preserve">Exercisability and Term of Options. </w:t>
      </w:r>
      <w:r>
        <w:rPr>
          <w:rFonts w:ascii="Arial" w:cs="Arial" w:eastAsia="Arial" w:hAnsi="Arial"/>
          <w:sz w:val="15"/>
          <w:szCs w:val="15"/>
          <w:color w:val="auto"/>
        </w:rPr>
        <w:t>Options shall be exercisable at such time or times, or upon such event or events, and subject to such</w:t>
      </w:r>
      <w:r>
        <w:rPr>
          <w:rFonts w:ascii="Arial" w:cs="Arial" w:eastAsia="Arial" w:hAnsi="Arial"/>
          <w:sz w:val="15"/>
          <w:szCs w:val="15"/>
          <w:b w:val="1"/>
          <w:bCs w:val="1"/>
          <w:color w:val="auto"/>
        </w:rPr>
        <w:t xml:space="preserve"> </w:t>
      </w:r>
      <w:r>
        <w:rPr>
          <w:rFonts w:ascii="Arial" w:cs="Arial" w:eastAsia="Arial" w:hAnsi="Arial"/>
          <w:sz w:val="15"/>
          <w:szCs w:val="15"/>
          <w:color w:val="auto"/>
        </w:rPr>
        <w:t>terms, conditions, performance criteria and restrictions as shall be determined by the Committee and set forth in the Option Agreement evidencing such Option; provided, however, that (a) no Option shall be exercisable after the expiration of ten (10) years after the effective date of grant of such Option, (b) no Incentive Stock Option granted to a Ten Percent Owner Participant shall be exercisable after the expiration of five (5) years after the effective date of grant of such Option, and (c) no Option granted to a prospective Employee, prospective Consultant or prospective Director may become exercisable prior to the date on which such person commences Service with a Participating Company. Subject to the foregoing, unless otherwise specified by the Committee in the grant of an Option, any Option granted hereunder shall terminate ten (10) years after the effective date of grant of the Option, unless earlier terminated in accordance with its provisions.</w:t>
      </w:r>
    </w:p>
    <w:p>
      <w:pPr>
        <w:spacing w:after="0" w:line="44" w:lineRule="exact"/>
        <w:rPr>
          <w:rFonts w:ascii="Arial" w:cs="Arial" w:eastAsia="Arial" w:hAnsi="Arial"/>
          <w:sz w:val="15"/>
          <w:szCs w:val="15"/>
          <w:color w:val="auto"/>
        </w:rPr>
      </w:pPr>
    </w:p>
    <w:p>
      <w:pPr>
        <w:ind w:left="1280" w:hanging="637"/>
        <w:spacing w:after="0"/>
        <w:tabs>
          <w:tab w:leader="none" w:pos="1280" w:val="left"/>
        </w:tabs>
        <w:numPr>
          <w:ilvl w:val="0"/>
          <w:numId w:val="87"/>
        </w:numPr>
        <w:rPr>
          <w:rFonts w:ascii="Arial" w:cs="Arial" w:eastAsia="Arial" w:hAnsi="Arial"/>
          <w:sz w:val="18"/>
          <w:szCs w:val="18"/>
          <w:color w:val="auto"/>
        </w:rPr>
      </w:pPr>
      <w:r>
        <w:rPr>
          <w:rFonts w:ascii="Arial" w:cs="Arial" w:eastAsia="Arial" w:hAnsi="Arial"/>
          <w:sz w:val="18"/>
          <w:szCs w:val="18"/>
          <w:b w:val="1"/>
          <w:bCs w:val="1"/>
          <w:color w:val="auto"/>
        </w:rPr>
        <w:t>Payment of Exercise Price.</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552" w:right="339" w:bottom="1440" w:gutter="0" w:footer="0" w:header="0"/>
        </w:sectPr>
      </w:pPr>
    </w:p>
    <w:bookmarkStart w:id="61" w:name="page62"/>
    <w:bookmarkEnd w:id="61"/>
    <w:p>
      <w:pPr>
        <w:ind w:left="1277" w:right="40" w:hanging="640"/>
        <w:spacing w:after="0" w:line="301" w:lineRule="auto"/>
        <w:tabs>
          <w:tab w:leader="none" w:pos="1267" w:val="left"/>
        </w:tabs>
        <w:numPr>
          <w:ilvl w:val="1"/>
          <w:numId w:val="88"/>
        </w:numPr>
        <w:rPr>
          <w:rFonts w:ascii="Arial" w:cs="Arial" w:eastAsia="Arial" w:hAnsi="Arial"/>
          <w:sz w:val="15"/>
          <w:szCs w:val="15"/>
          <w:color w:val="auto"/>
        </w:rPr>
      </w:pPr>
      <w:r>
        <w:rPr>
          <w:rFonts w:ascii="Arial" w:cs="Arial" w:eastAsia="Arial" w:hAnsi="Arial"/>
          <w:sz w:val="15"/>
          <w:szCs w:val="15"/>
          <w:b w:val="1"/>
          <w:bCs w:val="1"/>
          <w:color w:val="auto"/>
        </w:rPr>
        <w:t>Forms of Consideration Authorized</w:t>
      </w:r>
      <w:r>
        <w:rPr>
          <w:rFonts w:ascii="Arial" w:cs="Arial" w:eastAsia="Arial" w:hAnsi="Arial"/>
          <w:sz w:val="15"/>
          <w:szCs w:val="15"/>
          <w:b w:val="1"/>
          <w:bCs w:val="1"/>
          <w:i w:val="1"/>
          <w:iCs w:val="1"/>
          <w:color w:val="auto"/>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Except as otherwise provided below, payment of the exercise price for the number of shares</w:t>
      </w:r>
      <w:r>
        <w:rPr>
          <w:rFonts w:ascii="Arial" w:cs="Arial" w:eastAsia="Arial" w:hAnsi="Arial"/>
          <w:sz w:val="15"/>
          <w:szCs w:val="15"/>
          <w:b w:val="1"/>
          <w:bCs w:val="1"/>
          <w:color w:val="auto"/>
        </w:rPr>
        <w:t xml:space="preserve"> </w:t>
      </w:r>
      <w:r>
        <w:rPr>
          <w:rFonts w:ascii="Arial" w:cs="Arial" w:eastAsia="Arial" w:hAnsi="Arial"/>
          <w:sz w:val="15"/>
          <w:szCs w:val="15"/>
          <w:color w:val="auto"/>
        </w:rPr>
        <w:t>of Stock being purchased pursuant to any Option shall be made (i) in cash, by check or cash equivalent, (ii) by tender to the Company, or attestation to the ownership, of shares of Stock owned by the Participant having a Fair Market Value (as determined by the Company without regard to any restrictions on transferability applicable to such stock by reason of federal or state securities laws or agreements with an underwriter for the Company) not less than the exercise price, (iii) by delivery of a properly executed notice together with irrevocable instructions to a broker providing for the assignment to the Company of the proceeds of a sale or loan with respect to some or all of the shares being acquired upon the exercise of the Option (including, without limitation, through an exercise complying with the provisions of Regulation T as promulgated from time to time by the Board of Governors of the Federal Reserve System) (a “</w:t>
      </w:r>
      <w:r>
        <w:rPr>
          <w:rFonts w:ascii="Arial" w:cs="Arial" w:eastAsia="Arial" w:hAnsi="Arial"/>
          <w:sz w:val="15"/>
          <w:szCs w:val="15"/>
          <w:b w:val="1"/>
          <w:bCs w:val="1"/>
          <w:i w:val="1"/>
          <w:iCs w:val="1"/>
          <w:color w:val="auto"/>
        </w:rPr>
        <w:t>Cashless Exercise</w:t>
      </w:r>
      <w:r>
        <w:rPr>
          <w:rFonts w:ascii="Arial" w:cs="Arial" w:eastAsia="Arial" w:hAnsi="Arial"/>
          <w:sz w:val="15"/>
          <w:szCs w:val="15"/>
          <w:i w:val="1"/>
          <w:iCs w:val="1"/>
          <w:color w:val="auto"/>
        </w:rPr>
        <w:t>”</w:t>
      </w:r>
      <w:r>
        <w:rPr>
          <w:rFonts w:ascii="Arial" w:cs="Arial" w:eastAsia="Arial" w:hAnsi="Arial"/>
          <w:sz w:val="15"/>
          <w:szCs w:val="15"/>
          <w:color w:val="auto"/>
        </w:rPr>
        <w:t>), (iv) by such other consideration as may be approved by the Committee from time to time to the extent permitted by applicable law, or (v) by any combination thereof. In no event shall the Company accept a promissory note in payment of the exercise price, or make a loan to a Participant to enable the Participant to exercise an Option. The Committee may at any time or from time to time, by approval of or by amendment to the standard forms of Option Agreement described in Section 6.6, or by other means, grant Options which do not permit all of the foregoing forms of consideration to be used in payment of the exercise price or which otherwise restrict one or more forms of consideration.</w:t>
      </w:r>
    </w:p>
    <w:p>
      <w:pPr>
        <w:spacing w:after="0" w:line="49" w:lineRule="exact"/>
        <w:rPr>
          <w:rFonts w:ascii="Arial" w:cs="Arial" w:eastAsia="Arial" w:hAnsi="Arial"/>
          <w:sz w:val="15"/>
          <w:szCs w:val="15"/>
          <w:color w:val="auto"/>
        </w:rPr>
      </w:pPr>
    </w:p>
    <w:p>
      <w:pPr>
        <w:ind w:left="1277" w:hanging="640"/>
        <w:spacing w:after="0"/>
        <w:tabs>
          <w:tab w:leader="none" w:pos="1277" w:val="left"/>
        </w:tabs>
        <w:numPr>
          <w:ilvl w:val="1"/>
          <w:numId w:val="88"/>
        </w:numPr>
        <w:rPr>
          <w:rFonts w:ascii="Arial" w:cs="Arial" w:eastAsia="Arial" w:hAnsi="Arial"/>
          <w:sz w:val="18"/>
          <w:szCs w:val="18"/>
          <w:color w:val="auto"/>
        </w:rPr>
      </w:pPr>
      <w:r>
        <w:rPr>
          <w:rFonts w:ascii="Arial" w:cs="Arial" w:eastAsia="Arial" w:hAnsi="Arial"/>
          <w:sz w:val="18"/>
          <w:szCs w:val="18"/>
          <w:b w:val="1"/>
          <w:bCs w:val="1"/>
          <w:color w:val="auto"/>
        </w:rPr>
        <w:t>Limitations on Forms of Consideration.</w:t>
      </w:r>
    </w:p>
    <w:p>
      <w:pPr>
        <w:spacing w:after="0" w:line="111" w:lineRule="exact"/>
        <w:rPr>
          <w:rFonts w:ascii="Arial" w:cs="Arial" w:eastAsia="Arial" w:hAnsi="Arial"/>
          <w:sz w:val="18"/>
          <w:szCs w:val="18"/>
          <w:color w:val="auto"/>
        </w:rPr>
      </w:pPr>
    </w:p>
    <w:p>
      <w:pPr>
        <w:ind w:left="1917" w:right="20" w:hanging="737"/>
        <w:spacing w:after="0" w:line="281" w:lineRule="auto"/>
        <w:tabs>
          <w:tab w:leader="none" w:pos="1917" w:val="left"/>
        </w:tabs>
        <w:numPr>
          <w:ilvl w:val="2"/>
          <w:numId w:val="8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Tender of Stock. </w:t>
      </w:r>
      <w:r>
        <w:rPr>
          <w:rFonts w:ascii="Arial" w:cs="Arial" w:eastAsia="Arial" w:hAnsi="Arial"/>
          <w:sz w:val="17"/>
          <w:szCs w:val="17"/>
          <w:color w:val="auto"/>
        </w:rPr>
        <w:t>Notwithstanding the foregoing, an Option may not be exercised by tender to the Company, or attestation</w:t>
      </w:r>
      <w:r>
        <w:rPr>
          <w:rFonts w:ascii="Arial" w:cs="Arial" w:eastAsia="Arial" w:hAnsi="Arial"/>
          <w:sz w:val="17"/>
          <w:szCs w:val="17"/>
          <w:b w:val="1"/>
          <w:bCs w:val="1"/>
          <w:color w:val="auto"/>
        </w:rPr>
        <w:t xml:space="preserve"> </w:t>
      </w:r>
      <w:r>
        <w:rPr>
          <w:rFonts w:ascii="Arial" w:cs="Arial" w:eastAsia="Arial" w:hAnsi="Arial"/>
          <w:sz w:val="17"/>
          <w:szCs w:val="17"/>
          <w:color w:val="auto"/>
        </w:rPr>
        <w:t>to the ownership, of shares of Stock to the extent such tender or attestation would constitute a violation of the provisions of any law, regulation or agreement restricting the redemption of the Company’s stock.</w:t>
      </w:r>
    </w:p>
    <w:p>
      <w:pPr>
        <w:spacing w:after="0" w:line="56" w:lineRule="exact"/>
        <w:rPr>
          <w:rFonts w:ascii="Arial" w:cs="Arial" w:eastAsia="Arial" w:hAnsi="Arial"/>
          <w:sz w:val="17"/>
          <w:szCs w:val="17"/>
          <w:b w:val="1"/>
          <w:bCs w:val="1"/>
          <w:color w:val="auto"/>
        </w:rPr>
      </w:pPr>
    </w:p>
    <w:p>
      <w:pPr>
        <w:ind w:left="1917" w:right="20" w:hanging="786"/>
        <w:spacing w:after="0" w:line="259" w:lineRule="auto"/>
        <w:tabs>
          <w:tab w:leader="none" w:pos="1917" w:val="left"/>
        </w:tabs>
        <w:numPr>
          <w:ilvl w:val="2"/>
          <w:numId w:val="88"/>
        </w:numPr>
        <w:rPr>
          <w:rFonts w:ascii="Arial" w:cs="Arial" w:eastAsia="Arial" w:hAnsi="Arial"/>
          <w:sz w:val="18"/>
          <w:szCs w:val="18"/>
          <w:color w:val="auto"/>
        </w:rPr>
      </w:pPr>
      <w:r>
        <w:rPr>
          <w:rFonts w:ascii="Arial" w:cs="Arial" w:eastAsia="Arial" w:hAnsi="Arial"/>
          <w:sz w:val="18"/>
          <w:szCs w:val="18"/>
          <w:b w:val="1"/>
          <w:bCs w:val="1"/>
          <w:color w:val="auto"/>
        </w:rPr>
        <w:t xml:space="preserve">Cashless Exercise. </w:t>
      </w:r>
      <w:r>
        <w:rPr>
          <w:rFonts w:ascii="Arial" w:cs="Arial" w:eastAsia="Arial" w:hAnsi="Arial"/>
          <w:sz w:val="18"/>
          <w:szCs w:val="18"/>
          <w:color w:val="auto"/>
        </w:rPr>
        <w:t>The Company reserves, at any and all times, the right, in the Company’s sole and absolute discretion,</w:t>
      </w:r>
      <w:r>
        <w:rPr>
          <w:rFonts w:ascii="Arial" w:cs="Arial" w:eastAsia="Arial" w:hAnsi="Arial"/>
          <w:sz w:val="18"/>
          <w:szCs w:val="18"/>
          <w:b w:val="1"/>
          <w:bCs w:val="1"/>
          <w:color w:val="auto"/>
        </w:rPr>
        <w:t xml:space="preserve"> </w:t>
      </w:r>
      <w:r>
        <w:rPr>
          <w:rFonts w:ascii="Arial" w:cs="Arial" w:eastAsia="Arial" w:hAnsi="Arial"/>
          <w:sz w:val="18"/>
          <w:szCs w:val="18"/>
          <w:color w:val="auto"/>
        </w:rPr>
        <w:t>to establish, decline to approve or terminate any program or procedures for the exercise of Options by means of a Cashless Exercise.</w:t>
      </w:r>
    </w:p>
    <w:p>
      <w:pPr>
        <w:spacing w:after="0" w:line="72" w:lineRule="exact"/>
        <w:rPr>
          <w:rFonts w:ascii="Arial" w:cs="Arial" w:eastAsia="Arial" w:hAnsi="Arial"/>
          <w:sz w:val="18"/>
          <w:szCs w:val="18"/>
          <w:color w:val="auto"/>
        </w:rPr>
      </w:pPr>
    </w:p>
    <w:p>
      <w:pPr>
        <w:ind w:left="317" w:hanging="317"/>
        <w:spacing w:after="0"/>
        <w:tabs>
          <w:tab w:leader="none" w:pos="317" w:val="left"/>
        </w:tabs>
        <w:numPr>
          <w:ilvl w:val="0"/>
          <w:numId w:val="89"/>
        </w:numPr>
        <w:rPr>
          <w:rFonts w:ascii="Arial" w:cs="Arial" w:eastAsia="Arial" w:hAnsi="Arial"/>
          <w:sz w:val="18"/>
          <w:szCs w:val="18"/>
          <w:color w:val="auto"/>
        </w:rPr>
      </w:pPr>
      <w:r>
        <w:rPr>
          <w:rFonts w:ascii="Arial" w:cs="Arial" w:eastAsia="Arial" w:hAnsi="Arial"/>
          <w:sz w:val="18"/>
          <w:szCs w:val="18"/>
          <w:b w:val="1"/>
          <w:bCs w:val="1"/>
          <w:color w:val="auto"/>
        </w:rPr>
        <w:t>Effect of Termination of Service</w:t>
      </w:r>
    </w:p>
    <w:p>
      <w:pPr>
        <w:spacing w:after="0" w:line="111" w:lineRule="exact"/>
        <w:rPr>
          <w:rFonts w:ascii="Arial" w:cs="Arial" w:eastAsia="Arial" w:hAnsi="Arial"/>
          <w:sz w:val="18"/>
          <w:szCs w:val="18"/>
          <w:color w:val="auto"/>
        </w:rPr>
      </w:pPr>
    </w:p>
    <w:p>
      <w:pPr>
        <w:ind w:left="1277" w:hanging="640"/>
        <w:spacing w:after="0" w:line="254" w:lineRule="auto"/>
        <w:tabs>
          <w:tab w:leader="none" w:pos="966" w:val="left"/>
        </w:tabs>
        <w:numPr>
          <w:ilvl w:val="1"/>
          <w:numId w:val="89"/>
        </w:numPr>
        <w:rPr>
          <w:rFonts w:ascii="Arial" w:cs="Arial" w:eastAsia="Arial" w:hAnsi="Arial"/>
          <w:sz w:val="18"/>
          <w:szCs w:val="18"/>
          <w:color w:val="auto"/>
        </w:rPr>
      </w:pPr>
      <w:r>
        <w:rPr>
          <w:rFonts w:ascii="Arial" w:cs="Arial" w:eastAsia="Arial" w:hAnsi="Arial"/>
          <w:sz w:val="18"/>
          <w:szCs w:val="18"/>
          <w:b w:val="1"/>
          <w:bCs w:val="1"/>
          <w:color w:val="auto"/>
        </w:rPr>
        <w:t>Option Exercisability</w:t>
      </w:r>
      <w:r>
        <w:rPr>
          <w:rFonts w:ascii="Arial" w:cs="Arial" w:eastAsia="Arial" w:hAnsi="Arial"/>
          <w:sz w:val="18"/>
          <w:szCs w:val="18"/>
          <w:color w:val="auto"/>
        </w:rPr>
        <w:t>. Subject to earlier termination of the Option as otherwise provided herein and unless otherwise provided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in the grant of an Option and set forth in the Option Agreement, an Option shall be exercisable after a Participant’s termination of Service only during the applicable time period determined in accordance with this Section 6.4 and thereafter shall terminate:</w:t>
      </w:r>
    </w:p>
    <w:p>
      <w:pPr>
        <w:spacing w:after="0" w:line="78" w:lineRule="exact"/>
        <w:rPr>
          <w:rFonts w:ascii="Arial" w:cs="Arial" w:eastAsia="Arial" w:hAnsi="Arial"/>
          <w:sz w:val="18"/>
          <w:szCs w:val="18"/>
          <w:color w:val="auto"/>
        </w:rPr>
      </w:pPr>
    </w:p>
    <w:p>
      <w:pPr>
        <w:jc w:val="both"/>
        <w:ind w:left="1917" w:hanging="644"/>
        <w:spacing w:after="0" w:line="311" w:lineRule="auto"/>
        <w:tabs>
          <w:tab w:leader="none" w:pos="1904" w:val="left"/>
        </w:tabs>
        <w:numPr>
          <w:ilvl w:val="3"/>
          <w:numId w:val="89"/>
        </w:numPr>
        <w:rPr>
          <w:rFonts w:ascii="Arial" w:cs="Arial" w:eastAsia="Arial" w:hAnsi="Arial"/>
          <w:sz w:val="15"/>
          <w:szCs w:val="15"/>
          <w:color w:val="auto"/>
        </w:rPr>
      </w:pPr>
      <w:r>
        <w:rPr>
          <w:rFonts w:ascii="Arial" w:cs="Arial" w:eastAsia="Arial" w:hAnsi="Arial"/>
          <w:sz w:val="15"/>
          <w:szCs w:val="15"/>
          <w:b w:val="1"/>
          <w:bCs w:val="1"/>
          <w:color w:val="auto"/>
        </w:rPr>
        <w:t>Disability</w:t>
      </w:r>
      <w:r>
        <w:rPr>
          <w:rFonts w:ascii="Arial" w:cs="Arial" w:eastAsia="Arial" w:hAnsi="Arial"/>
          <w:sz w:val="15"/>
          <w:szCs w:val="15"/>
          <w:color w:val="auto"/>
        </w:rPr>
        <w:t>. If the Participant’s Service with the Participating Company Group terminates because of the Disability of the</w:t>
      </w:r>
      <w:r>
        <w:rPr>
          <w:rFonts w:ascii="Arial" w:cs="Arial" w:eastAsia="Arial" w:hAnsi="Arial"/>
          <w:sz w:val="15"/>
          <w:szCs w:val="15"/>
          <w:b w:val="1"/>
          <w:bCs w:val="1"/>
          <w:color w:val="auto"/>
        </w:rPr>
        <w:t xml:space="preserve"> </w:t>
      </w:r>
      <w:r>
        <w:rPr>
          <w:rFonts w:ascii="Arial" w:cs="Arial" w:eastAsia="Arial" w:hAnsi="Arial"/>
          <w:sz w:val="15"/>
          <w:szCs w:val="15"/>
          <w:color w:val="auto"/>
        </w:rPr>
        <w:t>Participant, the Option, to the extent unexercised and exercisable on the date on which the Participant’s Service terminated, may be exercised by the Participant (or the Participant’s guardian or legal representative) at any time prior to the expiration of one (1) year (or such other period of time as determined by the Committee, in its discretion) after the date on which the Participant’s Service terminated, but in any event no later than the date of expiration of the Option’s term as set forth in the Option Agreement evidencing such Option (the “</w:t>
      </w:r>
      <w:r>
        <w:rPr>
          <w:rFonts w:ascii="Arial" w:cs="Arial" w:eastAsia="Arial" w:hAnsi="Arial"/>
          <w:sz w:val="15"/>
          <w:szCs w:val="15"/>
          <w:b w:val="1"/>
          <w:bCs w:val="1"/>
          <w:i w:val="1"/>
          <w:iCs w:val="1"/>
          <w:color w:val="auto"/>
        </w:rPr>
        <w:t>Option Expiration Date</w:t>
      </w:r>
      <w:r>
        <w:rPr>
          <w:rFonts w:ascii="Arial" w:cs="Arial" w:eastAsia="Arial" w:hAnsi="Arial"/>
          <w:sz w:val="15"/>
          <w:szCs w:val="15"/>
          <w:i w:val="1"/>
          <w:iCs w:val="1"/>
          <w:color w:val="auto"/>
        </w:rPr>
        <w:t>”).</w:t>
      </w:r>
    </w:p>
    <w:p>
      <w:pPr>
        <w:spacing w:after="0" w:line="38" w:lineRule="exact"/>
        <w:rPr>
          <w:rFonts w:ascii="Arial" w:cs="Arial" w:eastAsia="Arial" w:hAnsi="Arial"/>
          <w:sz w:val="15"/>
          <w:szCs w:val="15"/>
          <w:color w:val="auto"/>
        </w:rPr>
      </w:pPr>
    </w:p>
    <w:p>
      <w:pPr>
        <w:jc w:val="both"/>
        <w:ind w:left="1917" w:hanging="644"/>
        <w:spacing w:after="0" w:line="266" w:lineRule="auto"/>
        <w:tabs>
          <w:tab w:leader="none" w:pos="1914" w:val="left"/>
        </w:tabs>
        <w:numPr>
          <w:ilvl w:val="3"/>
          <w:numId w:val="89"/>
        </w:numPr>
        <w:rPr>
          <w:rFonts w:ascii="Arial" w:cs="Arial" w:eastAsia="Arial" w:hAnsi="Arial"/>
          <w:sz w:val="17"/>
          <w:szCs w:val="17"/>
          <w:i w:val="1"/>
          <w:iCs w:val="1"/>
          <w:color w:val="auto"/>
        </w:rPr>
      </w:pPr>
      <w:r>
        <w:rPr>
          <w:rFonts w:ascii="Arial" w:cs="Arial" w:eastAsia="Arial" w:hAnsi="Arial"/>
          <w:sz w:val="17"/>
          <w:szCs w:val="17"/>
          <w:b w:val="1"/>
          <w:bCs w:val="1"/>
          <w:color w:val="auto"/>
        </w:rPr>
        <w:t xml:space="preserve">Death. </w:t>
      </w:r>
      <w:r>
        <w:rPr>
          <w:rFonts w:ascii="Arial" w:cs="Arial" w:eastAsia="Arial" w:hAnsi="Arial"/>
          <w:sz w:val="17"/>
          <w:szCs w:val="17"/>
          <w:color w:val="auto"/>
        </w:rPr>
        <w:t>If the Participant’s Service with the Participating Company Group terminates because of the death of the</w:t>
      </w:r>
      <w:r>
        <w:rPr>
          <w:rFonts w:ascii="Arial" w:cs="Arial" w:eastAsia="Arial" w:hAnsi="Arial"/>
          <w:sz w:val="17"/>
          <w:szCs w:val="17"/>
          <w:b w:val="1"/>
          <w:bCs w:val="1"/>
          <w:color w:val="auto"/>
        </w:rPr>
        <w:t xml:space="preserve"> </w:t>
      </w:r>
      <w:r>
        <w:rPr>
          <w:rFonts w:ascii="Arial" w:cs="Arial" w:eastAsia="Arial" w:hAnsi="Arial"/>
          <w:sz w:val="17"/>
          <w:szCs w:val="17"/>
          <w:color w:val="auto"/>
        </w:rPr>
        <w:t>Participant, the Option, to the extent unexercised and exercisable on the date on which the Participant’s Service terminated, may be exercised by the Participant’s legal representative or other person who acquired the right to exercise the Option by reason of the Participant’s death at any time prior to the expiration of one (1) year (or such other period of time as determined by the Committee, in its discretion) after the date on which the Participant’s Service terminated, but in any event no later than the Option Expiration Date. The Participant’s Service shall be deemed to have terminated on account of death if the Participant dies within three (3) months (or such other period of time as determined by the Committee, in its discretion) after the Participant’s termination of Service.</w:t>
      </w:r>
    </w:p>
    <w:p>
      <w:pPr>
        <w:spacing w:after="0" w:line="70" w:lineRule="exact"/>
        <w:rPr>
          <w:rFonts w:ascii="Arial" w:cs="Arial" w:eastAsia="Arial" w:hAnsi="Arial"/>
          <w:sz w:val="17"/>
          <w:szCs w:val="17"/>
          <w:i w:val="1"/>
          <w:iCs w:val="1"/>
          <w:color w:val="auto"/>
        </w:rPr>
      </w:pPr>
    </w:p>
    <w:p>
      <w:pPr>
        <w:ind w:left="1917" w:hanging="644"/>
        <w:spacing w:after="0" w:line="272" w:lineRule="auto"/>
        <w:tabs>
          <w:tab w:leader="none" w:pos="1910" w:val="left"/>
        </w:tabs>
        <w:numPr>
          <w:ilvl w:val="3"/>
          <w:numId w:val="89"/>
        </w:numPr>
        <w:rPr>
          <w:rFonts w:ascii="Arial" w:cs="Arial" w:eastAsia="Arial" w:hAnsi="Arial"/>
          <w:sz w:val="18"/>
          <w:szCs w:val="18"/>
          <w:color w:val="auto"/>
        </w:rPr>
      </w:pPr>
      <w:r>
        <w:rPr>
          <w:rFonts w:ascii="Arial" w:cs="Arial" w:eastAsia="Arial" w:hAnsi="Arial"/>
          <w:sz w:val="18"/>
          <w:szCs w:val="18"/>
          <w:b w:val="1"/>
          <w:bCs w:val="1"/>
          <w:color w:val="auto"/>
        </w:rPr>
        <w:t>Cause</w:t>
      </w:r>
      <w:r>
        <w:rPr>
          <w:rFonts w:ascii="Arial" w:cs="Arial" w:eastAsia="Arial" w:hAnsi="Arial"/>
          <w:sz w:val="18"/>
          <w:szCs w:val="18"/>
          <w:color w:val="auto"/>
        </w:rPr>
        <w:t>. If the Participant’s Service with the Participating Company Group is terminated for Cause, the Option shall</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terminate and cease to be exercisable immediately upon such termination of Service.</w:t>
      </w:r>
    </w:p>
    <w:p>
      <w:pPr>
        <w:spacing w:after="0" w:line="61" w:lineRule="exact"/>
        <w:rPr>
          <w:rFonts w:ascii="Arial" w:cs="Arial" w:eastAsia="Arial" w:hAnsi="Arial"/>
          <w:sz w:val="18"/>
          <w:szCs w:val="18"/>
          <w:color w:val="auto"/>
        </w:rPr>
      </w:pPr>
    </w:p>
    <w:p>
      <w:pPr>
        <w:jc w:val="both"/>
        <w:ind w:left="1917" w:hanging="644"/>
        <w:spacing w:after="0" w:line="259" w:lineRule="auto"/>
        <w:tabs>
          <w:tab w:leader="none" w:pos="1902" w:val="left"/>
        </w:tabs>
        <w:numPr>
          <w:ilvl w:val="3"/>
          <w:numId w:val="89"/>
        </w:numPr>
        <w:rPr>
          <w:rFonts w:ascii="Arial" w:cs="Arial" w:eastAsia="Arial" w:hAnsi="Arial"/>
          <w:sz w:val="18"/>
          <w:szCs w:val="18"/>
          <w:color w:val="auto"/>
        </w:rPr>
      </w:pPr>
      <w:r>
        <w:rPr>
          <w:rFonts w:ascii="Arial" w:cs="Arial" w:eastAsia="Arial" w:hAnsi="Arial"/>
          <w:sz w:val="18"/>
          <w:szCs w:val="18"/>
          <w:b w:val="1"/>
          <w:bCs w:val="1"/>
          <w:color w:val="auto"/>
        </w:rPr>
        <w:t xml:space="preserve">Termination of Service. </w:t>
      </w:r>
      <w:r>
        <w:rPr>
          <w:rFonts w:ascii="Arial" w:cs="Arial" w:eastAsia="Arial" w:hAnsi="Arial"/>
          <w:sz w:val="18"/>
          <w:szCs w:val="18"/>
          <w:color w:val="auto"/>
        </w:rPr>
        <w:t>If the Participant’s Service with the Participating Company Group terminates for any reason,</w:t>
      </w:r>
      <w:r>
        <w:rPr>
          <w:rFonts w:ascii="Arial" w:cs="Arial" w:eastAsia="Arial" w:hAnsi="Arial"/>
          <w:sz w:val="18"/>
          <w:szCs w:val="18"/>
          <w:b w:val="1"/>
          <w:bCs w:val="1"/>
          <w:color w:val="auto"/>
        </w:rPr>
        <w:t xml:space="preserve"> </w:t>
      </w:r>
      <w:r>
        <w:rPr>
          <w:rFonts w:ascii="Arial" w:cs="Arial" w:eastAsia="Arial" w:hAnsi="Arial"/>
          <w:sz w:val="18"/>
          <w:szCs w:val="18"/>
          <w:color w:val="auto"/>
        </w:rPr>
        <w:t>except Disability, death or Cause, the Option, to the extent unexercised and exercisable by the Participant on the date on which the Participant’s</w:t>
      </w:r>
    </w:p>
    <w:p>
      <w:pPr>
        <w:spacing w:after="0" w:line="79" w:lineRule="exact"/>
        <w:rPr>
          <w:sz w:val="20"/>
          <w:szCs w:val="20"/>
          <w:color w:val="auto"/>
        </w:rPr>
      </w:pPr>
    </w:p>
    <w:p>
      <w:pPr>
        <w:ind w:left="4937"/>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597"/>
          </w:cols>
          <w:pgMar w:left="963" w:top="546" w:right="339" w:bottom="1440" w:gutter="0" w:footer="0" w:header="0"/>
        </w:sectPr>
      </w:pPr>
    </w:p>
    <w:bookmarkStart w:id="62" w:name="page63"/>
    <w:bookmarkEnd w:id="62"/>
    <w:p>
      <w:pPr>
        <w:jc w:val="both"/>
        <w:ind w:left="2560"/>
        <w:spacing w:after="0" w:line="255" w:lineRule="auto"/>
        <w:rPr>
          <w:sz w:val="20"/>
          <w:szCs w:val="20"/>
          <w:color w:val="auto"/>
        </w:rPr>
      </w:pPr>
      <w:r>
        <w:rPr>
          <w:rFonts w:ascii="Arial" w:cs="Arial" w:eastAsia="Arial" w:hAnsi="Arial"/>
          <w:sz w:val="18"/>
          <w:szCs w:val="18"/>
          <w:color w:val="auto"/>
        </w:rPr>
        <w:t>Service terminated, may be exercised by the Participant at any time prior to the expiration of three (3) months (or such other period of time as determined by the Committee, in its discretion) after the date on which the Participant’s Service terminated, but in any event no later than the Option Expiration Date.</w:t>
      </w:r>
    </w:p>
    <w:p>
      <w:pPr>
        <w:spacing w:after="0" w:line="77" w:lineRule="exact"/>
        <w:rPr>
          <w:sz w:val="20"/>
          <w:szCs w:val="20"/>
          <w:color w:val="auto"/>
        </w:rPr>
      </w:pPr>
    </w:p>
    <w:p>
      <w:pPr>
        <w:ind w:left="1920" w:hanging="640"/>
        <w:spacing w:after="0" w:line="321" w:lineRule="auto"/>
        <w:tabs>
          <w:tab w:leader="none" w:pos="1672" w:val="left"/>
        </w:tabs>
        <w:numPr>
          <w:ilvl w:val="2"/>
          <w:numId w:val="90"/>
        </w:numPr>
        <w:rPr>
          <w:rFonts w:ascii="Arial" w:cs="Arial" w:eastAsia="Arial" w:hAnsi="Arial"/>
          <w:sz w:val="15"/>
          <w:szCs w:val="15"/>
          <w:color w:val="auto"/>
        </w:rPr>
      </w:pPr>
      <w:r>
        <w:rPr>
          <w:rFonts w:ascii="Arial" w:cs="Arial" w:eastAsia="Arial" w:hAnsi="Arial"/>
          <w:sz w:val="15"/>
          <w:szCs w:val="15"/>
          <w:b w:val="1"/>
          <w:bCs w:val="1"/>
          <w:color w:val="auto"/>
        </w:rPr>
        <w:t>Extension if Exercise Prevented by Law</w:t>
      </w:r>
      <w:r>
        <w:rPr>
          <w:rFonts w:ascii="Arial" w:cs="Arial" w:eastAsia="Arial" w:hAnsi="Arial"/>
          <w:sz w:val="15"/>
          <w:szCs w:val="15"/>
          <w:i w:val="1"/>
          <w:iCs w:val="1"/>
          <w:color w:val="auto"/>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Notwithstanding the foregoing, if the exercise of an Option within the applicable time</w:t>
      </w:r>
      <w:r>
        <w:rPr>
          <w:rFonts w:ascii="Arial" w:cs="Arial" w:eastAsia="Arial" w:hAnsi="Arial"/>
          <w:sz w:val="15"/>
          <w:szCs w:val="15"/>
          <w:b w:val="1"/>
          <w:bCs w:val="1"/>
          <w:color w:val="auto"/>
        </w:rPr>
        <w:t xml:space="preserve"> </w:t>
      </w:r>
      <w:r>
        <w:rPr>
          <w:rFonts w:ascii="Arial" w:cs="Arial" w:eastAsia="Arial" w:hAnsi="Arial"/>
          <w:sz w:val="15"/>
          <w:szCs w:val="15"/>
          <w:color w:val="auto"/>
        </w:rPr>
        <w:t>periods set forth in Section 6.4(a) is prevented by the provisions of Section 20 below, the Option shall remain exercisable until three (3) months (or such longer period of time as determined by the Committee, in its discretion) after the date the Participant is notified by the Company that the Option is exercisable, but in any event no later than the Option Expiration Date.</w:t>
      </w:r>
    </w:p>
    <w:p>
      <w:pPr>
        <w:spacing w:after="0" w:line="32" w:lineRule="exact"/>
        <w:rPr>
          <w:rFonts w:ascii="Arial" w:cs="Arial" w:eastAsia="Arial" w:hAnsi="Arial"/>
          <w:sz w:val="15"/>
          <w:szCs w:val="15"/>
          <w:color w:val="auto"/>
        </w:rPr>
      </w:pPr>
    </w:p>
    <w:p>
      <w:pPr>
        <w:ind w:left="1920" w:hanging="640"/>
        <w:spacing w:after="0" w:line="255" w:lineRule="auto"/>
        <w:tabs>
          <w:tab w:leader="none" w:pos="1582" w:val="left"/>
        </w:tabs>
        <w:numPr>
          <w:ilvl w:val="2"/>
          <w:numId w:val="90"/>
        </w:numPr>
        <w:rPr>
          <w:rFonts w:ascii="Arial" w:cs="Arial" w:eastAsia="Arial" w:hAnsi="Arial"/>
          <w:sz w:val="17"/>
          <w:szCs w:val="17"/>
          <w:color w:val="auto"/>
        </w:rPr>
      </w:pPr>
      <w:r>
        <w:rPr>
          <w:rFonts w:ascii="Arial" w:cs="Arial" w:eastAsia="Arial" w:hAnsi="Arial"/>
          <w:sz w:val="17"/>
          <w:szCs w:val="17"/>
          <w:b w:val="1"/>
          <w:bCs w:val="1"/>
          <w:color w:val="auto"/>
        </w:rPr>
        <w:t xml:space="preserve">Extension if Participant Subject to Section 16(b). </w:t>
      </w:r>
      <w:r>
        <w:rPr>
          <w:rFonts w:ascii="Arial" w:cs="Arial" w:eastAsia="Arial" w:hAnsi="Arial"/>
          <w:sz w:val="17"/>
          <w:szCs w:val="17"/>
          <w:color w:val="auto"/>
        </w:rPr>
        <w:t>Notwithstanding the foregoing, if a sale within the applicable time periods set forth</w:t>
      </w:r>
      <w:r>
        <w:rPr>
          <w:rFonts w:ascii="Arial" w:cs="Arial" w:eastAsia="Arial" w:hAnsi="Arial"/>
          <w:sz w:val="17"/>
          <w:szCs w:val="17"/>
          <w:b w:val="1"/>
          <w:bCs w:val="1"/>
          <w:color w:val="auto"/>
        </w:rPr>
        <w:t xml:space="preserve"> </w:t>
      </w:r>
      <w:r>
        <w:rPr>
          <w:rFonts w:ascii="Arial" w:cs="Arial" w:eastAsia="Arial" w:hAnsi="Arial"/>
          <w:sz w:val="17"/>
          <w:szCs w:val="17"/>
          <w:color w:val="auto"/>
        </w:rPr>
        <w:t>in Section 6.4(a) of shares acquired upon the exercise of the Option would subject the Participant to suit under Section 16(b) of the Exchange Act, the Option shall remain exercisable until the earliest to occur of (i) the tenth (10th) day following the date on which a sale of such shares by the Participant would no longer be subject to such suit, (ii) the one hundred and ninetieth (190</w:t>
      </w:r>
      <w:r>
        <w:rPr>
          <w:rFonts w:ascii="Arial" w:cs="Arial" w:eastAsia="Arial" w:hAnsi="Arial"/>
          <w:sz w:val="21"/>
          <w:szCs w:val="21"/>
          <w:color w:val="auto"/>
          <w:vertAlign w:val="superscript"/>
        </w:rPr>
        <w:t>th</w:t>
      </w:r>
      <w:r>
        <w:rPr>
          <w:rFonts w:ascii="Arial" w:cs="Arial" w:eastAsia="Arial" w:hAnsi="Arial"/>
          <w:sz w:val="17"/>
          <w:szCs w:val="17"/>
          <w:color w:val="auto"/>
        </w:rPr>
        <w:t>) day after the Participant’s termination of Service, or (iii) the Option Expiration Date.</w:t>
      </w:r>
    </w:p>
    <w:p>
      <w:pPr>
        <w:spacing w:after="0" w:line="80" w:lineRule="exact"/>
        <w:rPr>
          <w:rFonts w:ascii="Arial" w:cs="Arial" w:eastAsia="Arial" w:hAnsi="Arial"/>
          <w:sz w:val="17"/>
          <w:szCs w:val="17"/>
          <w:color w:val="auto"/>
        </w:rPr>
      </w:pPr>
    </w:p>
    <w:p>
      <w:pPr>
        <w:ind w:left="1920" w:hanging="640"/>
        <w:spacing w:after="0" w:line="281" w:lineRule="auto"/>
        <w:tabs>
          <w:tab w:leader="none" w:pos="1606" w:val="left"/>
        </w:tabs>
        <w:numPr>
          <w:ilvl w:val="2"/>
          <w:numId w:val="90"/>
        </w:numPr>
        <w:rPr>
          <w:rFonts w:ascii="Arial" w:cs="Arial" w:eastAsia="Arial" w:hAnsi="Arial"/>
          <w:sz w:val="17"/>
          <w:szCs w:val="17"/>
          <w:color w:val="auto"/>
        </w:rPr>
      </w:pPr>
      <w:r>
        <w:rPr>
          <w:rFonts w:ascii="Arial" w:cs="Arial" w:eastAsia="Arial" w:hAnsi="Arial"/>
          <w:sz w:val="17"/>
          <w:szCs w:val="17"/>
          <w:b w:val="1"/>
          <w:bCs w:val="1"/>
          <w:color w:val="auto"/>
        </w:rPr>
        <w:t>Option Vesting</w:t>
      </w:r>
      <w:r>
        <w:rPr>
          <w:rFonts w:ascii="Arial" w:cs="Arial" w:eastAsia="Arial" w:hAnsi="Arial"/>
          <w:sz w:val="17"/>
          <w:szCs w:val="17"/>
          <w:color w:val="auto"/>
        </w:rPr>
        <w:t>. Every Option awarded under the Plan (including those Options awarded prior to the Effective Date, which are hereby</w:t>
      </w:r>
      <w:r>
        <w:rPr>
          <w:rFonts w:ascii="Arial" w:cs="Arial" w:eastAsia="Arial" w:hAnsi="Arial"/>
          <w:sz w:val="17"/>
          <w:szCs w:val="17"/>
          <w:b w:val="1"/>
          <w:bCs w:val="1"/>
          <w:color w:val="auto"/>
        </w:rPr>
        <w:t xml:space="preserve"> </w:t>
      </w:r>
      <w:r>
        <w:rPr>
          <w:rFonts w:ascii="Arial" w:cs="Arial" w:eastAsia="Arial" w:hAnsi="Arial"/>
          <w:sz w:val="17"/>
          <w:szCs w:val="17"/>
          <w:color w:val="auto"/>
        </w:rPr>
        <w:t>amended to incorporate the following terms) shall become 100% vested if the Participant’s Service with the Participating Company Group terminates because of the death of the Participant, as of the date of the Participant’s death.</w:t>
      </w:r>
    </w:p>
    <w:p>
      <w:pPr>
        <w:spacing w:after="0" w:line="56" w:lineRule="exact"/>
        <w:rPr>
          <w:rFonts w:ascii="Arial" w:cs="Arial" w:eastAsia="Arial" w:hAnsi="Arial"/>
          <w:sz w:val="17"/>
          <w:szCs w:val="17"/>
          <w:color w:val="auto"/>
        </w:rPr>
      </w:pPr>
    </w:p>
    <w:p>
      <w:pPr>
        <w:ind w:left="960" w:hanging="317"/>
        <w:spacing w:after="0"/>
        <w:tabs>
          <w:tab w:leader="none" w:pos="960" w:val="left"/>
        </w:tabs>
        <w:numPr>
          <w:ilvl w:val="1"/>
          <w:numId w:val="91"/>
        </w:numPr>
        <w:rPr>
          <w:rFonts w:ascii="Arial" w:cs="Arial" w:eastAsia="Arial" w:hAnsi="Arial"/>
          <w:sz w:val="18"/>
          <w:szCs w:val="18"/>
          <w:color w:val="auto"/>
        </w:rPr>
      </w:pPr>
      <w:r>
        <w:rPr>
          <w:rFonts w:ascii="Arial" w:cs="Arial" w:eastAsia="Arial" w:hAnsi="Arial"/>
          <w:sz w:val="18"/>
          <w:szCs w:val="18"/>
          <w:b w:val="1"/>
          <w:bCs w:val="1"/>
          <w:color w:val="auto"/>
        </w:rPr>
        <w:t xml:space="preserve">Dividend Payments. </w:t>
      </w:r>
      <w:r>
        <w:rPr>
          <w:rFonts w:ascii="Arial" w:cs="Arial" w:eastAsia="Arial" w:hAnsi="Arial"/>
          <w:sz w:val="18"/>
          <w:szCs w:val="18"/>
          <w:color w:val="auto"/>
        </w:rPr>
        <w:t>No dividends or dividend equivalents will be accrued or paid with respect to Options.</w:t>
      </w:r>
    </w:p>
    <w:p>
      <w:pPr>
        <w:spacing w:after="0" w:line="111" w:lineRule="exact"/>
        <w:rPr>
          <w:rFonts w:ascii="Arial" w:cs="Arial" w:eastAsia="Arial" w:hAnsi="Arial"/>
          <w:sz w:val="18"/>
          <w:szCs w:val="18"/>
          <w:color w:val="auto"/>
        </w:rPr>
      </w:pPr>
    </w:p>
    <w:p>
      <w:pPr>
        <w:ind w:left="960" w:hanging="317"/>
        <w:spacing w:after="0"/>
        <w:tabs>
          <w:tab w:leader="none" w:pos="960" w:val="left"/>
        </w:tabs>
        <w:numPr>
          <w:ilvl w:val="1"/>
          <w:numId w:val="91"/>
        </w:numPr>
        <w:rPr>
          <w:rFonts w:ascii="Arial" w:cs="Arial" w:eastAsia="Arial" w:hAnsi="Arial"/>
          <w:sz w:val="18"/>
          <w:szCs w:val="18"/>
          <w:color w:val="auto"/>
        </w:rPr>
      </w:pPr>
      <w:r>
        <w:rPr>
          <w:rFonts w:ascii="Arial" w:cs="Arial" w:eastAsia="Arial" w:hAnsi="Arial"/>
          <w:sz w:val="18"/>
          <w:szCs w:val="18"/>
          <w:b w:val="1"/>
          <w:bCs w:val="1"/>
          <w:color w:val="auto"/>
        </w:rPr>
        <w:t>Standard Forms of Option Agreement.</w:t>
      </w:r>
    </w:p>
    <w:p>
      <w:pPr>
        <w:spacing w:after="0" w:line="111" w:lineRule="exact"/>
        <w:rPr>
          <w:rFonts w:ascii="Arial" w:cs="Arial" w:eastAsia="Arial" w:hAnsi="Arial"/>
          <w:sz w:val="18"/>
          <w:szCs w:val="18"/>
          <w:color w:val="auto"/>
        </w:rPr>
      </w:pPr>
    </w:p>
    <w:p>
      <w:pPr>
        <w:ind w:left="1920" w:right="20" w:hanging="640"/>
        <w:spacing w:after="0" w:line="259" w:lineRule="auto"/>
        <w:tabs>
          <w:tab w:leader="none" w:pos="1910" w:val="left"/>
        </w:tabs>
        <w:numPr>
          <w:ilvl w:val="2"/>
          <w:numId w:val="91"/>
        </w:numPr>
        <w:rPr>
          <w:rFonts w:ascii="Arial" w:cs="Arial" w:eastAsia="Arial" w:hAnsi="Arial"/>
          <w:sz w:val="18"/>
          <w:szCs w:val="18"/>
          <w:color w:val="auto"/>
        </w:rPr>
      </w:pPr>
      <w:r>
        <w:rPr>
          <w:rFonts w:ascii="Arial" w:cs="Arial" w:eastAsia="Arial" w:hAnsi="Arial"/>
          <w:sz w:val="18"/>
          <w:szCs w:val="18"/>
          <w:b w:val="1"/>
          <w:bCs w:val="1"/>
          <w:color w:val="auto"/>
        </w:rPr>
        <w:t xml:space="preserve">Option Agreement. </w:t>
      </w:r>
      <w:r>
        <w:rPr>
          <w:rFonts w:ascii="Arial" w:cs="Arial" w:eastAsia="Arial" w:hAnsi="Arial"/>
          <w:sz w:val="18"/>
          <w:szCs w:val="18"/>
          <w:color w:val="auto"/>
        </w:rPr>
        <w:t>Unless otherwise provided by the Committee at the time the Option is granted, an Option shall comply with</w:t>
      </w:r>
      <w:r>
        <w:rPr>
          <w:rFonts w:ascii="Arial" w:cs="Arial" w:eastAsia="Arial" w:hAnsi="Arial"/>
          <w:sz w:val="18"/>
          <w:szCs w:val="18"/>
          <w:b w:val="1"/>
          <w:bCs w:val="1"/>
          <w:color w:val="auto"/>
        </w:rPr>
        <w:t xml:space="preserve"> </w:t>
      </w:r>
      <w:r>
        <w:rPr>
          <w:rFonts w:ascii="Arial" w:cs="Arial" w:eastAsia="Arial" w:hAnsi="Arial"/>
          <w:sz w:val="18"/>
          <w:szCs w:val="18"/>
          <w:color w:val="auto"/>
        </w:rPr>
        <w:t>and be subject to the terms and conditions set forth in the form of Option Agreement approved by the Committee concurrently with its adoption of the Plan and as amended from time to time.</w:t>
      </w:r>
    </w:p>
    <w:p>
      <w:pPr>
        <w:spacing w:after="0" w:line="72" w:lineRule="exact"/>
        <w:rPr>
          <w:rFonts w:ascii="Arial" w:cs="Arial" w:eastAsia="Arial" w:hAnsi="Arial"/>
          <w:sz w:val="18"/>
          <w:szCs w:val="18"/>
          <w:color w:val="auto"/>
        </w:rPr>
      </w:pPr>
    </w:p>
    <w:p>
      <w:pPr>
        <w:ind w:left="1920" w:right="220" w:hanging="640"/>
        <w:spacing w:after="0" w:line="321" w:lineRule="auto"/>
        <w:tabs>
          <w:tab w:leader="none" w:pos="1920" w:val="left"/>
        </w:tabs>
        <w:numPr>
          <w:ilvl w:val="2"/>
          <w:numId w:val="91"/>
        </w:numPr>
        <w:rPr>
          <w:rFonts w:ascii="Arial" w:cs="Arial" w:eastAsia="Arial" w:hAnsi="Arial"/>
          <w:sz w:val="15"/>
          <w:szCs w:val="15"/>
          <w:color w:val="auto"/>
        </w:rPr>
      </w:pPr>
      <w:r>
        <w:rPr>
          <w:rFonts w:ascii="Arial" w:cs="Arial" w:eastAsia="Arial" w:hAnsi="Arial"/>
          <w:sz w:val="15"/>
          <w:szCs w:val="15"/>
          <w:b w:val="1"/>
          <w:bCs w:val="1"/>
          <w:color w:val="auto"/>
        </w:rPr>
        <w:t xml:space="preserve">Authority to Vary Terms. </w:t>
      </w:r>
      <w:r>
        <w:rPr>
          <w:rFonts w:ascii="Arial" w:cs="Arial" w:eastAsia="Arial" w:hAnsi="Arial"/>
          <w:sz w:val="15"/>
          <w:szCs w:val="15"/>
          <w:color w:val="auto"/>
        </w:rPr>
        <w:t>The Committee shall have the authority from time to time to vary the terms of any standard form of</w:t>
      </w:r>
      <w:r>
        <w:rPr>
          <w:rFonts w:ascii="Arial" w:cs="Arial" w:eastAsia="Arial" w:hAnsi="Arial"/>
          <w:sz w:val="15"/>
          <w:szCs w:val="15"/>
          <w:b w:val="1"/>
          <w:bCs w:val="1"/>
          <w:color w:val="auto"/>
        </w:rPr>
        <w:t xml:space="preserve"> </w:t>
      </w:r>
      <w:r>
        <w:rPr>
          <w:rFonts w:ascii="Arial" w:cs="Arial" w:eastAsia="Arial" w:hAnsi="Arial"/>
          <w:sz w:val="15"/>
          <w:szCs w:val="15"/>
          <w:color w:val="auto"/>
        </w:rPr>
        <w:t>Option Agreement described in this Section 6.6 either in connection with the grant or amendment of an individual Option or in connection with the authorization of a new standard form or forms; provided, however, that the terms and conditions of any such new, revised or amended standard form or forms of Option Agreement are not inconsistent with the terms of the Plan.</w:t>
      </w:r>
    </w:p>
    <w:p>
      <w:pPr>
        <w:spacing w:after="0" w:line="32" w:lineRule="exact"/>
        <w:rPr>
          <w:rFonts w:ascii="Arial" w:cs="Arial" w:eastAsia="Arial" w:hAnsi="Arial"/>
          <w:sz w:val="15"/>
          <w:szCs w:val="15"/>
          <w:color w:val="auto"/>
        </w:rPr>
      </w:pPr>
    </w:p>
    <w:p>
      <w:pPr>
        <w:ind w:left="320" w:hanging="314"/>
        <w:spacing w:after="0"/>
        <w:tabs>
          <w:tab w:leader="none" w:pos="320"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STOCK APPRECIATION RIGHTS</w:t>
      </w:r>
    </w:p>
    <w:p>
      <w:pPr>
        <w:spacing w:after="0" w:line="111" w:lineRule="exact"/>
        <w:rPr>
          <w:rFonts w:ascii="Arial" w:cs="Arial" w:eastAsia="Arial" w:hAnsi="Arial"/>
          <w:sz w:val="18"/>
          <w:szCs w:val="18"/>
          <w:b w:val="1"/>
          <w:bCs w:val="1"/>
          <w:color w:val="auto"/>
        </w:rPr>
      </w:pPr>
    </w:p>
    <w:p>
      <w:pPr>
        <w:ind w:left="1280" w:hanging="637"/>
        <w:spacing w:after="0"/>
        <w:tabs>
          <w:tab w:leader="none" w:pos="1280" w:val="left"/>
        </w:tabs>
        <w:numPr>
          <w:ilvl w:val="1"/>
          <w:numId w:val="92"/>
        </w:numPr>
        <w:rPr>
          <w:rFonts w:ascii="Arial" w:cs="Arial" w:eastAsia="Arial" w:hAnsi="Arial"/>
          <w:sz w:val="18"/>
          <w:szCs w:val="18"/>
          <w:color w:val="auto"/>
        </w:rPr>
      </w:pPr>
      <w:r>
        <w:rPr>
          <w:rFonts w:ascii="Arial" w:cs="Arial" w:eastAsia="Arial" w:hAnsi="Arial"/>
          <w:sz w:val="18"/>
          <w:szCs w:val="18"/>
          <w:b w:val="1"/>
          <w:bCs w:val="1"/>
          <w:color w:val="auto"/>
        </w:rPr>
        <w:t>Grant of Stock Appreciation Rights.</w:t>
      </w:r>
    </w:p>
    <w:p>
      <w:pPr>
        <w:spacing w:after="0" w:line="117" w:lineRule="exact"/>
        <w:rPr>
          <w:rFonts w:ascii="Arial" w:cs="Arial" w:eastAsia="Arial" w:hAnsi="Arial"/>
          <w:sz w:val="18"/>
          <w:szCs w:val="18"/>
          <w:color w:val="auto"/>
        </w:rPr>
      </w:pPr>
    </w:p>
    <w:p>
      <w:pPr>
        <w:ind w:left="1920" w:right="60" w:hanging="640"/>
        <w:spacing w:after="0" w:line="277" w:lineRule="auto"/>
        <w:tabs>
          <w:tab w:leader="none" w:pos="1910" w:val="left"/>
        </w:tabs>
        <w:numPr>
          <w:ilvl w:val="2"/>
          <w:numId w:val="92"/>
        </w:numPr>
        <w:rPr>
          <w:rFonts w:ascii="Arial" w:cs="Arial" w:eastAsia="Arial" w:hAnsi="Arial"/>
          <w:sz w:val="17"/>
          <w:szCs w:val="17"/>
          <w:color w:val="auto"/>
        </w:rPr>
      </w:pPr>
      <w:r>
        <w:rPr>
          <w:rFonts w:ascii="Arial" w:cs="Arial" w:eastAsia="Arial" w:hAnsi="Arial"/>
          <w:sz w:val="17"/>
          <w:szCs w:val="17"/>
          <w:color w:val="auto"/>
        </w:rPr>
        <w:t>A Stock Appreciation Right may be granted to any eligible person selected by the Committee. A Stock Appreciation Right shall be subject to such terms and conditions not inconsistent with the Plan as the Committee shall impose and shall be evidenced by an Award Agreement, provided that the term of any Stock Appreciation Right shall not exceed ten years.</w:t>
      </w:r>
    </w:p>
    <w:p>
      <w:pPr>
        <w:spacing w:after="0" w:line="66" w:lineRule="exact"/>
        <w:rPr>
          <w:rFonts w:ascii="Arial" w:cs="Arial" w:eastAsia="Arial" w:hAnsi="Arial"/>
          <w:sz w:val="17"/>
          <w:szCs w:val="17"/>
          <w:color w:val="auto"/>
        </w:rPr>
      </w:pPr>
    </w:p>
    <w:p>
      <w:pPr>
        <w:ind w:left="1920" w:right="40" w:hanging="640"/>
        <w:spacing w:after="0" w:line="249" w:lineRule="auto"/>
        <w:tabs>
          <w:tab w:leader="none" w:pos="1920" w:val="left"/>
        </w:tabs>
        <w:numPr>
          <w:ilvl w:val="2"/>
          <w:numId w:val="92"/>
        </w:numPr>
        <w:rPr>
          <w:rFonts w:ascii="Arial" w:cs="Arial" w:eastAsia="Arial" w:hAnsi="Arial"/>
          <w:sz w:val="18"/>
          <w:szCs w:val="18"/>
          <w:color w:val="auto"/>
        </w:rPr>
      </w:pPr>
      <w:r>
        <w:rPr>
          <w:rFonts w:ascii="Arial" w:cs="Arial" w:eastAsia="Arial" w:hAnsi="Arial"/>
          <w:sz w:val="18"/>
          <w:szCs w:val="18"/>
          <w:color w:val="auto"/>
        </w:rPr>
        <w:t>A Stock Appreciation Right shall entitle the Participant (or other person entitled to exercise the Stock Appreciation Right pursuant to the Plan) to exercise all or a specified portion of the Stock Appreciation Right (to the extent then exercisable pursuant to its terms) and to receive from the Company an amount equal to the product of (i) the excess of (A) the Fair Market Value of the shares of Stock on the date the Stock Appreciation Right is exercised over (B) the grant price of the Stock Appreciation Right and (ii) the number of shares of Stock with respect to which the Stock Appreciation Right is exercised, subject to any limitations the Committee may impose.</w:t>
      </w:r>
    </w:p>
    <w:p>
      <w:pPr>
        <w:spacing w:after="0" w:line="91" w:lineRule="exact"/>
        <w:rPr>
          <w:rFonts w:ascii="Arial" w:cs="Arial" w:eastAsia="Arial" w:hAnsi="Arial"/>
          <w:sz w:val="18"/>
          <w:szCs w:val="18"/>
          <w:color w:val="auto"/>
        </w:rPr>
      </w:pPr>
    </w:p>
    <w:p>
      <w:pPr>
        <w:jc w:val="both"/>
        <w:ind w:left="1920" w:right="120" w:hanging="640"/>
        <w:spacing w:after="0" w:line="255" w:lineRule="auto"/>
        <w:tabs>
          <w:tab w:leader="none" w:pos="1910" w:val="left"/>
        </w:tabs>
        <w:numPr>
          <w:ilvl w:val="2"/>
          <w:numId w:val="92"/>
        </w:numPr>
        <w:rPr>
          <w:rFonts w:ascii="Arial" w:cs="Arial" w:eastAsia="Arial" w:hAnsi="Arial"/>
          <w:sz w:val="18"/>
          <w:szCs w:val="18"/>
          <w:color w:val="auto"/>
        </w:rPr>
      </w:pPr>
      <w:r>
        <w:rPr>
          <w:rFonts w:ascii="Arial" w:cs="Arial" w:eastAsia="Arial" w:hAnsi="Arial"/>
          <w:sz w:val="18"/>
          <w:szCs w:val="18"/>
          <w:color w:val="auto"/>
        </w:rPr>
        <w:t xml:space="preserve">The grant price per share of Stock subject to a Stock Appreciation Right shall be determined by the Committee and set forth in the Award Agreement; </w:t>
      </w:r>
      <w:r>
        <w:rPr>
          <w:rFonts w:ascii="Arial" w:cs="Arial" w:eastAsia="Arial" w:hAnsi="Arial"/>
          <w:sz w:val="18"/>
          <w:szCs w:val="18"/>
          <w:i w:val="1"/>
          <w:iCs w:val="1"/>
          <w:color w:val="auto"/>
        </w:rPr>
        <w:t>provided that</w:t>
      </w:r>
      <w:r>
        <w:rPr>
          <w:rFonts w:ascii="Arial" w:cs="Arial" w:eastAsia="Arial" w:hAnsi="Arial"/>
          <w:sz w:val="18"/>
          <w:szCs w:val="18"/>
          <w:color w:val="auto"/>
        </w:rPr>
        <w:t>, the grant price for any Stock Appreciation Right shall not be less than 100% of the Fair Market Value of a share of Stock on the date of grant.</w:t>
      </w:r>
    </w:p>
    <w:p>
      <w:pPr>
        <w:spacing w:after="0" w:line="83" w:lineRule="exact"/>
        <w:rPr>
          <w:rFonts w:ascii="Arial" w:cs="Arial" w:eastAsia="Arial" w:hAnsi="Arial"/>
          <w:sz w:val="18"/>
          <w:szCs w:val="18"/>
          <w:color w:val="auto"/>
        </w:rPr>
      </w:pPr>
    </w:p>
    <w:p>
      <w:pPr>
        <w:ind w:left="1920" w:right="140" w:hanging="640"/>
        <w:spacing w:after="0" w:line="265" w:lineRule="auto"/>
        <w:tabs>
          <w:tab w:leader="none" w:pos="1920" w:val="left"/>
        </w:tabs>
        <w:numPr>
          <w:ilvl w:val="2"/>
          <w:numId w:val="92"/>
        </w:numPr>
        <w:rPr>
          <w:rFonts w:ascii="Arial" w:cs="Arial" w:eastAsia="Arial" w:hAnsi="Arial"/>
          <w:sz w:val="18"/>
          <w:szCs w:val="18"/>
          <w:color w:val="auto"/>
        </w:rPr>
      </w:pPr>
      <w:r>
        <w:rPr>
          <w:rFonts w:ascii="Arial" w:cs="Arial" w:eastAsia="Arial" w:hAnsi="Arial"/>
          <w:sz w:val="18"/>
          <w:szCs w:val="18"/>
          <w:color w:val="auto"/>
        </w:rPr>
        <w:t>The provisions set forth in Section 6.4 with respect to the exercise of Options following termination of employment shall apply as well to such exercise of SARs.</w:t>
      </w:r>
    </w:p>
    <w:p>
      <w:pPr>
        <w:spacing w:after="0" w:line="68" w:lineRule="exact"/>
        <w:rPr>
          <w:sz w:val="20"/>
          <w:szCs w:val="20"/>
          <w:color w:val="auto"/>
        </w:rPr>
      </w:pPr>
    </w:p>
    <w:p>
      <w:pPr>
        <w:jc w:val="both"/>
        <w:ind w:left="960" w:right="320" w:hanging="636"/>
        <w:spacing w:after="0" w:line="259" w:lineRule="auto"/>
        <w:tabs>
          <w:tab w:leader="none" w:pos="940" w:val="left"/>
        </w:tabs>
        <w:rPr>
          <w:sz w:val="20"/>
          <w:szCs w:val="20"/>
          <w:color w:val="auto"/>
        </w:rPr>
      </w:pPr>
      <w:r>
        <w:rPr>
          <w:rFonts w:ascii="Arial" w:cs="Arial" w:eastAsia="Arial" w:hAnsi="Arial"/>
          <w:sz w:val="18"/>
          <w:szCs w:val="18"/>
          <w:color w:val="auto"/>
        </w:rPr>
        <w:t>2</w:t>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 xml:space="preserve">Payment and Limitations on Exercise. </w:t>
      </w:r>
      <w:r>
        <w:rPr>
          <w:rFonts w:ascii="Arial" w:cs="Arial" w:eastAsia="Arial" w:hAnsi="Arial"/>
          <w:sz w:val="18"/>
          <w:szCs w:val="18"/>
          <w:color w:val="auto"/>
        </w:rPr>
        <w:t>Payment of the amounts determined under Section 7.1(b) hereof shall be in cash, in shares of Stock</w:t>
      </w:r>
      <w:r>
        <w:rPr>
          <w:rFonts w:ascii="Arial" w:cs="Arial" w:eastAsia="Arial" w:hAnsi="Arial"/>
          <w:sz w:val="18"/>
          <w:szCs w:val="18"/>
          <w:b w:val="1"/>
          <w:bCs w:val="1"/>
          <w:color w:val="auto"/>
        </w:rPr>
        <w:t xml:space="preserve"> </w:t>
      </w:r>
      <w:r>
        <w:rPr>
          <w:rFonts w:ascii="Arial" w:cs="Arial" w:eastAsia="Arial" w:hAnsi="Arial"/>
          <w:sz w:val="18"/>
          <w:szCs w:val="18"/>
          <w:color w:val="auto"/>
        </w:rPr>
        <w:t>(based on the Fair Market Value as of the date the Stock Appreciation Right is exercised) or a combination of both, as determined by the Committee.</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552" w:right="339" w:bottom="1440" w:gutter="0" w:footer="0" w:header="0"/>
        </w:sectPr>
      </w:pPr>
    </w:p>
    <w:bookmarkStart w:id="63" w:name="page64"/>
    <w:bookmarkEnd w:id="63"/>
    <w:p>
      <w:pPr>
        <w:ind w:left="640"/>
        <w:spacing w:after="0"/>
        <w:tabs>
          <w:tab w:leader="none" w:pos="940" w:val="left"/>
        </w:tabs>
        <w:rPr>
          <w:sz w:val="20"/>
          <w:szCs w:val="20"/>
          <w:color w:val="auto"/>
        </w:rPr>
      </w:pPr>
      <w:r>
        <w:rPr>
          <w:rFonts w:ascii="Arial" w:cs="Arial" w:eastAsia="Arial" w:hAnsi="Arial"/>
          <w:sz w:val="18"/>
          <w:szCs w:val="18"/>
          <w:color w:val="auto"/>
        </w:rPr>
        <w:t>3</w:t>
      </w:r>
      <w:r>
        <w:rPr>
          <w:rFonts w:ascii="Arial" w:cs="Arial" w:eastAsia="Arial" w:hAnsi="Arial"/>
          <w:sz w:val="18"/>
          <w:szCs w:val="18"/>
          <w:b w:val="1"/>
          <w:bCs w:val="1"/>
          <w:color w:val="auto"/>
        </w:rPr>
        <w:t>.</w:t>
      </w:r>
      <w:r>
        <w:rPr>
          <w:sz w:val="20"/>
          <w:szCs w:val="20"/>
          <w:color w:val="auto"/>
        </w:rPr>
        <w:tab/>
      </w:r>
      <w:r>
        <w:rPr>
          <w:rFonts w:ascii="Arial" w:cs="Arial" w:eastAsia="Arial" w:hAnsi="Arial"/>
          <w:sz w:val="15"/>
          <w:szCs w:val="15"/>
          <w:b w:val="1"/>
          <w:bCs w:val="1"/>
          <w:color w:val="auto"/>
        </w:rPr>
        <w:t xml:space="preserve">Dividend Payments. </w:t>
      </w:r>
      <w:r>
        <w:rPr>
          <w:rFonts w:ascii="Arial" w:cs="Arial" w:eastAsia="Arial" w:hAnsi="Arial"/>
          <w:sz w:val="15"/>
          <w:szCs w:val="15"/>
          <w:color w:val="auto"/>
        </w:rPr>
        <w:t>No dividends or dividend equivalents will be accrued or paid with respect to SARs.</w:t>
      </w:r>
    </w:p>
    <w:p>
      <w:pPr>
        <w:spacing w:after="0" w:line="111" w:lineRule="exact"/>
        <w:rPr>
          <w:sz w:val="20"/>
          <w:szCs w:val="20"/>
          <w:color w:val="auto"/>
        </w:rPr>
      </w:pPr>
    </w:p>
    <w:p>
      <w:pPr>
        <w:ind w:left="320" w:hanging="314"/>
        <w:spacing w:after="0"/>
        <w:tabs>
          <w:tab w:leader="none" w:pos="320"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AWARDS TO NON-EMPLOYEE DIRECTORS</w:t>
      </w:r>
      <w:r>
        <w:rPr>
          <w:rFonts w:ascii="Arial" w:cs="Arial" w:eastAsia="Arial" w:hAnsi="Arial"/>
          <w:sz w:val="18"/>
          <w:szCs w:val="18"/>
          <w:b w:val="1"/>
          <w:bCs w:val="1"/>
          <w:color w:val="auto"/>
        </w:rPr>
        <w:t>.</w:t>
      </w:r>
    </w:p>
    <w:p>
      <w:pPr>
        <w:spacing w:after="0" w:line="117" w:lineRule="exact"/>
        <w:rPr>
          <w:sz w:val="20"/>
          <w:szCs w:val="20"/>
          <w:color w:val="auto"/>
        </w:rPr>
      </w:pPr>
    </w:p>
    <w:p>
      <w:pPr>
        <w:jc w:val="both"/>
        <w:ind w:firstLine="637"/>
        <w:spacing w:after="0" w:line="249" w:lineRule="auto"/>
        <w:rPr>
          <w:sz w:val="20"/>
          <w:szCs w:val="20"/>
          <w:color w:val="auto"/>
        </w:rPr>
      </w:pPr>
      <w:r>
        <w:rPr>
          <w:rFonts w:ascii="Arial" w:cs="Arial" w:eastAsia="Arial" w:hAnsi="Arial"/>
          <w:sz w:val="18"/>
          <w:szCs w:val="18"/>
          <w:color w:val="auto"/>
        </w:rPr>
        <w:t>Non-Employee Directors are eligible to receive any type of Award under this Plan other than Incentive Stock Options. The grant of an Award to a Non-Employee Director shall be made by the Committee, subject to approval by the Board. Notwithstanding anything in the Plan to the contrary, the aggregate grant date fair value for financial reporting purposes of Awards granted during a calendar year to a Non-Employee Director as compensation for his or her services as a Director, taken together with the cash fees paid during the calendar year to the Non-Employee Director as compensation for his or her services as a Director, shall not exceed (a) $350,000 in total value in the case of a Non-Employee Director other than the Chairman of the Board, and (b) $500,000 in total value in the case of the Chairman of the Board. For the avoidance of doubt, Awards granted to Non-Employee Directors shall be subject to all of the other limitations set forth in the Plan.</w:t>
      </w:r>
    </w:p>
    <w:p>
      <w:pPr>
        <w:spacing w:after="0" w:line="83" w:lineRule="exact"/>
        <w:rPr>
          <w:sz w:val="20"/>
          <w:szCs w:val="20"/>
          <w:color w:val="auto"/>
        </w:rPr>
      </w:pPr>
    </w:p>
    <w:p>
      <w:pPr>
        <w:ind w:left="320" w:hanging="314"/>
        <w:spacing w:after="0"/>
        <w:tabs>
          <w:tab w:leader="none" w:pos="320"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AWARD AND DELIVERY OF RESTRICTED STOCK</w:t>
      </w:r>
      <w:r>
        <w:rPr>
          <w:rFonts w:ascii="Arial" w:cs="Arial" w:eastAsia="Arial" w:hAnsi="Arial"/>
          <w:sz w:val="18"/>
          <w:szCs w:val="18"/>
          <w:b w:val="1"/>
          <w:bCs w:val="1"/>
          <w:color w:val="auto"/>
        </w:rPr>
        <w:t>.</w:t>
      </w:r>
    </w:p>
    <w:p>
      <w:pPr>
        <w:spacing w:after="0" w:line="111" w:lineRule="exact"/>
        <w:rPr>
          <w:rFonts w:ascii="Arial" w:cs="Arial" w:eastAsia="Arial" w:hAnsi="Arial"/>
          <w:sz w:val="18"/>
          <w:szCs w:val="18"/>
          <w:b w:val="1"/>
          <w:bCs w:val="1"/>
          <w:color w:val="auto"/>
        </w:rPr>
      </w:pPr>
    </w:p>
    <w:p>
      <w:pPr>
        <w:ind w:left="1280" w:hanging="637"/>
        <w:spacing w:after="0" w:line="266" w:lineRule="auto"/>
        <w:tabs>
          <w:tab w:leader="none" w:pos="1280" w:val="left"/>
        </w:tabs>
        <w:numPr>
          <w:ilvl w:val="1"/>
          <w:numId w:val="94"/>
        </w:numPr>
        <w:rPr>
          <w:rFonts w:ascii="Arial" w:cs="Arial" w:eastAsia="Arial" w:hAnsi="Arial"/>
          <w:sz w:val="17"/>
          <w:szCs w:val="17"/>
          <w:color w:val="auto"/>
        </w:rPr>
      </w:pPr>
      <w:r>
        <w:rPr>
          <w:rFonts w:ascii="Arial" w:cs="Arial" w:eastAsia="Arial" w:hAnsi="Arial"/>
          <w:sz w:val="17"/>
          <w:szCs w:val="17"/>
          <w:b w:val="1"/>
          <w:bCs w:val="1"/>
          <w:color w:val="auto"/>
        </w:rPr>
        <w:t xml:space="preserve">Restricted Period. </w:t>
      </w:r>
      <w:r>
        <w:rPr>
          <w:rFonts w:ascii="Arial" w:cs="Arial" w:eastAsia="Arial" w:hAnsi="Arial"/>
          <w:sz w:val="17"/>
          <w:szCs w:val="17"/>
          <w:color w:val="auto"/>
        </w:rPr>
        <w:t>At the time an award of Restricted Stock is made, the Committee shall establish a period or periods of time (each a</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Restricted Period</w:t>
      </w:r>
      <w:r>
        <w:rPr>
          <w:rFonts w:ascii="Arial" w:cs="Arial" w:eastAsia="Arial" w:hAnsi="Arial"/>
          <w:sz w:val="17"/>
          <w:szCs w:val="17"/>
          <w:i w:val="1"/>
          <w:iCs w:val="1"/>
          <w:color w:val="auto"/>
        </w:rPr>
        <w:t>”</w:t>
      </w:r>
      <w:r>
        <w:rPr>
          <w:rFonts w:ascii="Arial" w:cs="Arial" w:eastAsia="Arial" w:hAnsi="Arial"/>
          <w:sz w:val="17"/>
          <w:szCs w:val="17"/>
          <w:color w:val="auto"/>
        </w:rPr>
        <w:t>) or such other restrictions on the vesting of the Restricted Stock as it shall deem appropriate or applicable to such</w:t>
      </w:r>
      <w:r>
        <w:rPr>
          <w:rFonts w:ascii="Arial" w:cs="Arial" w:eastAsia="Arial" w:hAnsi="Arial"/>
          <w:sz w:val="17"/>
          <w:szCs w:val="17"/>
          <w:i w:val="1"/>
          <w:iCs w:val="1"/>
          <w:color w:val="auto"/>
        </w:rPr>
        <w:t xml:space="preserve"> </w:t>
      </w:r>
      <w:r>
        <w:rPr>
          <w:rFonts w:ascii="Arial" w:cs="Arial" w:eastAsia="Arial" w:hAnsi="Arial"/>
          <w:sz w:val="17"/>
          <w:szCs w:val="17"/>
          <w:color w:val="auto"/>
        </w:rPr>
        <w:t>award. Each award of Restricted Stock may have a different Restricted Period or Restricted Periods. The Committee may, in its sole discretion, at the time an award is made, provide for the incremental lapse of Restricted Periods with respect to a portion or portions of the Restricted Stock awarded, and for the lapse or termination of restrictions upon all or any portion of the Restricted Stock upon the satisfaction of other conditions in addition to or other than the expiration of the applicable Restricted Period. The Committee may also, in its sole discretion, shorten or terminate a Restricted Period or waive any conditions for the lapse or termination of restrictions with respect to all or any portion of the Restricted Stock.</w:t>
      </w:r>
    </w:p>
    <w:p>
      <w:pPr>
        <w:spacing w:after="0" w:line="70" w:lineRule="exact"/>
        <w:rPr>
          <w:rFonts w:ascii="Arial" w:cs="Arial" w:eastAsia="Arial" w:hAnsi="Arial"/>
          <w:sz w:val="17"/>
          <w:szCs w:val="17"/>
          <w:color w:val="auto"/>
        </w:rPr>
      </w:pPr>
    </w:p>
    <w:p>
      <w:pPr>
        <w:ind w:left="1280" w:hanging="637"/>
        <w:spacing w:after="0" w:line="299" w:lineRule="auto"/>
        <w:tabs>
          <w:tab w:leader="none" w:pos="1280" w:val="left"/>
        </w:tabs>
        <w:numPr>
          <w:ilvl w:val="1"/>
          <w:numId w:val="94"/>
        </w:numPr>
        <w:rPr>
          <w:rFonts w:ascii="Arial" w:cs="Arial" w:eastAsia="Arial" w:hAnsi="Arial"/>
          <w:sz w:val="15"/>
          <w:szCs w:val="15"/>
          <w:color w:val="auto"/>
        </w:rPr>
      </w:pPr>
      <w:r>
        <w:rPr>
          <w:rFonts w:ascii="Arial" w:cs="Arial" w:eastAsia="Arial" w:hAnsi="Arial"/>
          <w:sz w:val="15"/>
          <w:szCs w:val="15"/>
          <w:b w:val="1"/>
          <w:bCs w:val="1"/>
          <w:color w:val="auto"/>
        </w:rPr>
        <w:t xml:space="preserve">Rights and Privileges. </w:t>
      </w:r>
      <w:r>
        <w:rPr>
          <w:rFonts w:ascii="Arial" w:cs="Arial" w:eastAsia="Arial" w:hAnsi="Arial"/>
          <w:sz w:val="15"/>
          <w:szCs w:val="15"/>
          <w:color w:val="auto"/>
        </w:rPr>
        <w:t>At the time a grant of Restricted Stock is made to a Participant, a stock certificate representing a number of shares of</w:t>
      </w:r>
      <w:r>
        <w:rPr>
          <w:rFonts w:ascii="Arial" w:cs="Arial" w:eastAsia="Arial" w:hAnsi="Arial"/>
          <w:sz w:val="15"/>
          <w:szCs w:val="15"/>
          <w:b w:val="1"/>
          <w:bCs w:val="1"/>
          <w:color w:val="auto"/>
        </w:rPr>
        <w:t xml:space="preserve"> </w:t>
      </w:r>
      <w:r>
        <w:rPr>
          <w:rFonts w:ascii="Arial" w:cs="Arial" w:eastAsia="Arial" w:hAnsi="Arial"/>
          <w:sz w:val="15"/>
          <w:szCs w:val="15"/>
          <w:color w:val="auto"/>
        </w:rPr>
        <w:t>the Company’s common stock equal to the number of shares of such Restricted Stock shall be registered in the Participant’s name but shall be held in custody by the Company for such Participant’s account. The Participant shall generally have the rights and privileges of a stockholder as to such Restricted Stock, including, without limitation, the right to vote the Restricted Stock, except that, subject to the earlier lapse or termination of restrictions as herein provided, the following restrictions shall apply: (i) the Participant shall not be entitled to delivery of the stock certificate evidencing Restricted Stock until the expiration or termination of the Restricted Period applicable to such shares and the satisfaction of any other conditions prescribed by the Committee; (ii) none of the shares then subject to a Restricted Period shall be sold, transferred, assigned, pledged, or otherwise encumbered or disposed of during the Restricted Period applicable to such shares and until the satisfaction of any other conditions prescribed by the Committee; and (iii) all of the shares then subject to a Restricted Period shall be forfeited and all rights of the Participant to such Restricted Stock shall terminate without further obligation on the part of the Company if the Participant ceases to be an Employee, Consultant or Director of the Company or any of its subsidiaries before the expiration or termination of such Restricted Period and the satisfaction of any other conditions prescribed by the Committee applicable to such Restricted Stock. No dividends or dividend equivalents will be paid with respect to outstanding shares of Restricted Stock then subject to a Restricted Period. The Committee may provide that dividends or dividend equivalents will be accrued with respect to such shares of Restricted Stock, in which event the dividends will be subject to the vesting conditions applicable to the corresponding shares of Restricted Stock. Accordingly, such dividends will be forfeited if and to the extent such vesting conditions are not satisfied. If the Committee determines that dividends with respect to Restricted Stock will be paid in the form of additional shares of Restricted Stock, then the Committee may, in its sole discretion, cause the Company to register in the name of a Participant a stock certificate representing such shares of Restricted Stock issued as a dividend, and may cause the Company to hold such certificate in custody for the Participant’s account subject to the applicable vesting and other terms and conditions. Upon a forfeiture of any shares of Restricted Stock (including, without limitation, shares of Restricted Stock issued as dividends), such forfeited shares of Restricted Stock shall be transferred to the Company without further action by the Participant.</w:t>
      </w:r>
    </w:p>
    <w:p>
      <w:pPr>
        <w:spacing w:after="0" w:line="262" w:lineRule="exact"/>
        <w:rPr>
          <w:rFonts w:ascii="Arial" w:cs="Arial" w:eastAsia="Arial" w:hAnsi="Arial"/>
          <w:sz w:val="15"/>
          <w:szCs w:val="15"/>
          <w:color w:val="auto"/>
        </w:rPr>
      </w:pPr>
    </w:p>
    <w:p>
      <w:pPr>
        <w:ind w:left="1280" w:right="120" w:hanging="637"/>
        <w:spacing w:after="0" w:line="308" w:lineRule="auto"/>
        <w:tabs>
          <w:tab w:leader="none" w:pos="1280" w:val="left"/>
        </w:tabs>
        <w:numPr>
          <w:ilvl w:val="1"/>
          <w:numId w:val="94"/>
        </w:numPr>
        <w:rPr>
          <w:rFonts w:ascii="Arial" w:cs="Arial" w:eastAsia="Arial" w:hAnsi="Arial"/>
          <w:sz w:val="15"/>
          <w:szCs w:val="15"/>
          <w:color w:val="auto"/>
        </w:rPr>
      </w:pPr>
      <w:r>
        <w:rPr>
          <w:rFonts w:ascii="Arial" w:cs="Arial" w:eastAsia="Arial" w:hAnsi="Arial"/>
          <w:sz w:val="15"/>
          <w:szCs w:val="15"/>
          <w:b w:val="1"/>
          <w:bCs w:val="1"/>
          <w:color w:val="auto"/>
        </w:rPr>
        <w:t xml:space="preserve">Expiration of Restricted Period. </w:t>
      </w:r>
      <w:r>
        <w:rPr>
          <w:rFonts w:ascii="Arial" w:cs="Arial" w:eastAsia="Arial" w:hAnsi="Arial"/>
          <w:sz w:val="15"/>
          <w:szCs w:val="15"/>
          <w:color w:val="auto"/>
        </w:rPr>
        <w:t>Upon the expiration or termination of the Restricted Period applicable to Restricted Stock and the</w:t>
      </w:r>
      <w:r>
        <w:rPr>
          <w:rFonts w:ascii="Arial" w:cs="Arial" w:eastAsia="Arial" w:hAnsi="Arial"/>
          <w:sz w:val="15"/>
          <w:szCs w:val="15"/>
          <w:b w:val="1"/>
          <w:bCs w:val="1"/>
          <w:color w:val="auto"/>
        </w:rPr>
        <w:t xml:space="preserve"> </w:t>
      </w:r>
      <w:r>
        <w:rPr>
          <w:rFonts w:ascii="Arial" w:cs="Arial" w:eastAsia="Arial" w:hAnsi="Arial"/>
          <w:sz w:val="15"/>
          <w:szCs w:val="15"/>
          <w:color w:val="auto"/>
        </w:rPr>
        <w:t>satisfaction of any other conditions prescribed by the Committee or at such earlier time as provided for herein, the restrictions applicable to the Restricted Stock to such Restricted Period shall lapse and a certificate for a number of shares of Common Stock equal to the number of shares of Restricted Stock with respect to which the restrictions have expired or terminated shall be delivered, free of all such restrictions, except any that may be imposed by law, to the Participant. The Company shall not be required to deliver any fractional share of Common Stock but shall pay to the Participant, in lieu thereof, the product of (i) the Fair Market Value per share (determined as of the date the restrictions expire or terminate) and (ii) the fraction of a share to which such Participant would otherwise be entitled.</w:t>
      </w:r>
    </w:p>
    <w:p>
      <w:pPr>
        <w:spacing w:after="0" w:line="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546" w:right="339" w:bottom="1440" w:gutter="0" w:footer="0" w:header="0"/>
        </w:sectPr>
      </w:pPr>
    </w:p>
    <w:bookmarkStart w:id="64" w:name="page65"/>
    <w:bookmarkEnd w:id="64"/>
    <w:p>
      <w:pPr>
        <w:jc w:val="both"/>
        <w:ind w:left="1274" w:right="380" w:hanging="637"/>
        <w:spacing w:after="0" w:line="259" w:lineRule="auto"/>
        <w:tabs>
          <w:tab w:leader="none" w:pos="1274" w:val="left"/>
        </w:tabs>
        <w:numPr>
          <w:ilvl w:val="1"/>
          <w:numId w:val="95"/>
        </w:numPr>
        <w:rPr>
          <w:rFonts w:ascii="Arial" w:cs="Arial" w:eastAsia="Arial" w:hAnsi="Arial"/>
          <w:sz w:val="18"/>
          <w:szCs w:val="18"/>
          <w:color w:val="auto"/>
        </w:rPr>
      </w:pPr>
      <w:r>
        <w:rPr>
          <w:rFonts w:ascii="Arial" w:cs="Arial" w:eastAsia="Arial" w:hAnsi="Arial"/>
          <w:sz w:val="18"/>
          <w:szCs w:val="18"/>
          <w:b w:val="1"/>
          <w:bCs w:val="1"/>
          <w:color w:val="auto"/>
        </w:rPr>
        <w:t xml:space="preserve">Vesting Events for Restricted Stock. </w:t>
      </w:r>
      <w:r>
        <w:rPr>
          <w:rFonts w:ascii="Arial" w:cs="Arial" w:eastAsia="Arial" w:hAnsi="Arial"/>
          <w:sz w:val="18"/>
          <w:szCs w:val="18"/>
          <w:color w:val="auto"/>
        </w:rPr>
        <w:t>If the Employee terminates employment by reason of death, all of his or her shares of Restricted</w:t>
      </w:r>
      <w:r>
        <w:rPr>
          <w:rFonts w:ascii="Arial" w:cs="Arial" w:eastAsia="Arial" w:hAnsi="Arial"/>
          <w:sz w:val="18"/>
          <w:szCs w:val="18"/>
          <w:b w:val="1"/>
          <w:bCs w:val="1"/>
          <w:color w:val="auto"/>
        </w:rPr>
        <w:t xml:space="preserve"> </w:t>
      </w:r>
      <w:r>
        <w:rPr>
          <w:rFonts w:ascii="Arial" w:cs="Arial" w:eastAsia="Arial" w:hAnsi="Arial"/>
          <w:sz w:val="18"/>
          <w:szCs w:val="18"/>
          <w:color w:val="auto"/>
        </w:rPr>
        <w:t>Stock shall become 100% vested upon the date of death. All Restricted Stock awards prior to the Effective Date are hereby amended to incorporate these terms.</w:t>
      </w:r>
    </w:p>
    <w:p>
      <w:pPr>
        <w:spacing w:after="0" w:line="72" w:lineRule="exact"/>
        <w:rPr>
          <w:rFonts w:ascii="Arial" w:cs="Arial" w:eastAsia="Arial" w:hAnsi="Arial"/>
          <w:sz w:val="18"/>
          <w:szCs w:val="18"/>
          <w:color w:val="auto"/>
        </w:rPr>
      </w:pPr>
    </w:p>
    <w:p>
      <w:pPr>
        <w:ind w:left="394" w:hanging="394"/>
        <w:spacing w:after="0"/>
        <w:tabs>
          <w:tab w:leader="none" w:pos="394"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RESTRICTED STOCK UNITS</w:t>
      </w:r>
      <w:r>
        <w:rPr>
          <w:rFonts w:ascii="Arial" w:cs="Arial" w:eastAsia="Arial" w:hAnsi="Arial"/>
          <w:sz w:val="18"/>
          <w:szCs w:val="18"/>
          <w:b w:val="1"/>
          <w:bCs w:val="1"/>
          <w:color w:val="auto"/>
        </w:rPr>
        <w:t>.</w:t>
      </w:r>
    </w:p>
    <w:p>
      <w:pPr>
        <w:spacing w:after="0" w:line="117" w:lineRule="exact"/>
        <w:rPr>
          <w:sz w:val="20"/>
          <w:szCs w:val="20"/>
          <w:color w:val="auto"/>
        </w:rPr>
      </w:pPr>
    </w:p>
    <w:p>
      <w:pPr>
        <w:ind w:left="634"/>
        <w:spacing w:after="0"/>
        <w:rPr>
          <w:sz w:val="20"/>
          <w:szCs w:val="20"/>
          <w:color w:val="auto"/>
        </w:rPr>
      </w:pPr>
      <w:r>
        <w:rPr>
          <w:rFonts w:ascii="Arial" w:cs="Arial" w:eastAsia="Arial" w:hAnsi="Arial"/>
          <w:sz w:val="18"/>
          <w:szCs w:val="18"/>
          <w:color w:val="auto"/>
        </w:rPr>
        <w:t>The Committee is authorized to grant Restricted Stock Units to eligible persons, subject to the following terms and conditions:</w:t>
      </w:r>
    </w:p>
    <w:p>
      <w:pPr>
        <w:spacing w:after="0" w:line="105" w:lineRule="exact"/>
        <w:rPr>
          <w:sz w:val="20"/>
          <w:szCs w:val="20"/>
          <w:color w:val="auto"/>
        </w:rPr>
      </w:pPr>
    </w:p>
    <w:p>
      <w:pPr>
        <w:ind w:left="1274" w:right="100" w:hanging="637"/>
        <w:spacing w:after="0" w:line="254" w:lineRule="auto"/>
        <w:tabs>
          <w:tab w:leader="none" w:pos="1274" w:val="left"/>
        </w:tabs>
        <w:numPr>
          <w:ilvl w:val="1"/>
          <w:numId w:val="97"/>
        </w:numPr>
        <w:rPr>
          <w:rFonts w:ascii="Arial" w:cs="Arial" w:eastAsia="Arial" w:hAnsi="Arial"/>
          <w:sz w:val="18"/>
          <w:szCs w:val="18"/>
          <w:color w:val="auto"/>
        </w:rPr>
      </w:pPr>
      <w:r>
        <w:rPr>
          <w:rFonts w:ascii="Arial" w:cs="Arial" w:eastAsia="Arial" w:hAnsi="Arial"/>
          <w:sz w:val="18"/>
          <w:szCs w:val="18"/>
          <w:b w:val="1"/>
          <w:bCs w:val="1"/>
          <w:color w:val="auto"/>
        </w:rPr>
        <w:t xml:space="preserve">Award and Restrictions. </w:t>
      </w:r>
      <w:r>
        <w:rPr>
          <w:rFonts w:ascii="Arial" w:cs="Arial" w:eastAsia="Arial" w:hAnsi="Arial"/>
          <w:sz w:val="18"/>
          <w:szCs w:val="18"/>
          <w:color w:val="auto"/>
        </w:rPr>
        <w:t>Restricted Stock Units shall be subject to such restrictions (which may include a risk of forfeiture) as the</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may impose, if any, which restrictions may lapse at the expiration of the deferral period or at earlier specified times (including based on achievement of performance goals and/or future service requirements), separately or in combination, in installments or otherwise, as the Committee may determine.</w:t>
      </w:r>
    </w:p>
    <w:p>
      <w:pPr>
        <w:spacing w:after="0" w:line="78" w:lineRule="exact"/>
        <w:rPr>
          <w:rFonts w:ascii="Arial" w:cs="Arial" w:eastAsia="Arial" w:hAnsi="Arial"/>
          <w:sz w:val="18"/>
          <w:szCs w:val="18"/>
          <w:color w:val="auto"/>
        </w:rPr>
      </w:pPr>
    </w:p>
    <w:p>
      <w:pPr>
        <w:ind w:left="1274" w:right="60" w:hanging="637"/>
        <w:spacing w:after="0" w:line="252" w:lineRule="auto"/>
        <w:tabs>
          <w:tab w:leader="none" w:pos="1274" w:val="left"/>
        </w:tabs>
        <w:numPr>
          <w:ilvl w:val="1"/>
          <w:numId w:val="97"/>
        </w:numPr>
        <w:rPr>
          <w:rFonts w:ascii="Arial" w:cs="Arial" w:eastAsia="Arial" w:hAnsi="Arial"/>
          <w:sz w:val="18"/>
          <w:szCs w:val="18"/>
          <w:color w:val="auto"/>
        </w:rPr>
      </w:pPr>
      <w:r>
        <w:rPr>
          <w:rFonts w:ascii="Arial" w:cs="Arial" w:eastAsia="Arial" w:hAnsi="Arial"/>
          <w:sz w:val="18"/>
          <w:szCs w:val="18"/>
          <w:b w:val="1"/>
          <w:bCs w:val="1"/>
          <w:color w:val="auto"/>
        </w:rPr>
        <w:t xml:space="preserve">Settlement. </w:t>
      </w:r>
      <w:r>
        <w:rPr>
          <w:rFonts w:ascii="Arial" w:cs="Arial" w:eastAsia="Arial" w:hAnsi="Arial"/>
          <w:sz w:val="18"/>
          <w:szCs w:val="18"/>
          <w:color w:val="auto"/>
        </w:rPr>
        <w:t>Settlement of Restricted Stock Units shall occur upon expiration of the deferral period specified for such Restricted Stock Unit</w:t>
      </w:r>
      <w:r>
        <w:rPr>
          <w:rFonts w:ascii="Arial" w:cs="Arial" w:eastAsia="Arial" w:hAnsi="Arial"/>
          <w:sz w:val="18"/>
          <w:szCs w:val="18"/>
          <w:b w:val="1"/>
          <w:bCs w:val="1"/>
          <w:color w:val="auto"/>
        </w:rPr>
        <w:t xml:space="preserve"> </w:t>
      </w:r>
      <w:r>
        <w:rPr>
          <w:rFonts w:ascii="Arial" w:cs="Arial" w:eastAsia="Arial" w:hAnsi="Arial"/>
          <w:sz w:val="18"/>
          <w:szCs w:val="18"/>
          <w:color w:val="auto"/>
        </w:rPr>
        <w:t>by the Committee (or, if permitted by the Committee, as elected by the Participant). Restricted Stock Units shall be satisfied by the delivery of (a) a number of shares of Stock equal to the number of RSUs vesting on such date, or (b) cash in an amount equal to the Fair Market Value of the specified number of shares of Stock covered by the vesting Restricted Stock Units, or a combination thereof, as determined by the Committee at the date of grant or thereafter.</w:t>
      </w:r>
    </w:p>
    <w:p>
      <w:pPr>
        <w:spacing w:after="0" w:line="80" w:lineRule="exact"/>
        <w:rPr>
          <w:rFonts w:ascii="Arial" w:cs="Arial" w:eastAsia="Arial" w:hAnsi="Arial"/>
          <w:sz w:val="18"/>
          <w:szCs w:val="18"/>
          <w:color w:val="auto"/>
        </w:rPr>
      </w:pPr>
    </w:p>
    <w:p>
      <w:pPr>
        <w:ind w:left="1274" w:hanging="637"/>
        <w:spacing w:after="0" w:line="306" w:lineRule="auto"/>
        <w:tabs>
          <w:tab w:leader="none" w:pos="1274" w:val="left"/>
        </w:tabs>
        <w:numPr>
          <w:ilvl w:val="1"/>
          <w:numId w:val="97"/>
        </w:numPr>
        <w:rPr>
          <w:rFonts w:ascii="Arial" w:cs="Arial" w:eastAsia="Arial" w:hAnsi="Arial"/>
          <w:sz w:val="15"/>
          <w:szCs w:val="15"/>
          <w:color w:val="auto"/>
        </w:rPr>
      </w:pPr>
      <w:r>
        <w:rPr>
          <w:rFonts w:ascii="Arial" w:cs="Arial" w:eastAsia="Arial" w:hAnsi="Arial"/>
          <w:sz w:val="15"/>
          <w:szCs w:val="15"/>
          <w:b w:val="1"/>
          <w:bCs w:val="1"/>
          <w:color w:val="auto"/>
        </w:rPr>
        <w:t xml:space="preserve">Dividends on Restricted Stock Units. </w:t>
      </w:r>
      <w:r>
        <w:rPr>
          <w:rFonts w:ascii="Arial" w:cs="Arial" w:eastAsia="Arial" w:hAnsi="Arial"/>
          <w:sz w:val="15"/>
          <w:szCs w:val="15"/>
          <w:color w:val="auto"/>
        </w:rPr>
        <w:t>The Committee may, in its sole discretion and as would be set forth in the applicable Award</w:t>
      </w:r>
      <w:r>
        <w:rPr>
          <w:rFonts w:ascii="Arial" w:cs="Arial" w:eastAsia="Arial" w:hAnsi="Arial"/>
          <w:sz w:val="15"/>
          <w:szCs w:val="15"/>
          <w:b w:val="1"/>
          <w:bCs w:val="1"/>
          <w:color w:val="auto"/>
        </w:rPr>
        <w:t xml:space="preserve"> </w:t>
      </w:r>
      <w:r>
        <w:rPr>
          <w:rFonts w:ascii="Arial" w:cs="Arial" w:eastAsia="Arial" w:hAnsi="Arial"/>
          <w:sz w:val="15"/>
          <w:szCs w:val="15"/>
          <w:color w:val="auto"/>
        </w:rPr>
        <w:t>Agreement, require each Restricted Stock Unit to be credited with dividends paid by the Company with respect to one share of Stock (“dividend equivalents”). Dividend equivalents shall be withheld by the Company and credited to the Participant’s account, and interest may be credited on the amount of cash dividend equivalents credited to the Participant’s account at a rate and subject to such terms as determined by the Committee in its sole discretion. Dividend equivalents credited to a Participant’s account and attributable to any particular Restricted Stock Unit (and earnings thereon, if applicable) shall be distributed in cash or, at the sole discretion of the Committee, in shares of Stock having a Fair Market Value equal to the amount of such dividend equivalents and earnings, if applicable, to the Participant upon settlement of such Restricted Stock Unit and, if such Restricted Stock is forfeited, the Participant shall have no right to such dividend equivalents.</w:t>
      </w:r>
    </w:p>
    <w:p>
      <w:pPr>
        <w:spacing w:after="0" w:line="44" w:lineRule="exact"/>
        <w:rPr>
          <w:rFonts w:ascii="Arial" w:cs="Arial" w:eastAsia="Arial" w:hAnsi="Arial"/>
          <w:sz w:val="15"/>
          <w:szCs w:val="15"/>
          <w:color w:val="auto"/>
        </w:rPr>
      </w:pPr>
    </w:p>
    <w:p>
      <w:pPr>
        <w:ind w:left="1274" w:hanging="637"/>
        <w:spacing w:after="0"/>
        <w:tabs>
          <w:tab w:leader="none" w:pos="1274" w:val="left"/>
        </w:tabs>
        <w:numPr>
          <w:ilvl w:val="1"/>
          <w:numId w:val="97"/>
        </w:numPr>
        <w:rPr>
          <w:rFonts w:ascii="Arial" w:cs="Arial" w:eastAsia="Arial" w:hAnsi="Arial"/>
          <w:sz w:val="18"/>
          <w:szCs w:val="18"/>
          <w:color w:val="auto"/>
        </w:rPr>
      </w:pPr>
      <w:r>
        <w:rPr>
          <w:rFonts w:ascii="Arial" w:cs="Arial" w:eastAsia="Arial" w:hAnsi="Arial"/>
          <w:sz w:val="18"/>
          <w:szCs w:val="18"/>
          <w:b w:val="1"/>
          <w:bCs w:val="1"/>
          <w:color w:val="auto"/>
        </w:rPr>
        <w:t>Effect of Termination of Employment.</w:t>
      </w:r>
    </w:p>
    <w:p>
      <w:pPr>
        <w:spacing w:after="0" w:line="117" w:lineRule="exact"/>
        <w:rPr>
          <w:rFonts w:ascii="Arial" w:cs="Arial" w:eastAsia="Arial" w:hAnsi="Arial"/>
          <w:sz w:val="18"/>
          <w:szCs w:val="18"/>
          <w:color w:val="auto"/>
        </w:rPr>
      </w:pPr>
    </w:p>
    <w:p>
      <w:pPr>
        <w:ind w:left="1914" w:right="120" w:hanging="640"/>
        <w:spacing w:after="0" w:line="255" w:lineRule="auto"/>
        <w:tabs>
          <w:tab w:leader="none" w:pos="1576" w:val="left"/>
        </w:tabs>
        <w:numPr>
          <w:ilvl w:val="2"/>
          <w:numId w:val="97"/>
        </w:numPr>
        <w:rPr>
          <w:rFonts w:ascii="Arial" w:cs="Arial" w:eastAsia="Arial" w:hAnsi="Arial"/>
          <w:sz w:val="18"/>
          <w:szCs w:val="18"/>
          <w:color w:val="auto"/>
        </w:rPr>
      </w:pPr>
      <w:r>
        <w:rPr>
          <w:rFonts w:ascii="Arial" w:cs="Arial" w:eastAsia="Arial" w:hAnsi="Arial"/>
          <w:sz w:val="18"/>
          <w:szCs w:val="18"/>
          <w:color w:val="auto"/>
        </w:rPr>
        <w:t>Unless the applicable Award Agreement or the Committee determines otherwise, Restricted Stock Units that have not vested, together with Dividend Equivalents, if any, credited on such Restricted Stock Units, shall be forfeited upon the Participant’s termination of employment for any reason other than death.</w:t>
      </w:r>
    </w:p>
    <w:p>
      <w:pPr>
        <w:spacing w:after="0" w:line="83" w:lineRule="exact"/>
        <w:rPr>
          <w:rFonts w:ascii="Arial" w:cs="Arial" w:eastAsia="Arial" w:hAnsi="Arial"/>
          <w:sz w:val="18"/>
          <w:szCs w:val="18"/>
          <w:color w:val="auto"/>
        </w:rPr>
      </w:pPr>
    </w:p>
    <w:p>
      <w:pPr>
        <w:ind w:left="1914" w:right="60" w:hanging="640"/>
        <w:spacing w:after="0" w:line="265" w:lineRule="auto"/>
        <w:tabs>
          <w:tab w:leader="none" w:pos="1586" w:val="left"/>
        </w:tabs>
        <w:numPr>
          <w:ilvl w:val="2"/>
          <w:numId w:val="97"/>
        </w:numPr>
        <w:rPr>
          <w:rFonts w:ascii="Arial" w:cs="Arial" w:eastAsia="Arial" w:hAnsi="Arial"/>
          <w:sz w:val="18"/>
          <w:szCs w:val="18"/>
          <w:color w:val="auto"/>
        </w:rPr>
      </w:pPr>
      <w:r>
        <w:rPr>
          <w:rFonts w:ascii="Arial" w:cs="Arial" w:eastAsia="Arial" w:hAnsi="Arial"/>
          <w:sz w:val="18"/>
          <w:szCs w:val="18"/>
          <w:color w:val="auto"/>
        </w:rPr>
        <w:t>If the Employee terminates employment by reason of death, all of his or her shares of Restricted Stock shall become 100% vested upon the date of death.</w:t>
      </w:r>
    </w:p>
    <w:p>
      <w:pPr>
        <w:spacing w:after="0" w:line="67" w:lineRule="exact"/>
        <w:rPr>
          <w:rFonts w:ascii="Arial" w:cs="Arial" w:eastAsia="Arial" w:hAnsi="Arial"/>
          <w:sz w:val="18"/>
          <w:szCs w:val="18"/>
          <w:color w:val="auto"/>
        </w:rPr>
      </w:pPr>
    </w:p>
    <w:p>
      <w:pPr>
        <w:ind w:left="394" w:hanging="394"/>
        <w:spacing w:after="0"/>
        <w:tabs>
          <w:tab w:leader="none" w:pos="394"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ANNUAL INCENTIVE AWARDS</w:t>
      </w:r>
      <w:r>
        <w:rPr>
          <w:rFonts w:ascii="Arial" w:cs="Arial" w:eastAsia="Arial" w:hAnsi="Arial"/>
          <w:sz w:val="18"/>
          <w:szCs w:val="18"/>
          <w:b w:val="1"/>
          <w:bCs w:val="1"/>
          <w:color w:val="auto"/>
        </w:rPr>
        <w:t>.</w:t>
      </w:r>
    </w:p>
    <w:p>
      <w:pPr>
        <w:spacing w:after="0" w:line="111" w:lineRule="exact"/>
        <w:rPr>
          <w:rFonts w:ascii="Arial" w:cs="Arial" w:eastAsia="Arial" w:hAnsi="Arial"/>
          <w:sz w:val="18"/>
          <w:szCs w:val="18"/>
          <w:b w:val="1"/>
          <w:bCs w:val="1"/>
          <w:color w:val="auto"/>
        </w:rPr>
      </w:pPr>
    </w:p>
    <w:p>
      <w:pPr>
        <w:ind w:left="1274" w:right="180" w:hanging="637"/>
        <w:spacing w:after="0" w:line="252" w:lineRule="auto"/>
        <w:tabs>
          <w:tab w:leader="none" w:pos="937" w:val="left"/>
        </w:tabs>
        <w:numPr>
          <w:ilvl w:val="1"/>
          <w:numId w:val="98"/>
        </w:numPr>
        <w:rPr>
          <w:rFonts w:ascii="Arial" w:cs="Arial" w:eastAsia="Arial" w:hAnsi="Arial"/>
          <w:sz w:val="18"/>
          <w:szCs w:val="18"/>
          <w:color w:val="auto"/>
        </w:rPr>
      </w:pPr>
      <w:r>
        <w:rPr>
          <w:rFonts w:ascii="Arial" w:cs="Arial" w:eastAsia="Arial" w:hAnsi="Arial"/>
          <w:sz w:val="18"/>
          <w:szCs w:val="18"/>
          <w:b w:val="1"/>
          <w:bCs w:val="1"/>
          <w:color w:val="auto"/>
        </w:rPr>
        <w:t xml:space="preserve">Annual Incentive Awards. </w:t>
      </w:r>
      <w:r>
        <w:rPr>
          <w:rFonts w:ascii="Arial" w:cs="Arial" w:eastAsia="Arial" w:hAnsi="Arial"/>
          <w:sz w:val="18"/>
          <w:szCs w:val="18"/>
          <w:color w:val="auto"/>
        </w:rPr>
        <w:t>The Committee may grant annual incentive awards of Stock or cash (each an</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Annual Incentive Award</w:t>
      </w:r>
      <w:r>
        <w:rPr>
          <w:rFonts w:ascii="Arial" w:cs="Arial" w:eastAsia="Arial" w:hAnsi="Arial"/>
          <w:sz w:val="18"/>
          <w:szCs w:val="18"/>
          <w:i w:val="1"/>
          <w:iCs w:val="1"/>
          <w:color w:val="auto"/>
        </w:rPr>
        <w:t>”</w:t>
      </w:r>
      <w:r>
        <w:rPr>
          <w:rFonts w:ascii="Arial" w:cs="Arial" w:eastAsia="Arial" w:hAnsi="Arial"/>
          <w:sz w:val="18"/>
          <w:szCs w:val="18"/>
          <w:color w:val="auto"/>
        </w:rPr>
        <w:t>) to such</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Participants as the Committee may from time to time recommend, in such amounts and subject to such terms and conditions as the Committee in its discretion may determine. The Committee shall establish the maximum amount of Annual Incentive Awards that may be granted for each Performance Cycle. Notwithstanding the foregoing, all Annual Incentive Awards shall be subject to the provisions of paragraphs (a) through (d) below:</w:t>
      </w:r>
    </w:p>
    <w:p>
      <w:pPr>
        <w:spacing w:after="0" w:line="86" w:lineRule="exact"/>
        <w:rPr>
          <w:rFonts w:ascii="Arial" w:cs="Arial" w:eastAsia="Arial" w:hAnsi="Arial"/>
          <w:sz w:val="18"/>
          <w:szCs w:val="18"/>
          <w:color w:val="auto"/>
        </w:rPr>
      </w:pPr>
    </w:p>
    <w:p>
      <w:pPr>
        <w:ind w:left="1914" w:right="480" w:hanging="640"/>
        <w:spacing w:after="0" w:line="265" w:lineRule="auto"/>
        <w:tabs>
          <w:tab w:leader="none" w:pos="1567" w:val="left"/>
        </w:tabs>
        <w:numPr>
          <w:ilvl w:val="2"/>
          <w:numId w:val="98"/>
        </w:numPr>
        <w:rPr>
          <w:rFonts w:ascii="Arial" w:cs="Arial" w:eastAsia="Arial" w:hAnsi="Arial"/>
          <w:sz w:val="18"/>
          <w:szCs w:val="18"/>
          <w:color w:val="auto"/>
        </w:rPr>
      </w:pPr>
      <w:r>
        <w:rPr>
          <w:rFonts w:ascii="Arial" w:cs="Arial" w:eastAsia="Arial" w:hAnsi="Arial"/>
          <w:sz w:val="18"/>
          <w:szCs w:val="18"/>
          <w:color w:val="auto"/>
        </w:rPr>
        <w:t>Annual Incentive Awards shall be granted in connection with a 12-month Performance Cycle, which shall be the fiscal year of the Company.</w:t>
      </w:r>
    </w:p>
    <w:p>
      <w:pPr>
        <w:spacing w:after="0" w:line="73" w:lineRule="exact"/>
        <w:rPr>
          <w:rFonts w:ascii="Arial" w:cs="Arial" w:eastAsia="Arial" w:hAnsi="Arial"/>
          <w:sz w:val="18"/>
          <w:szCs w:val="18"/>
          <w:color w:val="auto"/>
        </w:rPr>
      </w:pPr>
    </w:p>
    <w:p>
      <w:pPr>
        <w:ind w:left="1914" w:right="200" w:hanging="640"/>
        <w:spacing w:after="0" w:line="265" w:lineRule="auto"/>
        <w:tabs>
          <w:tab w:leader="none" w:pos="1586" w:val="left"/>
        </w:tabs>
        <w:numPr>
          <w:ilvl w:val="2"/>
          <w:numId w:val="98"/>
        </w:numPr>
        <w:rPr>
          <w:rFonts w:ascii="Arial" w:cs="Arial" w:eastAsia="Arial" w:hAnsi="Arial"/>
          <w:sz w:val="18"/>
          <w:szCs w:val="18"/>
          <w:color w:val="auto"/>
        </w:rPr>
      </w:pPr>
      <w:r>
        <w:rPr>
          <w:rFonts w:ascii="Arial" w:cs="Arial" w:eastAsia="Arial" w:hAnsi="Arial"/>
          <w:sz w:val="18"/>
          <w:szCs w:val="18"/>
          <w:color w:val="auto"/>
        </w:rPr>
        <w:t>Subject to Section 4.1, the Committee shall determine the Participants who shall be eligible to receive an Annual Incentive Award for such Performance Cycle.</w:t>
      </w:r>
    </w:p>
    <w:p>
      <w:pPr>
        <w:spacing w:after="0" w:line="73" w:lineRule="exact"/>
        <w:rPr>
          <w:rFonts w:ascii="Arial" w:cs="Arial" w:eastAsia="Arial" w:hAnsi="Arial"/>
          <w:sz w:val="18"/>
          <w:szCs w:val="18"/>
          <w:color w:val="auto"/>
        </w:rPr>
      </w:pPr>
    </w:p>
    <w:p>
      <w:pPr>
        <w:ind w:left="1914" w:right="120" w:hanging="640"/>
        <w:spacing w:after="0" w:line="277" w:lineRule="auto"/>
        <w:tabs>
          <w:tab w:leader="none" w:pos="1573" w:val="left"/>
        </w:tabs>
        <w:numPr>
          <w:ilvl w:val="2"/>
          <w:numId w:val="98"/>
        </w:numPr>
        <w:rPr>
          <w:rFonts w:ascii="Arial" w:cs="Arial" w:eastAsia="Arial" w:hAnsi="Arial"/>
          <w:sz w:val="17"/>
          <w:szCs w:val="17"/>
          <w:color w:val="auto"/>
        </w:rPr>
      </w:pPr>
      <w:r>
        <w:rPr>
          <w:rFonts w:ascii="Arial" w:cs="Arial" w:eastAsia="Arial" w:hAnsi="Arial"/>
          <w:sz w:val="17"/>
          <w:szCs w:val="17"/>
          <w:color w:val="auto"/>
        </w:rPr>
        <w:t>The Committee shall fix and establish, in writing, (A) the Performance Measure(s) that shall apply to such Performance Cycle, (B) an objective formula for computing the amount of the Annual Incentive Awards for such Performance Cycle, where the amount shall be based upon the attainment of various Performance Goals for the applicable Performance Measure(s).</w:t>
      </w:r>
    </w:p>
    <w:p>
      <w:pPr>
        <w:spacing w:after="0" w:line="66" w:lineRule="exact"/>
        <w:rPr>
          <w:rFonts w:ascii="Arial" w:cs="Arial" w:eastAsia="Arial" w:hAnsi="Arial"/>
          <w:sz w:val="17"/>
          <w:szCs w:val="17"/>
          <w:color w:val="auto"/>
        </w:rPr>
      </w:pPr>
    </w:p>
    <w:p>
      <w:pPr>
        <w:ind w:left="1914" w:right="540" w:hanging="640"/>
        <w:spacing w:after="0" w:line="265" w:lineRule="auto"/>
        <w:tabs>
          <w:tab w:leader="none" w:pos="1577" w:val="left"/>
        </w:tabs>
        <w:numPr>
          <w:ilvl w:val="2"/>
          <w:numId w:val="98"/>
        </w:numPr>
        <w:rPr>
          <w:rFonts w:ascii="Arial" w:cs="Arial" w:eastAsia="Arial" w:hAnsi="Arial"/>
          <w:sz w:val="18"/>
          <w:szCs w:val="18"/>
          <w:color w:val="auto"/>
        </w:rPr>
      </w:pPr>
      <w:r>
        <w:rPr>
          <w:rFonts w:ascii="Arial" w:cs="Arial" w:eastAsia="Arial" w:hAnsi="Arial"/>
          <w:sz w:val="18"/>
          <w:szCs w:val="18"/>
          <w:color w:val="auto"/>
        </w:rPr>
        <w:t>Annual Incentive Awards shall be paid in the form of cash, Stock (including Restricted Stock) or any combination thereof, in the discretion of the Committee.</w:t>
      </w:r>
    </w:p>
    <w:p>
      <w:pPr>
        <w:spacing w:after="0" w:line="67" w:lineRule="exact"/>
        <w:rPr>
          <w:rFonts w:ascii="Arial" w:cs="Arial" w:eastAsia="Arial" w:hAnsi="Arial"/>
          <w:sz w:val="18"/>
          <w:szCs w:val="18"/>
          <w:color w:val="auto"/>
        </w:rPr>
      </w:pPr>
    </w:p>
    <w:p>
      <w:pPr>
        <w:ind w:left="394" w:hanging="394"/>
        <w:spacing w:after="0"/>
        <w:tabs>
          <w:tab w:leader="none" w:pos="394"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PERFORMANCE-BASED AWARDS</w:t>
      </w:r>
      <w:r>
        <w:rPr>
          <w:rFonts w:ascii="Arial" w:cs="Arial" w:eastAsia="Arial" w:hAnsi="Arial"/>
          <w:sz w:val="18"/>
          <w:szCs w:val="18"/>
          <w:b w:val="1"/>
          <w:bCs w:val="1"/>
          <w:color w:val="auto"/>
        </w:rPr>
        <w:t>.</w:t>
      </w:r>
    </w:p>
    <w:p>
      <w:pPr>
        <w:spacing w:after="0" w:line="111" w:lineRule="exact"/>
        <w:rPr>
          <w:rFonts w:ascii="Arial" w:cs="Arial" w:eastAsia="Arial" w:hAnsi="Arial"/>
          <w:sz w:val="18"/>
          <w:szCs w:val="18"/>
          <w:b w:val="1"/>
          <w:bCs w:val="1"/>
          <w:color w:val="auto"/>
        </w:rPr>
      </w:pPr>
    </w:p>
    <w:p>
      <w:pPr>
        <w:ind w:left="1274" w:right="80" w:hanging="637"/>
        <w:spacing w:after="0" w:line="272" w:lineRule="auto"/>
        <w:tabs>
          <w:tab w:leader="none" w:pos="1274" w:val="left"/>
        </w:tabs>
        <w:numPr>
          <w:ilvl w:val="1"/>
          <w:numId w:val="98"/>
        </w:numPr>
        <w:rPr>
          <w:rFonts w:ascii="Arial" w:cs="Arial" w:eastAsia="Arial" w:hAnsi="Arial"/>
          <w:sz w:val="18"/>
          <w:szCs w:val="18"/>
          <w:color w:val="auto"/>
        </w:rPr>
      </w:pPr>
      <w:r>
        <w:rPr>
          <w:rFonts w:ascii="Arial" w:cs="Arial" w:eastAsia="Arial" w:hAnsi="Arial"/>
          <w:sz w:val="18"/>
          <w:szCs w:val="18"/>
          <w:b w:val="1"/>
          <w:bCs w:val="1"/>
          <w:color w:val="auto"/>
        </w:rPr>
        <w:t>Performance-Based Awards</w:t>
      </w:r>
      <w:r>
        <w:rPr>
          <w:rFonts w:ascii="Arial" w:cs="Arial" w:eastAsia="Arial" w:hAnsi="Arial"/>
          <w:sz w:val="18"/>
          <w:szCs w:val="18"/>
          <w:color w:val="auto"/>
        </w:rPr>
        <w:t>. Notwithstanding anything to the contrary contained herein, the Committee may designate any of the Awards</w:t>
      </w:r>
      <w:r>
        <w:rPr>
          <w:rFonts w:ascii="Arial" w:cs="Arial" w:eastAsia="Arial" w:hAnsi="Arial"/>
          <w:sz w:val="18"/>
          <w:szCs w:val="18"/>
          <w:b w:val="1"/>
          <w:bCs w:val="1"/>
          <w:color w:val="auto"/>
        </w:rPr>
        <w:t xml:space="preserve"> </w:t>
      </w:r>
      <w:r>
        <w:rPr>
          <w:rFonts w:ascii="Arial" w:cs="Arial" w:eastAsia="Arial" w:hAnsi="Arial"/>
          <w:sz w:val="18"/>
          <w:szCs w:val="18"/>
          <w:color w:val="auto"/>
        </w:rPr>
        <w:t>available under the Plan (including but not limited to Options, Restricted</w:t>
      </w:r>
    </w:p>
    <w:p>
      <w:pPr>
        <w:spacing w:after="0" w:line="67" w:lineRule="exact"/>
        <w:rPr>
          <w:sz w:val="20"/>
          <w:szCs w:val="20"/>
          <w:color w:val="auto"/>
        </w:rPr>
      </w:pPr>
    </w:p>
    <w:p>
      <w:pPr>
        <w:jc w:val="center"/>
        <w:ind w:right="-13"/>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14"/>
          </w:cols>
          <w:pgMar w:left="326" w:top="546" w:right="359" w:bottom="1440" w:gutter="0" w:footer="0" w:header="0"/>
        </w:sectPr>
      </w:pPr>
    </w:p>
    <w:bookmarkStart w:id="65" w:name="page66"/>
    <w:bookmarkEnd w:id="65"/>
    <w:p>
      <w:pPr>
        <w:ind w:left="637" w:right="200"/>
        <w:spacing w:after="0" w:line="272" w:lineRule="auto"/>
        <w:rPr>
          <w:sz w:val="20"/>
          <w:szCs w:val="20"/>
          <w:color w:val="auto"/>
        </w:rPr>
      </w:pPr>
      <w:r>
        <w:rPr>
          <w:rFonts w:ascii="Arial" w:cs="Arial" w:eastAsia="Arial" w:hAnsi="Arial"/>
          <w:sz w:val="17"/>
          <w:szCs w:val="17"/>
          <w:color w:val="auto"/>
        </w:rPr>
        <w:t>Stock, Annual Incentive Awards and Discretionary Bonus Awards) as conditioned on the achievement of specified Performance Measures (each such Award a “</w:t>
      </w:r>
      <w:r>
        <w:rPr>
          <w:rFonts w:ascii="Arial" w:cs="Arial" w:eastAsia="Arial" w:hAnsi="Arial"/>
          <w:sz w:val="17"/>
          <w:szCs w:val="17"/>
          <w:b w:val="1"/>
          <w:bCs w:val="1"/>
          <w:i w:val="1"/>
          <w:iCs w:val="1"/>
          <w:color w:val="auto"/>
        </w:rPr>
        <w:t>Performance-Based Award</w:t>
      </w:r>
      <w:r>
        <w:rPr>
          <w:rFonts w:ascii="Arial" w:cs="Arial" w:eastAsia="Arial" w:hAnsi="Arial"/>
          <w:sz w:val="17"/>
          <w:szCs w:val="17"/>
          <w:color w:val="auto"/>
        </w:rPr>
        <w:t>”). The grant, exercise, vesting or settlement of Performance-Based Awards may be conditioned on the achievement of specified Performance Goals. The Performance Cycle or performance period(s) applicable to a Performance-Based Award shall be any period of time determined by the Committee</w:t>
      </w:r>
      <w:r>
        <w:rPr>
          <w:rFonts w:ascii="Arial" w:cs="Arial" w:eastAsia="Arial" w:hAnsi="Arial"/>
          <w:sz w:val="17"/>
          <w:szCs w:val="17"/>
          <w:b w:val="1"/>
          <w:bCs w:val="1"/>
          <w:color w:val="auto"/>
        </w:rPr>
        <w:t>.</w:t>
      </w:r>
    </w:p>
    <w:p>
      <w:pPr>
        <w:spacing w:after="0" w:line="63" w:lineRule="exact"/>
        <w:rPr>
          <w:sz w:val="20"/>
          <w:szCs w:val="20"/>
          <w:color w:val="auto"/>
        </w:rPr>
      </w:pPr>
    </w:p>
    <w:p>
      <w:pPr>
        <w:ind w:left="637" w:right="20" w:hanging="637"/>
        <w:spacing w:after="0" w:line="254" w:lineRule="auto"/>
        <w:tabs>
          <w:tab w:leader="none" w:pos="310" w:val="left"/>
        </w:tabs>
        <w:numPr>
          <w:ilvl w:val="0"/>
          <w:numId w:val="99"/>
        </w:numPr>
        <w:rPr>
          <w:rFonts w:ascii="Arial" w:cs="Arial" w:eastAsia="Arial" w:hAnsi="Arial"/>
          <w:sz w:val="18"/>
          <w:szCs w:val="18"/>
          <w:color w:val="auto"/>
        </w:rPr>
      </w:pPr>
      <w:r>
        <w:rPr>
          <w:rFonts w:ascii="Arial" w:cs="Arial" w:eastAsia="Arial" w:hAnsi="Arial"/>
          <w:sz w:val="18"/>
          <w:szCs w:val="18"/>
          <w:b w:val="1"/>
          <w:bCs w:val="1"/>
          <w:color w:val="auto"/>
        </w:rPr>
        <w:t xml:space="preserve">Objective Performance Goals and Performance Measures. </w:t>
      </w:r>
      <w:r>
        <w:rPr>
          <w:rFonts w:ascii="Arial" w:cs="Arial" w:eastAsia="Arial" w:hAnsi="Arial"/>
          <w:sz w:val="18"/>
          <w:szCs w:val="18"/>
          <w:color w:val="auto"/>
        </w:rPr>
        <w:t>A Performance Goal established in connection with a Performance-Based Award</w:t>
      </w:r>
      <w:r>
        <w:rPr>
          <w:rFonts w:ascii="Arial" w:cs="Arial" w:eastAsia="Arial" w:hAnsi="Arial"/>
          <w:sz w:val="18"/>
          <w:szCs w:val="18"/>
          <w:b w:val="1"/>
          <w:bCs w:val="1"/>
          <w:color w:val="auto"/>
        </w:rPr>
        <w:t xml:space="preserve"> </w:t>
      </w:r>
      <w:r>
        <w:rPr>
          <w:rFonts w:ascii="Arial" w:cs="Arial" w:eastAsia="Arial" w:hAnsi="Arial"/>
          <w:sz w:val="18"/>
          <w:szCs w:val="18"/>
          <w:color w:val="auto"/>
        </w:rPr>
        <w:t>must be based on any one or more of the following performance measures (each, a “</w:t>
      </w:r>
      <w:r>
        <w:rPr>
          <w:rFonts w:ascii="Arial" w:cs="Arial" w:eastAsia="Arial" w:hAnsi="Arial"/>
          <w:sz w:val="18"/>
          <w:szCs w:val="18"/>
          <w:b w:val="1"/>
          <w:bCs w:val="1"/>
          <w:i w:val="1"/>
          <w:iCs w:val="1"/>
          <w:color w:val="auto"/>
        </w:rPr>
        <w:t>Performance Measure</w:t>
      </w:r>
      <w:r>
        <w:rPr>
          <w:rFonts w:ascii="Arial" w:cs="Arial" w:eastAsia="Arial" w:hAnsi="Arial"/>
          <w:sz w:val="18"/>
          <w:szCs w:val="18"/>
          <w:color w:val="auto"/>
        </w:rPr>
        <w:t>”) (which may be applied to an individual, a subsidiary, a business unit or division, or the Company and any one or more of its subsidiaries as a whole, as determined by the Committee):</w:t>
      </w:r>
    </w:p>
    <w:p>
      <w:pPr>
        <w:spacing w:after="0" w:line="84" w:lineRule="exact"/>
        <w:rPr>
          <w:rFonts w:ascii="Arial" w:cs="Arial" w:eastAsia="Arial" w:hAnsi="Arial"/>
          <w:sz w:val="18"/>
          <w:szCs w:val="18"/>
          <w:color w:val="auto"/>
        </w:rPr>
      </w:pPr>
    </w:p>
    <w:p>
      <w:pPr>
        <w:ind w:left="1257" w:hanging="620"/>
        <w:spacing w:after="0"/>
        <w:tabs>
          <w:tab w:leader="none" w:pos="1257" w:val="left"/>
        </w:tabs>
        <w:numPr>
          <w:ilvl w:val="1"/>
          <w:numId w:val="99"/>
        </w:numPr>
        <w:rPr>
          <w:rFonts w:ascii="Arial" w:cs="Arial" w:eastAsia="Arial" w:hAnsi="Arial"/>
          <w:sz w:val="18"/>
          <w:szCs w:val="18"/>
          <w:color w:val="auto"/>
        </w:rPr>
      </w:pPr>
      <w:r>
        <w:rPr>
          <w:rFonts w:ascii="Arial" w:cs="Arial" w:eastAsia="Arial" w:hAnsi="Arial"/>
          <w:sz w:val="18"/>
          <w:szCs w:val="18"/>
          <w:color w:val="auto"/>
        </w:rPr>
        <w:t>Net earnings or net income (before or after taxes, depreciation and amortization);</w:t>
      </w:r>
    </w:p>
    <w:p>
      <w:pPr>
        <w:spacing w:after="0" w:line="111" w:lineRule="exact"/>
        <w:rPr>
          <w:rFonts w:ascii="Arial" w:cs="Arial" w:eastAsia="Arial" w:hAnsi="Arial"/>
          <w:sz w:val="18"/>
          <w:szCs w:val="18"/>
          <w:color w:val="auto"/>
        </w:rPr>
      </w:pPr>
    </w:p>
    <w:p>
      <w:pPr>
        <w:ind w:left="1277" w:hanging="640"/>
        <w:spacing w:after="0"/>
        <w:tabs>
          <w:tab w:leader="none" w:pos="1277" w:val="left"/>
        </w:tabs>
        <w:numPr>
          <w:ilvl w:val="1"/>
          <w:numId w:val="99"/>
        </w:numPr>
        <w:rPr>
          <w:rFonts w:ascii="Arial" w:cs="Arial" w:eastAsia="Arial" w:hAnsi="Arial"/>
          <w:sz w:val="18"/>
          <w:szCs w:val="18"/>
          <w:color w:val="auto"/>
        </w:rPr>
      </w:pPr>
      <w:r>
        <w:rPr>
          <w:rFonts w:ascii="Arial" w:cs="Arial" w:eastAsia="Arial" w:hAnsi="Arial"/>
          <w:sz w:val="18"/>
          <w:szCs w:val="18"/>
          <w:color w:val="auto"/>
        </w:rPr>
        <w:t>Cash earnings;</w:t>
      </w:r>
    </w:p>
    <w:p>
      <w:pPr>
        <w:spacing w:after="0" w:line="111" w:lineRule="exact"/>
        <w:rPr>
          <w:rFonts w:ascii="Arial" w:cs="Arial" w:eastAsia="Arial" w:hAnsi="Arial"/>
          <w:sz w:val="18"/>
          <w:szCs w:val="18"/>
          <w:color w:val="auto"/>
        </w:rPr>
      </w:pPr>
    </w:p>
    <w:p>
      <w:pPr>
        <w:ind w:left="1257" w:hanging="620"/>
        <w:spacing w:after="0"/>
        <w:tabs>
          <w:tab w:leader="none" w:pos="1257" w:val="left"/>
        </w:tabs>
        <w:numPr>
          <w:ilvl w:val="1"/>
          <w:numId w:val="99"/>
        </w:numPr>
        <w:rPr>
          <w:rFonts w:ascii="Arial" w:cs="Arial" w:eastAsia="Arial" w:hAnsi="Arial"/>
          <w:sz w:val="18"/>
          <w:szCs w:val="18"/>
          <w:color w:val="auto"/>
        </w:rPr>
      </w:pPr>
      <w:r>
        <w:rPr>
          <w:rFonts w:ascii="Arial" w:cs="Arial" w:eastAsia="Arial" w:hAnsi="Arial"/>
          <w:sz w:val="18"/>
          <w:szCs w:val="18"/>
          <w:color w:val="auto"/>
        </w:rPr>
        <w:t>Earnings per share;</w:t>
      </w:r>
    </w:p>
    <w:p>
      <w:pPr>
        <w:spacing w:after="0" w:line="111" w:lineRule="exact"/>
        <w:rPr>
          <w:rFonts w:ascii="Arial" w:cs="Arial" w:eastAsia="Arial" w:hAnsi="Arial"/>
          <w:sz w:val="18"/>
          <w:szCs w:val="18"/>
          <w:color w:val="auto"/>
        </w:rPr>
      </w:pPr>
    </w:p>
    <w:p>
      <w:pPr>
        <w:ind w:left="1277" w:hanging="640"/>
        <w:spacing w:after="0"/>
        <w:tabs>
          <w:tab w:leader="none" w:pos="1277" w:val="left"/>
        </w:tabs>
        <w:numPr>
          <w:ilvl w:val="1"/>
          <w:numId w:val="99"/>
        </w:numPr>
        <w:rPr>
          <w:rFonts w:ascii="Arial" w:cs="Arial" w:eastAsia="Arial" w:hAnsi="Arial"/>
          <w:sz w:val="18"/>
          <w:szCs w:val="18"/>
          <w:color w:val="auto"/>
        </w:rPr>
      </w:pPr>
      <w:r>
        <w:rPr>
          <w:rFonts w:ascii="Arial" w:cs="Arial" w:eastAsia="Arial" w:hAnsi="Arial"/>
          <w:sz w:val="18"/>
          <w:szCs w:val="18"/>
          <w:color w:val="auto"/>
        </w:rPr>
        <w:t>Net sales or revenue growth;</w:t>
      </w:r>
    </w:p>
    <w:p>
      <w:pPr>
        <w:spacing w:after="0" w:line="111" w:lineRule="exact"/>
        <w:rPr>
          <w:rFonts w:ascii="Arial" w:cs="Arial" w:eastAsia="Arial" w:hAnsi="Arial"/>
          <w:sz w:val="18"/>
          <w:szCs w:val="18"/>
          <w:color w:val="auto"/>
        </w:rPr>
      </w:pPr>
    </w:p>
    <w:p>
      <w:pPr>
        <w:ind w:left="1257" w:hanging="620"/>
        <w:spacing w:after="0"/>
        <w:tabs>
          <w:tab w:leader="none" w:pos="1257" w:val="left"/>
        </w:tabs>
        <w:numPr>
          <w:ilvl w:val="1"/>
          <w:numId w:val="99"/>
        </w:numPr>
        <w:rPr>
          <w:rFonts w:ascii="Arial" w:cs="Arial" w:eastAsia="Arial" w:hAnsi="Arial"/>
          <w:sz w:val="18"/>
          <w:szCs w:val="18"/>
          <w:color w:val="auto"/>
        </w:rPr>
      </w:pPr>
      <w:r>
        <w:rPr>
          <w:rFonts w:ascii="Arial" w:cs="Arial" w:eastAsia="Arial" w:hAnsi="Arial"/>
          <w:sz w:val="18"/>
          <w:szCs w:val="18"/>
          <w:color w:val="auto"/>
        </w:rPr>
        <w:t>Net operating income;</w:t>
      </w:r>
    </w:p>
    <w:p>
      <w:pPr>
        <w:spacing w:after="0" w:line="111" w:lineRule="exact"/>
        <w:rPr>
          <w:rFonts w:ascii="Arial" w:cs="Arial" w:eastAsia="Arial" w:hAnsi="Arial"/>
          <w:sz w:val="18"/>
          <w:szCs w:val="18"/>
          <w:color w:val="auto"/>
        </w:rPr>
      </w:pPr>
    </w:p>
    <w:p>
      <w:pPr>
        <w:ind w:left="1277" w:hanging="640"/>
        <w:spacing w:after="0"/>
        <w:tabs>
          <w:tab w:leader="none" w:pos="1277" w:val="left"/>
        </w:tabs>
        <w:numPr>
          <w:ilvl w:val="1"/>
          <w:numId w:val="99"/>
        </w:numPr>
        <w:rPr>
          <w:rFonts w:ascii="Arial" w:cs="Arial" w:eastAsia="Arial" w:hAnsi="Arial"/>
          <w:sz w:val="18"/>
          <w:szCs w:val="18"/>
          <w:color w:val="auto"/>
        </w:rPr>
      </w:pPr>
      <w:r>
        <w:rPr>
          <w:rFonts w:ascii="Arial" w:cs="Arial" w:eastAsia="Arial" w:hAnsi="Arial"/>
          <w:sz w:val="18"/>
          <w:szCs w:val="18"/>
          <w:color w:val="auto"/>
        </w:rPr>
        <w:t>Return measures (including, but not limited to, returns on assets, capital, invested capital, equity, sales, or revenue);</w:t>
      </w:r>
    </w:p>
    <w:p>
      <w:pPr>
        <w:spacing w:after="0" w:line="111" w:lineRule="exact"/>
        <w:rPr>
          <w:rFonts w:ascii="Arial" w:cs="Arial" w:eastAsia="Arial" w:hAnsi="Arial"/>
          <w:sz w:val="18"/>
          <w:szCs w:val="18"/>
          <w:color w:val="auto"/>
        </w:rPr>
      </w:pPr>
    </w:p>
    <w:p>
      <w:pPr>
        <w:ind w:left="1277" w:right="280" w:hanging="640"/>
        <w:spacing w:after="0" w:line="265" w:lineRule="auto"/>
        <w:tabs>
          <w:tab w:leader="none" w:pos="1277" w:val="left"/>
        </w:tabs>
        <w:numPr>
          <w:ilvl w:val="1"/>
          <w:numId w:val="99"/>
        </w:numPr>
        <w:rPr>
          <w:rFonts w:ascii="Arial" w:cs="Arial" w:eastAsia="Arial" w:hAnsi="Arial"/>
          <w:sz w:val="18"/>
          <w:szCs w:val="18"/>
          <w:color w:val="auto"/>
        </w:rPr>
      </w:pPr>
      <w:r>
        <w:rPr>
          <w:rFonts w:ascii="Arial" w:cs="Arial" w:eastAsia="Arial" w:hAnsi="Arial"/>
          <w:sz w:val="18"/>
          <w:szCs w:val="18"/>
          <w:color w:val="auto"/>
        </w:rPr>
        <w:t>Cash flow (including, but not limited to, operating cash flow, free cash flow, cash flow return on equity, and cash flow return on investment (discounted or otherwise));</w:t>
      </w:r>
    </w:p>
    <w:p>
      <w:pPr>
        <w:spacing w:after="0" w:line="73" w:lineRule="exact"/>
        <w:rPr>
          <w:rFonts w:ascii="Arial" w:cs="Arial" w:eastAsia="Arial" w:hAnsi="Arial"/>
          <w:sz w:val="18"/>
          <w:szCs w:val="18"/>
          <w:color w:val="auto"/>
        </w:rPr>
      </w:pPr>
    </w:p>
    <w:p>
      <w:pPr>
        <w:ind w:left="1277" w:hanging="640"/>
        <w:spacing w:after="0"/>
        <w:tabs>
          <w:tab w:leader="none" w:pos="1277" w:val="left"/>
        </w:tabs>
        <w:numPr>
          <w:ilvl w:val="1"/>
          <w:numId w:val="99"/>
        </w:numPr>
        <w:rPr>
          <w:rFonts w:ascii="Arial" w:cs="Arial" w:eastAsia="Arial" w:hAnsi="Arial"/>
          <w:sz w:val="18"/>
          <w:szCs w:val="18"/>
          <w:color w:val="auto"/>
        </w:rPr>
      </w:pPr>
      <w:r>
        <w:rPr>
          <w:rFonts w:ascii="Arial" w:cs="Arial" w:eastAsia="Arial" w:hAnsi="Arial"/>
          <w:sz w:val="18"/>
          <w:szCs w:val="18"/>
          <w:color w:val="auto"/>
        </w:rPr>
        <w:t>Operating income before interest, taxes, depreciation and amortization;</w:t>
      </w:r>
    </w:p>
    <w:p>
      <w:pPr>
        <w:spacing w:after="0" w:line="111" w:lineRule="exact"/>
        <w:rPr>
          <w:rFonts w:ascii="Arial" w:cs="Arial" w:eastAsia="Arial" w:hAnsi="Arial"/>
          <w:sz w:val="18"/>
          <w:szCs w:val="18"/>
          <w:color w:val="auto"/>
        </w:rPr>
      </w:pPr>
    </w:p>
    <w:p>
      <w:pPr>
        <w:ind w:left="1257" w:hanging="620"/>
        <w:spacing w:after="0"/>
        <w:tabs>
          <w:tab w:leader="none" w:pos="1257" w:val="left"/>
        </w:tabs>
        <w:numPr>
          <w:ilvl w:val="1"/>
          <w:numId w:val="99"/>
        </w:numPr>
        <w:rPr>
          <w:rFonts w:ascii="Arial" w:cs="Arial" w:eastAsia="Arial" w:hAnsi="Arial"/>
          <w:sz w:val="18"/>
          <w:szCs w:val="18"/>
          <w:color w:val="auto"/>
        </w:rPr>
      </w:pPr>
      <w:r>
        <w:rPr>
          <w:rFonts w:ascii="Arial" w:cs="Arial" w:eastAsia="Arial" w:hAnsi="Arial"/>
          <w:sz w:val="18"/>
          <w:szCs w:val="18"/>
          <w:color w:val="auto"/>
        </w:rPr>
        <w:t>Return on stockholders’ equity;</w:t>
      </w:r>
    </w:p>
    <w:p>
      <w:pPr>
        <w:spacing w:after="0" w:line="111" w:lineRule="exact"/>
        <w:rPr>
          <w:rFonts w:ascii="Arial" w:cs="Arial" w:eastAsia="Arial" w:hAnsi="Arial"/>
          <w:sz w:val="18"/>
          <w:szCs w:val="18"/>
          <w:color w:val="auto"/>
        </w:rPr>
      </w:pPr>
    </w:p>
    <w:p>
      <w:pPr>
        <w:ind w:left="1257" w:hanging="620"/>
        <w:spacing w:after="0"/>
        <w:tabs>
          <w:tab w:leader="none" w:pos="1257" w:val="left"/>
        </w:tabs>
        <w:numPr>
          <w:ilvl w:val="1"/>
          <w:numId w:val="99"/>
        </w:numPr>
        <w:rPr>
          <w:rFonts w:ascii="Arial" w:cs="Arial" w:eastAsia="Arial" w:hAnsi="Arial"/>
          <w:sz w:val="18"/>
          <w:szCs w:val="18"/>
          <w:color w:val="auto"/>
        </w:rPr>
      </w:pPr>
      <w:r>
        <w:rPr>
          <w:rFonts w:ascii="Arial" w:cs="Arial" w:eastAsia="Arial" w:hAnsi="Arial"/>
          <w:sz w:val="18"/>
          <w:szCs w:val="18"/>
          <w:color w:val="auto"/>
        </w:rPr>
        <w:t>Operating margins or operating expenses;</w:t>
      </w:r>
    </w:p>
    <w:p>
      <w:pPr>
        <w:spacing w:after="0" w:line="111" w:lineRule="exact"/>
        <w:rPr>
          <w:rFonts w:ascii="Arial" w:cs="Arial" w:eastAsia="Arial" w:hAnsi="Arial"/>
          <w:sz w:val="18"/>
          <w:szCs w:val="18"/>
          <w:color w:val="auto"/>
        </w:rPr>
      </w:pPr>
    </w:p>
    <w:p>
      <w:pPr>
        <w:ind w:left="1277" w:hanging="640"/>
        <w:spacing w:after="0"/>
        <w:tabs>
          <w:tab w:leader="none" w:pos="1277" w:val="left"/>
        </w:tabs>
        <w:numPr>
          <w:ilvl w:val="1"/>
          <w:numId w:val="99"/>
        </w:numPr>
        <w:rPr>
          <w:rFonts w:ascii="Arial" w:cs="Arial" w:eastAsia="Arial" w:hAnsi="Arial"/>
          <w:sz w:val="18"/>
          <w:szCs w:val="18"/>
          <w:color w:val="auto"/>
        </w:rPr>
      </w:pPr>
      <w:r>
        <w:rPr>
          <w:rFonts w:ascii="Arial" w:cs="Arial" w:eastAsia="Arial" w:hAnsi="Arial"/>
          <w:sz w:val="18"/>
          <w:szCs w:val="18"/>
          <w:color w:val="auto"/>
        </w:rPr>
        <w:t>Value of the Company’s Stock or total return to stockholders;</w:t>
      </w:r>
    </w:p>
    <w:p>
      <w:pPr>
        <w:spacing w:after="0" w:line="111" w:lineRule="exact"/>
        <w:rPr>
          <w:rFonts w:ascii="Arial" w:cs="Arial" w:eastAsia="Arial" w:hAnsi="Arial"/>
          <w:sz w:val="18"/>
          <w:szCs w:val="18"/>
          <w:color w:val="auto"/>
        </w:rPr>
      </w:pPr>
    </w:p>
    <w:p>
      <w:pPr>
        <w:ind w:left="1257" w:hanging="620"/>
        <w:spacing w:after="0"/>
        <w:tabs>
          <w:tab w:leader="none" w:pos="1257" w:val="left"/>
        </w:tabs>
        <w:numPr>
          <w:ilvl w:val="1"/>
          <w:numId w:val="99"/>
        </w:numPr>
        <w:rPr>
          <w:rFonts w:ascii="Arial" w:cs="Arial" w:eastAsia="Arial" w:hAnsi="Arial"/>
          <w:sz w:val="18"/>
          <w:szCs w:val="18"/>
          <w:color w:val="auto"/>
        </w:rPr>
      </w:pPr>
      <w:r>
        <w:rPr>
          <w:rFonts w:ascii="Arial" w:cs="Arial" w:eastAsia="Arial" w:hAnsi="Arial"/>
          <w:sz w:val="18"/>
          <w:szCs w:val="18"/>
          <w:color w:val="auto"/>
        </w:rPr>
        <w:t>Value of an investment in the Company’s Stock assuming the reinvestment of dividends;</w:t>
      </w:r>
    </w:p>
    <w:p>
      <w:pPr>
        <w:spacing w:after="0" w:line="111" w:lineRule="exact"/>
        <w:rPr>
          <w:rFonts w:ascii="Arial" w:cs="Arial" w:eastAsia="Arial" w:hAnsi="Arial"/>
          <w:sz w:val="18"/>
          <w:szCs w:val="18"/>
          <w:color w:val="auto"/>
        </w:rPr>
      </w:pPr>
    </w:p>
    <w:p>
      <w:pPr>
        <w:ind w:left="1277" w:hanging="640"/>
        <w:spacing w:after="0"/>
        <w:tabs>
          <w:tab w:leader="none" w:pos="1277" w:val="left"/>
        </w:tabs>
        <w:numPr>
          <w:ilvl w:val="1"/>
          <w:numId w:val="99"/>
        </w:numPr>
        <w:rPr>
          <w:rFonts w:ascii="Arial" w:cs="Arial" w:eastAsia="Arial" w:hAnsi="Arial"/>
          <w:sz w:val="18"/>
          <w:szCs w:val="18"/>
          <w:color w:val="auto"/>
        </w:rPr>
      </w:pPr>
      <w:r>
        <w:rPr>
          <w:rFonts w:ascii="Arial" w:cs="Arial" w:eastAsia="Arial" w:hAnsi="Arial"/>
          <w:sz w:val="18"/>
          <w:szCs w:val="18"/>
          <w:color w:val="auto"/>
        </w:rPr>
        <w:t>Assets under management;</w:t>
      </w:r>
    </w:p>
    <w:p>
      <w:pPr>
        <w:spacing w:after="0" w:line="111" w:lineRule="exact"/>
        <w:rPr>
          <w:rFonts w:ascii="Arial" w:cs="Arial" w:eastAsia="Arial" w:hAnsi="Arial"/>
          <w:sz w:val="18"/>
          <w:szCs w:val="18"/>
          <w:color w:val="auto"/>
        </w:rPr>
      </w:pPr>
    </w:p>
    <w:p>
      <w:pPr>
        <w:ind w:left="1277" w:hanging="640"/>
        <w:spacing w:after="0"/>
        <w:tabs>
          <w:tab w:leader="none" w:pos="1277" w:val="left"/>
        </w:tabs>
        <w:numPr>
          <w:ilvl w:val="1"/>
          <w:numId w:val="99"/>
        </w:numPr>
        <w:rPr>
          <w:rFonts w:ascii="Arial" w:cs="Arial" w:eastAsia="Arial" w:hAnsi="Arial"/>
          <w:sz w:val="17"/>
          <w:szCs w:val="17"/>
          <w:color w:val="auto"/>
        </w:rPr>
      </w:pPr>
      <w:r>
        <w:rPr>
          <w:rFonts w:ascii="Arial" w:cs="Arial" w:eastAsia="Arial" w:hAnsi="Arial"/>
          <w:sz w:val="17"/>
          <w:szCs w:val="17"/>
          <w:color w:val="auto"/>
        </w:rPr>
        <w:t>Performance of one or more of our investment products on an absolute basis or relative to a benchmark or peer group;</w:t>
      </w:r>
    </w:p>
    <w:p>
      <w:pPr>
        <w:spacing w:after="0" w:line="122" w:lineRule="exact"/>
        <w:rPr>
          <w:rFonts w:ascii="Arial" w:cs="Arial" w:eastAsia="Arial" w:hAnsi="Arial"/>
          <w:sz w:val="17"/>
          <w:szCs w:val="17"/>
          <w:color w:val="auto"/>
        </w:rPr>
      </w:pPr>
    </w:p>
    <w:p>
      <w:pPr>
        <w:ind w:left="1277" w:hanging="640"/>
        <w:spacing w:after="0"/>
        <w:tabs>
          <w:tab w:leader="none" w:pos="1277" w:val="left"/>
        </w:tabs>
        <w:numPr>
          <w:ilvl w:val="1"/>
          <w:numId w:val="99"/>
        </w:numPr>
        <w:rPr>
          <w:rFonts w:ascii="Arial" w:cs="Arial" w:eastAsia="Arial" w:hAnsi="Arial"/>
          <w:sz w:val="18"/>
          <w:szCs w:val="18"/>
          <w:color w:val="auto"/>
        </w:rPr>
      </w:pPr>
      <w:r>
        <w:rPr>
          <w:rFonts w:ascii="Arial" w:cs="Arial" w:eastAsia="Arial" w:hAnsi="Arial"/>
          <w:sz w:val="18"/>
          <w:szCs w:val="18"/>
          <w:color w:val="auto"/>
        </w:rPr>
        <w:t>Adjusted pre-tax income;</w:t>
      </w:r>
    </w:p>
    <w:p>
      <w:pPr>
        <w:spacing w:after="0" w:line="111" w:lineRule="exact"/>
        <w:rPr>
          <w:rFonts w:ascii="Arial" w:cs="Arial" w:eastAsia="Arial" w:hAnsi="Arial"/>
          <w:sz w:val="18"/>
          <w:szCs w:val="18"/>
          <w:color w:val="auto"/>
        </w:rPr>
      </w:pPr>
    </w:p>
    <w:p>
      <w:pPr>
        <w:ind w:left="1277" w:hanging="640"/>
        <w:spacing w:after="0"/>
        <w:tabs>
          <w:tab w:leader="none" w:pos="1277" w:val="left"/>
        </w:tabs>
        <w:numPr>
          <w:ilvl w:val="1"/>
          <w:numId w:val="99"/>
        </w:numPr>
        <w:rPr>
          <w:rFonts w:ascii="Arial" w:cs="Arial" w:eastAsia="Arial" w:hAnsi="Arial"/>
          <w:sz w:val="18"/>
          <w:szCs w:val="18"/>
          <w:color w:val="auto"/>
        </w:rPr>
      </w:pPr>
      <w:r>
        <w:rPr>
          <w:rFonts w:ascii="Arial" w:cs="Arial" w:eastAsia="Arial" w:hAnsi="Arial"/>
          <w:sz w:val="18"/>
          <w:szCs w:val="18"/>
          <w:color w:val="auto"/>
        </w:rPr>
        <w:t>Cost targets, reductions and savings, productivity and efficiencies;</w:t>
      </w:r>
    </w:p>
    <w:p>
      <w:pPr>
        <w:spacing w:after="0" w:line="111" w:lineRule="exact"/>
        <w:rPr>
          <w:rFonts w:ascii="Arial" w:cs="Arial" w:eastAsia="Arial" w:hAnsi="Arial"/>
          <w:sz w:val="18"/>
          <w:szCs w:val="18"/>
          <w:color w:val="auto"/>
        </w:rPr>
      </w:pPr>
    </w:p>
    <w:p>
      <w:pPr>
        <w:ind w:left="1277" w:right="640" w:hanging="640"/>
        <w:spacing w:after="0" w:line="252" w:lineRule="auto"/>
        <w:tabs>
          <w:tab w:leader="none" w:pos="1277" w:val="left"/>
        </w:tabs>
        <w:numPr>
          <w:ilvl w:val="1"/>
          <w:numId w:val="99"/>
        </w:numPr>
        <w:rPr>
          <w:rFonts w:ascii="Arial" w:cs="Arial" w:eastAsia="Arial" w:hAnsi="Arial"/>
          <w:sz w:val="18"/>
          <w:szCs w:val="18"/>
          <w:color w:val="auto"/>
        </w:rPr>
      </w:pPr>
      <w:r>
        <w:rPr>
          <w:rFonts w:ascii="Arial" w:cs="Arial" w:eastAsia="Arial" w:hAnsi="Arial"/>
          <w:sz w:val="18"/>
          <w:szCs w:val="18"/>
          <w:color w:val="auto"/>
        </w:rPr>
        <w:t>Strategic business criteria, consisting of one or more objectives based on meeting specified market penetration, geographic business expansion, customer satisfaction, employee satisfaction, human resources management, supervision of litigation, information technology and goals relating to acquisitions, divestitures, joint ventures and similar transactions and budget comparisons;</w:t>
      </w:r>
    </w:p>
    <w:p>
      <w:pPr>
        <w:spacing w:after="0" w:line="85" w:lineRule="exact"/>
        <w:rPr>
          <w:rFonts w:ascii="Arial" w:cs="Arial" w:eastAsia="Arial" w:hAnsi="Arial"/>
          <w:sz w:val="18"/>
          <w:szCs w:val="18"/>
          <w:color w:val="auto"/>
        </w:rPr>
      </w:pPr>
    </w:p>
    <w:p>
      <w:pPr>
        <w:ind w:left="1277" w:right="400" w:hanging="640"/>
        <w:spacing w:after="0" w:line="255" w:lineRule="auto"/>
        <w:tabs>
          <w:tab w:leader="none" w:pos="1264" w:val="left"/>
        </w:tabs>
        <w:numPr>
          <w:ilvl w:val="1"/>
          <w:numId w:val="99"/>
        </w:numPr>
        <w:rPr>
          <w:rFonts w:ascii="Arial" w:cs="Arial" w:eastAsia="Arial" w:hAnsi="Arial"/>
          <w:sz w:val="18"/>
          <w:szCs w:val="18"/>
          <w:color w:val="auto"/>
        </w:rPr>
      </w:pPr>
      <w:r>
        <w:rPr>
          <w:rFonts w:ascii="Arial" w:cs="Arial" w:eastAsia="Arial" w:hAnsi="Arial"/>
          <w:sz w:val="18"/>
          <w:szCs w:val="18"/>
          <w:color w:val="auto"/>
        </w:rPr>
        <w:t>Personal professional objectives, consisting of one or more objectives based on the implementation of plans and policies, the negotiation of transactions, the development of long term business goals, formation of joint ventures, research or development collaborations and the completion of other corporation transactions;</w:t>
      </w:r>
    </w:p>
    <w:p>
      <w:pPr>
        <w:spacing w:after="0" w:line="83" w:lineRule="exact"/>
        <w:rPr>
          <w:rFonts w:ascii="Arial" w:cs="Arial" w:eastAsia="Arial" w:hAnsi="Arial"/>
          <w:sz w:val="18"/>
          <w:szCs w:val="18"/>
          <w:color w:val="auto"/>
        </w:rPr>
      </w:pPr>
    </w:p>
    <w:p>
      <w:pPr>
        <w:ind w:left="1277" w:hanging="640"/>
        <w:spacing w:after="0"/>
        <w:tabs>
          <w:tab w:leader="none" w:pos="1277" w:val="left"/>
        </w:tabs>
        <w:numPr>
          <w:ilvl w:val="1"/>
          <w:numId w:val="99"/>
        </w:numPr>
        <w:rPr>
          <w:rFonts w:ascii="Arial" w:cs="Arial" w:eastAsia="Arial" w:hAnsi="Arial"/>
          <w:sz w:val="18"/>
          <w:szCs w:val="18"/>
          <w:color w:val="auto"/>
        </w:rPr>
      </w:pPr>
      <w:r>
        <w:rPr>
          <w:rFonts w:ascii="Arial" w:cs="Arial" w:eastAsia="Arial" w:hAnsi="Arial"/>
          <w:sz w:val="18"/>
          <w:szCs w:val="18"/>
          <w:color w:val="auto"/>
        </w:rPr>
        <w:t>Any other criteria as determined by the Committee in its sole discretion; and/or</w:t>
      </w:r>
    </w:p>
    <w:p>
      <w:pPr>
        <w:spacing w:after="0" w:line="111" w:lineRule="exact"/>
        <w:rPr>
          <w:rFonts w:ascii="Arial" w:cs="Arial" w:eastAsia="Arial" w:hAnsi="Arial"/>
          <w:sz w:val="18"/>
          <w:szCs w:val="18"/>
          <w:color w:val="auto"/>
        </w:rPr>
      </w:pPr>
    </w:p>
    <w:p>
      <w:pPr>
        <w:ind w:left="1257" w:hanging="620"/>
        <w:spacing w:after="0"/>
        <w:tabs>
          <w:tab w:leader="none" w:pos="1257" w:val="left"/>
        </w:tabs>
        <w:numPr>
          <w:ilvl w:val="1"/>
          <w:numId w:val="99"/>
        </w:numPr>
        <w:rPr>
          <w:rFonts w:ascii="Arial" w:cs="Arial" w:eastAsia="Arial" w:hAnsi="Arial"/>
          <w:sz w:val="18"/>
          <w:szCs w:val="18"/>
          <w:color w:val="auto"/>
        </w:rPr>
      </w:pPr>
      <w:r>
        <w:rPr>
          <w:rFonts w:ascii="Arial" w:cs="Arial" w:eastAsia="Arial" w:hAnsi="Arial"/>
          <w:sz w:val="18"/>
          <w:szCs w:val="18"/>
          <w:color w:val="auto"/>
        </w:rPr>
        <w:t>A combination of any or all of the foregoing criteria.</w:t>
      </w:r>
    </w:p>
    <w:p>
      <w:pPr>
        <w:spacing w:after="0" w:line="111" w:lineRule="exact"/>
        <w:rPr>
          <w:sz w:val="20"/>
          <w:szCs w:val="20"/>
          <w:color w:val="auto"/>
        </w:rPr>
      </w:pPr>
    </w:p>
    <w:p>
      <w:pPr>
        <w:jc w:val="both"/>
        <w:ind w:left="637"/>
        <w:spacing w:after="0" w:line="269" w:lineRule="auto"/>
        <w:rPr>
          <w:sz w:val="20"/>
          <w:szCs w:val="20"/>
          <w:color w:val="auto"/>
        </w:rPr>
      </w:pPr>
      <w:r>
        <w:rPr>
          <w:rFonts w:ascii="Arial" w:cs="Arial" w:eastAsia="Arial" w:hAnsi="Arial"/>
          <w:sz w:val="17"/>
          <w:szCs w:val="17"/>
          <w:color w:val="auto"/>
        </w:rPr>
        <w:t>The targeted level or levels of performance with respect to such Performance Measures may be established at such levels, with such adjustments (including, as applicable, inclusion or exclusion of taxes, depreciation, amortization, compensation, start-up, non-recurring, mergers and acquisitions, lift-outs and/or other items of income or expense) and in such other terms as the Committee may determine, in its discretion, including, without limitation, in absolute terms, as a goal relative to performance in prior periods, or as a goal compared to the performance of one or more comparable companies or an index covering multiple companies.</w:t>
      </w:r>
    </w:p>
    <w:p>
      <w:pPr>
        <w:spacing w:after="0" w:line="66" w:lineRule="exact"/>
        <w:rPr>
          <w:sz w:val="20"/>
          <w:szCs w:val="20"/>
          <w:color w:val="auto"/>
        </w:rPr>
      </w:pPr>
    </w:p>
    <w:p>
      <w:pPr>
        <w:ind w:left="637" w:right="20" w:hanging="637"/>
        <w:spacing w:after="0" w:line="321" w:lineRule="auto"/>
        <w:tabs>
          <w:tab w:leader="none" w:pos="310" w:val="left"/>
        </w:tabs>
        <w:numPr>
          <w:ilvl w:val="0"/>
          <w:numId w:val="100"/>
        </w:numPr>
        <w:rPr>
          <w:rFonts w:ascii="Arial" w:cs="Arial" w:eastAsia="Arial" w:hAnsi="Arial"/>
          <w:sz w:val="15"/>
          <w:szCs w:val="15"/>
          <w:color w:val="auto"/>
        </w:rPr>
      </w:pPr>
      <w:r>
        <w:rPr>
          <w:rFonts w:ascii="Arial" w:cs="Arial" w:eastAsia="Arial" w:hAnsi="Arial"/>
          <w:sz w:val="15"/>
          <w:szCs w:val="15"/>
          <w:b w:val="1"/>
          <w:bCs w:val="1"/>
          <w:color w:val="auto"/>
        </w:rPr>
        <w:t xml:space="preserve">Calculation of Performance-Based Award. </w:t>
      </w:r>
      <w:r>
        <w:rPr>
          <w:rFonts w:ascii="Arial" w:cs="Arial" w:eastAsia="Arial" w:hAnsi="Arial"/>
          <w:sz w:val="15"/>
          <w:szCs w:val="15"/>
          <w:color w:val="auto"/>
        </w:rPr>
        <w:t>At the expiration of the applicable performance period, the Committee shall determine the extent to</w:t>
      </w:r>
      <w:r>
        <w:rPr>
          <w:rFonts w:ascii="Arial" w:cs="Arial" w:eastAsia="Arial" w:hAnsi="Arial"/>
          <w:sz w:val="15"/>
          <w:szCs w:val="15"/>
          <w:b w:val="1"/>
          <w:bCs w:val="1"/>
          <w:color w:val="auto"/>
        </w:rPr>
        <w:t xml:space="preserve"> </w:t>
      </w:r>
      <w:r>
        <w:rPr>
          <w:rFonts w:ascii="Arial" w:cs="Arial" w:eastAsia="Arial" w:hAnsi="Arial"/>
          <w:sz w:val="15"/>
          <w:szCs w:val="15"/>
          <w:color w:val="auto"/>
        </w:rPr>
        <w:t>which the Performance Goals established pursuant to this Article are achieved and the extent to which each Performance-Based Award has been earned. The Committee may not exercise its discretion to increase the amount or value of an award that would otherwise be payable in accordance with the terms of a Performance-Based Award that is intended to meet the requirements for the Performance-Based Exception.</w:t>
      </w:r>
    </w:p>
    <w:p>
      <w:pPr>
        <w:spacing w:after="0" w:line="38" w:lineRule="exact"/>
        <w:rPr>
          <w:sz w:val="20"/>
          <w:szCs w:val="20"/>
          <w:color w:val="auto"/>
        </w:rPr>
      </w:pPr>
    </w:p>
    <w:p>
      <w:pPr>
        <w:ind w:left="4897"/>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597"/>
          </w:cols>
          <w:pgMar w:left="963" w:top="552" w:right="339" w:bottom="1440" w:gutter="0" w:footer="0" w:header="0"/>
        </w:sectPr>
      </w:pPr>
    </w:p>
    <w:bookmarkStart w:id="66" w:name="page67"/>
    <w:bookmarkEnd w:id="66"/>
    <w:p>
      <w:pPr>
        <w:ind w:left="400" w:hanging="394"/>
        <w:spacing w:after="0"/>
        <w:tabs>
          <w:tab w:leader="none" w:pos="400"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DISCRETIONARY BONUS AWARDS</w:t>
      </w:r>
      <w:r>
        <w:rPr>
          <w:rFonts w:ascii="Arial" w:cs="Arial" w:eastAsia="Arial" w:hAnsi="Arial"/>
          <w:sz w:val="18"/>
          <w:szCs w:val="18"/>
          <w:b w:val="1"/>
          <w:bCs w:val="1"/>
          <w:color w:val="auto"/>
        </w:rPr>
        <w:t>.</w:t>
      </w:r>
    </w:p>
    <w:p>
      <w:pPr>
        <w:spacing w:after="0" w:line="111" w:lineRule="exact"/>
        <w:rPr>
          <w:rFonts w:ascii="Arial" w:cs="Arial" w:eastAsia="Arial" w:hAnsi="Arial"/>
          <w:sz w:val="18"/>
          <w:szCs w:val="18"/>
          <w:b w:val="1"/>
          <w:bCs w:val="1"/>
          <w:color w:val="auto"/>
        </w:rPr>
      </w:pPr>
    </w:p>
    <w:p>
      <w:pPr>
        <w:ind w:left="1280" w:right="160" w:hanging="637"/>
        <w:spacing w:after="0" w:line="259" w:lineRule="auto"/>
        <w:tabs>
          <w:tab w:leader="none" w:pos="953" w:val="left"/>
        </w:tabs>
        <w:numPr>
          <w:ilvl w:val="1"/>
          <w:numId w:val="101"/>
        </w:numPr>
        <w:rPr>
          <w:rFonts w:ascii="Arial" w:cs="Arial" w:eastAsia="Arial" w:hAnsi="Arial"/>
          <w:sz w:val="18"/>
          <w:szCs w:val="18"/>
          <w:color w:val="auto"/>
        </w:rPr>
      </w:pPr>
      <w:r>
        <w:rPr>
          <w:rFonts w:ascii="Arial" w:cs="Arial" w:eastAsia="Arial" w:hAnsi="Arial"/>
          <w:sz w:val="18"/>
          <w:szCs w:val="18"/>
          <w:b w:val="1"/>
          <w:bCs w:val="1"/>
          <w:color w:val="auto"/>
        </w:rPr>
        <w:t xml:space="preserve">Discretionary Bonus Awards. </w:t>
      </w:r>
      <w:r>
        <w:rPr>
          <w:rFonts w:ascii="Arial" w:cs="Arial" w:eastAsia="Arial" w:hAnsi="Arial"/>
          <w:sz w:val="18"/>
          <w:szCs w:val="18"/>
          <w:color w:val="auto"/>
        </w:rPr>
        <w:t>The Committee may grant discretionary bonus awards of Stock or cash (each a “</w:t>
      </w:r>
      <w:r>
        <w:rPr>
          <w:rFonts w:ascii="Arial" w:cs="Arial" w:eastAsia="Arial" w:hAnsi="Arial"/>
          <w:sz w:val="18"/>
          <w:szCs w:val="18"/>
          <w:b w:val="1"/>
          <w:bCs w:val="1"/>
          <w:i w:val="1"/>
          <w:iCs w:val="1"/>
          <w:color w:val="auto"/>
        </w:rPr>
        <w:t>Discretionary Bonus Award</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to officers and other key Employees of either the Company or any Subsidiary, in such amounts and subject to such terms and conditions as the Committee in its discretion may determine.</w:t>
      </w:r>
    </w:p>
    <w:p>
      <w:pPr>
        <w:spacing w:after="0" w:line="78" w:lineRule="exact"/>
        <w:rPr>
          <w:rFonts w:ascii="Arial" w:cs="Arial" w:eastAsia="Arial" w:hAnsi="Arial"/>
          <w:sz w:val="18"/>
          <w:szCs w:val="18"/>
          <w:color w:val="auto"/>
        </w:rPr>
      </w:pPr>
    </w:p>
    <w:p>
      <w:pPr>
        <w:ind w:left="1280" w:right="100" w:hanging="637"/>
        <w:spacing w:after="0" w:line="265" w:lineRule="auto"/>
        <w:tabs>
          <w:tab w:leader="none" w:pos="949" w:val="left"/>
        </w:tabs>
        <w:numPr>
          <w:ilvl w:val="1"/>
          <w:numId w:val="101"/>
        </w:numPr>
        <w:rPr>
          <w:rFonts w:ascii="Arial" w:cs="Arial" w:eastAsia="Arial" w:hAnsi="Arial"/>
          <w:sz w:val="18"/>
          <w:szCs w:val="18"/>
          <w:color w:val="auto"/>
        </w:rPr>
      </w:pPr>
      <w:r>
        <w:rPr>
          <w:rFonts w:ascii="Arial" w:cs="Arial" w:eastAsia="Arial" w:hAnsi="Arial"/>
          <w:sz w:val="18"/>
          <w:szCs w:val="18"/>
          <w:color w:val="auto"/>
        </w:rPr>
        <w:t>The Committee may grant Discretionary Bonus Awards to eligible Participants in such amounts as the Committee may determine, subject to the limitations set forth in Section 4.1.</w:t>
      </w:r>
    </w:p>
    <w:p>
      <w:pPr>
        <w:spacing w:after="0" w:line="73" w:lineRule="exact"/>
        <w:rPr>
          <w:rFonts w:ascii="Arial" w:cs="Arial" w:eastAsia="Arial" w:hAnsi="Arial"/>
          <w:sz w:val="18"/>
          <w:szCs w:val="18"/>
          <w:color w:val="auto"/>
        </w:rPr>
      </w:pPr>
    </w:p>
    <w:p>
      <w:pPr>
        <w:ind w:left="1280" w:right="20" w:hanging="637"/>
        <w:spacing w:after="0" w:line="265" w:lineRule="auto"/>
        <w:tabs>
          <w:tab w:leader="none" w:pos="953" w:val="left"/>
        </w:tabs>
        <w:numPr>
          <w:ilvl w:val="1"/>
          <w:numId w:val="101"/>
        </w:numPr>
        <w:rPr>
          <w:rFonts w:ascii="Arial" w:cs="Arial" w:eastAsia="Arial" w:hAnsi="Arial"/>
          <w:sz w:val="18"/>
          <w:szCs w:val="18"/>
          <w:color w:val="auto"/>
        </w:rPr>
      </w:pPr>
      <w:r>
        <w:rPr>
          <w:rFonts w:ascii="Arial" w:cs="Arial" w:eastAsia="Arial" w:hAnsi="Arial"/>
          <w:sz w:val="18"/>
          <w:szCs w:val="18"/>
          <w:color w:val="auto"/>
        </w:rPr>
        <w:t>Discretionary Bonus Awards shall be paid in the form of cash, Stock (including Restricted Stock) or any combination thereof, in the discretion of the Committee.</w:t>
      </w:r>
    </w:p>
    <w:p>
      <w:pPr>
        <w:spacing w:after="0" w:line="67" w:lineRule="exact"/>
        <w:rPr>
          <w:rFonts w:ascii="Arial" w:cs="Arial" w:eastAsia="Arial" w:hAnsi="Arial"/>
          <w:sz w:val="18"/>
          <w:szCs w:val="18"/>
          <w:color w:val="auto"/>
        </w:rPr>
      </w:pPr>
    </w:p>
    <w:p>
      <w:pPr>
        <w:ind w:left="400" w:hanging="394"/>
        <w:spacing w:after="0"/>
        <w:tabs>
          <w:tab w:leader="none" w:pos="400"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OTHER STOCK-BASED AWARDS</w:t>
      </w:r>
      <w:r>
        <w:rPr>
          <w:rFonts w:ascii="Arial" w:cs="Arial" w:eastAsia="Arial" w:hAnsi="Arial"/>
          <w:sz w:val="18"/>
          <w:szCs w:val="18"/>
          <w:b w:val="1"/>
          <w:bCs w:val="1"/>
          <w:color w:val="auto"/>
        </w:rPr>
        <w:t>.</w:t>
      </w:r>
    </w:p>
    <w:p>
      <w:pPr>
        <w:spacing w:after="0" w:line="117" w:lineRule="exact"/>
        <w:rPr>
          <w:sz w:val="20"/>
          <w:szCs w:val="20"/>
          <w:color w:val="auto"/>
        </w:rPr>
      </w:pPr>
    </w:p>
    <w:p>
      <w:pPr>
        <w:jc w:val="both"/>
        <w:ind w:firstLine="637"/>
        <w:spacing w:after="0" w:line="307" w:lineRule="auto"/>
        <w:rPr>
          <w:sz w:val="20"/>
          <w:szCs w:val="20"/>
          <w:color w:val="auto"/>
        </w:rPr>
      </w:pPr>
      <w:r>
        <w:rPr>
          <w:rFonts w:ascii="Arial" w:cs="Arial" w:eastAsia="Arial" w:hAnsi="Arial"/>
          <w:sz w:val="15"/>
          <w:szCs w:val="15"/>
          <w:color w:val="auto"/>
        </w:rPr>
        <w:t>The Committee is authorized, subject to limitations under applicable law, to grant to eligible persons such other Awards that may be denominated or payable in, valued in whole or in part by reference to, or otherwise based on, or related to, shares of Stock, as deemed by the Committee to be consistent with the purposes of this Plan, including without limitation purchase rights for shares of Stock, Awards with value and payment contingent upon performance of the Company or any other factors designated by the Committee, and Awards valued by reference to the book value of a share of Stock. The Committee shall determine the terms and conditions of such Other Stock-Based Awards. Stock delivered pursuant to an Other-Stock Based Award in the nature of a purchase right granted under this Section 14 shall be purchased for such consideration, paid for at such times, by such methods, and in such forms, including, without limitation, cash, Stock, other Awards, or other property, as the Committee shall determine.</w:t>
      </w:r>
    </w:p>
    <w:p>
      <w:pPr>
        <w:spacing w:after="0" w:line="41" w:lineRule="exact"/>
        <w:rPr>
          <w:sz w:val="20"/>
          <w:szCs w:val="20"/>
          <w:color w:val="auto"/>
        </w:rPr>
      </w:pPr>
    </w:p>
    <w:p>
      <w:pPr>
        <w:ind w:left="400" w:hanging="394"/>
        <w:spacing w:after="0"/>
        <w:tabs>
          <w:tab w:leader="none" w:pos="400"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AWARD VESTING LIMITATIONS</w:t>
      </w:r>
      <w:r>
        <w:rPr>
          <w:rFonts w:ascii="Arial" w:cs="Arial" w:eastAsia="Arial" w:hAnsi="Arial"/>
          <w:sz w:val="18"/>
          <w:szCs w:val="18"/>
          <w:b w:val="1"/>
          <w:bCs w:val="1"/>
          <w:color w:val="auto"/>
        </w:rPr>
        <w:t>.</w:t>
      </w:r>
    </w:p>
    <w:p>
      <w:pPr>
        <w:spacing w:after="0" w:line="117" w:lineRule="exact"/>
        <w:rPr>
          <w:sz w:val="20"/>
          <w:szCs w:val="20"/>
          <w:color w:val="auto"/>
        </w:rPr>
      </w:pPr>
    </w:p>
    <w:p>
      <w:pPr>
        <w:jc w:val="both"/>
        <w:ind w:firstLine="637"/>
        <w:spacing w:after="0" w:line="267" w:lineRule="auto"/>
        <w:rPr>
          <w:sz w:val="20"/>
          <w:szCs w:val="20"/>
          <w:color w:val="auto"/>
        </w:rPr>
      </w:pPr>
      <w:r>
        <w:rPr>
          <w:rFonts w:ascii="Arial" w:cs="Arial" w:eastAsia="Arial" w:hAnsi="Arial"/>
          <w:sz w:val="17"/>
          <w:szCs w:val="17"/>
          <w:color w:val="auto"/>
        </w:rPr>
        <w:t xml:space="preserve">Notwithstanding any other provision of the Plan to the contrary, but subject to Section 4.3, Awards granted under the Plan shall vest no earlier than the first anniversary of the date the Award is granted;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notwithstanding the foregoing, Awards that result in the issuance of an aggregate of up to 5% of the shares of Stock available pursuant to Section 4.1 may be granted to any one or more Participants without respect to such minimum vesting provisions. Nothing in this Section 15 shall preclude the Committee from providing in an Award Agreement that all or a portion of the Award shall vest, or exercising its discretion to cause all or a portion of an Award to become vested, upon a Participant’s death or Disability, or, subject to Section 17.2, in connection with the consummation of a Change in Control.</w:t>
      </w:r>
    </w:p>
    <w:p>
      <w:pPr>
        <w:spacing w:after="0" w:line="69" w:lineRule="exact"/>
        <w:rPr>
          <w:sz w:val="20"/>
          <w:szCs w:val="20"/>
          <w:color w:val="auto"/>
        </w:rPr>
      </w:pPr>
    </w:p>
    <w:p>
      <w:pPr>
        <w:ind w:left="400" w:hanging="394"/>
        <w:spacing w:after="0"/>
        <w:tabs>
          <w:tab w:leader="none" w:pos="400"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TRANSFERABILITY OF AWARDS</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b w:val="1"/>
          <w:bCs w:val="1"/>
          <w:color w:val="auto"/>
        </w:rPr>
      </w:pPr>
    </w:p>
    <w:p>
      <w:pPr>
        <w:ind w:left="1280" w:right="320" w:hanging="637"/>
        <w:spacing w:after="0" w:line="277" w:lineRule="auto"/>
        <w:tabs>
          <w:tab w:leader="none" w:pos="1280" w:val="left"/>
        </w:tabs>
        <w:numPr>
          <w:ilvl w:val="1"/>
          <w:numId w:val="103"/>
        </w:numPr>
        <w:rPr>
          <w:rFonts w:ascii="Arial" w:cs="Arial" w:eastAsia="Arial" w:hAnsi="Arial"/>
          <w:sz w:val="17"/>
          <w:szCs w:val="17"/>
          <w:color w:val="auto"/>
        </w:rPr>
      </w:pPr>
      <w:r>
        <w:rPr>
          <w:rFonts w:ascii="Arial" w:cs="Arial" w:eastAsia="Arial" w:hAnsi="Arial"/>
          <w:sz w:val="17"/>
          <w:szCs w:val="17"/>
          <w:color w:val="auto"/>
        </w:rPr>
        <w:t>Except as provided in Section 16.3 below, each Option and SAR shall be exercisable only by the Participant during the Participant’s lifetime, or by the Person to whom the Participant’s rights shall pass by will or the laws of descent and distribution. Notwithstanding the foregoing, an ISO shall not be transferable other than by will or the laws of descent and distribution.</w:t>
      </w:r>
    </w:p>
    <w:p>
      <w:pPr>
        <w:spacing w:after="0" w:line="66" w:lineRule="exact"/>
        <w:rPr>
          <w:rFonts w:ascii="Arial" w:cs="Arial" w:eastAsia="Arial" w:hAnsi="Arial"/>
          <w:sz w:val="17"/>
          <w:szCs w:val="17"/>
          <w:color w:val="auto"/>
        </w:rPr>
      </w:pPr>
    </w:p>
    <w:p>
      <w:pPr>
        <w:jc w:val="both"/>
        <w:ind w:left="1280" w:right="80" w:hanging="637"/>
        <w:spacing w:after="0" w:line="277" w:lineRule="auto"/>
        <w:tabs>
          <w:tab w:leader="none" w:pos="1280" w:val="left"/>
        </w:tabs>
        <w:numPr>
          <w:ilvl w:val="1"/>
          <w:numId w:val="103"/>
        </w:numPr>
        <w:rPr>
          <w:rFonts w:ascii="Arial" w:cs="Arial" w:eastAsia="Arial" w:hAnsi="Arial"/>
          <w:sz w:val="17"/>
          <w:szCs w:val="17"/>
          <w:color w:val="auto"/>
        </w:rPr>
      </w:pPr>
      <w:r>
        <w:rPr>
          <w:rFonts w:ascii="Arial" w:cs="Arial" w:eastAsia="Arial" w:hAnsi="Arial"/>
          <w:sz w:val="17"/>
          <w:szCs w:val="17"/>
          <w:color w:val="auto"/>
        </w:rPr>
        <w:t>Except as provided in Section 16.3 below, no Award and no right under any such Award may be assigned, alienated, pledged, attached, sold or otherwise transferred or encumbered by a Participant and any such purported assignment, alienation, pledge, attachment, sale, transfer or encumbrance shall be void and unenforceable against the Company or any Subsidiary.</w:t>
      </w:r>
    </w:p>
    <w:p>
      <w:pPr>
        <w:spacing w:after="0" w:line="66" w:lineRule="exact"/>
        <w:rPr>
          <w:rFonts w:ascii="Arial" w:cs="Arial" w:eastAsia="Arial" w:hAnsi="Arial"/>
          <w:sz w:val="17"/>
          <w:szCs w:val="17"/>
          <w:color w:val="auto"/>
        </w:rPr>
      </w:pPr>
    </w:p>
    <w:p>
      <w:pPr>
        <w:ind w:left="1280" w:right="120" w:hanging="637"/>
        <w:spacing w:after="0" w:line="265" w:lineRule="auto"/>
        <w:tabs>
          <w:tab w:leader="none" w:pos="128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To the extent specifically provided by the Committee, and on such terms and conditions as the Committee may from time to time establish, an Award may be transferred by a Participant without consideration to one or more Permitted Transferees.</w:t>
      </w:r>
    </w:p>
    <w:p>
      <w:pPr>
        <w:spacing w:after="0" w:line="67" w:lineRule="exact"/>
        <w:rPr>
          <w:rFonts w:ascii="Arial" w:cs="Arial" w:eastAsia="Arial" w:hAnsi="Arial"/>
          <w:sz w:val="18"/>
          <w:szCs w:val="18"/>
          <w:color w:val="auto"/>
        </w:rPr>
      </w:pPr>
    </w:p>
    <w:p>
      <w:pPr>
        <w:ind w:left="400" w:hanging="394"/>
        <w:spacing w:after="0"/>
        <w:tabs>
          <w:tab w:leader="none" w:pos="400"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CHANGE IN CONTROL</w:t>
      </w:r>
      <w:r>
        <w:rPr>
          <w:rFonts w:ascii="Arial" w:cs="Arial" w:eastAsia="Arial" w:hAnsi="Arial"/>
          <w:sz w:val="18"/>
          <w:szCs w:val="18"/>
          <w:b w:val="1"/>
          <w:bCs w:val="1"/>
          <w:color w:val="auto"/>
        </w:rPr>
        <w:t>.</w:t>
      </w:r>
    </w:p>
    <w:p>
      <w:pPr>
        <w:spacing w:after="0" w:line="111" w:lineRule="exact"/>
        <w:rPr>
          <w:rFonts w:ascii="Arial" w:cs="Arial" w:eastAsia="Arial" w:hAnsi="Arial"/>
          <w:sz w:val="18"/>
          <w:szCs w:val="18"/>
          <w:b w:val="1"/>
          <w:bCs w:val="1"/>
          <w:color w:val="auto"/>
        </w:rPr>
      </w:pPr>
    </w:p>
    <w:p>
      <w:pPr>
        <w:ind w:left="1280" w:hanging="637"/>
        <w:spacing w:after="0"/>
        <w:tabs>
          <w:tab w:leader="none" w:pos="1280" w:val="left"/>
        </w:tabs>
        <w:numPr>
          <w:ilvl w:val="1"/>
          <w:numId w:val="103"/>
        </w:numPr>
        <w:rPr>
          <w:rFonts w:ascii="Arial" w:cs="Arial" w:eastAsia="Arial" w:hAnsi="Arial"/>
          <w:sz w:val="18"/>
          <w:szCs w:val="18"/>
          <w:color w:val="auto"/>
        </w:rPr>
      </w:pPr>
      <w:r>
        <w:rPr>
          <w:rFonts w:ascii="Arial" w:cs="Arial" w:eastAsia="Arial" w:hAnsi="Arial"/>
          <w:sz w:val="18"/>
          <w:szCs w:val="18"/>
          <w:b w:val="1"/>
          <w:bCs w:val="1"/>
          <w:color w:val="auto"/>
        </w:rPr>
        <w:t>Definitions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920" w:right="100" w:hanging="640"/>
        <w:spacing w:after="0" w:line="250" w:lineRule="auto"/>
        <w:tabs>
          <w:tab w:leader="none" w:pos="1910" w:val="left"/>
        </w:tabs>
        <w:numPr>
          <w:ilvl w:val="2"/>
          <w:numId w:val="103"/>
        </w:numPr>
        <w:rPr>
          <w:rFonts w:ascii="Arial" w:cs="Arial" w:eastAsia="Arial" w:hAnsi="Arial"/>
          <w:sz w:val="18"/>
          <w:szCs w:val="18"/>
          <w:color w:val="auto"/>
        </w:rPr>
      </w:pPr>
      <w:r>
        <w:rPr>
          <w:rFonts w:ascii="Arial" w:cs="Arial" w:eastAsia="Arial" w:hAnsi="Arial"/>
          <w:sz w:val="18"/>
          <w:szCs w:val="18"/>
          <w:color w:val="auto"/>
        </w:rPr>
        <w:t>An “</w:t>
      </w:r>
      <w:r>
        <w:rPr>
          <w:rFonts w:ascii="Arial" w:cs="Arial" w:eastAsia="Arial" w:hAnsi="Arial"/>
          <w:sz w:val="18"/>
          <w:szCs w:val="18"/>
          <w:b w:val="1"/>
          <w:bCs w:val="1"/>
          <w:i w:val="1"/>
          <w:iCs w:val="1"/>
          <w:color w:val="auto"/>
        </w:rPr>
        <w:t>Ownership Change Event</w:t>
      </w:r>
      <w:r>
        <w:rPr>
          <w:rFonts w:ascii="Arial" w:cs="Arial" w:eastAsia="Arial" w:hAnsi="Arial"/>
          <w:sz w:val="18"/>
          <w:szCs w:val="18"/>
          <w:i w:val="1"/>
          <w:iCs w:val="1"/>
          <w:color w:val="auto"/>
        </w:rPr>
        <w:t>”</w:t>
      </w:r>
      <w:r>
        <w:rPr>
          <w:rFonts w:ascii="Arial" w:cs="Arial" w:eastAsia="Arial" w:hAnsi="Arial"/>
          <w:sz w:val="18"/>
          <w:szCs w:val="18"/>
          <w:color w:val="auto"/>
        </w:rPr>
        <w:t xml:space="preserve"> shall be deemed to have occurred if any of the following occurs with respect to the Company: (i) the direct or indirect sale or exchange in a single or series of related transactions by the stockholders of the Company of more than fifty percent (50%) of the voting stock of the Company; (ii) a merger or consolidation in which the Company is a party; (iii) the sale, exchange, or transfer of all or substantially all of the assets of the Company; or (iv) a liquidation or dissolution of the Company.</w:t>
      </w:r>
    </w:p>
    <w:p>
      <w:pPr>
        <w:spacing w:after="0" w:line="89" w:lineRule="exact"/>
        <w:rPr>
          <w:rFonts w:ascii="Arial" w:cs="Arial" w:eastAsia="Arial" w:hAnsi="Arial"/>
          <w:sz w:val="18"/>
          <w:szCs w:val="18"/>
          <w:color w:val="auto"/>
        </w:rPr>
      </w:pPr>
    </w:p>
    <w:p>
      <w:pPr>
        <w:ind w:left="1920" w:right="40" w:hanging="640"/>
        <w:spacing w:after="0" w:line="309" w:lineRule="auto"/>
        <w:tabs>
          <w:tab w:leader="none" w:pos="1920" w:val="left"/>
        </w:tabs>
        <w:numPr>
          <w:ilvl w:val="2"/>
          <w:numId w:val="103"/>
        </w:numPr>
        <w:rPr>
          <w:rFonts w:ascii="Arial" w:cs="Arial" w:eastAsia="Arial" w:hAnsi="Arial"/>
          <w:sz w:val="15"/>
          <w:szCs w:val="15"/>
          <w:color w:val="auto"/>
        </w:rPr>
      </w:pPr>
      <w:r>
        <w:rPr>
          <w:rFonts w:ascii="Arial" w:cs="Arial" w:eastAsia="Arial" w:hAnsi="Arial"/>
          <w:sz w:val="15"/>
          <w:szCs w:val="15"/>
          <w:i w:val="1"/>
          <w:iCs w:val="1"/>
          <w:color w:val="auto"/>
        </w:rPr>
        <w:t>A “</w:t>
      </w:r>
      <w:r>
        <w:rPr>
          <w:rFonts w:ascii="Arial" w:cs="Arial" w:eastAsia="Arial" w:hAnsi="Arial"/>
          <w:sz w:val="15"/>
          <w:szCs w:val="15"/>
          <w:b w:val="1"/>
          <w:bCs w:val="1"/>
          <w:i w:val="1"/>
          <w:iCs w:val="1"/>
          <w:color w:val="auto"/>
        </w:rPr>
        <w:t>Change in Control</w:t>
      </w:r>
      <w:r>
        <w:rPr>
          <w:rFonts w:ascii="Arial" w:cs="Arial" w:eastAsia="Arial" w:hAnsi="Arial"/>
          <w:sz w:val="15"/>
          <w:szCs w:val="15"/>
          <w:i w:val="1"/>
          <w:iCs w:val="1"/>
          <w:color w:val="auto"/>
        </w:rPr>
        <w:t xml:space="preserve">” </w:t>
      </w:r>
      <w:r>
        <w:rPr>
          <w:rFonts w:ascii="Arial" w:cs="Arial" w:eastAsia="Arial" w:hAnsi="Arial"/>
          <w:sz w:val="15"/>
          <w:szCs w:val="15"/>
          <w:color w:val="auto"/>
        </w:rPr>
        <w:t>shall mean (i) a merger or consolidation of the Company with or into another corporation in which the</w:t>
      </w:r>
      <w:r>
        <w:rPr>
          <w:rFonts w:ascii="Arial" w:cs="Arial" w:eastAsia="Arial" w:hAnsi="Arial"/>
          <w:sz w:val="15"/>
          <w:szCs w:val="15"/>
          <w:i w:val="1"/>
          <w:iCs w:val="1"/>
          <w:color w:val="auto"/>
        </w:rPr>
        <w:t xml:space="preserve"> </w:t>
      </w:r>
      <w:r>
        <w:rPr>
          <w:rFonts w:ascii="Arial" w:cs="Arial" w:eastAsia="Arial" w:hAnsi="Arial"/>
          <w:sz w:val="15"/>
          <w:szCs w:val="15"/>
          <w:color w:val="auto"/>
        </w:rPr>
        <w:t>Company shall not be the surviving corporation (other than a merger undertaken solely in order to reincorporate in another state) (for purposes hereof, the Company shall not be deemed the surviving corporation in any such transaction if, as the result thereof, it becomes a wholly-owned subsidiary of another corporation), (ii) a dissolution of the Company, (iii) a transfer of all or substantially all of the assets of the Company in one transaction or a series of related transactions to one or more other persons or entities, (iv) a transaction or series of transactions that results in any entity, “Person” or “Group” (as defined below), becoming the</w:t>
      </w:r>
    </w:p>
    <w:p>
      <w:pPr>
        <w:spacing w:after="0" w:line="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546" w:right="339" w:bottom="1440" w:gutter="0" w:footer="0" w:header="0"/>
        </w:sectPr>
      </w:pPr>
    </w:p>
    <w:bookmarkStart w:id="67" w:name="page68"/>
    <w:bookmarkEnd w:id="67"/>
    <w:p>
      <w:pPr>
        <w:ind w:left="1920" w:right="80"/>
        <w:spacing w:after="0" w:line="301" w:lineRule="auto"/>
        <w:rPr>
          <w:sz w:val="20"/>
          <w:szCs w:val="20"/>
          <w:color w:val="auto"/>
        </w:rPr>
      </w:pPr>
      <w:r>
        <w:rPr>
          <w:rFonts w:ascii="Arial" w:cs="Arial" w:eastAsia="Arial" w:hAnsi="Arial"/>
          <w:sz w:val="15"/>
          <w:szCs w:val="15"/>
          <w:color w:val="auto"/>
        </w:rPr>
        <w:t xml:space="preserve">beneficial owner, directly or indirectly, of securities of the Company representing more than 50% of the combined voting power of the Company’s then outstanding securities, or (v) during any period of two (2) consecutive years commencing on or after January 1, 2005, individuals who, at the beginning of the period constituted the Company’s Board of Directors cease for any reason to constitute at least a majority, unless the election of each director who was not a director at the beginning of the period has been approved in advance by directors representing at least two-thirds (2/3) of the directors then in office who were directors at the beginning of the period;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a “Change in Control” shall not be deemed to have occurred if the ownership of 50% or more of the combined voting power of the surviving corporation, asset transferee or Company (as the case may be), after giving effect to the transaction or series of transactions, is directly or indirectly held by (A) a trustee or other fiduciary under an employee benefit plan maintained by the Company, (B) one or more of the “executive officers” of the Company that held such positions prior to the transaction or series of transactions, or any entity, Person or Group under their control. As used herein, “Person” and “Group” shall have the meanings set forth in Sections 13(d)(3) and/or 14(d)(2) of the Securities Exchange Act of 1934, as amended, and “executive officer” shall have the meaning set forth in Rule 3b-7 promulgated under such Act .</w:t>
      </w:r>
    </w:p>
    <w:p>
      <w:pPr>
        <w:spacing w:after="0" w:line="51" w:lineRule="exact"/>
        <w:rPr>
          <w:sz w:val="20"/>
          <w:szCs w:val="20"/>
          <w:color w:val="auto"/>
        </w:rPr>
      </w:pPr>
    </w:p>
    <w:p>
      <w:pPr>
        <w:ind w:left="1280" w:right="20" w:hanging="637"/>
        <w:spacing w:after="0" w:line="299" w:lineRule="auto"/>
        <w:tabs>
          <w:tab w:leader="none" w:pos="953" w:val="left"/>
        </w:tabs>
        <w:numPr>
          <w:ilvl w:val="1"/>
          <w:numId w:val="104"/>
        </w:numPr>
        <w:rPr>
          <w:rFonts w:ascii="Arial" w:cs="Arial" w:eastAsia="Arial" w:hAnsi="Arial"/>
          <w:sz w:val="15"/>
          <w:szCs w:val="15"/>
          <w:color w:val="auto"/>
        </w:rPr>
      </w:pPr>
      <w:r>
        <w:rPr>
          <w:rFonts w:ascii="Arial" w:cs="Arial" w:eastAsia="Arial" w:hAnsi="Arial"/>
          <w:sz w:val="15"/>
          <w:szCs w:val="15"/>
          <w:b w:val="1"/>
          <w:bCs w:val="1"/>
          <w:color w:val="auto"/>
        </w:rPr>
        <w:t xml:space="preserve">Effect of Change in Control on Awards. </w:t>
      </w:r>
      <w:r>
        <w:rPr>
          <w:rFonts w:ascii="Arial" w:cs="Arial" w:eastAsia="Arial" w:hAnsi="Arial"/>
          <w:sz w:val="15"/>
          <w:szCs w:val="15"/>
          <w:color w:val="auto"/>
        </w:rPr>
        <w:t>Upon a Change in Control, each outstanding Award shall become 100% vested (with any performance</w:t>
      </w:r>
      <w:r>
        <w:rPr>
          <w:rFonts w:ascii="Arial" w:cs="Arial" w:eastAsia="Arial" w:hAnsi="Arial"/>
          <w:sz w:val="15"/>
          <w:szCs w:val="15"/>
          <w:b w:val="1"/>
          <w:bCs w:val="1"/>
          <w:color w:val="auto"/>
        </w:rPr>
        <w:t xml:space="preserve"> </w:t>
      </w:r>
      <w:r>
        <w:rPr>
          <w:rFonts w:ascii="Arial" w:cs="Arial" w:eastAsia="Arial" w:hAnsi="Arial"/>
          <w:sz w:val="15"/>
          <w:szCs w:val="15"/>
          <w:color w:val="auto"/>
        </w:rPr>
        <w:t>conditions imposed with respect to such Award deemed to be achieved at “target” performance levels) and exercisable as of the date ten (10) days prior to the date of the Change in Control, provided that the Participant’s Service has not terminated prior to such date. The exercise or vesting of any Award that was permissible solely by reason of this Section 17.2 shall be conditioned upon the consummation of the Change in Control. Any Option or SAR which is neither assumed or substituted for by the surviving, continuing, successor, or purchasing corporation of Parent thereof, as the case may be (the “</w:t>
      </w:r>
      <w:r>
        <w:rPr>
          <w:rFonts w:ascii="Arial" w:cs="Arial" w:eastAsia="Arial" w:hAnsi="Arial"/>
          <w:sz w:val="15"/>
          <w:szCs w:val="15"/>
          <w:b w:val="1"/>
          <w:bCs w:val="1"/>
          <w:i w:val="1"/>
          <w:iCs w:val="1"/>
          <w:color w:val="auto"/>
        </w:rPr>
        <w:t>Acquiring Corporation</w:t>
      </w:r>
      <w:r>
        <w:rPr>
          <w:rFonts w:ascii="Arial" w:cs="Arial" w:eastAsia="Arial" w:hAnsi="Arial"/>
          <w:sz w:val="15"/>
          <w:szCs w:val="15"/>
          <w:color w:val="auto"/>
        </w:rPr>
        <w:t xml:space="preserve">”) in connection with the Change in Control nor exercised as of the date of the Change in Control shall terminate and cease to be outstanding effective as of the date of the Change in Control; except as would otherwise result in adverse tax consequences under Section 409A of the Code; </w:t>
      </w:r>
      <w:r>
        <w:rPr>
          <w:rFonts w:ascii="Arial" w:cs="Arial" w:eastAsia="Arial" w:hAnsi="Arial"/>
          <w:sz w:val="15"/>
          <w:szCs w:val="15"/>
          <w:i w:val="1"/>
          <w:iCs w:val="1"/>
          <w:color w:val="auto"/>
        </w:rPr>
        <w:t>provided, however,</w:t>
      </w:r>
      <w:r>
        <w:rPr>
          <w:rFonts w:ascii="Arial" w:cs="Arial" w:eastAsia="Arial" w:hAnsi="Arial"/>
          <w:sz w:val="15"/>
          <w:szCs w:val="15"/>
          <w:color w:val="auto"/>
        </w:rPr>
        <w:t xml:space="preserve"> that the Committee may, in its discretion, provide that any Option or SAR shall, immediately prior to the occurrence of a Change in Control, be cancelled in exchange for a payment in cash or securities in an amount equal to (a) the excess of the consideration paid per share of Stock in the Change in Control over the exercise price or grant price per share of Stock subject to the Option or SAR, </w:t>
      </w:r>
      <w:r>
        <w:rPr>
          <w:rFonts w:ascii="Arial" w:cs="Arial" w:eastAsia="Arial" w:hAnsi="Arial"/>
          <w:sz w:val="15"/>
          <w:szCs w:val="15"/>
          <w:i w:val="1"/>
          <w:iCs w:val="1"/>
          <w:color w:val="auto"/>
        </w:rPr>
        <w:t>multiplied by</w:t>
      </w:r>
      <w:r>
        <w:rPr>
          <w:rFonts w:ascii="Arial" w:cs="Arial" w:eastAsia="Arial" w:hAnsi="Arial"/>
          <w:sz w:val="15"/>
          <w:szCs w:val="15"/>
          <w:color w:val="auto"/>
        </w:rPr>
        <w:t xml:space="preserve"> (b) the number of shares of Stock subject to the Option or SAR. Notwithstanding the foregoing, shares acquired pursuant to an Award prior to the Change in Control and any consideration received pursuant to the Change in Control with respect to such shares shall continue to be subject to all applicable provisions of the applicable Award Agreement, except as otherwise provided therein. Furthermore, notwithstanding the foregoing, if the Change in Control results from an Ownership Change Event described in Section 17.1(a)(i) and the Company is the surviving or continuing corporation and immediately after such Change in Control less than fifty percent (50%) of the total combined voting power of its voting stock is held by another corporation or by other corporations that are members of an affiliated group within the meaning of Section 1504(a) of the Code without regard to the provisions of Section 1504(b) of the Code, the outstanding Awards shall not terminate unless the Committee otherwise provides in its discretion. For the avoidance of doubt, all Restricted Stock awards prior to the Effective Date are hereby amended to incorporate these terms.</w:t>
      </w:r>
    </w:p>
    <w:p>
      <w:pPr>
        <w:spacing w:after="0" w:line="268" w:lineRule="exact"/>
        <w:rPr>
          <w:rFonts w:ascii="Arial" w:cs="Arial" w:eastAsia="Arial" w:hAnsi="Arial"/>
          <w:sz w:val="15"/>
          <w:szCs w:val="15"/>
          <w:color w:val="auto"/>
        </w:rPr>
      </w:pPr>
    </w:p>
    <w:p>
      <w:pPr>
        <w:ind w:left="400" w:hanging="394"/>
        <w:spacing w:after="0"/>
        <w:tabs>
          <w:tab w:leader="none" w:pos="400"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WITHHOLDING</w:t>
      </w:r>
      <w:r>
        <w:rPr>
          <w:rFonts w:ascii="Arial" w:cs="Arial" w:eastAsia="Arial" w:hAnsi="Arial"/>
          <w:sz w:val="18"/>
          <w:szCs w:val="18"/>
          <w:b w:val="1"/>
          <w:bCs w:val="1"/>
          <w:color w:val="auto"/>
        </w:rPr>
        <w:t>.</w:t>
      </w:r>
    </w:p>
    <w:p>
      <w:pPr>
        <w:spacing w:after="0" w:line="117" w:lineRule="exact"/>
        <w:rPr>
          <w:sz w:val="20"/>
          <w:szCs w:val="20"/>
          <w:color w:val="auto"/>
        </w:rPr>
      </w:pPr>
    </w:p>
    <w:p>
      <w:pPr>
        <w:jc w:val="both"/>
        <w:ind w:firstLine="637"/>
        <w:spacing w:after="0" w:line="301" w:lineRule="auto"/>
        <w:rPr>
          <w:sz w:val="20"/>
          <w:szCs w:val="20"/>
          <w:color w:val="auto"/>
        </w:rPr>
      </w:pPr>
      <w:r>
        <w:rPr>
          <w:rFonts w:ascii="Arial" w:cs="Arial" w:eastAsia="Arial" w:hAnsi="Arial"/>
          <w:sz w:val="15"/>
          <w:szCs w:val="15"/>
          <w:color w:val="auto"/>
        </w:rPr>
        <w:t>The Company or any Subsidiary, as appropriate, shall have the authority and the right to deduct or withhold, or require a Participant to remit to the Company or Subsidiary, an amount sufficient to satisfy U.S. federal, state, and local taxes and taxes imposed by jurisdictions outside of the United States (including income tax, social insurance contributions, payment on account and any other taxes that may be due) that the Company or a Subsidiary determines are required to be withheld with respect to any taxable event concerning a Participant arising as a result of this Plan or to take such other action as may be necessary in the opinion of the Company or a Subsidiary, as appropriate, to satisfy withholding obligations for the payment of taxes. Without limiting the foregoing, the Company or a Subsidiary shall have the right, but not the obligation, to deduct from the shares of Stock issuable upon the grant, vesting or exercise of an Award, or to accept from the Participant the tender of, a number of whole shares of Stock having a Fair Market Value, as determined by the Company, equal to all or any part of the federal, state, local and foreign taxes, if any, required by law to be withheld with respect to an Award. Alternatively or in addition, in its discretion, the Company or a Subsidiary shall have the right to require the Participant, through payroll withholding, cash payment or otherwise, including, with respect to an Option, by means of a Cashless Exercise, to make adequate provision for any such tax withholding obligations of the Company or a Subsidiary arising in connection with an Award. The amount of tax required to be withheld may be determined using rates of up to, but not exceeding, the maximum federal, state, local and/or foreign statutory tax rates applicable in a particular jurisdiction on the date that the amount of tax to be withheld is to be determined. No shares of Stock shall be delivered hereunder to any Participant or other person until the Participant or such</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552" w:right="339" w:bottom="1440" w:gutter="0" w:footer="0" w:header="0"/>
        </w:sectPr>
      </w:pPr>
    </w:p>
    <w:bookmarkStart w:id="68" w:name="page69"/>
    <w:bookmarkEnd w:id="68"/>
    <w:p>
      <w:pPr>
        <w:spacing w:after="0" w:line="265" w:lineRule="auto"/>
        <w:rPr>
          <w:sz w:val="20"/>
          <w:szCs w:val="20"/>
          <w:color w:val="auto"/>
        </w:rPr>
      </w:pPr>
      <w:r>
        <w:rPr>
          <w:rFonts w:ascii="Arial" w:cs="Arial" w:eastAsia="Arial" w:hAnsi="Arial"/>
          <w:sz w:val="18"/>
          <w:szCs w:val="18"/>
          <w:color w:val="auto"/>
        </w:rPr>
        <w:t>other person has made arrangements acceptable to the Committee for the satisfaction of these tax obligations with respect to any taxable event concerning the Participant or such other person arising as a result of Awards made under this Plan.</w:t>
      </w:r>
    </w:p>
    <w:p>
      <w:pPr>
        <w:spacing w:after="0" w:line="68" w:lineRule="exact"/>
        <w:rPr>
          <w:sz w:val="20"/>
          <w:szCs w:val="20"/>
          <w:color w:val="auto"/>
        </w:rPr>
      </w:pPr>
    </w:p>
    <w:p>
      <w:pPr>
        <w:ind w:left="400" w:hanging="394"/>
        <w:spacing w:after="0"/>
        <w:tabs>
          <w:tab w:leader="none" w:pos="400"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PROVISION OF INFORMATION</w:t>
      </w:r>
      <w:r>
        <w:rPr>
          <w:rFonts w:ascii="Arial" w:cs="Arial" w:eastAsia="Arial" w:hAnsi="Arial"/>
          <w:sz w:val="18"/>
          <w:szCs w:val="18"/>
          <w:b w:val="1"/>
          <w:bCs w:val="1"/>
          <w:color w:val="auto"/>
        </w:rPr>
        <w:t>.</w:t>
      </w:r>
    </w:p>
    <w:p>
      <w:pPr>
        <w:spacing w:after="0" w:line="117" w:lineRule="exact"/>
        <w:rPr>
          <w:sz w:val="20"/>
          <w:szCs w:val="20"/>
          <w:color w:val="auto"/>
        </w:rPr>
      </w:pPr>
    </w:p>
    <w:p>
      <w:pPr>
        <w:ind w:firstLine="637"/>
        <w:spacing w:after="0" w:line="265" w:lineRule="auto"/>
        <w:rPr>
          <w:sz w:val="20"/>
          <w:szCs w:val="20"/>
          <w:color w:val="auto"/>
        </w:rPr>
      </w:pPr>
      <w:r>
        <w:rPr>
          <w:rFonts w:ascii="Arial" w:cs="Arial" w:eastAsia="Arial" w:hAnsi="Arial"/>
          <w:sz w:val="18"/>
          <w:szCs w:val="18"/>
          <w:color w:val="auto"/>
        </w:rPr>
        <w:t>Each Participant shall be given access to information concerning the Company equivalent to that information generally made available to the Company’s common stockholders.</w:t>
      </w:r>
    </w:p>
    <w:p>
      <w:pPr>
        <w:spacing w:after="0" w:line="68" w:lineRule="exact"/>
        <w:rPr>
          <w:sz w:val="20"/>
          <w:szCs w:val="20"/>
          <w:color w:val="auto"/>
        </w:rPr>
      </w:pPr>
    </w:p>
    <w:p>
      <w:pPr>
        <w:ind w:left="400" w:hanging="394"/>
        <w:spacing w:after="0"/>
        <w:tabs>
          <w:tab w:leader="none" w:pos="400"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COMPLIANCE WITH SECURITIES LAW</w:t>
      </w:r>
      <w:r>
        <w:rPr>
          <w:rFonts w:ascii="Arial" w:cs="Arial" w:eastAsia="Arial" w:hAnsi="Arial"/>
          <w:sz w:val="18"/>
          <w:szCs w:val="18"/>
          <w:b w:val="1"/>
          <w:bCs w:val="1"/>
          <w:color w:val="auto"/>
        </w:rPr>
        <w:t>.</w:t>
      </w:r>
    </w:p>
    <w:p>
      <w:pPr>
        <w:spacing w:after="0" w:line="117" w:lineRule="exact"/>
        <w:rPr>
          <w:sz w:val="20"/>
          <w:szCs w:val="20"/>
          <w:color w:val="auto"/>
        </w:rPr>
      </w:pPr>
    </w:p>
    <w:p>
      <w:pPr>
        <w:jc w:val="both"/>
        <w:ind w:firstLine="637"/>
        <w:spacing w:after="0" w:line="263" w:lineRule="auto"/>
        <w:rPr>
          <w:sz w:val="20"/>
          <w:szCs w:val="20"/>
          <w:color w:val="auto"/>
        </w:rPr>
      </w:pPr>
      <w:r>
        <w:rPr>
          <w:rFonts w:ascii="Arial" w:cs="Arial" w:eastAsia="Arial" w:hAnsi="Arial"/>
          <w:sz w:val="17"/>
          <w:szCs w:val="17"/>
          <w:color w:val="auto"/>
        </w:rPr>
        <w:t>The grant of an Award and the issuance of shares of Stock upon exercise of an Award, if applicable, shall be subject to compliance with all applicable requirements of federal, state and foreign law with respect to such securities. An Award may not be exercised for shares of Stock if the issuance of such shares would constitute a violation of any applicable federal, state or foreign securities laws or other law or regulations or the requirements of any stock exchange or market system upon which the Stock may then be listed. In addition, no Award may be exercised for shares of Stock unless (a) a registration statement under the Securities Act shall at the time of exercise of the Award be in effect with respect to the shares of Stock issuable upon exercise of the Award or (b) in the opinion of legal counsel to the Company, the shares of Stock issuable upon exercise of the Award may be issued in accordance with the terms of an applicable exemption from the registration requirements of the Securities Act. The inability of the Company to obtain from any regulatory body having jurisdiction the authority, if any, deemed by the Company’s legal counsel to be necessary to the lawful issuance and sale of any shares of Stock hereunder shall relieve the Company of any liability in respect of the failure to issue or sell such shares of Stock as to which such requisite authority shall not have been obtained. As a condition to the exercise of any Award, the Company may require the Participant to satisfy any qualifications that may be necessary or appropriate, to evidence compliance with any applicable law or regulation and to make any representation or warranty with respect thereto as may be requested by the Company.</w:t>
      </w:r>
    </w:p>
    <w:p>
      <w:pPr>
        <w:spacing w:after="0" w:line="77" w:lineRule="exact"/>
        <w:rPr>
          <w:sz w:val="20"/>
          <w:szCs w:val="20"/>
          <w:color w:val="auto"/>
        </w:rPr>
      </w:pPr>
    </w:p>
    <w:p>
      <w:pPr>
        <w:ind w:left="400" w:hanging="394"/>
        <w:spacing w:after="0"/>
        <w:tabs>
          <w:tab w:leader="none" w:pos="400"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TERMINATION OR AMENDMENT OF PLAN</w:t>
      </w:r>
      <w:r>
        <w:rPr>
          <w:rFonts w:ascii="Arial" w:cs="Arial" w:eastAsia="Arial" w:hAnsi="Arial"/>
          <w:sz w:val="18"/>
          <w:szCs w:val="18"/>
          <w:b w:val="1"/>
          <w:bCs w:val="1"/>
          <w:color w:val="auto"/>
        </w:rPr>
        <w:t>.</w:t>
      </w:r>
    </w:p>
    <w:p>
      <w:pPr>
        <w:spacing w:after="0" w:line="117" w:lineRule="exact"/>
        <w:rPr>
          <w:sz w:val="20"/>
          <w:szCs w:val="20"/>
          <w:color w:val="auto"/>
        </w:rPr>
      </w:pPr>
    </w:p>
    <w:p>
      <w:pPr>
        <w:jc w:val="both"/>
        <w:ind w:firstLine="637"/>
        <w:spacing w:after="0" w:line="265" w:lineRule="auto"/>
        <w:rPr>
          <w:sz w:val="20"/>
          <w:szCs w:val="20"/>
          <w:color w:val="auto"/>
        </w:rPr>
      </w:pPr>
      <w:r>
        <w:rPr>
          <w:rFonts w:ascii="Arial" w:cs="Arial" w:eastAsia="Arial" w:hAnsi="Arial"/>
          <w:sz w:val="17"/>
          <w:szCs w:val="17"/>
          <w:color w:val="auto"/>
        </w:rPr>
        <w:t>The Board may terminate or amend the Plan at any time. However, subject to changes in applicable law, regulations or rules that would permit otherwise, without the approval of the Company’s stockholders, there shall be (a) no increase in the maximum aggregate number of shares of Stock that may be issued under the Plan (except by operation of the provisions of Section 4.3), (b) no change in the class of persons eligible to receive Incentive Stock Options, and (c) no other amendment of the Plan that would require approval of the Company’s stockholders under any applicable law, regulation or rule. No termination or amendment of the Plan shall affect any then outstanding Award unless expressly provided by the Board. In any event, no termination or amendment of the Plan may adversely affect any then outstanding Award without the consent of the Participant, unless such termination or amendment is required to enable an Option designated as an Incentive Stock Option to qualify as an Incentive Stock Option or is necessary to comply with any applicable law, regulation or rule.</w:t>
      </w:r>
    </w:p>
    <w:p>
      <w:pPr>
        <w:spacing w:after="0" w:line="71" w:lineRule="exact"/>
        <w:rPr>
          <w:sz w:val="20"/>
          <w:szCs w:val="20"/>
          <w:color w:val="auto"/>
        </w:rPr>
      </w:pPr>
    </w:p>
    <w:p>
      <w:pPr>
        <w:ind w:left="400" w:hanging="394"/>
        <w:spacing w:after="0"/>
        <w:tabs>
          <w:tab w:leader="none" w:pos="400"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STOCKHOLDER APPROVAL</w:t>
      </w:r>
      <w:r>
        <w:rPr>
          <w:rFonts w:ascii="Arial" w:cs="Arial" w:eastAsia="Arial" w:hAnsi="Arial"/>
          <w:sz w:val="18"/>
          <w:szCs w:val="18"/>
          <w:b w:val="1"/>
          <w:bCs w:val="1"/>
          <w:color w:val="auto"/>
        </w:rPr>
        <w:t>.</w:t>
      </w:r>
    </w:p>
    <w:p>
      <w:pPr>
        <w:spacing w:after="0" w:line="117" w:lineRule="exact"/>
        <w:rPr>
          <w:sz w:val="20"/>
          <w:szCs w:val="20"/>
          <w:color w:val="auto"/>
        </w:rPr>
      </w:pPr>
    </w:p>
    <w:p>
      <w:pPr>
        <w:jc w:val="both"/>
        <w:ind w:firstLine="637"/>
        <w:spacing w:after="0" w:line="252" w:lineRule="auto"/>
        <w:rPr>
          <w:sz w:val="20"/>
          <w:szCs w:val="20"/>
          <w:color w:val="auto"/>
        </w:rPr>
      </w:pPr>
      <w:r>
        <w:rPr>
          <w:rFonts w:ascii="Arial" w:cs="Arial" w:eastAsia="Arial" w:hAnsi="Arial"/>
          <w:sz w:val="18"/>
          <w:szCs w:val="18"/>
          <w:color w:val="auto"/>
        </w:rPr>
        <w:t>Any increase in the maximum aggregate number of shares of Stock issuable under the Plan as provided in Section 4.1 (the “</w:t>
      </w:r>
      <w:r>
        <w:rPr>
          <w:rFonts w:ascii="Arial" w:cs="Arial" w:eastAsia="Arial" w:hAnsi="Arial"/>
          <w:sz w:val="18"/>
          <w:szCs w:val="18"/>
          <w:b w:val="1"/>
          <w:bCs w:val="1"/>
          <w:i w:val="1"/>
          <w:iCs w:val="1"/>
          <w:color w:val="auto"/>
        </w:rPr>
        <w:t>Authorized Shares</w:t>
      </w:r>
      <w:r>
        <w:rPr>
          <w:rFonts w:ascii="Arial" w:cs="Arial" w:eastAsia="Arial" w:hAnsi="Arial"/>
          <w:sz w:val="18"/>
          <w:szCs w:val="18"/>
          <w:color w:val="auto"/>
        </w:rPr>
        <w:t>”) shall be approved by the stockholders of the Company within twelve (12) months of the date of adoption thereof by the Board. Awards granted in excess of the Authorized Shares previously approved by the stockholders shall become exercisable no earlier than the date of stockholder approval of such increase in the Authorized Shares.</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552" w:right="339" w:bottom="1440" w:gutter="0" w:footer="0" w:header="0"/>
        </w:sectPr>
      </w:pPr>
    </w:p>
    <w:bookmarkStart w:id="69" w:name="page70"/>
    <w:bookmarkEnd w:id="69"/>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line="473" w:lineRule="auto"/>
        <w:rPr>
          <w:sz w:val="20"/>
          <w:szCs w:val="20"/>
          <w:color w:val="auto"/>
        </w:rPr>
      </w:pPr>
      <w:r>
        <w:rPr>
          <w:rFonts w:ascii="Arial" w:cs="Arial" w:eastAsia="Arial" w:hAnsi="Arial"/>
          <w:sz w:val="15"/>
          <w:szCs w:val="15"/>
          <w:color w:val="auto"/>
        </w:rPr>
        <w:t>February 1, 2002 February 8, 2002 May 21, 2002 May 24, 2002 July 1, 2002 February 8, 2005 February 23,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-104140</wp:posOffset>
            </wp:positionV>
            <wp:extent cx="117094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170940" cy="825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-314960</wp:posOffset>
            </wp:positionV>
            <wp:extent cx="117094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170940" cy="825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-525145</wp:posOffset>
            </wp:positionV>
            <wp:extent cx="117094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170940" cy="825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-735965</wp:posOffset>
            </wp:positionV>
            <wp:extent cx="117094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170940" cy="825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-946785</wp:posOffset>
            </wp:positionV>
            <wp:extent cx="117094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170940" cy="825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-1156970</wp:posOffset>
            </wp:positionV>
            <wp:extent cx="117094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170940" cy="825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-1367790</wp:posOffset>
            </wp:positionV>
            <wp:extent cx="117094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170940" cy="8255"/>
                    </a:xfrm>
                    <a:prstGeom prst="rect">
                      <a:avLst/>
                    </a:prstGeom>
                    <a:noFill/>
                  </pic:spPr>
                </pic:pic>
              </a:graphicData>
            </a:graphic>
          </wp:anchor>
        </w:drawing>
      </w:r>
    </w:p>
    <w:p>
      <w:pPr>
        <w:spacing w:after="0" w:line="94" w:lineRule="exact"/>
        <w:rPr>
          <w:sz w:val="20"/>
          <w:szCs w:val="20"/>
          <w:color w:val="auto"/>
        </w:rPr>
      </w:pPr>
    </w:p>
    <w:p>
      <w:pPr>
        <w:spacing w:after="0"/>
        <w:rPr>
          <w:sz w:val="20"/>
          <w:szCs w:val="20"/>
          <w:color w:val="auto"/>
        </w:rPr>
      </w:pPr>
      <w:r>
        <w:rPr>
          <w:rFonts w:ascii="Arial" w:cs="Arial" w:eastAsia="Arial" w:hAnsi="Arial"/>
          <w:sz w:val="15"/>
          <w:szCs w:val="15"/>
          <w:color w:val="auto"/>
        </w:rPr>
        <w:t>February 25,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33020</wp:posOffset>
            </wp:positionV>
            <wp:extent cx="117094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170940" cy="8255"/>
                    </a:xfrm>
                    <a:prstGeom prst="rect">
                      <a:avLst/>
                    </a:prstGeom>
                    <a:noFill/>
                  </pic:spPr>
                </pic:pic>
              </a:graphicData>
            </a:graphic>
          </wp:anchor>
        </w:drawing>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July 22,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11430</wp:posOffset>
            </wp:positionV>
            <wp:extent cx="117094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1709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5"/>
          <w:szCs w:val="15"/>
          <w:color w:val="auto"/>
        </w:rPr>
        <w:t>February 23,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33020</wp:posOffset>
            </wp:positionV>
            <wp:extent cx="117094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170940" cy="8255"/>
                    </a:xfrm>
                    <a:prstGeom prst="rect">
                      <a:avLst/>
                    </a:prstGeom>
                    <a:noFill/>
                  </pic:spPr>
                </pic:pic>
              </a:graphicData>
            </a:graphic>
          </wp:anchor>
        </w:drawing>
      </w:r>
    </w:p>
    <w:p>
      <w:pPr>
        <w:spacing w:after="0" w:line="139" w:lineRule="exact"/>
        <w:rPr>
          <w:sz w:val="20"/>
          <w:szCs w:val="20"/>
          <w:color w:val="auto"/>
        </w:rPr>
      </w:pPr>
    </w:p>
    <w:p>
      <w:pPr>
        <w:spacing w:after="0"/>
        <w:rPr>
          <w:sz w:val="20"/>
          <w:szCs w:val="20"/>
          <w:color w:val="auto"/>
        </w:rPr>
      </w:pPr>
      <w:r>
        <w:rPr>
          <w:rFonts w:ascii="Arial" w:cs="Arial" w:eastAsia="Arial" w:hAnsi="Arial"/>
          <w:sz w:val="15"/>
          <w:szCs w:val="15"/>
          <w:color w:val="auto"/>
        </w:rPr>
        <w:t>February 22,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33020</wp:posOffset>
            </wp:positionV>
            <wp:extent cx="117094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170940" cy="8255"/>
                    </a:xfrm>
                    <a:prstGeom prst="rect">
                      <a:avLst/>
                    </a:prstGeom>
                    <a:noFill/>
                  </pic:spPr>
                </pic:pic>
              </a:graphicData>
            </a:graphic>
          </wp:anchor>
        </w:drawing>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March 4,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11430</wp:posOffset>
            </wp:positionV>
            <wp:extent cx="117094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1709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right="180"/>
        <w:spacing w:after="0" w:line="532" w:lineRule="auto"/>
        <w:rPr>
          <w:sz w:val="20"/>
          <w:szCs w:val="20"/>
          <w:color w:val="auto"/>
        </w:rPr>
      </w:pPr>
      <w:r>
        <w:rPr>
          <w:rFonts w:ascii="Arial" w:cs="Arial" w:eastAsia="Arial" w:hAnsi="Arial"/>
          <w:sz w:val="15"/>
          <w:szCs w:val="15"/>
          <w:color w:val="auto"/>
        </w:rPr>
        <w:t>April 27, 2016 March 10,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-131445</wp:posOffset>
            </wp:positionV>
            <wp:extent cx="117094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170940" cy="825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-342265</wp:posOffset>
            </wp:positionV>
            <wp:extent cx="117094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170940" cy="8255"/>
                    </a:xfrm>
                    <a:prstGeom prst="rect">
                      <a:avLst/>
                    </a:prstGeom>
                    <a:noFill/>
                  </pic:spPr>
                </pic:pic>
              </a:graphicData>
            </a:graphic>
          </wp:anchor>
        </w:drawing>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March 8,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11430</wp:posOffset>
            </wp:positionV>
            <wp:extent cx="117094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1709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March 7,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11430</wp:posOffset>
            </wp:positionV>
            <wp:extent cx="117094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170940" cy="8255"/>
                    </a:xfrm>
                    <a:prstGeom prst="rect">
                      <a:avLst/>
                    </a:prstGeom>
                    <a:noFill/>
                  </pic:spPr>
                </pic:pic>
              </a:graphicData>
            </a:graphic>
          </wp:anchor>
        </w:drawing>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March 5,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11430</wp:posOffset>
            </wp:positionV>
            <wp:extent cx="117094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170940" cy="8255"/>
                    </a:xfrm>
                    <a:prstGeom prst="rect">
                      <a:avLst/>
                    </a:prstGeom>
                    <a:noFill/>
                  </pic:spPr>
                </pic:pic>
              </a:graphicData>
            </a:graphic>
          </wp:anchor>
        </w:drawing>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March 4,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11430</wp:posOffset>
            </wp:positionV>
            <wp:extent cx="117094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170940" cy="8255"/>
                    </a:xfrm>
                    <a:prstGeom prst="rect">
                      <a:avLst/>
                    </a:prstGeom>
                    <a:noFill/>
                  </pic:spPr>
                </pic:pic>
              </a:graphicData>
            </a:graphic>
          </wp:anchor>
        </w:drawing>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color w:val="auto"/>
        </w:rPr>
        <w:t>March 2,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11430</wp:posOffset>
            </wp:positionV>
            <wp:extent cx="117094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1709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2980"/>
        <w:spacing w:after="0"/>
        <w:rPr>
          <w:sz w:val="20"/>
          <w:szCs w:val="20"/>
          <w:color w:val="auto"/>
        </w:rPr>
      </w:pPr>
      <w:r>
        <w:rPr>
          <w:rFonts w:ascii="Arial" w:cs="Arial" w:eastAsia="Arial" w:hAnsi="Arial"/>
          <w:sz w:val="18"/>
          <w:szCs w:val="18"/>
          <w:b w:val="1"/>
          <w:bCs w:val="1"/>
          <w:u w:val="single" w:color="auto"/>
          <w:color w:val="auto"/>
        </w:rPr>
        <w:t>PLAN HISTORY</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Board adopts Plan, with an initial reserve of 948.35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11430</wp:posOffset>
            </wp:positionV>
            <wp:extent cx="587121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871210" cy="8255"/>
                    </a:xfrm>
                    <a:prstGeom prst="rect">
                      <a:avLst/>
                    </a:prstGeom>
                    <a:noFill/>
                  </pic:spPr>
                </pic:pic>
              </a:graphicData>
            </a:graphic>
          </wp:anchor>
        </w:drawing>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Stockholders approve Plan, with an initial reserve of 948.35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11430</wp:posOffset>
            </wp:positionV>
            <wp:extent cx="587121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871210" cy="8255"/>
                    </a:xfrm>
                    <a:prstGeom prst="rect">
                      <a:avLst/>
                    </a:prstGeom>
                    <a:noFill/>
                  </pic:spPr>
                </pic:pic>
              </a:graphicData>
            </a:graphic>
          </wp:anchor>
        </w:drawing>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Board adopts amended Plan, with a reserve of 948,100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11430</wp:posOffset>
            </wp:positionV>
            <wp:extent cx="587121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871210" cy="8255"/>
                    </a:xfrm>
                    <a:prstGeom prst="rect">
                      <a:avLst/>
                    </a:prstGeom>
                    <a:noFill/>
                  </pic:spPr>
                </pic:pic>
              </a:graphicData>
            </a:graphic>
          </wp:anchor>
        </w:drawing>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Stockholders approve amended Plan, with a reserve of 948,100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11430</wp:posOffset>
            </wp:positionV>
            <wp:extent cx="587121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871210" cy="8255"/>
                    </a:xfrm>
                    <a:prstGeom prst="rect">
                      <a:avLst/>
                    </a:prstGeom>
                    <a:noFill/>
                  </pic:spPr>
                </pic:pic>
              </a:graphicData>
            </a:graphic>
          </wp:anchor>
        </w:drawing>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Board adopts amended Plan; including discretionary bonus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11430</wp:posOffset>
            </wp:positionV>
            <wp:extent cx="587121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871210" cy="8255"/>
                    </a:xfrm>
                    <a:prstGeom prst="rect">
                      <a:avLst/>
                    </a:prstGeom>
                    <a:noFill/>
                  </pic:spPr>
                </pic:pic>
              </a:graphicData>
            </a:graphic>
          </wp:anchor>
        </w:drawing>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Compensation Committee adopts Second Amended and Restated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11430</wp:posOffset>
            </wp:positionV>
            <wp:extent cx="587121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871210" cy="8255"/>
                    </a:xfrm>
                    <a:prstGeom prst="rect">
                      <a:avLst/>
                    </a:prstGeom>
                    <a:noFill/>
                  </pic:spPr>
                </pic:pic>
              </a:graphicData>
            </a:graphic>
          </wp:anchor>
        </w:drawing>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Compensation Committee adopts Third Amended and Restated Plan, increasing the reserve by 1,000,000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11430</wp:posOffset>
            </wp:positionV>
            <wp:extent cx="587121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871210" cy="8255"/>
                    </a:xfrm>
                    <a:prstGeom prst="rect">
                      <a:avLst/>
                    </a:prstGeom>
                    <a:noFill/>
                  </pic:spPr>
                </pic:pic>
              </a:graphicData>
            </a:graphic>
          </wp:anchor>
        </w:drawing>
      </w:r>
    </w:p>
    <w:p>
      <w:pPr>
        <w:spacing w:after="0" w:line="105" w:lineRule="exact"/>
        <w:rPr>
          <w:sz w:val="20"/>
          <w:szCs w:val="20"/>
          <w:color w:val="auto"/>
        </w:rPr>
      </w:pPr>
    </w:p>
    <w:p>
      <w:pPr>
        <w:ind w:right="60"/>
        <w:spacing w:after="0" w:line="229" w:lineRule="auto"/>
        <w:rPr>
          <w:sz w:val="20"/>
          <w:szCs w:val="20"/>
          <w:color w:val="auto"/>
        </w:rPr>
      </w:pPr>
      <w:r>
        <w:rPr>
          <w:rFonts w:ascii="Arial" w:cs="Arial" w:eastAsia="Arial" w:hAnsi="Arial"/>
          <w:sz w:val="18"/>
          <w:szCs w:val="18"/>
          <w:color w:val="auto"/>
        </w:rPr>
        <w:t>Compensation Committee amends Third Amended and Restated Plan, increasing the reserve by 700,000 shares and providing for performance-based awards, approved by stockholders at their 2009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1270</wp:posOffset>
            </wp:positionV>
            <wp:extent cx="587121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871210" cy="8255"/>
                    </a:xfrm>
                    <a:prstGeom prst="rect">
                      <a:avLst/>
                    </a:prstGeom>
                    <a:noFill/>
                  </pic:spPr>
                </pic:pic>
              </a:graphicData>
            </a:graphic>
          </wp:anchor>
        </w:drawing>
      </w:r>
    </w:p>
    <w:p>
      <w:pPr>
        <w:spacing w:after="0" w:line="89" w:lineRule="exact"/>
        <w:rPr>
          <w:sz w:val="20"/>
          <w:szCs w:val="20"/>
          <w:color w:val="auto"/>
        </w:rPr>
      </w:pPr>
    </w:p>
    <w:p>
      <w:pPr>
        <w:ind w:right="260"/>
        <w:spacing w:after="0" w:line="229" w:lineRule="auto"/>
        <w:rPr>
          <w:sz w:val="20"/>
          <w:szCs w:val="20"/>
          <w:color w:val="auto"/>
        </w:rPr>
      </w:pPr>
      <w:r>
        <w:rPr>
          <w:rFonts w:ascii="Arial" w:cs="Arial" w:eastAsia="Arial" w:hAnsi="Arial"/>
          <w:sz w:val="18"/>
          <w:szCs w:val="18"/>
          <w:color w:val="auto"/>
        </w:rPr>
        <w:t>Board amends the Plan to allow for Compensation Committee discretion with regard to the payment of dividends on restricted stock grants.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1270</wp:posOffset>
            </wp:positionV>
            <wp:extent cx="587121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871210" cy="8255"/>
                    </a:xfrm>
                    <a:prstGeom prst="rect">
                      <a:avLst/>
                    </a:prstGeom>
                    <a:noFill/>
                  </pic:spPr>
                </pic:pic>
              </a:graphicData>
            </a:graphic>
          </wp:anchor>
        </w:drawing>
      </w:r>
    </w:p>
    <w:p>
      <w:pPr>
        <w:spacing w:after="0" w:line="89" w:lineRule="exact"/>
        <w:rPr>
          <w:sz w:val="20"/>
          <w:szCs w:val="20"/>
          <w:color w:val="auto"/>
        </w:rPr>
      </w:pPr>
    </w:p>
    <w:p>
      <w:pPr>
        <w:ind w:right="120"/>
        <w:spacing w:after="0" w:line="263" w:lineRule="auto"/>
        <w:rPr>
          <w:sz w:val="20"/>
          <w:szCs w:val="20"/>
          <w:color w:val="auto"/>
        </w:rPr>
      </w:pPr>
      <w:r>
        <w:rPr>
          <w:rFonts w:ascii="Arial" w:cs="Arial" w:eastAsia="Arial" w:hAnsi="Arial"/>
          <w:sz w:val="15"/>
          <w:szCs w:val="15"/>
          <w:color w:val="auto"/>
        </w:rPr>
        <w:t>Compensation Committee amends Third Amended and Restated Plan, increasing the reserve by 750,000 shares. The Plan was also amended to clarify the Compensation Committee’s authority to prescribe adjustments to the performance measures set forth in Section 12.2 of the Plan, which are used to set performance goals for incentive awards under the Plan that are intended to be exempt from the deduction limitation provisions of Section 162(m) of the Internal Revenue Code of 1986.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-8255</wp:posOffset>
            </wp:positionV>
            <wp:extent cx="587121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871210" cy="8255"/>
                    </a:xfrm>
                    <a:prstGeom prst="rect">
                      <a:avLst/>
                    </a:prstGeom>
                    <a:noFill/>
                  </pic:spPr>
                </pic:pic>
              </a:graphicData>
            </a:graphic>
          </wp:anchor>
        </w:drawing>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Compensation Committee amends Third Amended and Restated Plan, increasing the reserve by 500,000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11430</wp:posOffset>
            </wp:positionV>
            <wp:extent cx="587121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871210" cy="8255"/>
                    </a:xfrm>
                    <a:prstGeom prst="rect">
                      <a:avLst/>
                    </a:prstGeom>
                    <a:noFill/>
                  </pic:spPr>
                </pic:pic>
              </a:graphicData>
            </a:graphic>
          </wp:anchor>
        </w:drawing>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Compensation Committee amends Third Amended and Restated Plan, increasing the reserve by 500,000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11430</wp:posOffset>
            </wp:positionV>
            <wp:extent cx="587121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871210" cy="8255"/>
                    </a:xfrm>
                    <a:prstGeom prst="rect">
                      <a:avLst/>
                    </a:prstGeom>
                    <a:noFill/>
                  </pic:spPr>
                </pic:pic>
              </a:graphicData>
            </a:graphic>
          </wp:anchor>
        </w:drawing>
      </w:r>
    </w:p>
    <w:p>
      <w:pPr>
        <w:spacing w:after="0" w:line="105" w:lineRule="exact"/>
        <w:rPr>
          <w:sz w:val="20"/>
          <w:szCs w:val="20"/>
          <w:color w:val="auto"/>
        </w:rPr>
      </w:pPr>
    </w:p>
    <w:p>
      <w:pPr>
        <w:spacing w:after="0" w:line="251" w:lineRule="auto"/>
        <w:rPr>
          <w:sz w:val="20"/>
          <w:szCs w:val="20"/>
          <w:color w:val="auto"/>
        </w:rPr>
      </w:pPr>
      <w:r>
        <w:rPr>
          <w:rFonts w:ascii="Arial" w:cs="Arial" w:eastAsia="Arial" w:hAnsi="Arial"/>
          <w:sz w:val="15"/>
          <w:szCs w:val="15"/>
          <w:color w:val="auto"/>
        </w:rPr>
        <w:t>The material terms of the Plan were amended to expand potential performance measures that can be established by the Board or the Compensation Committee with respect to annual incentive awards or performance-based awards. The Fourth Amendment also permits the Board or the Compensation Committee to adjust the performance measures in a manner that complies with Treasury Regulations governing modifications to performance measures under Section 162(m) of the Internal Revenue Code. Additionally, under the Fourth Amendment, the Board or Compensation Committee may designate any awards available under the Plan as performance-based awards. Finally, the Fourth Amendment restricts the number of shares of the Company’s common stock that can be settled, or cash that can be paid, in respect of a performance-based award in a single calendar year to any Plan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-1270</wp:posOffset>
            </wp:positionV>
            <wp:extent cx="587121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871210" cy="8255"/>
                    </a:xfrm>
                    <a:prstGeom prst="rect">
                      <a:avLst/>
                    </a:prstGeom>
                    <a:noFill/>
                  </pic:spPr>
                </pic:pic>
              </a:graphicData>
            </a:graphic>
          </wp:anchor>
        </w:drawing>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Compensation Committee adopts Fourth Amended and Restated Plan, increasing the reserve by 250,000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11430</wp:posOffset>
            </wp:positionV>
            <wp:extent cx="587121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871210" cy="8255"/>
                    </a:xfrm>
                    <a:prstGeom prst="rect">
                      <a:avLst/>
                    </a:prstGeom>
                    <a:noFill/>
                  </pic:spPr>
                </pic:pic>
              </a:graphicData>
            </a:graphic>
          </wp:anchor>
        </w:drawing>
      </w:r>
    </w:p>
    <w:p>
      <w:pPr>
        <w:spacing w:after="0" w:line="105" w:lineRule="exact"/>
        <w:rPr>
          <w:sz w:val="20"/>
          <w:szCs w:val="20"/>
          <w:color w:val="auto"/>
        </w:rPr>
      </w:pPr>
    </w:p>
    <w:p>
      <w:pPr>
        <w:ind w:right="80"/>
        <w:spacing w:after="0" w:line="229" w:lineRule="auto"/>
        <w:rPr>
          <w:sz w:val="20"/>
          <w:szCs w:val="20"/>
          <w:color w:val="auto"/>
        </w:rPr>
      </w:pPr>
      <w:r>
        <w:rPr>
          <w:rFonts w:ascii="Arial" w:cs="Arial" w:eastAsia="Arial" w:hAnsi="Arial"/>
          <w:sz w:val="18"/>
          <w:szCs w:val="18"/>
          <w:color w:val="auto"/>
        </w:rPr>
        <w:t>Compensation Committee adopts Fifth Amended and Restated Plan, increasing the reserve by 200,000 shares and prohibiting the accrual and payment of dividends on option awards granted under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1270</wp:posOffset>
            </wp:positionV>
            <wp:extent cx="587121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871210" cy="8255"/>
                    </a:xfrm>
                    <a:prstGeom prst="rect">
                      <a:avLst/>
                    </a:prstGeom>
                    <a:noFill/>
                  </pic:spPr>
                </pic:pic>
              </a:graphicData>
            </a:graphic>
          </wp:anchor>
        </w:drawing>
      </w:r>
    </w:p>
    <w:p>
      <w:pPr>
        <w:spacing w:after="0" w:line="89" w:lineRule="exact"/>
        <w:rPr>
          <w:sz w:val="20"/>
          <w:szCs w:val="20"/>
          <w:color w:val="auto"/>
        </w:rPr>
      </w:pPr>
    </w:p>
    <w:p>
      <w:pPr>
        <w:ind w:right="60"/>
        <w:spacing w:after="0" w:line="227" w:lineRule="auto"/>
        <w:rPr>
          <w:sz w:val="20"/>
          <w:szCs w:val="20"/>
          <w:color w:val="auto"/>
        </w:rPr>
      </w:pPr>
      <w:r>
        <w:rPr>
          <w:rFonts w:ascii="Arial" w:cs="Arial" w:eastAsia="Arial" w:hAnsi="Arial"/>
          <w:sz w:val="17"/>
          <w:szCs w:val="17"/>
          <w:color w:val="auto"/>
        </w:rPr>
        <w:t>Compensation Committee adopts Sixth Amended and Restated Plan, increasing the reserve by 200,000 shares. The Plan was also amended to (a) include Stock Appreciation Rights, Restricted Stock Units, and Other Stock-Based Awards as types of Awards available for issuance under the Plan, (b) conform the Plan to changes made to Section 162(m) of the Code by the Tax Cuts and Jobs Act of 2017, and (c) to make certain other clarifying and administrative changes.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1270</wp:posOffset>
            </wp:positionV>
            <wp:extent cx="587121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871210" cy="8255"/>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Compensation Committee adopts Seventh Amended and Restated Plan, increasing the reserve by 350,000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11430</wp:posOffset>
            </wp:positionV>
            <wp:extent cx="587121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871210" cy="8255"/>
                    </a:xfrm>
                    <a:prstGeom prst="rect">
                      <a:avLst/>
                    </a:prstGeom>
                    <a:noFill/>
                  </pic:spPr>
                </pic:pic>
              </a:graphicData>
            </a:graphic>
          </wp:anchor>
        </w:drawing>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Compensation Committee adopts Eighth Amended and Restated Plan, increasing the reserve by 250,000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11430</wp:posOffset>
            </wp:positionV>
            <wp:extent cx="587121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871210" cy="8255"/>
                    </a:xfrm>
                    <a:prstGeom prst="rect">
                      <a:avLst/>
                    </a:prstGeom>
                    <a:noFill/>
                  </pic:spPr>
                </pic:pic>
              </a:graphicData>
            </a:graphic>
          </wp:anchor>
        </w:drawing>
      </w:r>
    </w:p>
    <w:p>
      <w:pPr>
        <w:spacing w:after="0" w:line="158" w:lineRule="exact"/>
        <w:rPr>
          <w:sz w:val="20"/>
          <w:szCs w:val="20"/>
          <w:color w:val="auto"/>
        </w:rPr>
      </w:pPr>
    </w:p>
    <w:p>
      <w:pPr>
        <w:ind w:right="100"/>
        <w:spacing w:after="0" w:line="229" w:lineRule="auto"/>
        <w:rPr>
          <w:sz w:val="20"/>
          <w:szCs w:val="20"/>
          <w:color w:val="auto"/>
        </w:rPr>
      </w:pPr>
      <w:r>
        <w:rPr>
          <w:rFonts w:ascii="Arial" w:cs="Arial" w:eastAsia="Arial" w:hAnsi="Arial"/>
          <w:sz w:val="18"/>
          <w:szCs w:val="18"/>
          <w:color w:val="auto"/>
        </w:rPr>
        <w:t>Compensation Committee adopts First Amendment to the Eighth Amended and Restated Plan, increasing the reserve by 250,000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1270</wp:posOffset>
            </wp:positionV>
            <wp:extent cx="587121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8712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16</w:t>
      </w:r>
    </w:p>
    <w:p>
      <w:pPr>
        <w:sectPr>
          <w:pgSz w:w="11900" w:h="16838" w:orient="portrait"/>
          <w:cols w:equalWidth="0" w:num="2">
            <w:col w:w="1300" w:space="660"/>
            <w:col w:w="9200"/>
          </w:cols>
          <w:pgMar w:left="340" w:top="439" w:right="399" w:bottom="1440" w:gutter="0" w:footer="0" w:header="0"/>
        </w:sectPr>
      </w:pPr>
    </w:p>
    <w:bookmarkStart w:id="70" w:name="page71"/>
    <w:bookmarkEnd w:id="70"/>
    <w:p>
      <w:pPr>
        <w:jc w:val="right"/>
        <w:spacing w:after="0"/>
        <w:rPr>
          <w:sz w:val="20"/>
          <w:szCs w:val="20"/>
          <w:color w:val="auto"/>
        </w:rPr>
      </w:pPr>
      <w:r>
        <w:rPr>
          <w:rFonts w:ascii="Arial" w:cs="Arial" w:eastAsia="Arial" w:hAnsi="Arial"/>
          <w:sz w:val="21"/>
          <w:szCs w:val="21"/>
          <w:b w:val="1"/>
          <w:bCs w:val="1"/>
          <w:color w:val="auto"/>
        </w:rPr>
        <w:t>Appendix B</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TEXT OF PROPOSED AMENDMENTS TO THE CERTIFICATE OF INCORPORATION</w:t>
      </w:r>
    </w:p>
    <w:p>
      <w:pPr>
        <w:spacing w:after="0" w:line="356" w:lineRule="exact"/>
        <w:rPr>
          <w:sz w:val="20"/>
          <w:szCs w:val="20"/>
          <w:color w:val="auto"/>
        </w:rPr>
      </w:pPr>
    </w:p>
    <w:p>
      <w:pPr>
        <w:ind w:right="420" w:firstLine="477"/>
        <w:spacing w:after="0" w:line="265" w:lineRule="auto"/>
        <w:rPr>
          <w:sz w:val="20"/>
          <w:szCs w:val="20"/>
          <w:color w:val="auto"/>
        </w:rPr>
      </w:pPr>
      <w:r>
        <w:rPr>
          <w:rFonts w:ascii="Arial" w:cs="Arial" w:eastAsia="Arial" w:hAnsi="Arial"/>
          <w:sz w:val="18"/>
          <w:szCs w:val="18"/>
          <w:color w:val="auto"/>
        </w:rPr>
        <w:t>The Proposed Amendments to the Certificate of Incorporation would amend Sections 7 and 14 thereof as follows, with new language indicated by underlined text and deletions indicated by strikethroughs:</w:t>
      </w:r>
    </w:p>
    <w:p>
      <w:pPr>
        <w:spacing w:after="0" w:line="74" w:lineRule="exact"/>
        <w:rPr>
          <w:sz w:val="20"/>
          <w:szCs w:val="20"/>
          <w:color w:val="auto"/>
        </w:rPr>
      </w:pPr>
    </w:p>
    <w:p>
      <w:pPr>
        <w:ind w:right="100" w:firstLine="477"/>
        <w:spacing w:after="0" w:line="249" w:lineRule="auto"/>
        <w:rPr>
          <w:sz w:val="20"/>
          <w:szCs w:val="20"/>
          <w:color w:val="auto"/>
        </w:rPr>
      </w:pPr>
      <w:r>
        <w:rPr>
          <w:rFonts w:ascii="Arial" w:cs="Arial" w:eastAsia="Arial" w:hAnsi="Arial"/>
          <w:sz w:val="18"/>
          <w:szCs w:val="18"/>
          <w:color w:val="auto"/>
        </w:rPr>
        <w:t xml:space="preserve">Section 7. In furtherance and not in limitation of the powers conferred by statute, the Bylaws of the Corporation may be altered, amended, or repealed or new Bylaws may be adopted by the Board of Directors at any regular or special meeting of the Board, subject to the stockholders’ right to adopt, amend or repeal these Bylaws or adopt new Bylaws. Notwithstanding the foregoing and anything contained in the Bylaws to the contrary, the Bylaws shall not be amended or repealed by the stockholders, and no provision inconsistent therewith shall be adopted by the stockholders, without the affirmative vote of the holders of at least </w:t>
      </w:r>
      <w:r>
        <w:rPr>
          <w:rFonts w:ascii="Arial" w:cs="Arial" w:eastAsia="Arial" w:hAnsi="Arial"/>
          <w:sz w:val="18"/>
          <w:szCs w:val="18"/>
          <w:color w:val="auto"/>
          <w:strike w:val="1"/>
        </w:rPr>
        <w:t>two-thirds (2/3)</w:t>
      </w:r>
      <w:r>
        <w:rPr>
          <w:rFonts w:ascii="Arial" w:cs="Arial" w:eastAsia="Arial" w:hAnsi="Arial"/>
          <w:sz w:val="18"/>
          <w:szCs w:val="18"/>
          <w:color w:val="auto"/>
        </w:rPr>
        <w:t xml:space="preserve"> </w:t>
      </w:r>
      <w:r>
        <w:rPr>
          <w:rFonts w:ascii="Arial" w:cs="Arial" w:eastAsia="Arial" w:hAnsi="Arial"/>
          <w:sz w:val="18"/>
          <w:szCs w:val="18"/>
          <w:u w:val="single" w:color="auto"/>
          <w:color w:val="auto"/>
        </w:rPr>
        <w:t>a majority</w:t>
      </w:r>
      <w:r>
        <w:rPr>
          <w:rFonts w:ascii="Arial" w:cs="Arial" w:eastAsia="Arial" w:hAnsi="Arial"/>
          <w:sz w:val="18"/>
          <w:szCs w:val="18"/>
          <w:color w:val="auto"/>
        </w:rPr>
        <w:t xml:space="preserve"> of the voting power of all shares of the Corporation entitled to vote generally in the election of directors voting together as a single class.</w:t>
      </w:r>
    </w:p>
    <w:p>
      <w:pPr>
        <w:spacing w:after="0" w:line="85" w:lineRule="exact"/>
        <w:rPr>
          <w:sz w:val="20"/>
          <w:szCs w:val="20"/>
          <w:color w:val="auto"/>
        </w:rPr>
      </w:pPr>
    </w:p>
    <w:p>
      <w:pPr>
        <w:jc w:val="center"/>
        <w:ind w:left="460"/>
        <w:spacing w:after="0"/>
        <w:rPr>
          <w:sz w:val="20"/>
          <w:szCs w:val="20"/>
          <w:color w:val="auto"/>
        </w:rPr>
      </w:pPr>
      <w:r>
        <w:rPr>
          <w:rFonts w:ascii="Arial" w:cs="Arial" w:eastAsia="Arial" w:hAnsi="Arial"/>
          <w:sz w:val="18"/>
          <w:szCs w:val="18"/>
          <w:b w:val="1"/>
          <w:bCs w:val="1"/>
          <w:color w:val="auto"/>
        </w:rPr>
        <w:t>* * *</w:t>
      </w:r>
    </w:p>
    <w:p>
      <w:pPr>
        <w:spacing w:after="0" w:line="117" w:lineRule="exact"/>
        <w:rPr>
          <w:sz w:val="20"/>
          <w:szCs w:val="20"/>
          <w:color w:val="auto"/>
        </w:rPr>
      </w:pPr>
    </w:p>
    <w:p>
      <w:pPr>
        <w:ind w:right="20" w:firstLine="477"/>
        <w:spacing w:after="0" w:line="249" w:lineRule="auto"/>
        <w:rPr>
          <w:sz w:val="20"/>
          <w:szCs w:val="20"/>
          <w:color w:val="auto"/>
        </w:rPr>
      </w:pPr>
      <w:r>
        <w:rPr>
          <w:rFonts w:ascii="Arial" w:cs="Arial" w:eastAsia="Arial" w:hAnsi="Arial"/>
          <w:sz w:val="18"/>
          <w:szCs w:val="18"/>
          <w:color w:val="auto"/>
        </w:rPr>
        <w:t xml:space="preserve">Section 14. The Corporation reserves the right to amend, alter, change or repeal any provision contained in this Certificate of Incorporation, in the manner now or hereafter prescribed by statute, and all rights conferred upon stockholders herein are granted subject to this reservation. In addition to any </w:t>
      </w:r>
      <w:r>
        <w:rPr>
          <w:rFonts w:ascii="Arial" w:cs="Arial" w:eastAsia="Arial" w:hAnsi="Arial"/>
          <w:sz w:val="18"/>
          <w:szCs w:val="18"/>
          <w:color w:val="auto"/>
          <w:strike w:val="1"/>
        </w:rPr>
        <w:t>affirmative vote required by applicable law or any other provision of this Certificate of Incorporation or specified in any agreement, the affirmative vote of the holders of not less than two-thirds (2/3) of the voting power of all securities of the Corporation entitled to vote generally in the election of directors shall be required to amend, add, alter, change, repeal or adopt any provisions inconsistent with Sections 6, 8, 9, 13 or this Section 14 of this Certificate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6061075</wp:posOffset>
            </wp:positionH>
            <wp:positionV relativeFrom="paragraph">
              <wp:posOffset>-607695</wp:posOffset>
            </wp:positionV>
            <wp:extent cx="82296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444" w:right="3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color w:val="auto"/>
        </w:rPr>
        <w:t>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WESTWOOD HOLDINGS GROUP, INC.</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PROXY</w:t>
      </w: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PROXY SOLICITED BY THE BOARD OF DIRECTORS FOR</w:t>
      </w:r>
    </w:p>
    <w:p>
      <w:pPr>
        <w:spacing w:after="0" w:line="35"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THE ANNUAL MEETING TO BE HELD ON April 27, 2022</w:t>
      </w:r>
    </w:p>
    <w:p>
      <w:pPr>
        <w:spacing w:after="0" w:line="227" w:lineRule="exact"/>
        <w:rPr>
          <w:sz w:val="20"/>
          <w:szCs w:val="20"/>
          <w:color w:val="auto"/>
        </w:rPr>
      </w:pPr>
    </w:p>
    <w:p>
      <w:pPr>
        <w:ind w:firstLine="517"/>
        <w:spacing w:after="0" w:line="236" w:lineRule="auto"/>
        <w:rPr>
          <w:sz w:val="20"/>
          <w:szCs w:val="20"/>
          <w:color w:val="auto"/>
        </w:rPr>
      </w:pPr>
      <w:r>
        <w:rPr>
          <w:rFonts w:ascii="Arial" w:cs="Arial" w:eastAsia="Arial" w:hAnsi="Arial"/>
          <w:sz w:val="18"/>
          <w:szCs w:val="18"/>
          <w:color w:val="auto"/>
        </w:rPr>
        <w:t xml:space="preserve">The undersigned hereby appoints Brian O. Casey and Murray "Terry" Forbes III, jointly and severally, as the undersigned’s proxy or proxies, each with full power of substitution and to act without the other, to vote in the manner directed herein all shares of common stock of Westwood Holdings Group, Inc. which the undersigned is entitled to vote at the Annual Meeting of Stockholders to be held at </w:t>
      </w:r>
      <w:r>
        <w:rPr>
          <w:rFonts w:ascii="Arial" w:cs="Arial" w:eastAsia="Arial" w:hAnsi="Arial"/>
          <w:sz w:val="18"/>
          <w:szCs w:val="18"/>
          <w:i w:val="1"/>
          <w:iCs w:val="1"/>
          <w:u w:val="single" w:color="auto"/>
          <w:color w:val="auto"/>
        </w:rPr>
        <w:t>www.virtualshareholdermeeting.com/WHG2022</w:t>
      </w:r>
      <w:r>
        <w:rPr>
          <w:rFonts w:ascii="Arial" w:cs="Arial" w:eastAsia="Arial" w:hAnsi="Arial"/>
          <w:sz w:val="18"/>
          <w:szCs w:val="18"/>
          <w:color w:val="auto"/>
        </w:rPr>
        <w:t xml:space="preserve"> on Wednesday, April 27, 2022, at 10:00 a.m., Central Time, and any postponements or adjournments thereof, as fully as the undersigned could if personally present, revoking any proxy or proxies heretofore given.</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(Continued and to be signed on the reverse side)</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20"/>
          </w:cols>
          <w:pgMar w:left="320" w:top="683" w:right="359" w:bottom="1440" w:gutter="0" w:footer="0" w:header="0"/>
        </w:sectPr>
      </w:pPr>
    </w:p>
    <w:bookmarkStart w:id="72" w:name="page73"/>
    <w:bookmarkEnd w:id="72"/>
    <w:p>
      <w:pPr>
        <w:spacing w:after="0"/>
        <w:tabs>
          <w:tab w:leader="none" w:pos="11080" w:val="left"/>
        </w:tabs>
        <w:rPr>
          <w:sz w:val="20"/>
          <w:szCs w:val="20"/>
          <w:color w:val="auto"/>
        </w:rPr>
      </w:pPr>
      <w:r>
        <w:rPr>
          <w:rFonts w:ascii="Arial" w:cs="Arial" w:eastAsia="Arial" w:hAnsi="Arial"/>
          <w:sz w:val="17"/>
          <w:szCs w:val="17"/>
          <w:color w:val="auto"/>
        </w:rPr>
        <w:t>n</w:t>
      </w:r>
      <w:r>
        <w:rPr>
          <w:sz w:val="20"/>
          <w:szCs w:val="20"/>
          <w:color w:val="auto"/>
        </w:rPr>
        <w:tab/>
      </w:r>
      <w:r>
        <w:rPr>
          <w:rFonts w:ascii="Arial" w:cs="Arial" w:eastAsia="Arial" w:hAnsi="Arial"/>
          <w:sz w:val="17"/>
          <w:szCs w:val="17"/>
          <w:color w:val="auto"/>
        </w:rPr>
        <w:t>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339725</wp:posOffset>
            </wp:positionV>
            <wp:extent cx="7143115" cy="34112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3115" cy="3411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left="520"/>
        <w:spacing w:after="0"/>
        <w:rPr>
          <w:sz w:val="20"/>
          <w:szCs w:val="20"/>
          <w:color w:val="auto"/>
        </w:rPr>
      </w:pPr>
      <w:r>
        <w:rPr>
          <w:rFonts w:ascii="Arial" w:cs="Arial" w:eastAsia="Arial" w:hAnsi="Arial"/>
          <w:sz w:val="14"/>
          <w:szCs w:val="14"/>
          <w:b w:val="1"/>
          <w:bCs w:val="1"/>
          <w:color w:val="auto"/>
        </w:rPr>
        <w:t>The Board of Directors recommends a vote “FOR” all director nominees in Proposal 1 and “FOR” Proposals 2, 3, 4 and 5.</w:t>
      </w:r>
    </w:p>
    <w:p>
      <w:pPr>
        <w:spacing w:after="0" w:line="78" w:lineRule="exact"/>
        <w:rPr>
          <w:sz w:val="20"/>
          <w:szCs w:val="20"/>
          <w:color w:val="auto"/>
        </w:rPr>
      </w:pPr>
    </w:p>
    <w:p>
      <w:pPr>
        <w:jc w:val="center"/>
        <w:ind w:left="520"/>
        <w:spacing w:after="0"/>
        <w:rPr>
          <w:sz w:val="20"/>
          <w:szCs w:val="20"/>
          <w:color w:val="auto"/>
        </w:rPr>
      </w:pPr>
      <w:r>
        <w:rPr>
          <w:rFonts w:ascii="Arial" w:cs="Arial" w:eastAsia="Arial" w:hAnsi="Arial"/>
          <w:sz w:val="14"/>
          <w:szCs w:val="14"/>
          <w:b w:val="1"/>
          <w:bCs w:val="1"/>
          <w:color w:val="auto"/>
        </w:rPr>
        <w:t xml:space="preserve">PLEASE SIGN, DATE AND RETURN PROMPTLY IN THE ENCLOSED ENVELOPE. PLEASE MARK YOUR VOTE IN BLUE OR BLACK INK AS SHOWN HERE  </w:t>
      </w:r>
      <w:r>
        <w:rPr>
          <w:rFonts w:ascii="Arial" w:cs="Arial" w:eastAsia="Arial" w:hAnsi="Arial"/>
          <w:sz w:val="14"/>
          <w:szCs w:val="14"/>
          <w:color w:val="auto"/>
        </w:rPr>
        <w:t>x</w:t>
      </w:r>
    </w:p>
    <w:p>
      <w:pPr>
        <w:sectPr>
          <w:pgSz w:w="11900" w:h="16838" w:orient="portrait"/>
          <w:cols w:equalWidth="0" w:num="1">
            <w:col w:w="11240"/>
          </w:cols>
          <w:pgMar w:left="340" w:top="1372" w:right="319" w:bottom="1440" w:gutter="0" w:footer="0" w:header="0"/>
        </w:sectPr>
      </w:pPr>
    </w:p>
    <w:p>
      <w:pPr>
        <w:spacing w:after="0" w:line="228" w:lineRule="exact"/>
        <w:rPr>
          <w:sz w:val="20"/>
          <w:szCs w:val="20"/>
          <w:color w:val="auto"/>
        </w:rPr>
      </w:pPr>
    </w:p>
    <w:p>
      <w:pPr>
        <w:jc w:val="both"/>
        <w:ind w:right="1020" w:firstLine="4"/>
        <w:spacing w:after="0" w:line="221" w:lineRule="auto"/>
        <w:tabs>
          <w:tab w:leader="none" w:pos="141" w:val="left"/>
        </w:tabs>
        <w:numPr>
          <w:ilvl w:val="0"/>
          <w:numId w:val="110"/>
        </w:numPr>
        <w:rPr>
          <w:rFonts w:ascii="Arial" w:cs="Arial" w:eastAsia="Arial" w:hAnsi="Arial"/>
          <w:sz w:val="14"/>
          <w:szCs w:val="14"/>
          <w:color w:val="auto"/>
        </w:rPr>
      </w:pPr>
      <w:r>
        <w:rPr>
          <w:rFonts w:ascii="Arial" w:cs="Arial" w:eastAsia="Arial" w:hAnsi="Arial"/>
          <w:sz w:val="14"/>
          <w:szCs w:val="14"/>
          <w:color w:val="auto"/>
        </w:rPr>
        <w:t>Election of six directors to hold office until the next annual meeting of Westwood’s stockholders and until their respective successors shall have been duly elected and qualified.</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36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1100" w:type="dxa"/>
            <w:vAlign w:val="bottom"/>
          </w:tcPr>
          <w:p>
            <w:pPr>
              <w:jc w:val="center"/>
              <w:ind w:left="177"/>
              <w:spacing w:after="0"/>
              <w:rPr>
                <w:sz w:val="20"/>
                <w:szCs w:val="20"/>
                <w:color w:val="auto"/>
              </w:rPr>
            </w:pPr>
            <w:r>
              <w:rPr>
                <w:rFonts w:ascii="Arial" w:cs="Arial" w:eastAsia="Arial" w:hAnsi="Arial"/>
                <w:sz w:val="11"/>
                <w:szCs w:val="11"/>
                <w:color w:val="auto"/>
                <w:w w:val="85"/>
              </w:rPr>
              <w:t>FOR</w:t>
            </w:r>
          </w:p>
        </w:tc>
        <w:tc>
          <w:tcPr>
            <w:tcW w:w="1060" w:type="dxa"/>
            <w:vAlign w:val="bottom"/>
          </w:tcPr>
          <w:p>
            <w:pPr>
              <w:jc w:val="center"/>
              <w:spacing w:after="0"/>
              <w:rPr>
                <w:sz w:val="20"/>
                <w:szCs w:val="20"/>
                <w:color w:val="auto"/>
              </w:rPr>
            </w:pPr>
            <w:r>
              <w:rPr>
                <w:rFonts w:ascii="Arial" w:cs="Arial" w:eastAsia="Arial" w:hAnsi="Arial"/>
                <w:sz w:val="11"/>
                <w:szCs w:val="11"/>
                <w:color w:val="auto"/>
                <w:w w:val="95"/>
              </w:rPr>
              <w:t>AGAINST</w:t>
            </w:r>
          </w:p>
        </w:tc>
        <w:tc>
          <w:tcPr>
            <w:tcW w:w="720" w:type="dxa"/>
            <w:vAlign w:val="bottom"/>
          </w:tcPr>
          <w:p>
            <w:pPr>
              <w:jc w:val="center"/>
              <w:ind w:left="177"/>
              <w:spacing w:after="0"/>
              <w:rPr>
                <w:sz w:val="20"/>
                <w:szCs w:val="20"/>
                <w:color w:val="auto"/>
              </w:rPr>
            </w:pPr>
            <w:r>
              <w:rPr>
                <w:rFonts w:ascii="Arial" w:cs="Arial" w:eastAsia="Arial" w:hAnsi="Arial"/>
                <w:sz w:val="11"/>
                <w:szCs w:val="11"/>
                <w:color w:val="auto"/>
                <w:w w:val="97"/>
              </w:rPr>
              <w:t>ABSTAIN</w:t>
            </w:r>
          </w:p>
        </w:tc>
      </w:tr>
      <w:tr>
        <w:trPr>
          <w:trHeight w:val="302"/>
        </w:trPr>
        <w:tc>
          <w:tcPr>
            <w:tcW w:w="360" w:type="dxa"/>
            <w:vAlign w:val="bottom"/>
          </w:tcPr>
          <w:p>
            <w:pPr>
              <w:jc w:val="right"/>
              <w:ind w:right="89"/>
              <w:spacing w:after="0"/>
              <w:rPr>
                <w:sz w:val="20"/>
                <w:szCs w:val="20"/>
                <w:color w:val="auto"/>
              </w:rPr>
            </w:pPr>
            <w:r>
              <w:rPr>
                <w:rFonts w:ascii="Arial" w:cs="Arial" w:eastAsia="Arial" w:hAnsi="Arial"/>
                <w:sz w:val="14"/>
                <w:szCs w:val="14"/>
                <w:color w:val="auto"/>
                <w:w w:val="88"/>
              </w:rPr>
              <w:t>01)</w:t>
            </w:r>
          </w:p>
        </w:tc>
        <w:tc>
          <w:tcPr>
            <w:tcW w:w="1920" w:type="dxa"/>
            <w:vAlign w:val="bottom"/>
          </w:tcPr>
          <w:p>
            <w:pPr>
              <w:ind w:left="180"/>
              <w:spacing w:after="0"/>
              <w:rPr>
                <w:sz w:val="20"/>
                <w:szCs w:val="20"/>
                <w:color w:val="auto"/>
              </w:rPr>
            </w:pPr>
            <w:r>
              <w:rPr>
                <w:rFonts w:ascii="Arial" w:cs="Arial" w:eastAsia="Arial" w:hAnsi="Arial"/>
                <w:sz w:val="14"/>
                <w:szCs w:val="14"/>
                <w:color w:val="auto"/>
              </w:rPr>
              <w:t>Brian O. Casey</w:t>
            </w:r>
          </w:p>
        </w:tc>
        <w:tc>
          <w:tcPr>
            <w:tcW w:w="1100" w:type="dxa"/>
            <w:vAlign w:val="bottom"/>
          </w:tcPr>
          <w:p>
            <w:pPr>
              <w:jc w:val="center"/>
              <w:ind w:left="177"/>
              <w:spacing w:after="0"/>
              <w:rPr>
                <w:sz w:val="20"/>
                <w:szCs w:val="20"/>
                <w:color w:val="auto"/>
              </w:rPr>
            </w:pPr>
            <w:r>
              <w:rPr>
                <w:rFonts w:ascii="Arial" w:cs="Arial" w:eastAsia="Arial" w:hAnsi="Arial"/>
                <w:sz w:val="18"/>
                <w:szCs w:val="18"/>
                <w:b w:val="1"/>
                <w:bCs w:val="1"/>
                <w:color w:val="auto"/>
              </w:rPr>
              <w:t>o</w:t>
            </w: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0"/>
              </w:rPr>
              <w:t>o</w:t>
            </w:r>
          </w:p>
        </w:tc>
        <w:tc>
          <w:tcPr>
            <w:tcW w:w="720" w:type="dxa"/>
            <w:vAlign w:val="bottom"/>
          </w:tcPr>
          <w:p>
            <w:pPr>
              <w:jc w:val="center"/>
              <w:ind w:left="177"/>
              <w:spacing w:after="0"/>
              <w:rPr>
                <w:sz w:val="20"/>
                <w:szCs w:val="20"/>
                <w:color w:val="auto"/>
              </w:rPr>
            </w:pPr>
            <w:r>
              <w:rPr>
                <w:rFonts w:ascii="Arial" w:cs="Arial" w:eastAsia="Arial" w:hAnsi="Arial"/>
                <w:sz w:val="18"/>
                <w:szCs w:val="18"/>
                <w:b w:val="1"/>
                <w:bCs w:val="1"/>
                <w:color w:val="auto"/>
                <w:w w:val="90"/>
              </w:rPr>
              <w:t>o</w:t>
            </w:r>
          </w:p>
        </w:tc>
      </w:tr>
      <w:tr>
        <w:trPr>
          <w:trHeight w:val="227"/>
        </w:trPr>
        <w:tc>
          <w:tcPr>
            <w:tcW w:w="360" w:type="dxa"/>
            <w:vAlign w:val="bottom"/>
          </w:tcPr>
          <w:p>
            <w:pPr>
              <w:jc w:val="right"/>
              <w:ind w:right="89"/>
              <w:spacing w:after="0"/>
              <w:rPr>
                <w:sz w:val="20"/>
                <w:szCs w:val="20"/>
                <w:color w:val="auto"/>
              </w:rPr>
            </w:pPr>
            <w:r>
              <w:rPr>
                <w:rFonts w:ascii="Arial" w:cs="Arial" w:eastAsia="Arial" w:hAnsi="Arial"/>
                <w:sz w:val="14"/>
                <w:szCs w:val="14"/>
                <w:color w:val="auto"/>
                <w:w w:val="88"/>
              </w:rPr>
              <w:t>02)</w:t>
            </w:r>
          </w:p>
        </w:tc>
        <w:tc>
          <w:tcPr>
            <w:tcW w:w="1920" w:type="dxa"/>
            <w:vAlign w:val="bottom"/>
          </w:tcPr>
          <w:p>
            <w:pPr>
              <w:ind w:left="180"/>
              <w:spacing w:after="0"/>
              <w:rPr>
                <w:sz w:val="20"/>
                <w:szCs w:val="20"/>
                <w:color w:val="auto"/>
              </w:rPr>
            </w:pPr>
            <w:r>
              <w:rPr>
                <w:rFonts w:ascii="Arial" w:cs="Arial" w:eastAsia="Arial" w:hAnsi="Arial"/>
                <w:sz w:val="14"/>
                <w:szCs w:val="14"/>
                <w:color w:val="auto"/>
              </w:rPr>
              <w:t>Richard M. Frank</w:t>
            </w:r>
          </w:p>
        </w:tc>
        <w:tc>
          <w:tcPr>
            <w:tcW w:w="1100" w:type="dxa"/>
            <w:vAlign w:val="bottom"/>
          </w:tcPr>
          <w:p>
            <w:pPr>
              <w:jc w:val="center"/>
              <w:ind w:left="177"/>
              <w:spacing w:after="0"/>
              <w:rPr>
                <w:sz w:val="20"/>
                <w:szCs w:val="20"/>
                <w:color w:val="auto"/>
              </w:rPr>
            </w:pPr>
            <w:r>
              <w:rPr>
                <w:rFonts w:ascii="Arial" w:cs="Arial" w:eastAsia="Arial" w:hAnsi="Arial"/>
                <w:sz w:val="18"/>
                <w:szCs w:val="18"/>
                <w:b w:val="1"/>
                <w:bCs w:val="1"/>
                <w:color w:val="auto"/>
              </w:rPr>
              <w:t>o</w:t>
            </w: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0"/>
              </w:rPr>
              <w:t>o</w:t>
            </w:r>
          </w:p>
        </w:tc>
        <w:tc>
          <w:tcPr>
            <w:tcW w:w="720" w:type="dxa"/>
            <w:vAlign w:val="bottom"/>
          </w:tcPr>
          <w:p>
            <w:pPr>
              <w:jc w:val="center"/>
              <w:ind w:left="177"/>
              <w:spacing w:after="0"/>
              <w:rPr>
                <w:sz w:val="20"/>
                <w:szCs w:val="20"/>
                <w:color w:val="auto"/>
              </w:rPr>
            </w:pPr>
            <w:r>
              <w:rPr>
                <w:rFonts w:ascii="Arial" w:cs="Arial" w:eastAsia="Arial" w:hAnsi="Arial"/>
                <w:sz w:val="18"/>
                <w:szCs w:val="18"/>
                <w:b w:val="1"/>
                <w:bCs w:val="1"/>
                <w:color w:val="auto"/>
                <w:w w:val="90"/>
              </w:rPr>
              <w:t>o</w:t>
            </w:r>
          </w:p>
        </w:tc>
      </w:tr>
      <w:tr>
        <w:trPr>
          <w:trHeight w:val="226"/>
        </w:trPr>
        <w:tc>
          <w:tcPr>
            <w:tcW w:w="360" w:type="dxa"/>
            <w:vAlign w:val="bottom"/>
          </w:tcPr>
          <w:p>
            <w:pPr>
              <w:jc w:val="right"/>
              <w:ind w:right="89"/>
              <w:spacing w:after="0"/>
              <w:rPr>
                <w:sz w:val="20"/>
                <w:szCs w:val="20"/>
                <w:color w:val="auto"/>
              </w:rPr>
            </w:pPr>
            <w:r>
              <w:rPr>
                <w:rFonts w:ascii="Arial" w:cs="Arial" w:eastAsia="Arial" w:hAnsi="Arial"/>
                <w:sz w:val="14"/>
                <w:szCs w:val="14"/>
                <w:color w:val="auto"/>
                <w:w w:val="88"/>
              </w:rPr>
              <w:t>03)</w:t>
            </w:r>
          </w:p>
        </w:tc>
        <w:tc>
          <w:tcPr>
            <w:tcW w:w="1920" w:type="dxa"/>
            <w:vAlign w:val="bottom"/>
          </w:tcPr>
          <w:p>
            <w:pPr>
              <w:ind w:left="180"/>
              <w:spacing w:after="0"/>
              <w:rPr>
                <w:sz w:val="20"/>
                <w:szCs w:val="20"/>
                <w:color w:val="auto"/>
              </w:rPr>
            </w:pPr>
            <w:r>
              <w:rPr>
                <w:rFonts w:ascii="Arial" w:cs="Arial" w:eastAsia="Arial" w:hAnsi="Arial"/>
                <w:sz w:val="14"/>
                <w:szCs w:val="14"/>
                <w:color w:val="auto"/>
              </w:rPr>
              <w:t>Susan M. Byrne</w:t>
            </w:r>
          </w:p>
        </w:tc>
        <w:tc>
          <w:tcPr>
            <w:tcW w:w="1100" w:type="dxa"/>
            <w:vAlign w:val="bottom"/>
          </w:tcPr>
          <w:p>
            <w:pPr>
              <w:jc w:val="center"/>
              <w:ind w:left="177"/>
              <w:spacing w:after="0"/>
              <w:rPr>
                <w:sz w:val="20"/>
                <w:szCs w:val="20"/>
                <w:color w:val="auto"/>
              </w:rPr>
            </w:pPr>
            <w:r>
              <w:rPr>
                <w:rFonts w:ascii="Arial" w:cs="Arial" w:eastAsia="Arial" w:hAnsi="Arial"/>
                <w:sz w:val="18"/>
                <w:szCs w:val="18"/>
                <w:b w:val="1"/>
                <w:bCs w:val="1"/>
                <w:color w:val="auto"/>
              </w:rPr>
              <w:t>o</w:t>
            </w: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0"/>
              </w:rPr>
              <w:t>o</w:t>
            </w:r>
          </w:p>
        </w:tc>
        <w:tc>
          <w:tcPr>
            <w:tcW w:w="720" w:type="dxa"/>
            <w:vAlign w:val="bottom"/>
          </w:tcPr>
          <w:p>
            <w:pPr>
              <w:jc w:val="center"/>
              <w:ind w:left="177"/>
              <w:spacing w:after="0"/>
              <w:rPr>
                <w:sz w:val="20"/>
                <w:szCs w:val="20"/>
                <w:color w:val="auto"/>
              </w:rPr>
            </w:pPr>
            <w:r>
              <w:rPr>
                <w:rFonts w:ascii="Arial" w:cs="Arial" w:eastAsia="Arial" w:hAnsi="Arial"/>
                <w:sz w:val="18"/>
                <w:szCs w:val="18"/>
                <w:b w:val="1"/>
                <w:bCs w:val="1"/>
                <w:color w:val="auto"/>
                <w:w w:val="90"/>
              </w:rPr>
              <w:t>o</w:t>
            </w:r>
          </w:p>
        </w:tc>
      </w:tr>
      <w:tr>
        <w:trPr>
          <w:trHeight w:val="226"/>
        </w:trPr>
        <w:tc>
          <w:tcPr>
            <w:tcW w:w="360" w:type="dxa"/>
            <w:vAlign w:val="bottom"/>
          </w:tcPr>
          <w:p>
            <w:pPr>
              <w:jc w:val="right"/>
              <w:ind w:right="89"/>
              <w:spacing w:after="0"/>
              <w:rPr>
                <w:sz w:val="20"/>
                <w:szCs w:val="20"/>
                <w:color w:val="auto"/>
              </w:rPr>
            </w:pPr>
            <w:r>
              <w:rPr>
                <w:rFonts w:ascii="Arial" w:cs="Arial" w:eastAsia="Arial" w:hAnsi="Arial"/>
                <w:sz w:val="14"/>
                <w:szCs w:val="14"/>
                <w:color w:val="auto"/>
                <w:w w:val="88"/>
              </w:rPr>
              <w:t>04)</w:t>
            </w:r>
          </w:p>
        </w:tc>
        <w:tc>
          <w:tcPr>
            <w:tcW w:w="1920" w:type="dxa"/>
            <w:vAlign w:val="bottom"/>
          </w:tcPr>
          <w:p>
            <w:pPr>
              <w:ind w:left="180"/>
              <w:spacing w:after="0"/>
              <w:rPr>
                <w:sz w:val="20"/>
                <w:szCs w:val="20"/>
                <w:color w:val="auto"/>
              </w:rPr>
            </w:pPr>
            <w:r>
              <w:rPr>
                <w:rFonts w:ascii="Arial" w:cs="Arial" w:eastAsia="Arial" w:hAnsi="Arial"/>
                <w:sz w:val="14"/>
                <w:szCs w:val="14"/>
                <w:color w:val="auto"/>
              </w:rPr>
              <w:t>Ellen H. Masterson</w:t>
            </w:r>
          </w:p>
        </w:tc>
        <w:tc>
          <w:tcPr>
            <w:tcW w:w="1100" w:type="dxa"/>
            <w:vAlign w:val="bottom"/>
          </w:tcPr>
          <w:p>
            <w:pPr>
              <w:jc w:val="center"/>
              <w:ind w:left="177"/>
              <w:spacing w:after="0"/>
              <w:rPr>
                <w:sz w:val="20"/>
                <w:szCs w:val="20"/>
                <w:color w:val="auto"/>
              </w:rPr>
            </w:pPr>
            <w:r>
              <w:rPr>
                <w:rFonts w:ascii="Arial" w:cs="Arial" w:eastAsia="Arial" w:hAnsi="Arial"/>
                <w:sz w:val="18"/>
                <w:szCs w:val="18"/>
                <w:b w:val="1"/>
                <w:bCs w:val="1"/>
                <w:color w:val="auto"/>
              </w:rPr>
              <w:t>o</w:t>
            </w: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0"/>
              </w:rPr>
              <w:t>o</w:t>
            </w:r>
          </w:p>
        </w:tc>
        <w:tc>
          <w:tcPr>
            <w:tcW w:w="720" w:type="dxa"/>
            <w:vAlign w:val="bottom"/>
          </w:tcPr>
          <w:p>
            <w:pPr>
              <w:jc w:val="center"/>
              <w:ind w:left="177"/>
              <w:spacing w:after="0"/>
              <w:rPr>
                <w:sz w:val="20"/>
                <w:szCs w:val="20"/>
                <w:color w:val="auto"/>
              </w:rPr>
            </w:pPr>
            <w:r>
              <w:rPr>
                <w:rFonts w:ascii="Arial" w:cs="Arial" w:eastAsia="Arial" w:hAnsi="Arial"/>
                <w:sz w:val="18"/>
                <w:szCs w:val="18"/>
                <w:b w:val="1"/>
                <w:bCs w:val="1"/>
                <w:color w:val="auto"/>
                <w:w w:val="90"/>
              </w:rPr>
              <w:t>o</w:t>
            </w:r>
          </w:p>
        </w:tc>
      </w:tr>
      <w:tr>
        <w:trPr>
          <w:trHeight w:val="226"/>
        </w:trPr>
        <w:tc>
          <w:tcPr>
            <w:tcW w:w="360" w:type="dxa"/>
            <w:vAlign w:val="bottom"/>
          </w:tcPr>
          <w:p>
            <w:pPr>
              <w:jc w:val="right"/>
              <w:ind w:right="89"/>
              <w:spacing w:after="0"/>
              <w:rPr>
                <w:sz w:val="20"/>
                <w:szCs w:val="20"/>
                <w:color w:val="auto"/>
              </w:rPr>
            </w:pPr>
            <w:r>
              <w:rPr>
                <w:rFonts w:ascii="Arial" w:cs="Arial" w:eastAsia="Arial" w:hAnsi="Arial"/>
                <w:sz w:val="14"/>
                <w:szCs w:val="14"/>
                <w:color w:val="auto"/>
                <w:w w:val="88"/>
              </w:rPr>
              <w:t>05)</w:t>
            </w:r>
          </w:p>
        </w:tc>
        <w:tc>
          <w:tcPr>
            <w:tcW w:w="1920" w:type="dxa"/>
            <w:vAlign w:val="bottom"/>
          </w:tcPr>
          <w:p>
            <w:pPr>
              <w:ind w:left="180"/>
              <w:spacing w:after="0"/>
              <w:rPr>
                <w:sz w:val="20"/>
                <w:szCs w:val="20"/>
                <w:color w:val="auto"/>
              </w:rPr>
            </w:pPr>
            <w:r>
              <w:rPr>
                <w:rFonts w:ascii="Arial" w:cs="Arial" w:eastAsia="Arial" w:hAnsi="Arial"/>
                <w:sz w:val="14"/>
                <w:szCs w:val="14"/>
                <w:color w:val="auto"/>
              </w:rPr>
              <w:t>Geoffrey R. Norman</w:t>
            </w:r>
          </w:p>
        </w:tc>
        <w:tc>
          <w:tcPr>
            <w:tcW w:w="1100" w:type="dxa"/>
            <w:vAlign w:val="bottom"/>
          </w:tcPr>
          <w:p>
            <w:pPr>
              <w:jc w:val="center"/>
              <w:ind w:left="177"/>
              <w:spacing w:after="0"/>
              <w:rPr>
                <w:sz w:val="20"/>
                <w:szCs w:val="20"/>
                <w:color w:val="auto"/>
              </w:rPr>
            </w:pPr>
            <w:r>
              <w:rPr>
                <w:rFonts w:ascii="Arial" w:cs="Arial" w:eastAsia="Arial" w:hAnsi="Arial"/>
                <w:sz w:val="18"/>
                <w:szCs w:val="18"/>
                <w:b w:val="1"/>
                <w:bCs w:val="1"/>
                <w:color w:val="auto"/>
              </w:rPr>
              <w:t>o</w:t>
            </w: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0"/>
              </w:rPr>
              <w:t>o</w:t>
            </w:r>
          </w:p>
        </w:tc>
        <w:tc>
          <w:tcPr>
            <w:tcW w:w="720" w:type="dxa"/>
            <w:vAlign w:val="bottom"/>
          </w:tcPr>
          <w:p>
            <w:pPr>
              <w:jc w:val="center"/>
              <w:ind w:left="177"/>
              <w:spacing w:after="0"/>
              <w:rPr>
                <w:sz w:val="20"/>
                <w:szCs w:val="20"/>
                <w:color w:val="auto"/>
              </w:rPr>
            </w:pPr>
            <w:r>
              <w:rPr>
                <w:rFonts w:ascii="Arial" w:cs="Arial" w:eastAsia="Arial" w:hAnsi="Arial"/>
                <w:sz w:val="18"/>
                <w:szCs w:val="18"/>
                <w:b w:val="1"/>
                <w:bCs w:val="1"/>
                <w:color w:val="auto"/>
                <w:w w:val="90"/>
              </w:rPr>
              <w:t>o</w:t>
            </w:r>
          </w:p>
        </w:tc>
      </w:tr>
      <w:tr>
        <w:trPr>
          <w:trHeight w:val="234"/>
        </w:trPr>
        <w:tc>
          <w:tcPr>
            <w:tcW w:w="360" w:type="dxa"/>
            <w:vAlign w:val="bottom"/>
          </w:tcPr>
          <w:p>
            <w:pPr>
              <w:jc w:val="right"/>
              <w:ind w:right="89"/>
              <w:spacing w:after="0"/>
              <w:rPr>
                <w:sz w:val="20"/>
                <w:szCs w:val="20"/>
                <w:color w:val="auto"/>
              </w:rPr>
            </w:pPr>
            <w:r>
              <w:rPr>
                <w:rFonts w:ascii="Arial" w:cs="Arial" w:eastAsia="Arial" w:hAnsi="Arial"/>
                <w:sz w:val="14"/>
                <w:szCs w:val="14"/>
                <w:color w:val="auto"/>
                <w:w w:val="88"/>
              </w:rPr>
              <w:t>06)</w:t>
            </w:r>
          </w:p>
        </w:tc>
        <w:tc>
          <w:tcPr>
            <w:tcW w:w="1920" w:type="dxa"/>
            <w:vAlign w:val="bottom"/>
          </w:tcPr>
          <w:p>
            <w:pPr>
              <w:ind w:left="180"/>
              <w:spacing w:after="0"/>
              <w:rPr>
                <w:sz w:val="20"/>
                <w:szCs w:val="20"/>
                <w:color w:val="auto"/>
              </w:rPr>
            </w:pPr>
            <w:r>
              <w:rPr>
                <w:rFonts w:ascii="Arial" w:cs="Arial" w:eastAsia="Arial" w:hAnsi="Arial"/>
                <w:sz w:val="14"/>
                <w:szCs w:val="14"/>
                <w:color w:val="auto"/>
              </w:rPr>
              <w:t>Randy A. Bowman</w:t>
            </w:r>
          </w:p>
        </w:tc>
        <w:tc>
          <w:tcPr>
            <w:tcW w:w="1100" w:type="dxa"/>
            <w:vAlign w:val="bottom"/>
          </w:tcPr>
          <w:p>
            <w:pPr>
              <w:jc w:val="center"/>
              <w:ind w:left="177"/>
              <w:spacing w:after="0"/>
              <w:rPr>
                <w:sz w:val="20"/>
                <w:szCs w:val="20"/>
                <w:color w:val="auto"/>
              </w:rPr>
            </w:pPr>
            <w:r>
              <w:rPr>
                <w:rFonts w:ascii="Arial" w:cs="Arial" w:eastAsia="Arial" w:hAnsi="Arial"/>
                <w:sz w:val="18"/>
                <w:szCs w:val="18"/>
                <w:b w:val="1"/>
                <w:bCs w:val="1"/>
                <w:color w:val="auto"/>
              </w:rPr>
              <w:t>o</w:t>
            </w: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0"/>
              </w:rPr>
              <w:t>o</w:t>
            </w:r>
          </w:p>
        </w:tc>
        <w:tc>
          <w:tcPr>
            <w:tcW w:w="720" w:type="dxa"/>
            <w:vAlign w:val="bottom"/>
          </w:tcPr>
          <w:p>
            <w:pPr>
              <w:jc w:val="center"/>
              <w:ind w:left="177"/>
              <w:spacing w:after="0"/>
              <w:rPr>
                <w:sz w:val="20"/>
                <w:szCs w:val="20"/>
                <w:color w:val="auto"/>
              </w:rPr>
            </w:pPr>
            <w:r>
              <w:rPr>
                <w:rFonts w:ascii="Arial" w:cs="Arial" w:eastAsia="Arial" w:hAnsi="Arial"/>
                <w:sz w:val="18"/>
                <w:szCs w:val="18"/>
                <w:b w:val="1"/>
                <w:bCs w:val="1"/>
                <w:color w:val="auto"/>
                <w:w w:val="90"/>
              </w:rPr>
              <w:t>o</w:t>
            </w:r>
          </w:p>
        </w:tc>
      </w:tr>
    </w:tbl>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ind w:left="5" w:hanging="5"/>
        <w:spacing w:after="0" w:line="221" w:lineRule="auto"/>
        <w:tabs>
          <w:tab w:leader="none" w:pos="181" w:val="left"/>
        </w:tabs>
        <w:numPr>
          <w:ilvl w:val="0"/>
          <w:numId w:val="111"/>
        </w:numPr>
        <w:rPr>
          <w:rFonts w:ascii="Arial" w:cs="Arial" w:eastAsia="Arial" w:hAnsi="Arial"/>
          <w:sz w:val="14"/>
          <w:szCs w:val="14"/>
          <w:color w:val="auto"/>
        </w:rPr>
      </w:pPr>
      <w:r>
        <w:rPr>
          <w:rFonts w:ascii="Arial" w:cs="Arial" w:eastAsia="Arial" w:hAnsi="Arial"/>
          <w:sz w:val="14"/>
          <w:szCs w:val="14"/>
          <w:color w:val="auto"/>
        </w:rPr>
        <w:t>Ratification of the appointment of Deloitte &amp; Touche LLP as Westwood’s independent auditors for the year ending December 31, 2022.</w:t>
      </w:r>
    </w:p>
    <w:p>
      <w:pPr>
        <w:spacing w:after="0" w:line="191" w:lineRule="exact"/>
        <w:rPr>
          <w:rFonts w:ascii="Arial" w:cs="Arial" w:eastAsia="Arial" w:hAnsi="Arial"/>
          <w:sz w:val="14"/>
          <w:szCs w:val="14"/>
          <w:color w:val="auto"/>
        </w:rPr>
      </w:pPr>
    </w:p>
    <w:p>
      <w:pPr>
        <w:ind w:left="5" w:hanging="5"/>
        <w:spacing w:after="0" w:line="221" w:lineRule="auto"/>
        <w:tabs>
          <w:tab w:leader="none" w:pos="143" w:val="left"/>
        </w:tabs>
        <w:numPr>
          <w:ilvl w:val="0"/>
          <w:numId w:val="111"/>
        </w:numPr>
        <w:rPr>
          <w:rFonts w:ascii="Arial" w:cs="Arial" w:eastAsia="Arial" w:hAnsi="Arial"/>
          <w:sz w:val="14"/>
          <w:szCs w:val="14"/>
          <w:color w:val="auto"/>
        </w:rPr>
      </w:pPr>
      <w:r>
        <w:rPr>
          <w:rFonts w:ascii="Arial" w:cs="Arial" w:eastAsia="Arial" w:hAnsi="Arial"/>
          <w:sz w:val="14"/>
          <w:szCs w:val="14"/>
          <w:color w:val="auto"/>
        </w:rPr>
        <w:t>To approve the First Amendment to the Eighth Amended and Restated Westwood Holdings Group, Inc. Stock Incentive Plan.</w:t>
      </w:r>
    </w:p>
    <w:p>
      <w:pPr>
        <w:spacing w:after="0" w:line="298" w:lineRule="exact"/>
        <w:rPr>
          <w:rFonts w:ascii="Arial" w:cs="Arial" w:eastAsia="Arial" w:hAnsi="Arial"/>
          <w:sz w:val="14"/>
          <w:szCs w:val="14"/>
          <w:color w:val="auto"/>
        </w:rPr>
      </w:pPr>
    </w:p>
    <w:p>
      <w:pPr>
        <w:ind w:left="5" w:right="100" w:hanging="5"/>
        <w:spacing w:after="0" w:line="233" w:lineRule="auto"/>
        <w:tabs>
          <w:tab w:leader="none" w:pos="146" w:val="left"/>
        </w:tabs>
        <w:numPr>
          <w:ilvl w:val="0"/>
          <w:numId w:val="111"/>
        </w:numPr>
        <w:rPr>
          <w:rFonts w:ascii="Arial" w:cs="Arial" w:eastAsia="Arial" w:hAnsi="Arial"/>
          <w:sz w:val="14"/>
          <w:szCs w:val="14"/>
          <w:color w:val="auto"/>
        </w:rPr>
      </w:pPr>
      <w:r>
        <w:rPr>
          <w:rFonts w:ascii="Arial" w:cs="Arial" w:eastAsia="Arial" w:hAnsi="Arial"/>
          <w:sz w:val="14"/>
          <w:szCs w:val="14"/>
          <w:color w:val="auto"/>
        </w:rPr>
        <w:t>To cast a non-binding, advisory vote on Westwood's executive compensation.</w:t>
      </w:r>
    </w:p>
    <w:p>
      <w:pPr>
        <w:spacing w:after="0" w:line="377" w:lineRule="exact"/>
        <w:rPr>
          <w:rFonts w:ascii="Arial" w:cs="Arial" w:eastAsia="Arial" w:hAnsi="Arial"/>
          <w:sz w:val="14"/>
          <w:szCs w:val="14"/>
          <w:color w:val="auto"/>
        </w:rPr>
      </w:pPr>
    </w:p>
    <w:p>
      <w:pPr>
        <w:ind w:left="5" w:right="20" w:hanging="5"/>
        <w:spacing w:after="0" w:line="258" w:lineRule="auto"/>
        <w:tabs>
          <w:tab w:leader="none" w:pos="146" w:val="left"/>
        </w:tabs>
        <w:numPr>
          <w:ilvl w:val="0"/>
          <w:numId w:val="111"/>
        </w:numPr>
        <w:rPr>
          <w:rFonts w:ascii="Arial" w:cs="Arial" w:eastAsia="Arial" w:hAnsi="Arial"/>
          <w:sz w:val="13"/>
          <w:szCs w:val="13"/>
          <w:color w:val="auto"/>
        </w:rPr>
      </w:pPr>
      <w:r>
        <w:rPr>
          <w:rFonts w:ascii="Arial" w:cs="Arial" w:eastAsia="Arial" w:hAnsi="Arial"/>
          <w:sz w:val="13"/>
          <w:szCs w:val="13"/>
          <w:color w:val="auto"/>
        </w:rPr>
        <w:t>To approve amendments to Westwood's Certificate of Incorporation to eliminate supermajority voting requirements to amend the Certificate and Bylaws.</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tabs>
          <w:tab w:leader="none" w:pos="640" w:val="left"/>
          <w:tab w:leader="none" w:pos="1500" w:val="left"/>
        </w:tabs>
        <w:rPr>
          <w:sz w:val="20"/>
          <w:szCs w:val="20"/>
          <w:color w:val="auto"/>
        </w:rPr>
      </w:pPr>
      <w:r>
        <w:rPr>
          <w:rFonts w:ascii="Arial" w:cs="Arial" w:eastAsia="Arial" w:hAnsi="Arial"/>
          <w:sz w:val="11"/>
          <w:szCs w:val="11"/>
          <w:color w:val="auto"/>
        </w:rPr>
        <w:t>FOR</w:t>
      </w:r>
      <w:r>
        <w:rPr>
          <w:sz w:val="20"/>
          <w:szCs w:val="20"/>
          <w:color w:val="auto"/>
        </w:rPr>
        <w:tab/>
      </w:r>
      <w:r>
        <w:rPr>
          <w:rFonts w:ascii="Arial" w:cs="Arial" w:eastAsia="Arial" w:hAnsi="Arial"/>
          <w:sz w:val="11"/>
          <w:szCs w:val="11"/>
          <w:color w:val="auto"/>
        </w:rPr>
        <w:t>AGAINST</w:t>
      </w:r>
      <w:r>
        <w:rPr>
          <w:sz w:val="20"/>
          <w:szCs w:val="20"/>
          <w:color w:val="auto"/>
        </w:rPr>
        <w:tab/>
      </w:r>
      <w:r>
        <w:rPr>
          <w:rFonts w:ascii="Arial" w:cs="Arial" w:eastAsia="Arial" w:hAnsi="Arial"/>
          <w:sz w:val="10"/>
          <w:szCs w:val="10"/>
          <w:color w:val="auto"/>
        </w:rPr>
        <w:t>ABSTAIN</w:t>
      </w:r>
    </w:p>
    <w:p>
      <w:pPr>
        <w:spacing w:after="0" w:line="20" w:lineRule="exact"/>
        <w:rPr>
          <w:sz w:val="20"/>
          <w:szCs w:val="20"/>
          <w:color w:val="auto"/>
        </w:rPr>
      </w:pPr>
    </w:p>
    <w:p>
      <w:pPr>
        <w:ind w:left="40"/>
        <w:spacing w:after="0"/>
        <w:tabs>
          <w:tab w:leader="none" w:pos="820" w:val="left"/>
          <w:tab w:leader="none" w:pos="1660" w:val="left"/>
        </w:tabs>
        <w:rPr>
          <w:sz w:val="20"/>
          <w:szCs w:val="20"/>
          <w:color w:val="auto"/>
        </w:rPr>
      </w:pPr>
      <w:r>
        <w:rPr>
          <w:rFonts w:ascii="Arial" w:cs="Arial" w:eastAsia="Arial" w:hAnsi="Arial"/>
          <w:sz w:val="18"/>
          <w:szCs w:val="18"/>
          <w:b w:val="1"/>
          <w:bCs w:val="1"/>
          <w:color w:val="auto"/>
        </w:rPr>
        <w:t>o</w:t>
      </w:r>
      <w:r>
        <w:rPr>
          <w:sz w:val="20"/>
          <w:szCs w:val="20"/>
          <w:color w:val="auto"/>
        </w:rPr>
        <w:tab/>
      </w:r>
      <w:r>
        <w:rPr>
          <w:rFonts w:ascii="Arial" w:cs="Arial" w:eastAsia="Arial" w:hAnsi="Arial"/>
          <w:sz w:val="18"/>
          <w:szCs w:val="18"/>
          <w:b w:val="1"/>
          <w:bCs w:val="1"/>
          <w:color w:val="auto"/>
        </w:rPr>
        <w:t>o</w:t>
      </w:r>
      <w:r>
        <w:rPr>
          <w:sz w:val="20"/>
          <w:szCs w:val="20"/>
          <w:color w:val="auto"/>
        </w:rPr>
        <w:tab/>
      </w:r>
      <w:r>
        <w:rPr>
          <w:rFonts w:ascii="Arial" w:cs="Arial" w:eastAsia="Arial" w:hAnsi="Arial"/>
          <w:sz w:val="18"/>
          <w:szCs w:val="18"/>
          <w:b w:val="1"/>
          <w:bCs w:val="1"/>
          <w:color w:val="auto"/>
        </w:rPr>
        <w:t>o</w:t>
      </w:r>
    </w:p>
    <w:p>
      <w:pPr>
        <w:spacing w:after="0" w:line="200" w:lineRule="exact"/>
        <w:rPr>
          <w:sz w:val="20"/>
          <w:szCs w:val="20"/>
          <w:color w:val="auto"/>
        </w:rPr>
      </w:pPr>
    </w:p>
    <w:p>
      <w:pPr>
        <w:spacing w:after="0" w:line="230" w:lineRule="exact"/>
        <w:rPr>
          <w:sz w:val="20"/>
          <w:szCs w:val="20"/>
          <w:color w:val="auto"/>
        </w:rPr>
      </w:pPr>
    </w:p>
    <w:p>
      <w:pPr>
        <w:ind w:left="40"/>
        <w:spacing w:after="0"/>
        <w:tabs>
          <w:tab w:leader="none" w:pos="820" w:val="left"/>
          <w:tab w:leader="none" w:pos="1660" w:val="left"/>
        </w:tabs>
        <w:rPr>
          <w:sz w:val="20"/>
          <w:szCs w:val="20"/>
          <w:color w:val="auto"/>
        </w:rPr>
      </w:pPr>
      <w:r>
        <w:rPr>
          <w:rFonts w:ascii="Arial" w:cs="Arial" w:eastAsia="Arial" w:hAnsi="Arial"/>
          <w:sz w:val="18"/>
          <w:szCs w:val="18"/>
          <w:b w:val="1"/>
          <w:bCs w:val="1"/>
          <w:color w:val="auto"/>
        </w:rPr>
        <w:t>o</w:t>
      </w:r>
      <w:r>
        <w:rPr>
          <w:sz w:val="20"/>
          <w:szCs w:val="20"/>
          <w:color w:val="auto"/>
        </w:rPr>
        <w:tab/>
      </w:r>
      <w:r>
        <w:rPr>
          <w:rFonts w:ascii="Arial" w:cs="Arial" w:eastAsia="Arial" w:hAnsi="Arial"/>
          <w:sz w:val="18"/>
          <w:szCs w:val="18"/>
          <w:b w:val="1"/>
          <w:bCs w:val="1"/>
          <w:color w:val="auto"/>
        </w:rPr>
        <w:t>o</w:t>
      </w:r>
      <w:r>
        <w:rPr>
          <w:sz w:val="20"/>
          <w:szCs w:val="20"/>
          <w:color w:val="auto"/>
        </w:rPr>
        <w:tab/>
      </w:r>
      <w:r>
        <w:rPr>
          <w:rFonts w:ascii="Arial" w:cs="Arial" w:eastAsia="Arial" w:hAnsi="Arial"/>
          <w:sz w:val="18"/>
          <w:szCs w:val="18"/>
          <w:b w:val="1"/>
          <w:bCs w:val="1"/>
          <w:color w:val="auto"/>
        </w:rPr>
        <w:t>o</w:t>
      </w:r>
    </w:p>
    <w:p>
      <w:pPr>
        <w:spacing w:after="0" w:line="200" w:lineRule="exact"/>
        <w:rPr>
          <w:sz w:val="20"/>
          <w:szCs w:val="20"/>
          <w:color w:val="auto"/>
        </w:rPr>
      </w:pPr>
    </w:p>
    <w:p>
      <w:pPr>
        <w:spacing w:after="0" w:line="336" w:lineRule="exact"/>
        <w:rPr>
          <w:sz w:val="20"/>
          <w:szCs w:val="20"/>
          <w:color w:val="auto"/>
        </w:rPr>
      </w:pPr>
    </w:p>
    <w:p>
      <w:pPr>
        <w:ind w:left="40"/>
        <w:spacing w:after="0"/>
        <w:tabs>
          <w:tab w:leader="none" w:pos="820" w:val="left"/>
          <w:tab w:leader="none" w:pos="1660" w:val="left"/>
        </w:tabs>
        <w:rPr>
          <w:sz w:val="20"/>
          <w:szCs w:val="20"/>
          <w:color w:val="auto"/>
        </w:rPr>
      </w:pPr>
      <w:r>
        <w:rPr>
          <w:rFonts w:ascii="Arial" w:cs="Arial" w:eastAsia="Arial" w:hAnsi="Arial"/>
          <w:sz w:val="18"/>
          <w:szCs w:val="18"/>
          <w:b w:val="1"/>
          <w:bCs w:val="1"/>
          <w:color w:val="auto"/>
        </w:rPr>
        <w:t>o</w:t>
      </w:r>
      <w:r>
        <w:rPr>
          <w:sz w:val="20"/>
          <w:szCs w:val="20"/>
          <w:color w:val="auto"/>
        </w:rPr>
        <w:tab/>
      </w:r>
      <w:r>
        <w:rPr>
          <w:rFonts w:ascii="Arial" w:cs="Arial" w:eastAsia="Arial" w:hAnsi="Arial"/>
          <w:sz w:val="18"/>
          <w:szCs w:val="18"/>
          <w:b w:val="1"/>
          <w:bCs w:val="1"/>
          <w:color w:val="auto"/>
        </w:rPr>
        <w:t>o</w:t>
      </w:r>
      <w:r>
        <w:rPr>
          <w:sz w:val="20"/>
          <w:szCs w:val="20"/>
          <w:color w:val="auto"/>
        </w:rPr>
        <w:tab/>
      </w:r>
      <w:r>
        <w:rPr>
          <w:rFonts w:ascii="Arial" w:cs="Arial" w:eastAsia="Arial" w:hAnsi="Arial"/>
          <w:sz w:val="18"/>
          <w:szCs w:val="18"/>
          <w:b w:val="1"/>
          <w:bCs w:val="1"/>
          <w:color w:val="auto"/>
        </w:rPr>
        <w:t>o</w:t>
      </w:r>
    </w:p>
    <w:p>
      <w:pPr>
        <w:spacing w:after="0" w:line="200" w:lineRule="exact"/>
        <w:rPr>
          <w:sz w:val="20"/>
          <w:szCs w:val="20"/>
          <w:color w:val="auto"/>
        </w:rPr>
      </w:pPr>
    </w:p>
    <w:p>
      <w:pPr>
        <w:spacing w:after="0" w:line="270" w:lineRule="exact"/>
        <w:rPr>
          <w:sz w:val="20"/>
          <w:szCs w:val="20"/>
          <w:color w:val="auto"/>
        </w:rPr>
      </w:pPr>
    </w:p>
    <w:p>
      <w:pPr>
        <w:ind w:left="40"/>
        <w:spacing w:after="0"/>
        <w:tabs>
          <w:tab w:leader="none" w:pos="820" w:val="left"/>
          <w:tab w:leader="none" w:pos="1660" w:val="left"/>
        </w:tabs>
        <w:rPr>
          <w:sz w:val="20"/>
          <w:szCs w:val="20"/>
          <w:color w:val="auto"/>
        </w:rPr>
      </w:pPr>
      <w:r>
        <w:rPr>
          <w:rFonts w:ascii="Arial" w:cs="Arial" w:eastAsia="Arial" w:hAnsi="Arial"/>
          <w:sz w:val="18"/>
          <w:szCs w:val="18"/>
          <w:b w:val="1"/>
          <w:bCs w:val="1"/>
          <w:color w:val="auto"/>
        </w:rPr>
        <w:t>o</w:t>
      </w:r>
      <w:r>
        <w:rPr>
          <w:sz w:val="20"/>
          <w:szCs w:val="20"/>
          <w:color w:val="auto"/>
        </w:rPr>
        <w:tab/>
      </w:r>
      <w:r>
        <w:rPr>
          <w:rFonts w:ascii="Arial" w:cs="Arial" w:eastAsia="Arial" w:hAnsi="Arial"/>
          <w:sz w:val="18"/>
          <w:szCs w:val="18"/>
          <w:b w:val="1"/>
          <w:bCs w:val="1"/>
          <w:color w:val="auto"/>
        </w:rPr>
        <w:t>o</w:t>
      </w:r>
      <w:r>
        <w:rPr>
          <w:sz w:val="20"/>
          <w:szCs w:val="20"/>
          <w:color w:val="auto"/>
        </w:rPr>
        <w:tab/>
      </w:r>
      <w:r>
        <w:rPr>
          <w:rFonts w:ascii="Arial" w:cs="Arial" w:eastAsia="Arial" w:hAnsi="Arial"/>
          <w:sz w:val="18"/>
          <w:szCs w:val="18"/>
          <w:b w:val="1"/>
          <w:bCs w:val="1"/>
          <w:color w:val="auto"/>
        </w:rPr>
        <w:t>o</w:t>
      </w:r>
    </w:p>
    <w:p>
      <w:pPr>
        <w:spacing w:after="0" w:line="492" w:lineRule="exact"/>
        <w:rPr>
          <w:sz w:val="20"/>
          <w:szCs w:val="20"/>
          <w:color w:val="auto"/>
        </w:rPr>
      </w:pPr>
    </w:p>
    <w:p>
      <w:pPr>
        <w:sectPr>
          <w:pgSz w:w="11900" w:h="16838" w:orient="portrait"/>
          <w:cols w:equalWidth="0" w:num="3">
            <w:col w:w="5160" w:space="375"/>
            <w:col w:w="3185" w:space="400"/>
            <w:col w:w="2120"/>
          </w:cols>
          <w:pgMar w:left="340" w:top="1372" w:right="319" w:bottom="1440" w:gutter="0" w:footer="0" w:header="0"/>
          <w:type w:val="continuous"/>
        </w:sectPr>
      </w:pPr>
    </w:p>
    <w:p>
      <w:pPr>
        <w:spacing w:after="0" w:line="336" w:lineRule="exact"/>
        <w:rPr>
          <w:sz w:val="20"/>
          <w:szCs w:val="20"/>
          <w:color w:val="auto"/>
        </w:rPr>
      </w:pPr>
    </w:p>
    <w:p>
      <w:pPr>
        <w:ind w:left="5540"/>
        <w:spacing w:after="0"/>
        <w:rPr>
          <w:sz w:val="20"/>
          <w:szCs w:val="20"/>
          <w:color w:val="auto"/>
        </w:rPr>
      </w:pPr>
      <w:r>
        <w:rPr>
          <w:rFonts w:ascii="Arial" w:cs="Arial" w:eastAsia="Arial" w:hAnsi="Arial"/>
          <w:sz w:val="14"/>
          <w:szCs w:val="14"/>
          <w:color w:val="auto"/>
        </w:rPr>
        <w:t>IN THEIR DISCRETION, THE PROXIES ARE AUTHORIZED TO VOTE UPON SUCH</w:t>
      </w:r>
    </w:p>
    <w:p>
      <w:pPr>
        <w:ind w:left="5540"/>
        <w:spacing w:after="0" w:line="197" w:lineRule="auto"/>
        <w:rPr>
          <w:sz w:val="20"/>
          <w:szCs w:val="20"/>
          <w:color w:val="auto"/>
        </w:rPr>
      </w:pPr>
      <w:r>
        <w:rPr>
          <w:rFonts w:ascii="Arial" w:cs="Arial" w:eastAsia="Arial" w:hAnsi="Arial"/>
          <w:sz w:val="14"/>
          <w:szCs w:val="14"/>
          <w:color w:val="auto"/>
        </w:rPr>
        <w:t>OTHER MATTERS AS MAY PROPERLY COME BEFORE THE ANNUAL MEETING OR</w:t>
      </w:r>
    </w:p>
    <w:p>
      <w:pPr>
        <w:spacing w:after="0" w:line="1" w:lineRule="exact"/>
        <w:rPr>
          <w:sz w:val="20"/>
          <w:szCs w:val="20"/>
          <w:color w:val="auto"/>
        </w:rPr>
      </w:pPr>
    </w:p>
    <w:p>
      <w:pPr>
        <w:ind w:left="5540"/>
        <w:spacing w:after="0"/>
        <w:rPr>
          <w:sz w:val="20"/>
          <w:szCs w:val="20"/>
          <w:color w:val="auto"/>
        </w:rPr>
      </w:pPr>
      <w:r>
        <w:rPr>
          <w:rFonts w:ascii="Arial" w:cs="Arial" w:eastAsia="Arial" w:hAnsi="Arial"/>
          <w:sz w:val="14"/>
          <w:szCs w:val="14"/>
          <w:color w:val="auto"/>
        </w:rPr>
        <w:t>ANY POSTPONEMENTS OR ADJOURNMENTS THEREOF.</w:t>
      </w:r>
    </w:p>
    <w:p>
      <w:pPr>
        <w:spacing w:after="0" w:line="239" w:lineRule="exact"/>
        <w:rPr>
          <w:sz w:val="20"/>
          <w:szCs w:val="20"/>
          <w:color w:val="auto"/>
        </w:rPr>
      </w:pPr>
    </w:p>
    <w:p>
      <w:pPr>
        <w:ind w:left="5540" w:right="40"/>
        <w:spacing w:after="0" w:line="219" w:lineRule="auto"/>
        <w:rPr>
          <w:sz w:val="20"/>
          <w:szCs w:val="20"/>
          <w:color w:val="auto"/>
        </w:rPr>
      </w:pPr>
      <w:r>
        <w:rPr>
          <w:rFonts w:ascii="Arial" w:cs="Arial" w:eastAsia="Arial" w:hAnsi="Arial"/>
          <w:sz w:val="12"/>
          <w:szCs w:val="12"/>
          <w:b w:val="1"/>
          <w:bCs w:val="1"/>
          <w:color w:val="auto"/>
        </w:rPr>
        <w:t>THIS PROXY, WHEN PROPERLY EXECUTED, WILL BE VOTED IN ACCORDANCE WITH THE SPECIFICATIONS MADE BELOW, BUT IF NO CHOICE IS INDICATED, THIS PROXY WILL BE VOTED "FOR" ALL DIRECTOR NOMINEES IN PROPOSAL 1 AND "FOR" PROPOSALS 2, 3, 4 AND 5, AND IN THE DISCRETION OF THE PROXIES WITH RESPECT TO ANY OTHER MATTER AS MAY PROPERLY COME BEFORE THE ANNUAL MEETING OR ANY POSTPONEMENTS OR ADJOURNMENTS THEREOF.</w:t>
      </w:r>
    </w:p>
    <w:p>
      <w:pPr>
        <w:sectPr>
          <w:pgSz w:w="11900" w:h="16838" w:orient="portrait"/>
          <w:cols w:equalWidth="0" w:num="1">
            <w:col w:w="11240"/>
          </w:cols>
          <w:pgMar w:left="340" w:top="1372" w:right="319" w:bottom="1440" w:gutter="0" w:footer="0" w:header="0"/>
          <w:type w:val="continuous"/>
        </w:sectPr>
      </w:pPr>
    </w:p>
    <w:p>
      <w:pPr>
        <w:spacing w:after="0" w:line="200" w:lineRule="exact"/>
        <w:rPr>
          <w:sz w:val="20"/>
          <w:szCs w:val="20"/>
          <w:color w:val="auto"/>
        </w:rPr>
      </w:pPr>
    </w:p>
    <w:p>
      <w:pPr>
        <w:spacing w:after="0" w:line="318" w:lineRule="exact"/>
        <w:rPr>
          <w:sz w:val="20"/>
          <w:szCs w:val="20"/>
          <w:color w:val="auto"/>
        </w:rPr>
      </w:pPr>
    </w:p>
    <w:p>
      <w:pPr>
        <w:ind w:left="220"/>
        <w:spacing w:after="0"/>
        <w:rPr>
          <w:sz w:val="20"/>
          <w:szCs w:val="20"/>
          <w:color w:val="auto"/>
        </w:rPr>
      </w:pPr>
      <w:r>
        <w:rPr>
          <w:rFonts w:ascii="Arial" w:cs="Arial" w:eastAsia="Arial" w:hAnsi="Arial"/>
          <w:sz w:val="13"/>
          <w:szCs w:val="13"/>
          <w:color w:val="auto"/>
        </w:rPr>
        <w:t>Signature of Stockholder</w:t>
      </w:r>
    </w:p>
    <w:p>
      <w:pPr>
        <w:spacing w:after="0" w:line="22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w:t>
      </w:r>
    </w:p>
    <w:p>
      <w:pPr>
        <w:jc w:val="right"/>
        <w:spacing w:after="0"/>
        <w:rPr>
          <w:sz w:val="20"/>
          <w:szCs w:val="20"/>
          <w:color w:val="auto"/>
        </w:rPr>
      </w:pPr>
      <w:r>
        <w:rPr>
          <w:rFonts w:ascii="Arial" w:cs="Arial" w:eastAsia="Arial" w:hAnsi="Arial"/>
          <w:sz w:val="14"/>
          <w:szCs w:val="14"/>
          <w:b w:val="1"/>
          <w:bCs w:val="1"/>
          <w:color w:val="auto"/>
        </w:rPr>
        <w:t>Note: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3" w:lineRule="exact"/>
        <w:rPr>
          <w:sz w:val="20"/>
          <w:szCs w:val="20"/>
          <w:color w:val="auto"/>
        </w:rPr>
      </w:pP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186"/>
        </w:trPr>
        <w:tc>
          <w:tcPr>
            <w:tcW w:w="1680" w:type="dxa"/>
            <w:vAlign w:val="bottom"/>
            <w:tcBorders>
              <w:top w:val="single" w:sz="8" w:color="auto"/>
              <w:left w:val="single" w:sz="8" w:color="auto"/>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4"/>
                <w:szCs w:val="14"/>
                <w:color w:val="auto"/>
              </w:rPr>
              <w:t>Date:</w:t>
            </w:r>
          </w:p>
        </w:tc>
        <w:tc>
          <w:tcPr>
            <w:tcW w:w="840" w:type="dxa"/>
            <w:vAlign w:val="bottom"/>
            <w:tcBorders>
              <w:top w:val="single" w:sz="8" w:color="auto"/>
              <w:bottom w:val="single" w:sz="8" w:color="auto"/>
              <w:right w:val="single" w:sz="8" w:color="auto"/>
            </w:tcBorders>
          </w:tcPr>
          <w:p>
            <w:pPr>
              <w:spacing w:after="0"/>
              <w:rPr>
                <w:sz w:val="16"/>
                <w:szCs w:val="16"/>
                <w:color w:val="auto"/>
              </w:rPr>
            </w:pPr>
          </w:p>
        </w:tc>
        <w:tc>
          <w:tcPr>
            <w:tcW w:w="2200" w:type="dxa"/>
            <w:vAlign w:val="bottom"/>
            <w:tcBorders>
              <w:bottom w:val="single" w:sz="8" w:color="auto"/>
              <w:right w:val="single" w:sz="8" w:color="auto"/>
            </w:tcBorders>
          </w:tcPr>
          <w:p>
            <w:pPr>
              <w:ind w:left="680"/>
              <w:spacing w:after="0"/>
              <w:rPr>
                <w:sz w:val="20"/>
                <w:szCs w:val="20"/>
                <w:color w:val="auto"/>
              </w:rPr>
            </w:pPr>
            <w:r>
              <w:rPr>
                <w:rFonts w:ascii="Arial" w:cs="Arial" w:eastAsia="Arial" w:hAnsi="Arial"/>
                <w:sz w:val="14"/>
                <w:szCs w:val="14"/>
                <w:color w:val="auto"/>
                <w:w w:val="96"/>
              </w:rPr>
              <w:t>Signature of Stockholder</w:t>
            </w:r>
          </w:p>
        </w:tc>
        <w:tc>
          <w:tcPr>
            <w:tcW w:w="1940" w:type="dxa"/>
            <w:vAlign w:val="bottom"/>
            <w:tcBorders>
              <w:top w:val="single" w:sz="8" w:color="auto"/>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Date:</w:t>
            </w:r>
          </w:p>
        </w:tc>
        <w:tc>
          <w:tcPr>
            <w:tcW w:w="1060" w:type="dxa"/>
            <w:vAlign w:val="bottom"/>
            <w:tcBorders>
              <w:top w:val="single" w:sz="8" w:color="auto"/>
              <w:bottom w:val="single" w:sz="8" w:color="auto"/>
              <w:right w:val="single" w:sz="8" w:color="auto"/>
            </w:tcBorders>
          </w:tcPr>
          <w:p>
            <w:pPr>
              <w:spacing w:after="0"/>
              <w:rPr>
                <w:sz w:val="16"/>
                <w:szCs w:val="16"/>
                <w:color w:val="auto"/>
              </w:rPr>
            </w:pPr>
          </w:p>
        </w:tc>
      </w:tr>
    </w:tbl>
    <w:p>
      <w:pPr>
        <w:spacing w:after="0" w:line="78" w:lineRule="exact"/>
        <w:rPr>
          <w:sz w:val="20"/>
          <w:szCs w:val="20"/>
          <w:color w:val="auto"/>
        </w:rPr>
      </w:pPr>
    </w:p>
    <w:p>
      <w:pPr>
        <w:ind w:left="20"/>
        <w:spacing w:after="0"/>
        <w:rPr>
          <w:sz w:val="20"/>
          <w:szCs w:val="20"/>
          <w:color w:val="auto"/>
        </w:rPr>
      </w:pPr>
      <w:r>
        <w:rPr>
          <w:rFonts w:ascii="Arial" w:cs="Arial" w:eastAsia="Arial" w:hAnsi="Arial"/>
          <w:sz w:val="14"/>
          <w:szCs w:val="14"/>
          <w:color w:val="auto"/>
        </w:rPr>
        <w:t>Please sign exactly as your name or names appear on this Proxy. When shares are held jointly, each holder should sign. When signing as</w:t>
      </w:r>
    </w:p>
    <w:p>
      <w:pPr>
        <w:ind w:left="20" w:right="40"/>
        <w:spacing w:after="0" w:line="183" w:lineRule="auto"/>
        <w:rPr>
          <w:sz w:val="20"/>
          <w:szCs w:val="20"/>
          <w:color w:val="auto"/>
        </w:rPr>
      </w:pPr>
      <w:r>
        <w:rPr>
          <w:rFonts w:ascii="Arial" w:cs="Arial" w:eastAsia="Arial" w:hAnsi="Arial"/>
          <w:sz w:val="12"/>
          <w:szCs w:val="12"/>
          <w:color w:val="auto"/>
        </w:rPr>
        <w:t xml:space="preserve">executor, administrator, attorney, trustee or guardian, please give full title as such. If the signer is a corporation, please sign full corporate </w:t>
      </w:r>
      <w:r>
        <w:rPr>
          <w:rFonts w:ascii="Arial" w:cs="Arial" w:eastAsia="Arial" w:hAnsi="Arial"/>
          <w:sz w:val="24"/>
          <w:szCs w:val="24"/>
          <w:color w:val="auto"/>
          <w:vertAlign w:val="superscript"/>
        </w:rPr>
        <w:t>n</w:t>
      </w:r>
      <w:r>
        <w:rPr>
          <w:rFonts w:ascii="Arial" w:cs="Arial" w:eastAsia="Arial" w:hAnsi="Arial"/>
          <w:sz w:val="12"/>
          <w:szCs w:val="12"/>
          <w:color w:val="auto"/>
        </w:rPr>
        <w:t xml:space="preserve"> name by duly authorized officer, giving full title as such. If signer is a partnership, please sign in partnership name by authorized person.</w:t>
      </w:r>
    </w:p>
    <w:p>
      <w:pPr>
        <w:spacing w:after="0" w:line="200" w:lineRule="exact"/>
        <w:rPr>
          <w:sz w:val="20"/>
          <w:szCs w:val="20"/>
          <w:color w:val="auto"/>
        </w:rPr>
      </w:pPr>
    </w:p>
    <w:p>
      <w:pPr>
        <w:sectPr>
          <w:pgSz w:w="11900" w:h="16838" w:orient="portrait"/>
          <w:cols w:equalWidth="0" w:num="2">
            <w:col w:w="1720" w:space="360"/>
            <w:col w:w="9160"/>
          </w:cols>
          <w:pgMar w:left="340" w:top="1372" w:right="319" w:bottom="1440" w:gutter="0" w:footer="0" w:header="0"/>
          <w:type w:val="continuous"/>
        </w:sectPr>
      </w:pPr>
    </w:p>
    <w:p>
      <w:pPr>
        <w:spacing w:after="0" w:line="361"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2</w:t>
      </w:r>
    </w:p>
    <w:sectPr>
      <w:pgSz w:w="11900" w:h="16838" w:orient="portrait"/>
      <w:cols w:equalWidth="0" w:num="1">
        <w:col w:w="11240"/>
      </w:cols>
      <w:pgMar w:left="340" w:top="1372" w:right="3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75AC794"/>
    <w:multiLevelType w:val="hybridMultilevel"/>
    <w:lvl w:ilvl="0">
      <w:lvlJc w:val="left"/>
      <w:lvlText w:val="%1"/>
      <w:numFmt w:val="lowerRoman"/>
      <w:start w:val="1"/>
    </w:lvl>
    <w:lvl w:ilvl="1">
      <w:lvlJc w:val="left"/>
      <w:lvlText w:val="☐"/>
      <w:numFmt w:val="bullet"/>
      <w:start w:val="1"/>
    </w:lvl>
  </w:abstractNum>
  <w:abstractNum w:abstractNumId="1">
    <w:nsid w:val="39386575"/>
    <w:multiLevelType w:val="hybridMultilevel"/>
    <w:lvl w:ilvl="0">
      <w:lvlJc w:val="left"/>
      <w:lvlText w:val="☐"/>
      <w:numFmt w:val="bullet"/>
      <w:start w:val="1"/>
    </w:lvl>
  </w:abstractNum>
  <w:abstractNum w:abstractNumId="2">
    <w:nsid w:val="1CF10FD8"/>
    <w:multiLevelType w:val="hybridMultilevel"/>
    <w:lvl w:ilvl="0">
      <w:lvlJc w:val="left"/>
      <w:lvlText w:val="☐"/>
      <w:numFmt w:val="bullet"/>
      <w:start w:val="1"/>
    </w:lvl>
    <w:lvl w:ilvl="1">
      <w:lvlJc w:val="left"/>
      <w:lvlText w:val="☐"/>
      <w:numFmt w:val="bullet"/>
      <w:start w:val="1"/>
    </w:lvl>
    <w:lvl w:ilvl="2">
      <w:lvlJc w:val="left"/>
      <w:lvlText w:val="%3"/>
      <w:numFmt w:val="decimal"/>
      <w:start w:val="1"/>
    </w:lvl>
    <w:lvl w:ilvl="3">
      <w:lvlJc w:val="left"/>
      <w:lvlText w:val="(%4)"/>
      <w:numFmt w:val="decimal"/>
      <w:start w:val="1"/>
    </w:lvl>
  </w:abstractNum>
  <w:abstractNum w:abstractNumId="3">
    <w:nsid w:val="180115BE"/>
    <w:multiLevelType w:val="hybridMultilevel"/>
    <w:lvl w:ilvl="0">
      <w:lvlJc w:val="left"/>
      <w:lvlText w:val="☐"/>
      <w:numFmt w:val="bullet"/>
      <w:start w:val="1"/>
    </w:lvl>
    <w:lvl w:ilvl="1">
      <w:lvlJc w:val="left"/>
      <w:lvlText w:val="☐"/>
      <w:numFmt w:val="bullet"/>
      <w:start w:val="1"/>
    </w:lvl>
    <w:lvl w:ilvl="2">
      <w:lvlJc w:val="left"/>
      <w:lvlText w:val="(%3)"/>
      <w:numFmt w:val="decimal"/>
      <w:start w:val="2"/>
    </w:lvl>
    <w:lvl w:ilvl="3">
      <w:lvlJc w:val="left"/>
      <w:lvlText w:val="(%4)"/>
      <w:numFmt w:val="decimal"/>
      <w:start w:val="1"/>
    </w:lvl>
  </w:abstractNum>
  <w:abstractNum w:abstractNumId="4">
    <w:nsid w:val="235BA861"/>
    <w:multiLevelType w:val="hybridMultilevel"/>
    <w:lvl w:ilvl="0">
      <w:lvlJc w:val="left"/>
      <w:lvlText w:val="(%1)"/>
      <w:numFmt w:val="decimal"/>
      <w:start w:val="2"/>
    </w:lvl>
  </w:abstractNum>
  <w:abstractNum w:abstractNumId="5">
    <w:nsid w:val="47398C89"/>
    <w:multiLevelType w:val="hybridMultilevel"/>
    <w:lvl w:ilvl="0">
      <w:lvlJc w:val="left"/>
      <w:lvlText w:val="(%1)"/>
      <w:numFmt w:val="decimal"/>
      <w:start w:val="3"/>
    </w:lvl>
  </w:abstractNum>
  <w:abstractNum w:abstractNumId="6">
    <w:nsid w:val="354FE9F9"/>
    <w:multiLevelType w:val="hybridMultilevel"/>
    <w:lvl w:ilvl="0">
      <w:lvlJc w:val="left"/>
      <w:lvlText w:val="%1"/>
      <w:numFmt w:val="upperLetter"/>
      <w:start w:val="1"/>
    </w:lvl>
    <w:lvl w:ilvl="1">
      <w:lvlJc w:val="left"/>
      <w:lvlText w:val="%2:"/>
      <w:numFmt w:val="upperLetter"/>
      <w:start w:val="17"/>
    </w:lvl>
  </w:abstractNum>
  <w:abstractNum w:abstractNumId="7">
    <w:nsid w:val="15B5AF5C"/>
    <w:multiLevelType w:val="hybridMultilevel"/>
    <w:lvl w:ilvl="0">
      <w:lvlJc w:val="left"/>
      <w:lvlText w:val="%1:"/>
      <w:numFmt w:val="upperLetter"/>
      <w:start w:val="1"/>
    </w:lvl>
    <w:lvl w:ilvl="1">
      <w:lvlJc w:val="left"/>
      <w:lvlText w:val="%2:"/>
      <w:numFmt w:val="upperLetter"/>
      <w:start w:val="17"/>
    </w:lvl>
  </w:abstractNum>
  <w:abstractNum w:abstractNumId="8">
    <w:nsid w:val="741226BB"/>
    <w:multiLevelType w:val="hybridMultilevel"/>
    <w:lvl w:ilvl="0">
      <w:lvlJc w:val="left"/>
      <w:lvlText w:val="%1:"/>
      <w:numFmt w:val="upperLetter"/>
      <w:start w:val="1"/>
    </w:lvl>
    <w:lvl w:ilvl="1">
      <w:lvlJc w:val="left"/>
      <w:lvlText w:val="%2:"/>
      <w:numFmt w:val="upperLetter"/>
      <w:start w:val="16"/>
    </w:lvl>
    <w:lvl w:ilvl="2">
      <w:lvlJc w:val="left"/>
      <w:lvlText w:val="•"/>
      <w:numFmt w:val="bullet"/>
      <w:start w:val="1"/>
    </w:lvl>
  </w:abstractNum>
  <w:abstractNum w:abstractNumId="9">
    <w:nsid w:val="D34B6A8"/>
    <w:multiLevelType w:val="hybridMultilevel"/>
    <w:lvl w:ilvl="0">
      <w:lvlJc w:val="left"/>
      <w:lvlText w:val="%1:"/>
      <w:numFmt w:val="upperLetter"/>
      <w:start w:val="1"/>
    </w:lvl>
  </w:abstractNum>
  <w:abstractNum w:abstractNumId="10">
    <w:nsid w:val="10233C99"/>
    <w:multiLevelType w:val="hybridMultilevel"/>
    <w:lvl w:ilvl="0">
      <w:lvlJc w:val="left"/>
      <w:lvlText w:val="%1"/>
      <w:numFmt w:val="upperLetter"/>
      <w:start w:val="1"/>
    </w:lvl>
    <w:lvl w:ilvl="1">
      <w:lvlJc w:val="left"/>
      <w:lvlText w:val="%2:"/>
      <w:numFmt w:val="upperLetter"/>
      <w:start w:val="17"/>
    </w:lvl>
  </w:abstractNum>
  <w:abstractNum w:abstractNumId="11">
    <w:nsid w:val="3F6AB60F"/>
    <w:multiLevelType w:val="hybridMultilevel"/>
    <w:lvl w:ilvl="0">
      <w:lvlJc w:val="left"/>
      <w:lvlText w:val="%1:"/>
      <w:numFmt w:val="upperLetter"/>
      <w:start w:val="1"/>
    </w:lvl>
    <w:lvl w:ilvl="1">
      <w:lvlJc w:val="left"/>
      <w:lvlText w:val="%2"/>
      <w:numFmt w:val="upperLetter"/>
      <w:start w:val="1"/>
    </w:lvl>
  </w:abstractNum>
  <w:abstractNum w:abstractNumId="12">
    <w:nsid w:val="61574095"/>
    <w:multiLevelType w:val="hybridMultilevel"/>
    <w:lvl w:ilvl="0">
      <w:lvlJc w:val="left"/>
      <w:lvlText w:val="%1:"/>
      <w:numFmt w:val="upperLetter"/>
      <w:start w:val="17"/>
    </w:lvl>
  </w:abstractNum>
  <w:abstractNum w:abstractNumId="13">
    <w:nsid w:val="7E0C57B1"/>
    <w:multiLevelType w:val="hybridMultilevel"/>
    <w:lvl w:ilvl="0">
      <w:lvlJc w:val="left"/>
      <w:lvlText w:val="%1:"/>
      <w:numFmt w:val="upperLetter"/>
      <w:start w:val="1"/>
    </w:lvl>
    <w:lvl w:ilvl="1">
      <w:lvlJc w:val="left"/>
      <w:lvlText w:val="%2:"/>
      <w:numFmt w:val="upperLetter"/>
      <w:start w:val="17"/>
    </w:lvl>
  </w:abstractNum>
  <w:abstractNum w:abstractNumId="14">
    <w:nsid w:val="77AE35EB"/>
    <w:multiLevelType w:val="hybridMultilevel"/>
    <w:lvl w:ilvl="0">
      <w:lvlJc w:val="left"/>
      <w:lvlText w:val="%1:"/>
      <w:numFmt w:val="upperLetter"/>
      <w:start w:val="1"/>
    </w:lvl>
    <w:lvl w:ilvl="1">
      <w:lvlJc w:val="left"/>
      <w:lvlText w:val="%2:"/>
      <w:numFmt w:val="upperLetter"/>
      <w:start w:val="17"/>
    </w:lvl>
  </w:abstractNum>
  <w:abstractNum w:abstractNumId="15">
    <w:nsid w:val="579BE4F1"/>
    <w:multiLevelType w:val="hybridMultilevel"/>
    <w:lvl w:ilvl="0">
      <w:lvlJc w:val="left"/>
      <w:lvlText w:val="%1:"/>
      <w:numFmt w:val="upperLetter"/>
      <w:start w:val="1"/>
    </w:lvl>
    <w:lvl w:ilvl="1">
      <w:lvlJc w:val="left"/>
      <w:lvlText w:val="%2:"/>
      <w:numFmt w:val="upperLetter"/>
      <w:start w:val="17"/>
    </w:lvl>
  </w:abstractNum>
  <w:abstractNum w:abstractNumId="16">
    <w:nsid w:val="310C50B3"/>
    <w:multiLevelType w:val="hybridMultilevel"/>
    <w:lvl w:ilvl="0">
      <w:lvlJc w:val="left"/>
      <w:lvlText w:val="%1:"/>
      <w:numFmt w:val="upperLetter"/>
      <w:start w:val="1"/>
    </w:lvl>
  </w:abstractNum>
  <w:abstractNum w:abstractNumId="17">
    <w:nsid w:val="5FF87E05"/>
    <w:multiLevelType w:val="hybridMultilevel"/>
    <w:lvl w:ilvl="0">
      <w:lvlJc w:val="left"/>
      <w:lvlText w:val="%1"/>
      <w:numFmt w:val="upperLetter"/>
      <w:start w:val="1"/>
    </w:lvl>
    <w:lvl w:ilvl="1">
      <w:lvlJc w:val="left"/>
      <w:lvlText w:val="%2:"/>
      <w:numFmt w:val="upperLetter"/>
      <w:start w:val="17"/>
    </w:lvl>
  </w:abstractNum>
  <w:abstractNum w:abstractNumId="18">
    <w:nsid w:val="2F305DEF"/>
    <w:multiLevelType w:val="hybridMultilevel"/>
    <w:lvl w:ilvl="0">
      <w:lvlJc w:val="left"/>
      <w:lvlText w:val="%1:"/>
      <w:numFmt w:val="upperLetter"/>
      <w:start w:val="1"/>
    </w:lvl>
    <w:lvl w:ilvl="1">
      <w:lvlJc w:val="left"/>
      <w:lvlText w:val="%2:"/>
      <w:numFmt w:val="upperLetter"/>
      <w:start w:val="17"/>
    </w:lvl>
  </w:abstractNum>
  <w:abstractNum w:abstractNumId="19">
    <w:nsid w:val="25A70BF7"/>
    <w:multiLevelType w:val="hybridMultilevel"/>
    <w:lvl w:ilvl="0">
      <w:lvlJc w:val="left"/>
      <w:lvlText w:val="%1:"/>
      <w:numFmt w:val="upperLetter"/>
      <w:start w:val="1"/>
    </w:lvl>
    <w:lvl w:ilvl="1">
      <w:lvlJc w:val="left"/>
      <w:lvlText w:val="%2:"/>
      <w:numFmt w:val="upperLetter"/>
      <w:start w:val="17"/>
    </w:lvl>
  </w:abstractNum>
  <w:abstractNum w:abstractNumId="20">
    <w:nsid w:val="1DBABF00"/>
    <w:multiLevelType w:val="hybridMultilevel"/>
    <w:lvl w:ilvl="0">
      <w:lvlJc w:val="left"/>
      <w:lvlText w:val="%1:"/>
      <w:numFmt w:val="upperLetter"/>
      <w:start w:val="1"/>
    </w:lvl>
    <w:lvl w:ilvl="1">
      <w:lvlJc w:val="left"/>
      <w:lvlText w:val="•"/>
      <w:numFmt w:val="bullet"/>
      <w:start w:val="1"/>
    </w:lvl>
  </w:abstractNum>
  <w:abstractNum w:abstractNumId="21">
    <w:nsid w:val="4AD084E9"/>
    <w:multiLevelType w:val="hybridMultilevel"/>
    <w:lvl w:ilvl="0">
      <w:lvlJc w:val="left"/>
      <w:lvlText w:val="%1"/>
      <w:numFmt w:val="upperLetter"/>
      <w:start w:val="1"/>
    </w:lvl>
    <w:lvl w:ilvl="1">
      <w:lvlJc w:val="left"/>
      <w:lvlText w:val="%2:"/>
      <w:numFmt w:val="upperLetter"/>
      <w:start w:val="17"/>
    </w:lvl>
  </w:abstractNum>
  <w:abstractNum w:abstractNumId="22">
    <w:nsid w:val="1F48EAA1"/>
    <w:multiLevelType w:val="hybridMultilevel"/>
    <w:lvl w:ilvl="0">
      <w:lvlJc w:val="left"/>
      <w:lvlText w:val="%1:"/>
      <w:numFmt w:val="upperLetter"/>
      <w:start w:val="1"/>
    </w:lvl>
    <w:lvl w:ilvl="1">
      <w:lvlJc w:val="left"/>
      <w:lvlText w:val="%2"/>
      <w:numFmt w:val="upperLetter"/>
      <w:start w:val="1"/>
    </w:lvl>
  </w:abstractNum>
  <w:abstractNum w:abstractNumId="23">
    <w:nsid w:val="1381823A"/>
    <w:multiLevelType w:val="hybridMultilevel"/>
    <w:lvl w:ilvl="0">
      <w:lvlJc w:val="left"/>
      <w:lvlText w:val="%1:"/>
      <w:numFmt w:val="upperLetter"/>
      <w:start w:val="17"/>
    </w:lvl>
  </w:abstractNum>
  <w:abstractNum w:abstractNumId="24">
    <w:nsid w:val="5DB70AE5"/>
    <w:multiLevelType w:val="hybridMultilevel"/>
    <w:lvl w:ilvl="0">
      <w:lvlJc w:val="left"/>
      <w:lvlText w:val="%1:"/>
      <w:numFmt w:val="upperLetter"/>
      <w:start w:val="1"/>
    </w:lvl>
  </w:abstractNum>
  <w:abstractNum w:abstractNumId="25">
    <w:nsid w:val="100F8FCA"/>
    <w:multiLevelType w:val="hybridMultilevel"/>
    <w:lvl w:ilvl="0">
      <w:lvlJc w:val="left"/>
      <w:lvlText w:val="%1:"/>
      <w:numFmt w:val="upperLetter"/>
      <w:start w:val="17"/>
    </w:lvl>
  </w:abstractNum>
  <w:abstractNum w:abstractNumId="26">
    <w:nsid w:val="6590700B"/>
    <w:multiLevelType w:val="hybridMultilevel"/>
    <w:lvl w:ilvl="0">
      <w:lvlJc w:val="left"/>
      <w:lvlText w:val="%1:"/>
      <w:numFmt w:val="upperLetter"/>
      <w:start w:val="1"/>
    </w:lvl>
  </w:abstractNum>
  <w:abstractNum w:abstractNumId="27">
    <w:nsid w:val="15014ACB"/>
    <w:multiLevelType w:val="hybridMultilevel"/>
    <w:lvl w:ilvl="0">
      <w:lvlJc w:val="left"/>
      <w:lvlText w:val="%1:"/>
      <w:numFmt w:val="upperLetter"/>
      <w:start w:val="17"/>
    </w:lvl>
  </w:abstractNum>
  <w:abstractNum w:abstractNumId="28">
    <w:nsid w:val="5F5E7FD0"/>
    <w:multiLevelType w:val="hybridMultilevel"/>
    <w:lvl w:ilvl="0">
      <w:lvlJc w:val="left"/>
      <w:lvlText w:val="%1:"/>
      <w:numFmt w:val="upperLetter"/>
      <w:start w:val="1"/>
    </w:lvl>
    <w:lvl w:ilvl="1">
      <w:lvlJc w:val="left"/>
      <w:lvlText w:val="%2:"/>
      <w:numFmt w:val="upperLetter"/>
      <w:start w:val="17"/>
    </w:lvl>
  </w:abstractNum>
  <w:abstractNum w:abstractNumId="29">
    <w:nsid w:val="98A3148"/>
    <w:multiLevelType w:val="hybridMultilevel"/>
    <w:lvl w:ilvl="0">
      <w:lvlJc w:val="left"/>
      <w:lvlText w:val="%1:"/>
      <w:numFmt w:val="upperLetter"/>
      <w:start w:val="1"/>
    </w:lvl>
  </w:abstractNum>
  <w:abstractNum w:abstractNumId="30">
    <w:nsid w:val="799D0247"/>
    <w:multiLevelType w:val="hybridMultilevel"/>
    <w:lvl w:ilvl="0">
      <w:lvlJc w:val="left"/>
      <w:lvlText w:val="M"/>
      <w:numFmt w:val="bullet"/>
      <w:start w:val="1"/>
    </w:lvl>
  </w:abstractNum>
  <w:abstractNum w:abstractNumId="31">
    <w:nsid w:val="6B94764"/>
    <w:multiLevelType w:val="hybridMultilevel"/>
    <w:lvl w:ilvl="0">
      <w:lvlJc w:val="left"/>
      <w:lvlText w:val="(%1)"/>
      <w:numFmt w:val="decimal"/>
      <w:start w:val="1"/>
    </w:lvl>
  </w:abstractNum>
  <w:abstractNum w:abstractNumId="32">
    <w:nsid w:val="42C296BD"/>
    <w:multiLevelType w:val="hybridMultilevel"/>
    <w:lvl w:ilvl="0">
      <w:lvlJc w:val="left"/>
      <w:lvlText w:val="•"/>
      <w:numFmt w:val="bullet"/>
      <w:start w:val="1"/>
    </w:lvl>
  </w:abstractNum>
  <w:abstractNum w:abstractNumId="33">
    <w:nsid w:val="168E121F"/>
    <w:multiLevelType w:val="hybridMultilevel"/>
    <w:lvl w:ilvl="0">
      <w:lvlJc w:val="left"/>
      <w:lvlText w:val="%1."/>
      <w:numFmt w:val="decimal"/>
      <w:start w:val="1"/>
    </w:lvl>
  </w:abstractNum>
  <w:abstractNum w:abstractNumId="34">
    <w:nsid w:val="1EBA5D23"/>
    <w:multiLevelType w:val="hybridMultilevel"/>
    <w:lvl w:ilvl="0">
      <w:lvlJc w:val="left"/>
      <w:lvlText w:val="(%1)"/>
      <w:numFmt w:val="decimal"/>
      <w:start w:val="1"/>
    </w:lvl>
  </w:abstractNum>
  <w:abstractNum w:abstractNumId="35">
    <w:nsid w:val="661E3F1E"/>
    <w:multiLevelType w:val="hybridMultilevel"/>
    <w:lvl w:ilvl="0">
      <w:lvlJc w:val="left"/>
      <w:lvlText w:val="(%1)"/>
      <w:numFmt w:val="decimal"/>
      <w:start w:val="1"/>
    </w:lvl>
  </w:abstractNum>
  <w:abstractNum w:abstractNumId="36">
    <w:nsid w:val="5DC79EA8"/>
    <w:multiLevelType w:val="hybridMultilevel"/>
    <w:lvl w:ilvl="0">
      <w:lvlJc w:val="left"/>
      <w:lvlText w:val="•"/>
      <w:numFmt w:val="bullet"/>
      <w:start w:val="1"/>
    </w:lvl>
  </w:abstractNum>
  <w:abstractNum w:abstractNumId="37">
    <w:nsid w:val="540A471C"/>
    <w:multiLevelType w:val="hybridMultilevel"/>
    <w:lvl w:ilvl="0">
      <w:lvlJc w:val="left"/>
      <w:lvlText w:val="•"/>
      <w:numFmt w:val="bullet"/>
      <w:start w:val="1"/>
    </w:lvl>
  </w:abstractNum>
  <w:abstractNum w:abstractNumId="38">
    <w:nsid w:val="7BD3EE7B"/>
    <w:multiLevelType w:val="hybridMultilevel"/>
    <w:lvl w:ilvl="0">
      <w:lvlJc w:val="left"/>
      <w:lvlText w:val="•"/>
      <w:numFmt w:val="bullet"/>
      <w:start w:val="1"/>
    </w:lvl>
  </w:abstractNum>
  <w:abstractNum w:abstractNumId="39">
    <w:nsid w:val="51D9C564"/>
    <w:multiLevelType w:val="hybridMultilevel"/>
    <w:lvl w:ilvl="0">
      <w:lvlJc w:val="left"/>
      <w:lvlText w:val="•"/>
      <w:numFmt w:val="bullet"/>
      <w:start w:val="1"/>
    </w:lvl>
  </w:abstractNum>
  <w:abstractNum w:abstractNumId="40">
    <w:nsid w:val="613EFDC5"/>
    <w:multiLevelType w:val="hybridMultilevel"/>
    <w:lvl w:ilvl="0">
      <w:lvlJc w:val="left"/>
      <w:lvlText w:val="•"/>
      <w:numFmt w:val="bullet"/>
      <w:start w:val="1"/>
    </w:lvl>
  </w:abstractNum>
  <w:abstractNum w:abstractNumId="41">
    <w:nsid w:val="BF72B14"/>
    <w:multiLevelType w:val="hybridMultilevel"/>
    <w:lvl w:ilvl="0">
      <w:lvlJc w:val="left"/>
      <w:lvlText w:val="•"/>
      <w:numFmt w:val="bullet"/>
      <w:start w:val="1"/>
    </w:lvl>
  </w:abstractNum>
  <w:abstractNum w:abstractNumId="42">
    <w:nsid w:val="11447B73"/>
    <w:multiLevelType w:val="hybridMultilevel"/>
    <w:lvl w:ilvl="0">
      <w:lvlJc w:val="left"/>
      <w:lvlText w:val="•"/>
      <w:numFmt w:val="bullet"/>
      <w:start w:val="1"/>
    </w:lvl>
  </w:abstractNum>
  <w:abstractNum w:abstractNumId="43">
    <w:nsid w:val="42963E5A"/>
    <w:multiLevelType w:val="hybridMultilevel"/>
    <w:lvl w:ilvl="0">
      <w:lvlJc w:val="left"/>
      <w:lvlText w:val="•"/>
      <w:numFmt w:val="bullet"/>
      <w:start w:val="1"/>
    </w:lvl>
  </w:abstractNum>
  <w:abstractNum w:abstractNumId="44">
    <w:nsid w:val="A0382C5"/>
    <w:multiLevelType w:val="hybridMultilevel"/>
    <w:lvl w:ilvl="0">
      <w:lvlJc w:val="left"/>
      <w:lvlText w:val="(%1)"/>
      <w:numFmt w:val="decimal"/>
      <w:start w:val="1"/>
    </w:lvl>
  </w:abstractNum>
  <w:abstractNum w:abstractNumId="45">
    <w:nsid w:val="8F2B15E"/>
    <w:multiLevelType w:val="hybridMultilevel"/>
    <w:lvl w:ilvl="0">
      <w:lvlJc w:val="left"/>
      <w:lvlText w:val="•"/>
      <w:numFmt w:val="bullet"/>
      <w:start w:val="1"/>
    </w:lvl>
  </w:abstractNum>
  <w:abstractNum w:abstractNumId="46">
    <w:nsid w:val="1A32234B"/>
    <w:multiLevelType w:val="hybridMultilevel"/>
    <w:lvl w:ilvl="0">
      <w:lvlJc w:val="left"/>
      <w:lvlText w:val="•"/>
      <w:numFmt w:val="bullet"/>
      <w:start w:val="1"/>
    </w:lvl>
  </w:abstractNum>
  <w:abstractNum w:abstractNumId="47">
    <w:nsid w:val="3B0FD379"/>
    <w:multiLevelType w:val="hybridMultilevel"/>
    <w:lvl w:ilvl="0">
      <w:lvlJc w:val="left"/>
      <w:lvlText w:val="(%1)"/>
      <w:numFmt w:val="decimal"/>
      <w:start w:val="1"/>
    </w:lvl>
  </w:abstractNum>
  <w:abstractNum w:abstractNumId="48">
    <w:nsid w:val="68EB2F63"/>
    <w:multiLevelType w:val="hybridMultilevel"/>
    <w:lvl w:ilvl="0">
      <w:lvlJc w:val="left"/>
      <w:lvlText w:val="•"/>
      <w:numFmt w:val="bullet"/>
      <w:start w:val="1"/>
    </w:lvl>
  </w:abstractNum>
  <w:abstractNum w:abstractNumId="49">
    <w:nsid w:val="4962813B"/>
    <w:multiLevelType w:val="hybridMultilevel"/>
    <w:lvl w:ilvl="0">
      <w:lvlJc w:val="left"/>
      <w:lvlText w:val="(%1)"/>
      <w:numFmt w:val="decimal"/>
      <w:start w:val="1"/>
    </w:lvl>
  </w:abstractNum>
  <w:abstractNum w:abstractNumId="50">
    <w:nsid w:val="60B6DF70"/>
    <w:multiLevelType w:val="hybridMultilevel"/>
    <w:lvl w:ilvl="0">
      <w:lvlJc w:val="left"/>
      <w:lvlText w:val="(%1)"/>
      <w:numFmt w:val="decimal"/>
      <w:start w:val="4"/>
    </w:lvl>
  </w:abstractNum>
  <w:abstractNum w:abstractNumId="51">
    <w:nsid w:val="6A5EE64"/>
    <w:multiLevelType w:val="hybridMultilevel"/>
    <w:lvl w:ilvl="0">
      <w:lvlJc w:val="left"/>
      <w:lvlText w:val="(%1)"/>
      <w:numFmt w:val="lowerRoman"/>
      <w:start w:val="1"/>
    </w:lvl>
  </w:abstractNum>
  <w:abstractNum w:abstractNumId="52">
    <w:nsid w:val="14330624"/>
    <w:multiLevelType w:val="hybridMultilevel"/>
    <w:lvl w:ilvl="0">
      <w:lvlJc w:val="left"/>
      <w:lvlText w:val="(%1)"/>
      <w:numFmt w:val="decimal"/>
      <w:start w:val="1"/>
    </w:lvl>
  </w:abstractNum>
  <w:abstractNum w:abstractNumId="53">
    <w:nsid w:val="7FFFCA11"/>
    <w:multiLevelType w:val="hybridMultilevel"/>
    <w:lvl w:ilvl="0">
      <w:lvlJc w:val="left"/>
      <w:lvlText w:val="(%1)"/>
      <w:numFmt w:val="decimal"/>
      <w:start w:val="1"/>
    </w:lvl>
  </w:abstractNum>
  <w:abstractNum w:abstractNumId="54">
    <w:nsid w:val="1A27709E"/>
    <w:multiLevelType w:val="hybridMultilevel"/>
    <w:lvl w:ilvl="0">
      <w:lvlJc w:val="left"/>
      <w:lvlText w:val="•"/>
      <w:numFmt w:val="bullet"/>
      <w:start w:val="1"/>
    </w:lvl>
  </w:abstractNum>
  <w:abstractNum w:abstractNumId="55">
    <w:nsid w:val="71EA1109"/>
    <w:multiLevelType w:val="hybridMultilevel"/>
    <w:lvl w:ilvl="0">
      <w:lvlJc w:val="left"/>
      <w:lvlText w:val="•"/>
      <w:numFmt w:val="bullet"/>
      <w:start w:val="1"/>
    </w:lvl>
  </w:abstractNum>
  <w:abstractNum w:abstractNumId="56">
    <w:nsid w:val="100F59DC"/>
    <w:multiLevelType w:val="hybridMultilevel"/>
    <w:lvl w:ilvl="0">
      <w:lvlJc w:val="left"/>
      <w:lvlText w:val="•"/>
      <w:numFmt w:val="bullet"/>
      <w:start w:val="1"/>
    </w:lvl>
  </w:abstractNum>
  <w:abstractNum w:abstractNumId="57">
    <w:nsid w:val="7FB7E0AA"/>
    <w:multiLevelType w:val="hybridMultilevel"/>
    <w:lvl w:ilvl="0">
      <w:lvlJc w:val="left"/>
      <w:lvlText w:val="•"/>
      <w:numFmt w:val="bullet"/>
      <w:start w:val="1"/>
    </w:lvl>
  </w:abstractNum>
  <w:abstractNum w:abstractNumId="58">
    <w:nsid w:val="6EB5BD4"/>
    <w:multiLevelType w:val="hybridMultilevel"/>
    <w:lvl w:ilvl="0">
      <w:lvlJc w:val="left"/>
      <w:lvlText w:val="•"/>
      <w:numFmt w:val="bullet"/>
      <w:start w:val="1"/>
    </w:lvl>
  </w:abstractNum>
  <w:abstractNum w:abstractNumId="59">
    <w:nsid w:val="6F6DD9AC"/>
    <w:multiLevelType w:val="hybridMultilevel"/>
    <w:lvl w:ilvl="0">
      <w:lvlJc w:val="left"/>
      <w:lvlText w:val="•"/>
      <w:numFmt w:val="bullet"/>
      <w:start w:val="1"/>
    </w:lvl>
  </w:abstractNum>
  <w:abstractNum w:abstractNumId="60">
    <w:nsid w:val="94211F2"/>
    <w:multiLevelType w:val="hybridMultilevel"/>
    <w:lvl w:ilvl="0">
      <w:lvlJc w:val="left"/>
      <w:lvlText w:val="(%1)"/>
      <w:numFmt w:val="decimal"/>
      <w:start w:val="1"/>
    </w:lvl>
  </w:abstractNum>
  <w:abstractNum w:abstractNumId="61">
    <w:nsid w:val="885E1B"/>
    <w:multiLevelType w:val="hybridMultilevel"/>
    <w:lvl w:ilvl="0">
      <w:lvlJc w:val="left"/>
      <w:lvlText w:val="(%1)"/>
      <w:numFmt w:val="decimal"/>
      <w:start w:val="2"/>
    </w:lvl>
  </w:abstractNum>
  <w:abstractNum w:abstractNumId="62">
    <w:nsid w:val="76272110"/>
    <w:multiLevelType w:val="hybridMultilevel"/>
    <w:lvl w:ilvl="0">
      <w:lvlJc w:val="left"/>
      <w:lvlText w:val="•"/>
      <w:numFmt w:val="bullet"/>
      <w:start w:val="1"/>
    </w:lvl>
  </w:abstractNum>
  <w:abstractNum w:abstractNumId="63">
    <w:nsid w:val="4C04A8AF"/>
    <w:multiLevelType w:val="hybridMultilevel"/>
    <w:lvl w:ilvl="0">
      <w:lvlJc w:val="left"/>
      <w:lvlText w:val="•"/>
      <w:numFmt w:val="bullet"/>
      <w:start w:val="1"/>
    </w:lvl>
  </w:abstractNum>
  <w:abstractNum w:abstractNumId="64">
    <w:nsid w:val="1716703B"/>
    <w:multiLevelType w:val="hybridMultilevel"/>
    <w:lvl w:ilvl="0">
      <w:lvlJc w:val="left"/>
      <w:lvlText w:val="•"/>
      <w:numFmt w:val="bullet"/>
      <w:start w:val="1"/>
    </w:lvl>
  </w:abstractNum>
  <w:abstractNum w:abstractNumId="65">
    <w:nsid w:val="14E17E33"/>
    <w:multiLevelType w:val="hybridMultilevel"/>
    <w:lvl w:ilvl="0">
      <w:lvlJc w:val="left"/>
      <w:lvlText w:val="•"/>
      <w:numFmt w:val="bullet"/>
      <w:start w:val="1"/>
    </w:lvl>
  </w:abstractNum>
  <w:abstractNum w:abstractNumId="66">
    <w:nsid w:val="3222E7CD"/>
    <w:multiLevelType w:val="hybridMultilevel"/>
    <w:lvl w:ilvl="0">
      <w:lvlJc w:val="left"/>
      <w:lvlText w:val="•"/>
      <w:numFmt w:val="bullet"/>
      <w:start w:val="1"/>
    </w:lvl>
  </w:abstractNum>
  <w:abstractNum w:abstractNumId="67">
    <w:nsid w:val="74DE0EE3"/>
    <w:multiLevelType w:val="hybridMultilevel"/>
    <w:lvl w:ilvl="0">
      <w:lvlJc w:val="left"/>
      <w:lvlText w:val="(%1)"/>
      <w:numFmt w:val="decimal"/>
      <w:start w:val="1"/>
    </w:lvl>
  </w:abstractNum>
  <w:abstractNum w:abstractNumId="68">
    <w:nsid w:val="68EBC550"/>
    <w:multiLevelType w:val="hybridMultilevel"/>
    <w:lvl w:ilvl="0">
      <w:lvlJc w:val="left"/>
      <w:lvlText w:val="•"/>
      <w:numFmt w:val="bullet"/>
      <w:start w:val="1"/>
    </w:lvl>
  </w:abstractNum>
  <w:abstractNum w:abstractNumId="69">
    <w:nsid w:val="2DF6D648"/>
    <w:multiLevelType w:val="hybridMultilevel"/>
    <w:lvl w:ilvl="0">
      <w:lvlJc w:val="left"/>
      <w:lvlText w:val="•"/>
      <w:numFmt w:val="bullet"/>
      <w:start w:val="1"/>
    </w:lvl>
  </w:abstractNum>
  <w:abstractNum w:abstractNumId="70">
    <w:nsid w:val="46B7D447"/>
    <w:multiLevelType w:val="hybridMultilevel"/>
    <w:lvl w:ilvl="0">
      <w:lvlJc w:val="left"/>
      <w:lvlText w:val="•"/>
      <w:numFmt w:val="bullet"/>
      <w:start w:val="1"/>
    </w:lvl>
  </w:abstractNum>
  <w:abstractNum w:abstractNumId="71">
    <w:nsid w:val="4A2AC315"/>
    <w:multiLevelType w:val="hybridMultilevel"/>
    <w:lvl w:ilvl="0">
      <w:lvlJc w:val="left"/>
      <w:lvlText w:val="(%1)"/>
      <w:numFmt w:val="decimal"/>
      <w:start w:val="1"/>
    </w:lvl>
  </w:abstractNum>
  <w:abstractNum w:abstractNumId="72">
    <w:nsid w:val="39EE015C"/>
    <w:multiLevelType w:val="hybridMultilevel"/>
    <w:lvl w:ilvl="0">
      <w:lvlJc w:val="left"/>
      <w:lvlText w:val="•"/>
      <w:numFmt w:val="bullet"/>
      <w:start w:val="1"/>
    </w:lvl>
  </w:abstractNum>
  <w:abstractNum w:abstractNumId="73">
    <w:nsid w:val="57FC4FBB"/>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Roman"/>
      <w:start w:val="3"/>
    </w:lvl>
    <w:lvl w:ilvl="4">
      <w:lvlJc w:val="left"/>
      <w:lvlText w:val="%5."/>
      <w:numFmt w:val="lowerRoman"/>
      <w:start w:val="1"/>
    </w:lvl>
  </w:abstractNum>
  <w:abstractNum w:abstractNumId="74">
    <w:nsid w:val="CC1016F"/>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Roman"/>
      <w:start w:val="1"/>
    </w:lvl>
    <w:lvl w:ilvl="4">
      <w:lvlJc w:val="left"/>
      <w:lvlText w:val="%5."/>
      <w:numFmt w:val="lowerRoman"/>
      <w:start w:val="6"/>
    </w:lvl>
  </w:abstractNum>
  <w:abstractNum w:abstractNumId="75">
    <w:nsid w:val="43F18422"/>
    <w:multiLevelType w:val="hybridMultilevel"/>
    <w:lvl w:ilvl="0">
      <w:lvlJc w:val="left"/>
      <w:lvlText w:val="%1"/>
      <w:numFmt w:val="decimal"/>
      <w:start w:val="1"/>
    </w:lvl>
    <w:lvl w:ilvl="1">
      <w:lvlJc w:val="left"/>
      <w:lvlText w:val="%2"/>
      <w:numFmt w:val="decimal"/>
      <w:start w:val="1"/>
    </w:lvl>
    <w:lvl w:ilvl="2">
      <w:lvlJc w:val="left"/>
      <w:lvlText w:val="%3."/>
      <w:numFmt w:val="lowerLetter"/>
      <w:start w:val="4"/>
    </w:lvl>
    <w:lvl w:ilvl="3">
      <w:lvlJc w:val="left"/>
      <w:lvlText w:val="%4"/>
      <w:numFmt w:val="lowerRoman"/>
      <w:start w:val="1"/>
    </w:lvl>
    <w:lvl w:ilvl="4">
      <w:lvlJc w:val="left"/>
      <w:lvlText w:val="%5"/>
      <w:numFmt w:val="lowerRoman"/>
      <w:start w:val="1"/>
    </w:lvl>
  </w:abstractNum>
  <w:abstractNum w:abstractNumId="76">
    <w:nsid w:val="60EF0119"/>
    <w:multiLevelType w:val="hybridMultilevel"/>
    <w:lvl w:ilvl="0">
      <w:lvlJc w:val="left"/>
      <w:lvlText w:val="%1."/>
      <w:numFmt w:val="lowerLetter"/>
      <w:start w:val="9"/>
    </w:lvl>
    <w:lvl w:ilvl="1">
      <w:lvlJc w:val="left"/>
      <w:lvlText w:val="%2."/>
      <w:numFmt w:val="lowerRoman"/>
      <w:start w:val="1"/>
    </w:lvl>
  </w:abstractNum>
  <w:abstractNum w:abstractNumId="77">
    <w:nsid w:val="26F324BA"/>
    <w:multiLevelType w:val="hybridMultilevel"/>
    <w:lvl w:ilvl="0">
      <w:lvlJc w:val="left"/>
      <w:lvlText w:val="%1."/>
      <w:numFmt w:val="lowerLetter"/>
      <w:start w:val="21"/>
    </w:lvl>
  </w:abstractNum>
  <w:abstractNum w:abstractNumId="78">
    <w:nsid w:val="7F01579B"/>
    <w:multiLevelType w:val="hybridMultilevel"/>
    <w:lvl w:ilvl="0">
      <w:lvlJc w:val="left"/>
      <w:lvlText w:val="%1."/>
      <w:numFmt w:val="lowerLetter"/>
      <w:start w:val="27"/>
    </w:lvl>
  </w:abstractNum>
  <w:abstractNum w:abstractNumId="79">
    <w:nsid w:val="49DA307D"/>
    <w:multiLevelType w:val="hybridMultilevel"/>
    <w:lvl w:ilvl="0">
      <w:lvlJc w:val="left"/>
      <w:lvlText w:val="%1"/>
      <w:numFmt w:val="decimal"/>
      <w:start w:val="1"/>
    </w:lvl>
    <w:lvl w:ilvl="1">
      <w:lvlJc w:val="left"/>
      <w:lvlText w:val="%2."/>
      <w:numFmt w:val="decimal"/>
      <w:start w:val="2"/>
    </w:lvl>
    <w:lvl w:ilvl="2">
      <w:lvlJc w:val="left"/>
      <w:lvlText w:val="%3"/>
      <w:numFmt w:val="lowerLetter"/>
      <w:start w:val="1"/>
    </w:lvl>
  </w:abstractNum>
  <w:abstractNum w:abstractNumId="80">
    <w:nsid w:val="7055A5F5"/>
    <w:multiLevelType w:val="hybridMultilevel"/>
    <w:lvl w:ilvl="0">
      <w:lvlJc w:val="left"/>
      <w:lvlText w:val="%1."/>
      <w:numFmt w:val="decimal"/>
      <w:start w:val="3"/>
    </w:lvl>
    <w:lvl w:ilvl="1">
      <w:lvlJc w:val="left"/>
      <w:lvlText w:val="%2."/>
      <w:numFmt w:val="decimal"/>
      <w:start w:val="1"/>
    </w:lvl>
    <w:lvl w:ilvl="2">
      <w:lvlJc w:val="left"/>
      <w:lvlText w:val="%3."/>
      <w:numFmt w:val="lowerLetter"/>
      <w:start w:val="1"/>
    </w:lvl>
  </w:abstractNum>
  <w:abstractNum w:abstractNumId="81">
    <w:nsid w:val="5FB8370B"/>
    <w:multiLevelType w:val="hybridMultilevel"/>
    <w:lvl w:ilvl="0">
      <w:lvlJc w:val="left"/>
      <w:lvlText w:val="%1"/>
      <w:numFmt w:val="decimal"/>
      <w:start w:val="1"/>
    </w:lvl>
    <w:lvl w:ilvl="1">
      <w:lvlJc w:val="left"/>
      <w:lvlText w:val="%2."/>
      <w:numFmt w:val="lowerLetter"/>
      <w:start w:val="3"/>
    </w:lvl>
  </w:abstractNum>
  <w:abstractNum w:abstractNumId="82">
    <w:nsid w:val="50801EE1"/>
    <w:multiLevelType w:val="hybridMultilevel"/>
    <w:lvl w:ilvl="0">
      <w:lvlJc w:val="left"/>
      <w:lvlText w:val="%1."/>
      <w:numFmt w:val="decimal"/>
      <w:start w:val="4"/>
    </w:lvl>
    <w:lvl w:ilvl="1">
      <w:lvlJc w:val="left"/>
      <w:lvlText w:val="%2"/>
      <w:numFmt w:val="lowerLetter"/>
      <w:start w:val="1"/>
    </w:lvl>
  </w:abstractNum>
  <w:abstractNum w:abstractNumId="83">
    <w:nsid w:val="488AC1A"/>
    <w:multiLevelType w:val="hybridMultilevel"/>
    <w:lvl w:ilvl="0">
      <w:lvlJc w:val="left"/>
      <w:lvlText w:val="%1."/>
      <w:numFmt w:val="decimal"/>
      <w:start w:val="4"/>
    </w:lvl>
    <w:lvl w:ilvl="1">
      <w:lvlJc w:val="left"/>
      <w:lvlText w:val="%2."/>
      <w:numFmt w:val="decimal"/>
      <w:start w:val="1"/>
    </w:lvl>
    <w:lvl w:ilvl="2">
      <w:lvlJc w:val="left"/>
      <w:lvlText w:val="%3."/>
      <w:numFmt w:val="lowerLetter"/>
      <w:start w:val="1"/>
    </w:lvl>
  </w:abstractNum>
  <w:abstractNum w:abstractNumId="84">
    <w:nsid w:val="5FB8011C"/>
    <w:multiLevelType w:val="hybridMultilevel"/>
    <w:lvl w:ilvl="0">
      <w:lvlJc w:val="left"/>
      <w:lvlText w:val="%1"/>
      <w:numFmt w:val="decimal"/>
      <w:start w:val="1"/>
    </w:lvl>
    <w:lvl w:ilvl="1">
      <w:lvlJc w:val="left"/>
      <w:lvlText w:val="%2"/>
      <w:numFmt w:val="decimal"/>
      <w:start w:val="1"/>
    </w:lvl>
    <w:lvl w:ilvl="2">
      <w:lvlJc w:val="left"/>
      <w:lvlText w:val="%3."/>
      <w:numFmt w:val="lowerLetter"/>
      <w:start w:val="3"/>
    </w:lvl>
  </w:abstractNum>
  <w:abstractNum w:abstractNumId="85">
    <w:nsid w:val="6AA78F7F"/>
    <w:multiLevelType w:val="hybridMultilevel"/>
    <w:lvl w:ilvl="0">
      <w:lvlJc w:val="left"/>
      <w:lvlText w:val="%1."/>
      <w:numFmt w:val="decimal"/>
      <w:start w:val="5"/>
    </w:lvl>
    <w:lvl w:ilvl="1">
      <w:lvlJc w:val="left"/>
      <w:lvlText w:val="%2."/>
      <w:numFmt w:val="decimal"/>
      <w:start w:val="1"/>
    </w:lvl>
    <w:lvl w:ilvl="2">
      <w:lvlJc w:val="left"/>
      <w:lvlText w:val="%3"/>
      <w:numFmt w:val="lowerLetter"/>
      <w:start w:val="1"/>
    </w:lvl>
  </w:abstractNum>
  <w:abstractNum w:abstractNumId="86">
    <w:nsid w:val="7672BD23"/>
    <w:multiLevelType w:val="hybridMultilevel"/>
    <w:lvl w:ilvl="0">
      <w:lvlJc w:val="left"/>
      <w:lvlText w:val="%1."/>
      <w:numFmt w:val="decimal"/>
      <w:start w:val="1"/>
    </w:lvl>
  </w:abstractNum>
  <w:abstractNum w:abstractNumId="87">
    <w:nsid w:val="6FC75AF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lowerRoman"/>
      <w:start w:val="1"/>
    </w:lvl>
  </w:abstractNum>
  <w:abstractNum w:abstractNumId="88">
    <w:nsid w:val="6A5F7029"/>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lvl w:ilvl="3">
      <w:lvlJc w:val="left"/>
      <w:lvlText w:val="%4."/>
      <w:numFmt w:val="lowerRoman"/>
      <w:start w:val="1"/>
    </w:lvl>
  </w:abstractNum>
  <w:abstractNum w:abstractNumId="89">
    <w:nsid w:val="7D5E18F8"/>
    <w:multiLevelType w:val="hybridMultilevel"/>
    <w:lvl w:ilvl="0">
      <w:lvlJc w:val="left"/>
      <w:lvlText w:val="%1"/>
      <w:numFmt w:val="decimal"/>
      <w:start w:val="1"/>
    </w:lvl>
    <w:lvl w:ilvl="1">
      <w:lvlJc w:val="left"/>
      <w:lvlText w:val="%2"/>
      <w:numFmt w:val="decimal"/>
      <w:start w:val="1"/>
    </w:lvl>
    <w:lvl w:ilvl="2">
      <w:lvlJc w:val="left"/>
      <w:lvlText w:val="%3."/>
      <w:numFmt w:val="lowerLetter"/>
      <w:start w:val="2"/>
    </w:lvl>
  </w:abstractNum>
  <w:abstractNum w:abstractNumId="90">
    <w:nsid w:val="5F3534A4"/>
    <w:multiLevelType w:val="hybridMultilevel"/>
    <w:lvl w:ilvl="0">
      <w:lvlJc w:val="left"/>
      <w:lvlText w:val="%1"/>
      <w:numFmt w:val="decimal"/>
      <w:start w:val="1"/>
    </w:lvl>
    <w:lvl w:ilvl="1">
      <w:lvlJc w:val="left"/>
      <w:lvlText w:val="%2."/>
      <w:numFmt w:val="decimal"/>
      <w:start w:val="5"/>
    </w:lvl>
    <w:lvl w:ilvl="2">
      <w:lvlJc w:val="left"/>
      <w:lvlText w:val="%3."/>
      <w:numFmt w:val="lowerLetter"/>
      <w:start w:val="1"/>
    </w:lvl>
  </w:abstractNum>
  <w:abstractNum w:abstractNumId="91">
    <w:nsid w:val="73A1821B"/>
    <w:multiLevelType w:val="hybridMultilevel"/>
    <w:lvl w:ilvl="0">
      <w:lvlJc w:val="left"/>
      <w:lvlText w:val="%1."/>
      <w:numFmt w:val="decimal"/>
      <w:start w:val="7"/>
    </w:lvl>
    <w:lvl w:ilvl="1">
      <w:lvlJc w:val="left"/>
      <w:lvlText w:val="%2."/>
      <w:numFmt w:val="decimal"/>
      <w:start w:val="1"/>
    </w:lvl>
    <w:lvl w:ilvl="2">
      <w:lvlJc w:val="left"/>
      <w:lvlText w:val="%3."/>
      <w:numFmt w:val="lowerLetter"/>
      <w:start w:val="1"/>
    </w:lvl>
  </w:abstractNum>
  <w:abstractNum w:abstractNumId="92">
    <w:nsid w:val="7DE67713"/>
    <w:multiLevelType w:val="hybridMultilevel"/>
    <w:lvl w:ilvl="0">
      <w:lvlJc w:val="left"/>
      <w:lvlText w:val="%1."/>
      <w:numFmt w:val="decimal"/>
      <w:start w:val="8"/>
    </w:lvl>
  </w:abstractNum>
  <w:abstractNum w:abstractNumId="93">
    <w:nsid w:val="555C55B5"/>
    <w:multiLevelType w:val="hybridMultilevel"/>
    <w:lvl w:ilvl="0">
      <w:lvlJc w:val="left"/>
      <w:lvlText w:val="%1."/>
      <w:numFmt w:val="decimal"/>
      <w:start w:val="9"/>
    </w:lvl>
    <w:lvl w:ilvl="1">
      <w:lvlJc w:val="left"/>
      <w:lvlText w:val="%2."/>
      <w:numFmt w:val="decimal"/>
      <w:start w:val="1"/>
    </w:lvl>
  </w:abstractNum>
  <w:abstractNum w:abstractNumId="94">
    <w:nsid w:val="3FA62ACA"/>
    <w:multiLevelType w:val="hybridMultilevel"/>
    <w:lvl w:ilvl="0">
      <w:lvlJc w:val="left"/>
      <w:lvlText w:val="%1"/>
      <w:numFmt w:val="decimal"/>
      <w:start w:val="1"/>
    </w:lvl>
    <w:lvl w:ilvl="1">
      <w:lvlJc w:val="left"/>
      <w:lvlText w:val="%2."/>
      <w:numFmt w:val="decimal"/>
      <w:start w:val="4"/>
    </w:lvl>
  </w:abstractNum>
  <w:abstractNum w:abstractNumId="95">
    <w:nsid w:val="14FCE74E"/>
    <w:multiLevelType w:val="hybridMultilevel"/>
    <w:lvl w:ilvl="0">
      <w:lvlJc w:val="left"/>
      <w:lvlText w:val="%1."/>
      <w:numFmt w:val="decimal"/>
      <w:start w:val="10"/>
    </w:lvl>
    <w:lvl w:ilvl="1">
      <w:lvlJc w:val="left"/>
      <w:lvlText w:val="%2"/>
      <w:numFmt w:val="decimal"/>
      <w:start w:val="1"/>
    </w:lvl>
  </w:abstractNum>
  <w:abstractNum w:abstractNumId="96">
    <w:nsid w:val="6A3DD3E8"/>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97">
    <w:nsid w:val="71C91298"/>
    <w:multiLevelType w:val="hybridMultilevel"/>
    <w:lvl w:ilvl="0">
      <w:lvlJc w:val="left"/>
      <w:lvlText w:val="%1."/>
      <w:numFmt w:val="decimal"/>
      <w:start w:val="11"/>
    </w:lvl>
    <w:lvl w:ilvl="1">
      <w:lvlJc w:val="left"/>
      <w:lvlText w:val="%2."/>
      <w:numFmt w:val="decimal"/>
      <w:start w:val="1"/>
    </w:lvl>
    <w:lvl w:ilvl="2">
      <w:lvlJc w:val="left"/>
      <w:lvlText w:val="%3."/>
      <w:numFmt w:val="lowerLetter"/>
      <w:start w:val="1"/>
    </w:lvl>
  </w:abstractNum>
  <w:abstractNum w:abstractNumId="98">
    <w:nsid w:val="9DAF632"/>
    <w:multiLevelType w:val="hybridMultilevel"/>
    <w:lvl w:ilvl="0">
      <w:lvlJc w:val="left"/>
      <w:lvlText w:val="%1."/>
      <w:numFmt w:val="decimal"/>
      <w:start w:val="2"/>
    </w:lvl>
    <w:lvl w:ilvl="1">
      <w:lvlJc w:val="left"/>
      <w:lvlText w:val="%2."/>
      <w:numFmt w:val="lowerLetter"/>
      <w:start w:val="1"/>
    </w:lvl>
  </w:abstractNum>
  <w:abstractNum w:abstractNumId="99">
    <w:nsid w:val="53299938"/>
    <w:multiLevelType w:val="hybridMultilevel"/>
    <w:lvl w:ilvl="0">
      <w:lvlJc w:val="left"/>
      <w:lvlText w:val="%1."/>
      <w:numFmt w:val="decimal"/>
      <w:start w:val="3"/>
    </w:lvl>
  </w:abstractNum>
  <w:abstractNum w:abstractNumId="100">
    <w:nsid w:val="1FBFE8E0"/>
    <w:multiLevelType w:val="hybridMultilevel"/>
    <w:lvl w:ilvl="0">
      <w:lvlJc w:val="left"/>
      <w:lvlText w:val="%1."/>
      <w:numFmt w:val="decimal"/>
      <w:start w:val="13"/>
    </w:lvl>
    <w:lvl w:ilvl="1">
      <w:lvlJc w:val="left"/>
      <w:lvlText w:val="%2."/>
      <w:numFmt w:val="decimal"/>
      <w:start w:val="1"/>
    </w:lvl>
  </w:abstractNum>
  <w:abstractNum w:abstractNumId="101">
    <w:nsid w:val="5092CA79"/>
    <w:multiLevelType w:val="hybridMultilevel"/>
    <w:lvl w:ilvl="0">
      <w:lvlJc w:val="left"/>
      <w:lvlText w:val="%1."/>
      <w:numFmt w:val="decimal"/>
      <w:start w:val="15"/>
    </w:lvl>
  </w:abstractNum>
  <w:abstractNum w:abstractNumId="102">
    <w:nsid w:val="1D545C4D"/>
    <w:multiLevelType w:val="hybridMultilevel"/>
    <w:lvl w:ilvl="0">
      <w:lvlJc w:val="left"/>
      <w:lvlText w:val="%1."/>
      <w:numFmt w:val="decimal"/>
      <w:start w:val="16"/>
    </w:lvl>
    <w:lvl w:ilvl="1">
      <w:lvlJc w:val="left"/>
      <w:lvlText w:val="%2."/>
      <w:numFmt w:val="decimal"/>
      <w:start w:val="1"/>
    </w:lvl>
    <w:lvl w:ilvl="2">
      <w:lvlJc w:val="left"/>
      <w:lvlText w:val="%3."/>
      <w:numFmt w:val="lowerLetter"/>
      <w:start w:val="1"/>
    </w:lvl>
  </w:abstractNum>
  <w:abstractNum w:abstractNumId="103">
    <w:nsid w:val="59ADEA3D"/>
    <w:multiLevelType w:val="hybridMultilevel"/>
    <w:lvl w:ilvl="0">
      <w:lvlJc w:val="left"/>
      <w:lvlText w:val="%1"/>
      <w:numFmt w:val="decimal"/>
      <w:start w:val="1"/>
    </w:lvl>
    <w:lvl w:ilvl="1">
      <w:lvlJc w:val="left"/>
      <w:lvlText w:val="%2."/>
      <w:numFmt w:val="decimal"/>
      <w:start w:val="2"/>
    </w:lvl>
  </w:abstractNum>
  <w:abstractNum w:abstractNumId="104">
    <w:nsid w:val="288F1A34"/>
    <w:multiLevelType w:val="hybridMultilevel"/>
    <w:lvl w:ilvl="0">
      <w:lvlJc w:val="left"/>
      <w:lvlText w:val="%1."/>
      <w:numFmt w:val="decimal"/>
      <w:start w:val="18"/>
    </w:lvl>
    <w:lvl w:ilvl="1">
      <w:lvlJc w:val="left"/>
      <w:lvlText w:val="%2"/>
      <w:numFmt w:val="decimal"/>
      <w:start w:val="1"/>
    </w:lvl>
  </w:abstractNum>
  <w:abstractNum w:abstractNumId="105">
    <w:nsid w:val="2A155DBC"/>
    <w:multiLevelType w:val="hybridMultilevel"/>
    <w:lvl w:ilvl="0">
      <w:lvlJc w:val="left"/>
      <w:lvlText w:val="%1."/>
      <w:numFmt w:val="decimal"/>
      <w:start w:val="19"/>
    </w:lvl>
  </w:abstractNum>
  <w:abstractNum w:abstractNumId="106">
    <w:nsid w:val="1D9F6E5F"/>
    <w:multiLevelType w:val="hybridMultilevel"/>
    <w:lvl w:ilvl="0">
      <w:lvlJc w:val="left"/>
      <w:lvlText w:val="%1."/>
      <w:numFmt w:val="decimal"/>
      <w:start w:val="20"/>
    </w:lvl>
  </w:abstractNum>
  <w:abstractNum w:abstractNumId="107">
    <w:nsid w:val="97E1B4E"/>
    <w:multiLevelType w:val="hybridMultilevel"/>
    <w:lvl w:ilvl="0">
      <w:lvlJc w:val="left"/>
      <w:lvlText w:val="%1."/>
      <w:numFmt w:val="decimal"/>
      <w:start w:val="21"/>
    </w:lvl>
  </w:abstractNum>
  <w:abstractNum w:abstractNumId="108">
    <w:nsid w:val="51088277"/>
    <w:multiLevelType w:val="hybridMultilevel"/>
    <w:lvl w:ilvl="0">
      <w:lvlJc w:val="left"/>
      <w:lvlText w:val="%1."/>
      <w:numFmt w:val="decimal"/>
      <w:start w:val="22"/>
    </w:lvl>
  </w:abstractNum>
  <w:abstractNum w:abstractNumId="109">
    <w:nsid w:val="1CA0C5FA"/>
    <w:multiLevelType w:val="hybridMultilevel"/>
    <w:lvl w:ilvl="0">
      <w:lvlJc w:val="left"/>
      <w:lvlText w:val="%1."/>
      <w:numFmt w:val="decimal"/>
      <w:start w:val="1"/>
    </w:lvl>
  </w:abstractNum>
  <w:abstractNum w:abstractNumId="110">
    <w:nsid w:val="53584BCB"/>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2022-03-22T16:16:06Z</dcterms:created>
  <dcterms:modified xsi:type="dcterms:W3CDTF">2022-03-22T16:16:06Z</dcterms:modified>
</cp:coreProperties>
</file>