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31, 2019</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WESTWOOD HOLDINGS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224" w:lineRule="exact"/>
        <w:rPr>
          <w:sz w:val="24"/>
          <w:szCs w:val="24"/>
          <w:color w:val="auto"/>
        </w:rPr>
      </w:pPr>
    </w:p>
    <w:p>
      <w:pPr>
        <w:ind w:left="500"/>
        <w:spacing w:after="0"/>
        <w:tabs>
          <w:tab w:leader="none" w:pos="1340" w:val="left"/>
          <w:tab w:leader="none" w:pos="2300" w:val="left"/>
        </w:tabs>
        <w:rPr>
          <w:sz w:val="20"/>
          <w:szCs w:val="20"/>
          <w:color w:val="auto"/>
        </w:rPr>
      </w:pPr>
      <w:r>
        <w:rPr>
          <w:rFonts w:ascii="Arial" w:cs="Arial" w:eastAsia="Arial" w:hAnsi="Arial"/>
          <w:sz w:val="18"/>
          <w:szCs w:val="18"/>
          <w:color w:val="auto"/>
        </w:rPr>
        <w:t>Delaware</w:t>
        <w:tab/>
        <w:t>001-31234</w:t>
      </w:r>
      <w:r>
        <w:rPr>
          <w:sz w:val="20"/>
          <w:szCs w:val="20"/>
          <w:color w:val="auto"/>
        </w:rPr>
        <w:tab/>
      </w:r>
      <w:r>
        <w:rPr>
          <w:rFonts w:ascii="Arial" w:cs="Arial" w:eastAsia="Arial" w:hAnsi="Arial"/>
          <w:sz w:val="16"/>
          <w:szCs w:val="16"/>
          <w:color w:val="auto"/>
        </w:rPr>
        <w:t>75-2969997</w:t>
      </w:r>
    </w:p>
    <w:p>
      <w:pPr>
        <w:spacing w:after="0" w:line="23" w:lineRule="exact"/>
        <w:rPr>
          <w:sz w:val="24"/>
          <w:szCs w:val="24"/>
          <w:color w:val="auto"/>
        </w:rPr>
      </w:pPr>
    </w:p>
    <w:p>
      <w:pPr>
        <w:jc w:val="right"/>
        <w:ind w:right="7100"/>
        <w:spacing w:after="0"/>
        <w:tabs>
          <w:tab w:leader="none" w:pos="9320" w:val="left"/>
          <w:tab w:leader="none" w:pos="8160" w:val="left"/>
        </w:tabs>
        <w:rPr>
          <w:sz w:val="20"/>
          <w:szCs w:val="20"/>
          <w:color w:val="auto"/>
        </w:rPr>
      </w:pPr>
      <w:r>
        <w:rPr>
          <w:rFonts w:ascii="Arial" w:cs="Arial" w:eastAsia="Arial" w:hAnsi="Arial"/>
          <w:sz w:val="18"/>
          <w:szCs w:val="18"/>
          <w:color w:val="auto"/>
        </w:rPr>
        <w:t>(State or other jurisdiction</w:t>
        <w:tab/>
        <w:t>(Commission</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jc w:val="right"/>
        <w:ind w:right="7140"/>
        <w:spacing w:after="0"/>
        <w:tabs>
          <w:tab w:leader="none" w:pos="9620" w:val="left"/>
          <w:tab w:leader="none" w:pos="8460" w:val="left"/>
        </w:tabs>
        <w:rPr>
          <w:sz w:val="20"/>
          <w:szCs w:val="20"/>
          <w:color w:val="auto"/>
        </w:rPr>
      </w:pPr>
      <w:r>
        <w:rPr>
          <w:rFonts w:ascii="Arial" w:cs="Arial" w:eastAsia="Arial" w:hAnsi="Arial"/>
          <w:sz w:val="18"/>
          <w:szCs w:val="18"/>
          <w:color w:val="auto"/>
        </w:rPr>
        <w:t>of incorporation)</w:t>
        <w:tab/>
        <w:t>File Number)</w:t>
      </w:r>
      <w:r>
        <w:rPr>
          <w:sz w:val="20"/>
          <w:szCs w:val="20"/>
          <w:color w:val="auto"/>
        </w:rPr>
        <w:tab/>
      </w:r>
      <w:r>
        <w:rPr>
          <w:rFonts w:ascii="Arial" w:cs="Arial" w:eastAsia="Arial" w:hAnsi="Arial"/>
          <w:sz w:val="17"/>
          <w:szCs w:val="17"/>
          <w:color w:val="auto"/>
        </w:rPr>
        <w:t>Identification No.)</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54" w:lineRule="exact"/>
        <w:rPr>
          <w:sz w:val="24"/>
          <w:szCs w:val="24"/>
          <w:color w:val="auto"/>
        </w:rPr>
      </w:pPr>
    </w:p>
    <w:p>
      <w:pPr>
        <w:ind w:right="540" w:firstLine="324"/>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3" w:lineRule="exact"/>
        <w:rPr>
          <w:sz w:val="24"/>
          <w:szCs w:val="24"/>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9" w:lineRule="exact"/>
        <w:rPr>
          <w:sz w:val="24"/>
          <w:szCs w:val="24"/>
          <w:color w:val="auto"/>
        </w:rPr>
      </w:pPr>
    </w:p>
    <w:tbl>
      <w:tblPr>
        <w:tblLayout w:type="fixed"/>
        <w:tblInd w:w="62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90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40" w:type="dxa"/>
            <w:vAlign w:val="bottom"/>
          </w:tcPr>
          <w:p>
            <w:pPr>
              <w:spacing w:after="0"/>
              <w:rPr>
                <w:sz w:val="17"/>
                <w:szCs w:val="17"/>
                <w:color w:val="auto"/>
              </w:rPr>
            </w:pPr>
          </w:p>
        </w:tc>
      </w:tr>
      <w:tr>
        <w:trPr>
          <w:trHeight w:val="438"/>
        </w:trPr>
        <w:tc>
          <w:tcPr>
            <w:tcW w:w="820" w:type="dxa"/>
            <w:vAlign w:val="bottom"/>
          </w:tcPr>
          <w:p>
            <w:pPr>
              <w:spacing w:after="0"/>
              <w:rPr>
                <w:sz w:val="24"/>
                <w:szCs w:val="24"/>
                <w:color w:val="auto"/>
              </w:rPr>
            </w:pPr>
          </w:p>
        </w:tc>
        <w:tc>
          <w:tcPr>
            <w:tcW w:w="2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Title of Each Class</w:t>
            </w:r>
          </w:p>
        </w:tc>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1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1300" w:type="dxa"/>
            <w:vAlign w:val="bottom"/>
          </w:tcPr>
          <w:p>
            <w:pPr>
              <w:spacing w:after="0"/>
              <w:rPr>
                <w:sz w:val="24"/>
                <w:szCs w:val="24"/>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8"/>
                <w:szCs w:val="18"/>
                <w:color w:val="auto"/>
                <w:w w:val="99"/>
              </w:rPr>
              <w:t>WHG</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10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94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31" w:lineRule="exact"/>
        <w:rPr>
          <w:sz w:val="24"/>
          <w:szCs w:val="24"/>
          <w:color w:val="auto"/>
        </w:rPr>
      </w:pPr>
    </w:p>
    <w:p>
      <w:pPr>
        <w:ind w:right="380"/>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20"/>
          </w:cols>
          <w:pgMar w:left="240" w:top="733"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00"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On July 31, 2019, Westwood Holdings Group, Inc. (“Westwood”) issued a press release entitled “Westwood Holdings Group, Inc. Reports Second Quarter 2019 Results; Expands Sales Team, Delivers Outperformance across Multiple Strategies and Adds Service Offerings”, a copy of which is furnished with this Current Report on Form 8-K as Exhibit 99.1.</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22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$0.72 per common share, payable on October 1, 2019 to stockholders of record on September 6, 2019.</w:t>
      </w:r>
    </w:p>
    <w:p>
      <w:pPr>
        <w:spacing w:after="0" w:line="19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00" w:type="dxa"/>
            <w:vAlign w:val="bottom"/>
          </w:tcPr>
          <w:p>
            <w:pPr>
              <w:spacing w:after="0"/>
              <w:rPr>
                <w:sz w:val="20"/>
                <w:szCs w:val="20"/>
                <w:color w:val="auto"/>
              </w:rPr>
            </w:pPr>
            <w:r>
              <w:rPr>
                <w:rFonts w:ascii="Arial" w:cs="Arial" w:eastAsia="Arial" w:hAnsi="Arial"/>
                <w:sz w:val="20"/>
                <w:szCs w:val="20"/>
                <w:color w:val="auto"/>
                <w:w w:val="93"/>
              </w:rPr>
              <w:t>Exhibit Number</w:t>
            </w:r>
          </w:p>
        </w:tc>
        <w:tc>
          <w:tcPr>
            <w:tcW w:w="9900" w:type="dxa"/>
            <w:vAlign w:val="bottom"/>
            <w:gridSpan w:val="2"/>
          </w:tcPr>
          <w:p>
            <w:pPr>
              <w:ind w:left="980"/>
              <w:spacing w:after="0"/>
              <w:rPr>
                <w:sz w:val="20"/>
                <w:szCs w:val="20"/>
                <w:color w:val="auto"/>
              </w:rPr>
            </w:pPr>
            <w:r>
              <w:rPr>
                <w:rFonts w:ascii="Arial" w:cs="Arial" w:eastAsia="Arial" w:hAnsi="Arial"/>
                <w:sz w:val="20"/>
                <w:szCs w:val="20"/>
                <w:color w:val="auto"/>
              </w:rPr>
              <w:t>Description</w:t>
            </w:r>
          </w:p>
        </w:tc>
      </w:tr>
      <w:tr>
        <w:trPr>
          <w:trHeight w:val="415"/>
        </w:trPr>
        <w:tc>
          <w:tcPr>
            <w:tcW w:w="1300" w:type="dxa"/>
            <w:vAlign w:val="bottom"/>
          </w:tcPr>
          <w:p>
            <w:pPr>
              <w:spacing w:after="0"/>
              <w:rPr>
                <w:sz w:val="20"/>
                <w:szCs w:val="20"/>
                <w:color w:val="auto"/>
              </w:rPr>
            </w:pPr>
            <w:r>
              <w:rPr>
                <w:rFonts w:ascii="Arial" w:cs="Arial" w:eastAsia="Arial" w:hAnsi="Arial"/>
                <w:sz w:val="20"/>
                <w:szCs w:val="20"/>
                <w:color w:val="auto"/>
              </w:rPr>
              <w:t>99.1</w:t>
            </w:r>
          </w:p>
        </w:tc>
        <w:tc>
          <w:tcPr>
            <w:tcW w:w="990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5">
              <w:r>
                <w:rPr>
                  <w:rFonts w:ascii="Arial" w:cs="Arial" w:eastAsia="Arial" w:hAnsi="Arial"/>
                  <w:sz w:val="20"/>
                  <w:szCs w:val="20"/>
                  <w:color w:val="0000FF"/>
                  <w:w w:val="88"/>
                </w:rPr>
                <w:t>Press Release dated July 31, 2019, entitled “Westwood Holdings Group, Inc. Reports Second Quarter 2019 Results; Expands</w:t>
              </w:r>
            </w:hyperlink>
          </w:p>
        </w:tc>
      </w:tr>
      <w:tr>
        <w:trPr>
          <w:trHeight w:val="210"/>
        </w:trPr>
        <w:tc>
          <w:tcPr>
            <w:tcW w:w="1300" w:type="dxa"/>
            <w:vAlign w:val="bottom"/>
          </w:tcPr>
          <w:p>
            <w:pPr>
              <w:spacing w:after="0"/>
              <w:rPr>
                <w:sz w:val="18"/>
                <w:szCs w:val="18"/>
                <w:color w:val="auto"/>
              </w:rPr>
            </w:pPr>
          </w:p>
        </w:tc>
        <w:tc>
          <w:tcPr>
            <w:tcW w:w="9900" w:type="dxa"/>
            <w:vAlign w:val="bottom"/>
            <w:gridSpan w:val="2"/>
          </w:tcPr>
          <w:p>
            <w:pPr>
              <w:spacing w:after="0" w:line="209" w:lineRule="exact"/>
              <w:rPr>
                <w:rFonts w:ascii="Arial" w:cs="Arial" w:eastAsia="Arial" w:hAnsi="Arial"/>
                <w:sz w:val="20"/>
                <w:szCs w:val="20"/>
                <w:color w:val="0000FF"/>
              </w:rPr>
            </w:pPr>
            <w:hyperlink w:anchor="page5">
              <w:r>
                <w:rPr>
                  <w:rFonts w:ascii="Arial" w:cs="Arial" w:eastAsia="Arial" w:hAnsi="Arial"/>
                  <w:sz w:val="20"/>
                  <w:szCs w:val="20"/>
                  <w:color w:val="0000FF"/>
                </w:rPr>
                <w:t>Sales Team, Delivers Outperformance across Multiple Strategies and Adds Service Offerings”</w:t>
              </w:r>
            </w:hyperlink>
          </w:p>
        </w:tc>
      </w:tr>
      <w:tr>
        <w:trPr>
          <w:trHeight w:val="20"/>
        </w:trPr>
        <w:tc>
          <w:tcPr>
            <w:tcW w:w="1300" w:type="dxa"/>
            <w:vAlign w:val="bottom"/>
          </w:tcPr>
          <w:p>
            <w:pPr>
              <w:spacing w:after="0" w:line="20" w:lineRule="exact"/>
              <w:rPr>
                <w:sz w:val="1"/>
                <w:szCs w:val="1"/>
                <w:color w:val="auto"/>
              </w:rPr>
            </w:pPr>
          </w:p>
        </w:tc>
        <w:tc>
          <w:tcPr>
            <w:tcW w:w="746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ectPr>
          <w:pgSz w:w="11900" w:h="16838" w:orient="portrait"/>
          <w:cols w:equalWidth="0" w:num="1">
            <w:col w:w="11380"/>
          </w:cols>
          <w:pgMar w:left="240" w:top="58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July 31, 2019</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30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73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Murray Forbes III</w:t>
      </w: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8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20"/>
                <w:szCs w:val="20"/>
                <w:color w:val="auto"/>
              </w:rPr>
              <w:t>EXHIBIT INDEX</w:t>
            </w:r>
          </w:p>
        </w:tc>
      </w:tr>
      <w:tr>
        <w:trPr>
          <w:trHeight w:val="439"/>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4"/>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760" w:type="dxa"/>
            <w:vAlign w:val="bottom"/>
            <w:gridSpan w:val="2"/>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66"/>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40" w:type="dxa"/>
            <w:vAlign w:val="bottom"/>
            <w:tcBorders>
              <w:bottom w:val="single" w:sz="8" w:color="0000FF"/>
            </w:tcBorders>
            <w:gridSpan w:val="6"/>
          </w:tcPr>
          <w:p>
            <w:pPr>
              <w:spacing w:after="0"/>
              <w:rPr>
                <w:rFonts w:ascii="Arial" w:cs="Arial" w:eastAsia="Arial" w:hAnsi="Arial"/>
                <w:sz w:val="22"/>
                <w:szCs w:val="22"/>
                <w:color w:val="0000FF"/>
                <w:w w:val="88"/>
              </w:rPr>
            </w:pPr>
            <w:hyperlink w:anchor="page5">
              <w:r>
                <w:rPr>
                  <w:rFonts w:ascii="Arial" w:cs="Arial" w:eastAsia="Arial" w:hAnsi="Arial"/>
                  <w:sz w:val="22"/>
                  <w:szCs w:val="22"/>
                  <w:color w:val="0000FF"/>
                  <w:w w:val="88"/>
                </w:rPr>
                <w:t>Press Release dated July 31, 2019, entitled “Westwood Holdings Group, Inc. Reports Second Quarter 2019</w:t>
              </w:r>
            </w:hyperlink>
          </w:p>
        </w:tc>
      </w:tr>
      <w:tr>
        <w:trPr>
          <w:trHeight w:val="237"/>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720" w:type="dxa"/>
            <w:vAlign w:val="bottom"/>
            <w:tcBorders>
              <w:bottom w:val="single" w:sz="8" w:color="0000FF"/>
            </w:tcBorders>
            <w:gridSpan w:val="5"/>
          </w:tcPr>
          <w:p>
            <w:pPr>
              <w:spacing w:after="0" w:line="237" w:lineRule="exact"/>
              <w:rPr>
                <w:rFonts w:ascii="Arial" w:cs="Arial" w:eastAsia="Arial" w:hAnsi="Arial"/>
                <w:sz w:val="22"/>
                <w:szCs w:val="22"/>
                <w:color w:val="0000FF"/>
                <w:w w:val="88"/>
              </w:rPr>
            </w:pPr>
            <w:hyperlink w:anchor="page5">
              <w:r>
                <w:rPr>
                  <w:rFonts w:ascii="Arial" w:cs="Arial" w:eastAsia="Arial" w:hAnsi="Arial"/>
                  <w:sz w:val="22"/>
                  <w:szCs w:val="22"/>
                  <w:color w:val="0000FF"/>
                  <w:w w:val="88"/>
                </w:rPr>
                <w:t>Results; Expands Sales Team, Delivers Outperformance across Multiple Strategies and Adds Service</w:t>
              </w:r>
            </w:hyperlink>
          </w:p>
        </w:tc>
        <w:tc>
          <w:tcPr>
            <w:tcW w:w="520" w:type="dxa"/>
            <w:vAlign w:val="bottom"/>
          </w:tcPr>
          <w:p>
            <w:pPr>
              <w:spacing w:after="0"/>
              <w:rPr>
                <w:sz w:val="20"/>
                <w:szCs w:val="20"/>
                <w:color w:val="auto"/>
              </w:rPr>
            </w:pPr>
          </w:p>
        </w:tc>
      </w:tr>
      <w:tr>
        <w:trPr>
          <w:trHeight w:val="237"/>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bottom w:val="single" w:sz="8" w:color="0000FF"/>
            </w:tcBorders>
            <w:gridSpan w:val="2"/>
          </w:tcPr>
          <w:p>
            <w:pPr>
              <w:spacing w:after="0" w:line="237" w:lineRule="exact"/>
              <w:rPr>
                <w:rFonts w:ascii="Arial" w:cs="Arial" w:eastAsia="Arial" w:hAnsi="Arial"/>
                <w:sz w:val="22"/>
                <w:szCs w:val="22"/>
                <w:color w:val="0000FF"/>
                <w:w w:val="93"/>
              </w:rPr>
            </w:pPr>
            <w:hyperlink w:anchor="page5">
              <w:r>
                <w:rPr>
                  <w:rFonts w:ascii="Arial" w:cs="Arial" w:eastAsia="Arial" w:hAnsi="Arial"/>
                  <w:sz w:val="22"/>
                  <w:szCs w:val="22"/>
                  <w:color w:val="0000FF"/>
                  <w:w w:val="93"/>
                </w:rPr>
                <w:t>Offerings”</w:t>
              </w:r>
            </w:hyperlink>
          </w:p>
        </w:tc>
        <w:tc>
          <w:tcPr>
            <w:tcW w:w="8320" w:type="dxa"/>
            <w:vAlign w:val="bottom"/>
            <w:gridSpan w:val="4"/>
          </w:tcPr>
          <w:p>
            <w:pPr>
              <w:spacing w:after="0"/>
              <w:rPr>
                <w:sz w:val="20"/>
                <w:szCs w:val="20"/>
                <w:color w:val="auto"/>
              </w:rPr>
            </w:pPr>
          </w:p>
        </w:tc>
      </w:tr>
    </w:tbl>
    <w:p>
      <w:pPr>
        <w:sectPr>
          <w:pgSz w:w="11900" w:h="16838" w:orient="portrait"/>
          <w:cols w:equalWidth="0" w:num="1">
            <w:col w:w="11200"/>
          </w:cols>
          <w:pgMar w:left="240" w:top="787" w:right="4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Second Quarter 2019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Expands Sales Team, Delivers Outperformance Across Multiple Strategies and Adds Service Offerings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Dallas, TX, July 31, 2019 – Westwood Holdings Group, Inc. (NYSE: WHG) today reported second quarter 2019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quarter include:</w:t>
      </w:r>
    </w:p>
    <w:p>
      <w:pPr>
        <w:spacing w:after="0" w:line="1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Revenues of $21.7 million compared with $23.9 million in the first quarter and $32.8 million in last year's second quarter.</w:t>
      </w:r>
    </w:p>
    <w:p>
      <w:pPr>
        <w:spacing w:after="0" w:line="200" w:lineRule="exact"/>
        <w:rPr>
          <w:rFonts w:ascii="Arial" w:cs="Arial" w:eastAsia="Arial" w:hAnsi="Arial"/>
          <w:sz w:val="19"/>
          <w:szCs w:val="19"/>
          <w:color w:val="auto"/>
        </w:rPr>
      </w:pPr>
    </w:p>
    <w:p>
      <w:pPr>
        <w:jc w:val="both"/>
        <w:ind w:left="660" w:hanging="328"/>
        <w:spacing w:after="0" w:line="25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income of $1.9 million compared with $0.4 million in the first quarter and $8.0 million in last year's second quarter. Non-GAAP Economic Earnings of $4.8 million compared with $4.1 million in the first quarter of 2019 and $12.2 million in the second quarter of 2018.</w:t>
      </w:r>
    </w:p>
    <w:p>
      <w:pPr>
        <w:spacing w:after="0" w:line="131"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of our U.S. Value teams, our Market Neutral Income, Strategic Global Convertibles and Emerging Markets teams outperformed their primary benchmarks.</w:t>
      </w:r>
    </w:p>
    <w:p>
      <w:pPr>
        <w:spacing w:after="0" w:line="120" w:lineRule="exact"/>
        <w:rPr>
          <w:rFonts w:ascii="Arial" w:cs="Arial" w:eastAsia="Arial" w:hAnsi="Arial"/>
          <w:sz w:val="22"/>
          <w:szCs w:val="22"/>
          <w:color w:val="auto"/>
        </w:rPr>
      </w:pPr>
    </w:p>
    <w:p>
      <w:pPr>
        <w:ind w:left="660" w:hanging="328"/>
        <w:spacing w:after="0" w:line="287"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color w:val="auto"/>
        </w:rPr>
        <w:t>Top decile performance was achieved by our SmallCap Value and Flexible Income teams, and our other U.S. Value teams, Income Opportunity, Market Neutral Income and Emerging Markets teams posted top quartile performance.</w:t>
      </w:r>
    </w:p>
    <w:p>
      <w:pPr>
        <w:spacing w:after="0" w:line="97"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Intermediary Sales Team added four experienced Tier 1 external wholesalers and one experienced internal wholesaler.</w:t>
      </w:r>
    </w:p>
    <w:p>
      <w:pPr>
        <w:spacing w:after="0" w:line="20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At quarter-end, Westwood had $103.9 million in cash and short-term investments, stockholders’ equity of $154 million and no debt.</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Revenues of $21.7 million decreased $2.2 million from the first quarter and $11.1 million from last year's second quarter on lower average assets under management ("AUM") resulting from net outflows and lower performance-based fees.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AUM at June 30, 2019 totaled $15.4 billion compared to $16.8 billion at March 31, 2019 and $21.6 billion at June 30, 2018.</w:t>
      </w: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Second quarter net income of $1.9 million compared with $0.4 million in the first quarter. The increase was due to higher seasonal payroll tax and benefit matching on bonuses paid in the first quarter. Diluted earnings per share of $0.22 compared to $0.05 for the first quarter. Non-GAAP Economic Earnings of $4.8 million, or $0.56 per share, compared to $4.1 million, or $0.49 per share, in the first quarter.</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Second quarter net income of $1.9 million compared with $8.0 million in last year's second quarter. The decrease was due to lower total revenues and a $0.6 million net foreign currency loss, partially offset by lower incentive compensation expense. Non-GAAP Economic Earnings decreased from $12.2 million, or $1.43 per share, in the second quarter of 2018, to $4.8 million, or $0.56 per share, in the current quarter.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9"/>
          <w:szCs w:val="19"/>
          <w:color w:val="auto"/>
        </w:rPr>
        <w:t>Brian Casey, Westwood’s President &amp; CEO, commented, "Our overall product performance was solid during the second quarter, particularly our SMidCap and Income Opportunity portfolios, and SmallCap earned a 5-Star Overall Morningstar Rating™. We continue to see both interest and activity with our SmallCap Value strategy, which has delivered steady performance for the past several quarters. We are very encouraged by robust sales activity supporting a growing pipeline as our Institutional and Intermediary Sales teams reach fully-staffed levels with well-defined coverage and responsibilities. As we continue to implement ways to manage costs and run our business efficiently, we are very pleased with our technology initiative progress as we migrate our systems to InvestCloud. From a business innovation standpoint, our Sensible Fees™ structure has been well received, generating positive industry recognition and thought leadership opportunities. Our product development efforts are focused on growing our multi-asset franchise. Charis Bank, in conjunction with our Wealth Management team, has officially opened Westwood Private Bank (a division of Charis Bank) located adjacent to our Dallas headquarters in the Crescent. We will work closely with Westwood Private Bank to deliver on our commitment to provide clients with a wide spectrum of financial planning, trust and investment services via frictionless interactions, state-of-the-art safeguards and white-glove service for traditional banking products such as cash and lending. With these strategic initiatives, we are well positioned to overcome recent industry disruptions and support the needs of our clients."</w:t>
      </w:r>
    </w:p>
    <w:p>
      <w:pPr>
        <w:spacing w:after="0" w:line="200" w:lineRule="exact"/>
        <w:rPr>
          <w:sz w:val="20"/>
          <w:szCs w:val="20"/>
          <w:color w:val="auto"/>
        </w:rPr>
      </w:pP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Westwood’s Board of Directors declared a quarterly cash dividend of $0.72 per common share, payable on October 1, 2019 to stockholders of record on September 6, 2019.</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Earnings per Share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second quarter 2019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August 1, 2019 by dialing 855-859-2056 (domestic and Canada) or 404-537-3406 (international) and then entering the passcode 5888804.</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Westwood Holdings Group, Inc. provides investment management services to institutional investors, private wealth clients and financial intermediaries. The firm has $15.4 billion in assets under management, of which $2.3 billion are in values-based and socially responsible investment mandates as of June 30, 2019. Westwood offers a range of investment strategies including U.S. equities, Multi-Asset,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and Houston.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200" w:lineRule="exact"/>
        <w:rPr>
          <w:sz w:val="20"/>
          <w:szCs w:val="20"/>
          <w:color w:val="auto"/>
        </w:rPr>
      </w:pPr>
    </w:p>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©2019 Morningstar.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ectPr>
          <w:pgSz w:w="11900" w:h="16838" w:orient="portrait"/>
          <w:cols w:equalWidth="0" w:num="1">
            <w:col w:w="11420"/>
          </w:cols>
          <w:pgMar w:left="240" w:top="63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reputation and relationships with current and potential customers; our ability to attract and retain qualified personnel; our ability to maintain effective cyber security; our ability to perform operational tasks; our ability to identify and execute on our strategic initiatives; our ability to maintain effective information systems; our ability to select and oversee third-party vendors;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2018 and its quarterly reports on Form 10-Q for the quarters ended March 31, 2019 and June 30, 2019.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SVP, 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23,473</w:t>
            </w:r>
          </w:p>
        </w:tc>
        <w:tc>
          <w:tcPr>
            <w:tcW w:w="0" w:type="dxa"/>
            <w:vAlign w:val="bottom"/>
          </w:tcPr>
          <w:p>
            <w:pPr>
              <w:spacing w:after="0"/>
              <w:rPr>
                <w:sz w:val="1"/>
                <w:szCs w:val="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foreign currency transactions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8,446,610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8,363,109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8,399,148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8,476,777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8,455,386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8,543,353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Economic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4,773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47,956</w:t>
            </w:r>
          </w:p>
        </w:tc>
      </w:tr>
      <w:tr>
        <w:trPr>
          <w:trHeight w:val="243"/>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15,074</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66,327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4,421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4,869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loss on foreign currency transactions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45,428</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20,899</w:t>
            </w: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Gain on sale of operations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21,423</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15,970</w:t>
            </w:r>
          </w:p>
        </w:tc>
      </w:tr>
      <w:tr>
        <w:trPr>
          <w:trHeight w:val="237"/>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14,292</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8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9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8,406,367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8,336,923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8,467,589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8,543,401</w:t>
            </w:r>
          </w:p>
        </w:tc>
      </w:tr>
      <w:tr>
        <w:trPr>
          <w:trHeight w:val="29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Economic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Economic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420"/>
          </w:cols>
          <w:pgMar w:left="240" w:top="625" w:right="239" w:bottom="1440" w:gutter="0" w:footer="0" w:header="0"/>
        </w:sectPr>
      </w:pPr>
    </w:p>
    <w:bookmarkStart w:id="9" w:name="page10"/>
    <w:bookmarkEnd w:id="9"/>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December 31, 2018</w:t>
            </w: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121,094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139,739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(including investments at fair value of $250 and $0)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$6,916 and $6,462</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179,486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16,016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3"/>
              </w:rPr>
              <w:t>Common stock, $0.01 par value, authorized 25,000,000 shares, issued 10,336,363 and outstanding 8,944,733</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w w:val="96"/>
              </w:rPr>
              <w:t>shares at June 30, 2019; issued 10,182,583 and outstanding 8,904,902 shares at December 31, 2018</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194,116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Treasury stock, at cost - 1,391,630 shares at June 30, 2019; 1,277,681 shares at December 31, 2018</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153,986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161,149</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179,486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539"/>
              <w:spacing w:after="0"/>
              <w:rPr>
                <w:sz w:val="20"/>
                <w:szCs w:val="20"/>
                <w:color w:val="auto"/>
              </w:rPr>
            </w:pPr>
            <w:r>
              <w:rPr>
                <w:rFonts w:ascii="Arial" w:cs="Arial" w:eastAsia="Arial" w:hAnsi="Arial"/>
                <w:sz w:val="15"/>
                <w:szCs w:val="15"/>
                <w:b w:val="1"/>
                <w:bCs w:val="1"/>
                <w:color w:val="auto"/>
              </w:rPr>
              <w:t>Six Months Ended June 30,</w:t>
            </w:r>
          </w:p>
        </w:tc>
      </w:tr>
      <w:tr>
        <w:trPr>
          <w:trHeight w:val="35"/>
        </w:trPr>
        <w:tc>
          <w:tcPr>
            <w:tcW w:w="8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99"/>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5"/>
                <w:szCs w:val="15"/>
                <w:b w:val="1"/>
                <w:bCs w:val="1"/>
                <w:color w:val="auto"/>
              </w:rPr>
              <w:t>2018</w:t>
            </w:r>
          </w:p>
        </w:tc>
      </w:tr>
      <w:tr>
        <w:trPr>
          <w:trHeight w:val="35"/>
        </w:trPr>
        <w:tc>
          <w:tcPr>
            <w:tcW w:w="83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15,970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7,963</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Gain on sale of operations</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Net sales (purchases) of investments- trading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18,779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(10,445)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(1,616)</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4,637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(9,844)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Omaha divestiture</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10,013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7"/>
        </w:trPr>
        <w:tc>
          <w:tcPr>
            <w:tcW w:w="8340" w:type="dxa"/>
            <w:vAlign w:val="bottom"/>
          </w:tcPr>
          <w:p>
            <w:pPr>
              <w:ind w:left="94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treasury stock</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treasury stock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(4,687)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(13,075)</w:t>
            </w:r>
          </w:p>
        </w:tc>
      </w:tr>
      <w:tr>
        <w:trPr>
          <w:trHeight w:val="217"/>
        </w:trPr>
        <w:tc>
          <w:tcPr>
            <w:tcW w:w="8340" w:type="dxa"/>
            <w:vAlign w:val="bottom"/>
          </w:tcPr>
          <w:p>
            <w:pPr>
              <w:ind w:left="9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(18,488)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3,861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54,249</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56,310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47,301</w:t>
            </w:r>
          </w:p>
        </w:tc>
      </w:tr>
      <w:tr>
        <w:trPr>
          <w:trHeight w:val="271"/>
        </w:trPr>
        <w:tc>
          <w:tcPr>
            <w:tcW w:w="8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4,169</w:t>
            </w:r>
          </w:p>
        </w:tc>
      </w:tr>
      <w:tr>
        <w:trPr>
          <w:trHeight w:val="237"/>
        </w:trPr>
        <w:tc>
          <w:tcPr>
            <w:tcW w:w="8340" w:type="dxa"/>
            <w:vAlign w:val="bottom"/>
          </w:tcPr>
          <w:p>
            <w:pPr>
              <w:ind w:left="340"/>
              <w:spacing w:after="0"/>
              <w:rPr>
                <w:sz w:val="20"/>
                <w:szCs w:val="20"/>
                <w:color w:val="auto"/>
              </w:rPr>
            </w:pPr>
            <w:r>
              <w:rPr>
                <w:rFonts w:ascii="Arial" w:cs="Arial" w:eastAsia="Arial" w:hAnsi="Arial"/>
                <w:sz w:val="16"/>
                <w:szCs w:val="16"/>
                <w:color w:val="auto"/>
              </w:rPr>
              <w:t>Accrued dividends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8,150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8,260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purchase of property and equipment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11" w:name="page12"/>
    <w:bookmarkEnd w:id="11"/>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w w:val="92"/>
              </w:rPr>
              <w:t>Three Months Ended</w:t>
            </w:r>
          </w:p>
        </w:tc>
        <w:tc>
          <w:tcPr>
            <w:tcW w:w="104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9"/>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Stock based compensation expense</w:t>
            </w:r>
          </w:p>
        </w:tc>
        <w:tc>
          <w:tcPr>
            <w:tcW w:w="22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3,776</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4,773</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12,245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8,476,777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8,455,386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8,543,353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0.56</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656"/>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jc w:val="right"/>
              <w:ind w:right="452"/>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Stock based compensation expense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7,963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24,887</w:t>
            </w: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8,467,589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8,543,401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2.91</w:t>
            </w:r>
          </w:p>
        </w:tc>
      </w:tr>
    </w:tbl>
    <w:p>
      <w:pPr>
        <w:spacing w:after="0" w:line="27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2019-12-28T09:46:23Z</dcterms:created>
  <dcterms:modified xsi:type="dcterms:W3CDTF">2019-12-28T09:46:23Z</dcterms:modified>
</cp:coreProperties>
</file>