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(Mark One)</w:t>
      </w:r>
    </w:p>
    <w:p>
      <w:pPr>
        <w:spacing w:after="0" w:line="42"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72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-425450</wp:posOffset>
            </wp:positionH>
            <wp:positionV relativeFrom="paragraph">
              <wp:posOffset>-228600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-262890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jc w:val="center"/>
        <w:ind w:right="7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20"/>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29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37" w:lineRule="exact"/>
        <w:rPr>
          <w:sz w:val="24"/>
          <w:szCs w:val="24"/>
          <w:color w:val="auto"/>
        </w:rPr>
      </w:pPr>
    </w:p>
    <w:p>
      <w:pPr>
        <w:jc w:val="center"/>
        <w:ind w:right="720"/>
        <w:spacing w:after="0"/>
        <w:rPr>
          <w:sz w:val="20"/>
          <w:szCs w:val="20"/>
          <w:color w:val="auto"/>
        </w:rPr>
      </w:pPr>
      <w:r>
        <w:rPr>
          <w:rFonts w:ascii="Arial" w:cs="Arial" w:eastAsia="Arial" w:hAnsi="Arial"/>
          <w:sz w:val="22"/>
          <w:szCs w:val="22"/>
          <w:b w:val="1"/>
          <w:bCs w:val="1"/>
          <w:color w:val="auto"/>
        </w:rPr>
        <w:t>Form 10-K</w:t>
      </w:r>
    </w:p>
    <w:p>
      <w:pPr>
        <w:spacing w:after="0" w:line="16" w:lineRule="exact"/>
        <w:rPr>
          <w:sz w:val="24"/>
          <w:szCs w:val="24"/>
          <w:color w:val="auto"/>
        </w:rPr>
      </w:pPr>
    </w:p>
    <w:p>
      <w:pPr>
        <w:ind w:left="29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204" w:lineRule="exact"/>
        <w:rPr>
          <w:sz w:val="24"/>
          <w:szCs w:val="24"/>
          <w:color w:val="auto"/>
        </w:rPr>
      </w:pPr>
    </w:p>
    <w:p>
      <w:pPr>
        <w:ind w:left="3640" w:right="3660" w:hanging="3627"/>
        <w:spacing w:after="0" w:line="416" w:lineRule="auto"/>
        <w:rPr>
          <w:sz w:val="20"/>
          <w:szCs w:val="20"/>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2019</w:t>
      </w:r>
    </w:p>
    <w:p>
      <w:pPr>
        <w:jc w:val="center"/>
        <w:ind w:right="720"/>
        <w:spacing w:after="0"/>
        <w:rPr>
          <w:sz w:val="20"/>
          <w:szCs w:val="20"/>
          <w:color w:val="auto"/>
        </w:rPr>
      </w:pPr>
      <w:r>
        <w:rPr>
          <w:rFonts w:ascii="Arial" w:cs="Arial" w:eastAsia="Arial" w:hAnsi="Arial"/>
          <w:sz w:val="13"/>
          <w:szCs w:val="13"/>
          <w:b w:val="1"/>
          <w:bCs w:val="1"/>
          <w:color w:val="auto"/>
        </w:rPr>
        <w:t>OR</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4" w:lineRule="exact"/>
        <w:rPr>
          <w:sz w:val="24"/>
          <w:szCs w:val="24"/>
          <w:color w:val="auto"/>
        </w:rPr>
      </w:pPr>
    </w:p>
    <w:p>
      <w:pPr>
        <w:ind w:left="3340"/>
        <w:spacing w:after="0"/>
        <w:tabs>
          <w:tab w:leader="none" w:pos="57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3175000</wp:posOffset>
            </wp:positionH>
            <wp:positionV relativeFrom="paragraph">
              <wp:posOffset>-5715</wp:posOffset>
            </wp:positionV>
            <wp:extent cx="1046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47"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Commission file number 1-31234</w:t>
      </w:r>
    </w:p>
    <w:p>
      <w:pPr>
        <w:spacing w:after="0" w:line="71" w:lineRule="exact"/>
        <w:rPr>
          <w:sz w:val="24"/>
          <w:szCs w:val="24"/>
          <w:color w:val="auto"/>
        </w:rPr>
      </w:pPr>
    </w:p>
    <w:p>
      <w:pPr>
        <w:ind w:left="29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40" w:lineRule="exact"/>
        <w:rPr>
          <w:sz w:val="24"/>
          <w:szCs w:val="24"/>
          <w:color w:val="auto"/>
        </w:rPr>
      </w:pPr>
    </w:p>
    <w:p>
      <w:pPr>
        <w:jc w:val="center"/>
        <w:ind w:right="720"/>
        <w:spacing w:after="0"/>
        <w:rPr>
          <w:sz w:val="20"/>
          <w:szCs w:val="20"/>
          <w:color w:val="auto"/>
        </w:rPr>
      </w:pPr>
      <w:r>
        <w:rPr>
          <w:rFonts w:ascii="Arial" w:cs="Arial" w:eastAsia="Arial" w:hAnsi="Arial"/>
          <w:sz w:val="25"/>
          <w:szCs w:val="25"/>
          <w:b w:val="1"/>
          <w:bCs w:val="1"/>
          <w:color w:val="auto"/>
        </w:rPr>
        <w:t>WESTWOOD HOLDINGS GROUP, INC.</w:t>
      </w:r>
    </w:p>
    <w:p>
      <w:pPr>
        <w:spacing w:after="0" w:line="28" w:lineRule="exact"/>
        <w:rPr>
          <w:sz w:val="24"/>
          <w:szCs w:val="24"/>
          <w:color w:val="auto"/>
        </w:rPr>
      </w:pPr>
    </w:p>
    <w:p>
      <w:pPr>
        <w:jc w:val="center"/>
        <w:ind w:right="720"/>
        <w:spacing w:after="0"/>
        <w:rPr>
          <w:sz w:val="20"/>
          <w:szCs w:val="20"/>
          <w:color w:val="auto"/>
        </w:rPr>
      </w:pPr>
      <w:r>
        <w:rPr>
          <w:rFonts w:ascii="Arial" w:cs="Arial" w:eastAsia="Arial" w:hAnsi="Arial"/>
          <w:sz w:val="13"/>
          <w:szCs w:val="13"/>
          <w:color w:val="auto"/>
        </w:rPr>
        <w:t>(Exact name of registrant as specified in its charter)</w:t>
      </w:r>
    </w:p>
    <w:p>
      <w:pPr>
        <w:spacing w:after="0" w:line="1" w:lineRule="exact"/>
        <w:rPr>
          <w:sz w:val="24"/>
          <w:szCs w:val="24"/>
          <w:color w:val="auto"/>
        </w:rPr>
      </w:pPr>
    </w:p>
    <w:p>
      <w:pPr>
        <w:ind w:left="29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29" w:lineRule="exact"/>
        <w:rPr>
          <w:sz w:val="24"/>
          <w:szCs w:val="24"/>
          <w:color w:val="auto"/>
        </w:rPr>
      </w:pPr>
    </w:p>
    <w:tbl>
      <w:tblPr>
        <w:tblLayout w:type="fixed"/>
        <w:tblInd w:w="1260" w:type="dxa"/>
        <w:tblCellMar>
          <w:top w:w="0" w:type="dxa"/>
          <w:left w:w="0" w:type="dxa"/>
          <w:bottom w:w="0" w:type="dxa"/>
          <w:right w:w="0" w:type="dxa"/>
        </w:tblCellMar>
      </w:tblPr>
      <w:tr>
        <w:trPr>
          <w:trHeight w:val="186"/>
        </w:trPr>
        <w:tc>
          <w:tcPr>
            <w:tcW w:w="3880" w:type="dxa"/>
            <w:vAlign w:val="bottom"/>
          </w:tcPr>
          <w:p>
            <w:pPr>
              <w:jc w:val="center"/>
              <w:ind w:right="2274"/>
              <w:spacing w:after="0"/>
              <w:rPr>
                <w:sz w:val="20"/>
                <w:szCs w:val="20"/>
                <w:color w:val="auto"/>
              </w:rPr>
            </w:pPr>
            <w:r>
              <w:rPr>
                <w:rFonts w:ascii="Arial" w:cs="Arial" w:eastAsia="Arial" w:hAnsi="Arial"/>
                <w:sz w:val="14"/>
                <w:szCs w:val="14"/>
                <w:b w:val="1"/>
                <w:bCs w:val="1"/>
                <w:color w:val="auto"/>
                <w:w w:val="94"/>
              </w:rPr>
              <w:t>Delaware</w:t>
            </w:r>
          </w:p>
        </w:tc>
        <w:tc>
          <w:tcPr>
            <w:tcW w:w="3300" w:type="dxa"/>
            <w:vAlign w:val="bottom"/>
          </w:tcPr>
          <w:p>
            <w:pPr>
              <w:jc w:val="center"/>
              <w:ind w:left="2314"/>
              <w:spacing w:after="0"/>
              <w:rPr>
                <w:sz w:val="20"/>
                <w:szCs w:val="20"/>
                <w:color w:val="auto"/>
              </w:rPr>
            </w:pPr>
            <w:r>
              <w:rPr>
                <w:rFonts w:ascii="Arial" w:cs="Arial" w:eastAsia="Arial" w:hAnsi="Arial"/>
                <w:sz w:val="14"/>
                <w:szCs w:val="14"/>
                <w:b w:val="1"/>
                <w:bCs w:val="1"/>
                <w:color w:val="auto"/>
                <w:w w:val="90"/>
              </w:rPr>
              <w:t>75-2969997</w:t>
            </w:r>
          </w:p>
        </w:tc>
      </w:tr>
      <w:tr>
        <w:trPr>
          <w:trHeight w:val="134"/>
        </w:trPr>
        <w:tc>
          <w:tcPr>
            <w:tcW w:w="3880" w:type="dxa"/>
            <w:vAlign w:val="bottom"/>
          </w:tcPr>
          <w:p>
            <w:pPr>
              <w:jc w:val="center"/>
              <w:ind w:right="2274"/>
              <w:spacing w:after="0" w:line="134" w:lineRule="exact"/>
              <w:rPr>
                <w:sz w:val="20"/>
                <w:szCs w:val="20"/>
                <w:color w:val="auto"/>
              </w:rPr>
            </w:pPr>
            <w:r>
              <w:rPr>
                <w:rFonts w:ascii="Arial" w:cs="Arial" w:eastAsia="Arial" w:hAnsi="Arial"/>
                <w:sz w:val="13"/>
                <w:szCs w:val="13"/>
                <w:color w:val="auto"/>
                <w:w w:val="89"/>
              </w:rPr>
              <w:t>(State or other jurisdiction of</w:t>
            </w:r>
          </w:p>
        </w:tc>
        <w:tc>
          <w:tcPr>
            <w:tcW w:w="3300" w:type="dxa"/>
            <w:vAlign w:val="bottom"/>
          </w:tcPr>
          <w:p>
            <w:pPr>
              <w:jc w:val="center"/>
              <w:ind w:left="2294"/>
              <w:spacing w:after="0" w:line="134" w:lineRule="exact"/>
              <w:rPr>
                <w:sz w:val="20"/>
                <w:szCs w:val="20"/>
                <w:color w:val="auto"/>
              </w:rPr>
            </w:pPr>
            <w:r>
              <w:rPr>
                <w:rFonts w:ascii="Arial" w:cs="Arial" w:eastAsia="Arial" w:hAnsi="Arial"/>
                <w:sz w:val="13"/>
                <w:szCs w:val="13"/>
                <w:color w:val="auto"/>
                <w:w w:val="90"/>
              </w:rPr>
              <w:t>(I.R.S. Employer</w:t>
            </w:r>
          </w:p>
        </w:tc>
      </w:tr>
      <w:tr>
        <w:trPr>
          <w:trHeight w:val="160"/>
        </w:trPr>
        <w:tc>
          <w:tcPr>
            <w:tcW w:w="3880" w:type="dxa"/>
            <w:vAlign w:val="bottom"/>
          </w:tcPr>
          <w:p>
            <w:pPr>
              <w:jc w:val="center"/>
              <w:ind w:right="2294"/>
              <w:spacing w:after="0"/>
              <w:rPr>
                <w:sz w:val="20"/>
                <w:szCs w:val="20"/>
                <w:color w:val="auto"/>
              </w:rPr>
            </w:pPr>
            <w:r>
              <w:rPr>
                <w:rFonts w:ascii="Arial" w:cs="Arial" w:eastAsia="Arial" w:hAnsi="Arial"/>
                <w:sz w:val="13"/>
                <w:szCs w:val="13"/>
                <w:color w:val="auto"/>
                <w:w w:val="89"/>
              </w:rPr>
              <w:t>incorporation or organization)</w:t>
            </w:r>
          </w:p>
        </w:tc>
        <w:tc>
          <w:tcPr>
            <w:tcW w:w="3300" w:type="dxa"/>
            <w:vAlign w:val="bottom"/>
          </w:tcPr>
          <w:p>
            <w:pPr>
              <w:jc w:val="center"/>
              <w:ind w:left="2314"/>
              <w:spacing w:after="0"/>
              <w:rPr>
                <w:sz w:val="20"/>
                <w:szCs w:val="20"/>
                <w:color w:val="auto"/>
              </w:rPr>
            </w:pPr>
            <w:r>
              <w:rPr>
                <w:rFonts w:ascii="Arial" w:cs="Arial" w:eastAsia="Arial" w:hAnsi="Arial"/>
                <w:sz w:val="13"/>
                <w:szCs w:val="13"/>
                <w:color w:val="auto"/>
                <w:w w:val="90"/>
              </w:rPr>
              <w:t>Identification No.)</w:t>
            </w:r>
          </w:p>
        </w:tc>
      </w:tr>
    </w:tbl>
    <w:p>
      <w:pPr>
        <w:spacing w:after="0" w:line="20" w:lineRule="exact"/>
        <w:rPr>
          <w:sz w:val="24"/>
          <w:szCs w:val="24"/>
          <w:color w:val="auto"/>
        </w:rPr>
      </w:pPr>
    </w:p>
    <w:p>
      <w:pPr>
        <w:sectPr>
          <w:pgSz w:w="11900" w:h="16838" w:orient="portrait"/>
          <w:cols w:equalWidth="0" w:num="2">
            <w:col w:w="560" w:space="160"/>
            <w:col w:w="10700"/>
          </w:cols>
          <w:pgMar w:left="240" w:top="1440" w:right="239" w:bottom="1440" w:gutter="0" w:footer="0" w:header="0"/>
        </w:sectPr>
      </w:pPr>
    </w:p>
    <w:p>
      <w:pPr>
        <w:ind w:left="1800"/>
        <w:spacing w:after="0"/>
        <w:rPr>
          <w:sz w:val="20"/>
          <w:szCs w:val="20"/>
          <w:color w:val="auto"/>
        </w:rPr>
      </w:pPr>
      <w:r>
        <w:rPr>
          <w:rFonts w:ascii="Arial" w:cs="Arial" w:eastAsia="Arial" w:hAnsi="Arial"/>
          <w:sz w:val="14"/>
          <w:szCs w:val="14"/>
          <w:b w:val="1"/>
          <w:bCs w:val="1"/>
          <w:color w:val="auto"/>
        </w:rPr>
        <w:t>200 Crescent Court, Suite 1200</w:t>
      </w:r>
    </w:p>
    <w:p>
      <w:pPr>
        <w:spacing w:after="0" w:line="42" w:lineRule="exact"/>
        <w:rPr>
          <w:sz w:val="24"/>
          <w:szCs w:val="24"/>
          <w:color w:val="auto"/>
        </w:rPr>
      </w:pPr>
    </w:p>
    <w:p>
      <w:pPr>
        <w:ind w:left="2320"/>
        <w:spacing w:after="0"/>
        <w:tabs>
          <w:tab w:leader="none" w:pos="8500" w:val="left"/>
        </w:tabs>
        <w:rPr>
          <w:sz w:val="20"/>
          <w:szCs w:val="20"/>
          <w:color w:val="auto"/>
        </w:rPr>
      </w:pPr>
      <w:r>
        <w:rPr>
          <w:rFonts w:ascii="Arial" w:cs="Arial" w:eastAsia="Arial" w:hAnsi="Arial"/>
          <w:sz w:val="14"/>
          <w:szCs w:val="14"/>
          <w:b w:val="1"/>
          <w:bCs w:val="1"/>
          <w:color w:val="auto"/>
        </w:rPr>
        <w:t>Dallas, Texas</w:t>
      </w:r>
      <w:r>
        <w:rPr>
          <w:sz w:val="20"/>
          <w:szCs w:val="20"/>
          <w:color w:val="auto"/>
        </w:rPr>
        <w:tab/>
      </w:r>
      <w:r>
        <w:rPr>
          <w:rFonts w:ascii="Arial" w:cs="Arial" w:eastAsia="Arial" w:hAnsi="Arial"/>
          <w:sz w:val="12"/>
          <w:szCs w:val="12"/>
          <w:b w:val="1"/>
          <w:bCs w:val="1"/>
          <w:color w:val="auto"/>
        </w:rPr>
        <w:t>75201</w:t>
      </w:r>
    </w:p>
    <w:p>
      <w:pPr>
        <w:spacing w:after="0" w:line="50" w:lineRule="exact"/>
        <w:rPr>
          <w:sz w:val="24"/>
          <w:szCs w:val="24"/>
          <w:color w:val="auto"/>
        </w:rPr>
      </w:pPr>
    </w:p>
    <w:p>
      <w:pPr>
        <w:ind w:left="1740"/>
        <w:spacing w:after="0"/>
        <w:tabs>
          <w:tab w:leader="none" w:pos="8400" w:val="left"/>
        </w:tabs>
        <w:rPr>
          <w:sz w:val="20"/>
          <w:szCs w:val="20"/>
          <w:color w:val="auto"/>
        </w:rPr>
      </w:pPr>
      <w:r>
        <w:rPr>
          <w:rFonts w:ascii="Arial" w:cs="Arial" w:eastAsia="Arial" w:hAnsi="Arial"/>
          <w:sz w:val="13"/>
          <w:szCs w:val="13"/>
          <w:color w:val="auto"/>
        </w:rPr>
        <w:t>(Address of principal executive offices)</w:t>
      </w:r>
      <w:r>
        <w:rPr>
          <w:sz w:val="20"/>
          <w:szCs w:val="20"/>
          <w:color w:val="auto"/>
        </w:rPr>
        <w:tab/>
      </w:r>
      <w:r>
        <w:rPr>
          <w:rFonts w:ascii="Arial" w:cs="Arial" w:eastAsia="Arial" w:hAnsi="Arial"/>
          <w:sz w:val="11"/>
          <w:szCs w:val="11"/>
          <w:color w:val="auto"/>
        </w:rPr>
        <w:t>(Zip Code)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900" w:type="dxa"/>
            <w:vAlign w:val="bottom"/>
            <w:gridSpan w:val="5"/>
          </w:tcPr>
          <w:p>
            <w:pPr>
              <w:jc w:val="center"/>
              <w:ind w:right="2568"/>
              <w:spacing w:after="0"/>
              <w:rPr>
                <w:sz w:val="20"/>
                <w:szCs w:val="20"/>
                <w:color w:val="auto"/>
              </w:rPr>
            </w:pPr>
            <w:r>
              <w:rPr>
                <w:rFonts w:ascii="Arial" w:cs="Arial" w:eastAsia="Arial" w:hAnsi="Arial"/>
                <w:sz w:val="14"/>
                <w:szCs w:val="14"/>
                <w:b w:val="1"/>
                <w:bCs w:val="1"/>
                <w:color w:val="auto"/>
                <w:w w:val="92"/>
              </w:rPr>
              <w:t>Registrant’s telephone number, including area code: (214) 756-6900</w:t>
            </w:r>
          </w:p>
        </w:tc>
      </w:tr>
      <w:tr>
        <w:trPr>
          <w:trHeight w:val="243"/>
        </w:trPr>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700" w:type="dxa"/>
            <w:vAlign w:val="bottom"/>
            <w:gridSpan w:val="6"/>
          </w:tcPr>
          <w:p>
            <w:pPr>
              <w:jc w:val="center"/>
              <w:ind w:right="1768"/>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188"/>
        </w:trPr>
        <w:tc>
          <w:tcPr>
            <w:tcW w:w="1700" w:type="dxa"/>
            <w:vAlign w:val="bottom"/>
          </w:tcPr>
          <w:p>
            <w:pPr>
              <w:spacing w:after="0"/>
              <w:rPr>
                <w:sz w:val="16"/>
                <w:szCs w:val="16"/>
                <w:color w:val="auto"/>
              </w:rPr>
            </w:pPr>
          </w:p>
        </w:tc>
        <w:tc>
          <w:tcPr>
            <w:tcW w:w="1880" w:type="dxa"/>
            <w:vAlign w:val="bottom"/>
            <w:gridSpan w:val="2"/>
          </w:tcPr>
          <w:p>
            <w:pPr>
              <w:jc w:val="center"/>
              <w:ind w:right="728"/>
              <w:spacing w:after="0"/>
              <w:rPr>
                <w:sz w:val="20"/>
                <w:szCs w:val="20"/>
                <w:color w:val="auto"/>
              </w:rPr>
            </w:pPr>
            <w:r>
              <w:rPr>
                <w:rFonts w:ascii="Arial" w:cs="Arial" w:eastAsia="Arial" w:hAnsi="Arial"/>
                <w:sz w:val="14"/>
                <w:szCs w:val="14"/>
                <w:color w:val="auto"/>
                <w:w w:val="93"/>
              </w:rPr>
              <w:t>Title of each class:</w:t>
            </w:r>
          </w:p>
        </w:tc>
        <w:tc>
          <w:tcPr>
            <w:tcW w:w="166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Trading Symbol:</w:t>
            </w:r>
          </w:p>
        </w:tc>
        <w:tc>
          <w:tcPr>
            <w:tcW w:w="3800" w:type="dxa"/>
            <w:vAlign w:val="bottom"/>
            <w:gridSpan w:val="2"/>
          </w:tcPr>
          <w:p>
            <w:pPr>
              <w:jc w:val="center"/>
              <w:ind w:left="1133"/>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1"/>
        </w:trPr>
        <w:tc>
          <w:tcPr>
            <w:tcW w:w="3580" w:type="dxa"/>
            <w:vAlign w:val="bottom"/>
            <w:gridSpan w:val="3"/>
          </w:tcPr>
          <w:p>
            <w:pPr>
              <w:jc w:val="center"/>
              <w:ind w:left="834"/>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166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WHG</w:t>
            </w:r>
          </w:p>
        </w:tc>
        <w:tc>
          <w:tcPr>
            <w:tcW w:w="12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59"/>
        </w:trPr>
        <w:tc>
          <w:tcPr>
            <w:tcW w:w="1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700" w:type="dxa"/>
            <w:vAlign w:val="bottom"/>
            <w:gridSpan w:val="6"/>
          </w:tcPr>
          <w:p>
            <w:pPr>
              <w:jc w:val="center"/>
              <w:ind w:right="1768"/>
              <w:spacing w:after="0"/>
              <w:rPr>
                <w:sz w:val="20"/>
                <w:szCs w:val="20"/>
                <w:color w:val="auto"/>
              </w:rPr>
            </w:pPr>
            <w:r>
              <w:rPr>
                <w:rFonts w:ascii="Arial" w:cs="Arial" w:eastAsia="Arial" w:hAnsi="Arial"/>
                <w:sz w:val="14"/>
                <w:szCs w:val="14"/>
                <w:b w:val="1"/>
                <w:bCs w:val="1"/>
                <w:color w:val="auto"/>
              </w:rPr>
              <w:t>SECURITIES REGISTERED PURSUANT TO SECTION 12(g) OF THE ACT:</w:t>
            </w:r>
          </w:p>
        </w:tc>
      </w:tr>
      <w:tr>
        <w:trPr>
          <w:trHeight w:val="171"/>
        </w:trPr>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None</w:t>
            </w:r>
          </w:p>
        </w:tc>
        <w:tc>
          <w:tcPr>
            <w:tcW w:w="120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40"/>
        </w:trPr>
        <w:tc>
          <w:tcPr>
            <w:tcW w:w="1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w:t>
            </w:r>
          </w:p>
        </w:tc>
        <w:tc>
          <w:tcPr>
            <w:tcW w:w="2600" w:type="dxa"/>
            <w:vAlign w:val="bottom"/>
          </w:tcPr>
          <w:p>
            <w:pPr>
              <w:spacing w:after="0"/>
              <w:rPr>
                <w:sz w:val="12"/>
                <w:szCs w:val="12"/>
                <w:color w:val="auto"/>
              </w:rPr>
            </w:pPr>
          </w:p>
        </w:tc>
      </w:tr>
      <w:tr>
        <w:trPr>
          <w:trHeight w:val="209"/>
        </w:trPr>
        <w:tc>
          <w:tcPr>
            <w:tcW w:w="6680" w:type="dxa"/>
            <w:vAlign w:val="bottom"/>
            <w:gridSpan w:val="6"/>
          </w:tcPr>
          <w:p>
            <w:pPr>
              <w:spacing w:after="0" w:line="150" w:lineRule="exact"/>
              <w:rPr>
                <w:sz w:val="20"/>
                <w:szCs w:val="20"/>
                <w:color w:val="auto"/>
              </w:rPr>
            </w:pPr>
            <w:r>
              <w:rPr>
                <w:rFonts w:ascii="Arial" w:cs="Arial" w:eastAsia="Arial" w:hAnsi="Arial"/>
                <w:sz w:val="13"/>
                <w:szCs w:val="13"/>
                <w:color w:val="auto"/>
                <w:w w:val="90"/>
              </w:rPr>
              <w:t xml:space="preserve">Indicate by check mark if registrant is a well-known seasoned issuer, as defined in Rule 405 of the Securities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 </w:t>
            </w:r>
            <w:r>
              <w:rPr>
                <w:rFonts w:ascii="MS PGothic" w:cs="MS PGothic" w:eastAsia="MS PGothic" w:hAnsi="MS PGothic"/>
                <w:sz w:val="13"/>
                <w:szCs w:val="13"/>
                <w:color w:val="auto"/>
                <w:w w:val="90"/>
              </w:rPr>
              <w:t>☒</w:t>
            </w: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6680" w:type="dxa"/>
            <w:vAlign w:val="bottom"/>
            <w:gridSpan w:val="6"/>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Section 15(d) of the Exchange Act.</w:t>
            </w:r>
          </w:p>
        </w:tc>
        <w:tc>
          <w:tcPr>
            <w:tcW w:w="380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42"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filer”,“smaller reporting company”, and “emerging growth company” in Rule 12b-2 of the Exchange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0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rPr>
              <w:t>☐</w:t>
            </w:r>
          </w:p>
        </w:tc>
        <w:tc>
          <w:tcPr>
            <w:tcW w:w="4460" w:type="dxa"/>
            <w:vAlign w:val="bottom"/>
          </w:tcPr>
          <w:p>
            <w:pPr>
              <w:ind w:left="2260"/>
              <w:spacing w:after="0"/>
              <w:rPr>
                <w:sz w:val="20"/>
                <w:szCs w:val="20"/>
                <w:color w:val="auto"/>
              </w:rPr>
            </w:pPr>
            <w:r>
              <w:rPr>
                <w:rFonts w:ascii="Arial" w:cs="Arial" w:eastAsia="Arial" w:hAnsi="Arial"/>
                <w:sz w:val="13"/>
                <w:szCs w:val="13"/>
                <w:color w:val="auto"/>
              </w:rPr>
              <w:t>Accelerated filer</w:t>
            </w:r>
          </w:p>
        </w:tc>
        <w:tc>
          <w:tcPr>
            <w:tcW w:w="960" w:type="dxa"/>
            <w:vAlign w:val="bottom"/>
          </w:tcPr>
          <w:p>
            <w:pPr>
              <w:ind w:left="8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2"/>
        </w:trPr>
        <w:tc>
          <w:tcPr>
            <w:tcW w:w="2180" w:type="dxa"/>
            <w:vAlign w:val="bottom"/>
          </w:tcPr>
          <w:p>
            <w:pPr>
              <w:spacing w:after="0"/>
              <w:rPr>
                <w:sz w:val="20"/>
                <w:szCs w:val="20"/>
                <w:color w:val="auto"/>
              </w:rPr>
            </w:pPr>
            <w:r>
              <w:rPr>
                <w:rFonts w:ascii="Arial" w:cs="Arial" w:eastAsia="Arial" w:hAnsi="Arial"/>
                <w:sz w:val="13"/>
                <w:szCs w:val="13"/>
                <w:color w:val="auto"/>
              </w:rPr>
              <w:t>Non-accelerated filer</w:t>
            </w:r>
          </w:p>
        </w:tc>
        <w:tc>
          <w:tcPr>
            <w:tcW w:w="340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rPr>
              <w:t>☐</w:t>
            </w:r>
          </w:p>
        </w:tc>
        <w:tc>
          <w:tcPr>
            <w:tcW w:w="4460" w:type="dxa"/>
            <w:vAlign w:val="bottom"/>
          </w:tcPr>
          <w:p>
            <w:pPr>
              <w:ind w:left="2260"/>
              <w:spacing w:after="0"/>
              <w:rPr>
                <w:sz w:val="20"/>
                <w:szCs w:val="20"/>
                <w:color w:val="auto"/>
              </w:rPr>
            </w:pPr>
            <w:r>
              <w:rPr>
                <w:rFonts w:ascii="Arial" w:cs="Arial" w:eastAsia="Arial" w:hAnsi="Arial"/>
                <w:sz w:val="13"/>
                <w:szCs w:val="13"/>
                <w:color w:val="auto"/>
              </w:rPr>
              <w:t>Smaller reporting company</w:t>
            </w:r>
          </w:p>
        </w:tc>
        <w:tc>
          <w:tcPr>
            <w:tcW w:w="960" w:type="dxa"/>
            <w:vAlign w:val="bottom"/>
          </w:tcPr>
          <w:p>
            <w:pPr>
              <w:ind w:left="8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21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4460" w:type="dxa"/>
            <w:vAlign w:val="bottom"/>
          </w:tcPr>
          <w:p>
            <w:pPr>
              <w:ind w:left="2260"/>
              <w:spacing w:after="0"/>
              <w:rPr>
                <w:sz w:val="20"/>
                <w:szCs w:val="20"/>
                <w:color w:val="auto"/>
              </w:rPr>
            </w:pPr>
            <w:r>
              <w:rPr>
                <w:rFonts w:ascii="Arial" w:cs="Arial" w:eastAsia="Arial" w:hAnsi="Arial"/>
                <w:sz w:val="13"/>
                <w:szCs w:val="13"/>
                <w:color w:val="auto"/>
              </w:rPr>
              <w:t>Emerging growth company</w:t>
            </w:r>
          </w:p>
        </w:tc>
        <w:tc>
          <w:tcPr>
            <w:tcW w:w="960" w:type="dxa"/>
            <w:vAlign w:val="bottom"/>
          </w:tcPr>
          <w:p>
            <w:pPr>
              <w:ind w:left="8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6" w:lineRule="exact"/>
        <w:rPr>
          <w:sz w:val="24"/>
          <w:szCs w:val="24"/>
          <w:color w:val="auto"/>
        </w:rPr>
      </w:pPr>
    </w:p>
    <w:p>
      <w:pPr>
        <w:ind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50" w:lineRule="exact"/>
        <w:tabs>
          <w:tab w:leader="none" w:pos="5840" w:val="left"/>
          <w:tab w:leader="none" w:pos="63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05"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The aggregate market value on June 30, 2019 of the voting and non-voting common equity held by non-affiliates of the registrant was $427,426,109. For purposes of this calculation, the registrant has assumed that stockholders that are not officers or directors of the registrant are not affiliates of the registrant.</w:t>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par value $0.01 per share, outstanding as of February 14, 2020: 8,912,392.</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91"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Selected portions of the registrant’s definitive Proxy Statement for the 2020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30480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4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w w:val="99"/>
              </w:rPr>
              <w:t>WESTWOOD HOLDINGS GROUP, INC.</w:t>
            </w:r>
          </w:p>
        </w:tc>
        <w:tc>
          <w:tcPr>
            <w:tcW w:w="920" w:type="dxa"/>
            <w:vAlign w:val="bottom"/>
          </w:tcPr>
          <w:p>
            <w:pPr>
              <w:spacing w:after="0"/>
              <w:rPr>
                <w:sz w:val="20"/>
                <w:szCs w:val="20"/>
                <w:color w:val="auto"/>
              </w:rPr>
            </w:pPr>
          </w:p>
        </w:tc>
      </w:tr>
      <w:tr>
        <w:trPr>
          <w:trHeight w:val="324"/>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gridSpan w:val="8"/>
          </w:tcPr>
          <w:p>
            <w:pPr>
              <w:jc w:val="center"/>
              <w:ind w:right="3680"/>
              <w:spacing w:after="0"/>
              <w:rPr>
                <w:sz w:val="20"/>
                <w:szCs w:val="20"/>
                <w:color w:val="auto"/>
              </w:rPr>
            </w:pPr>
            <w:r>
              <w:rPr>
                <w:rFonts w:ascii="Arial" w:cs="Arial" w:eastAsia="Arial" w:hAnsi="Arial"/>
                <w:sz w:val="18"/>
                <w:szCs w:val="18"/>
                <w:b w:val="1"/>
                <w:bCs w:val="1"/>
                <w:color w:val="auto"/>
                <w:w w:val="93"/>
              </w:rPr>
              <w:t>Index</w:t>
            </w:r>
          </w:p>
        </w:tc>
        <w:tc>
          <w:tcPr>
            <w:tcW w:w="920" w:type="dxa"/>
            <w:vAlign w:val="bottom"/>
          </w:tcPr>
          <w:p>
            <w:pPr>
              <w:spacing w:after="0"/>
              <w:rPr>
                <w:sz w:val="24"/>
                <w:szCs w:val="24"/>
                <w:color w:val="auto"/>
              </w:rPr>
            </w:pPr>
          </w:p>
        </w:tc>
      </w:tr>
      <w:tr>
        <w:trPr>
          <w:trHeight w:val="480"/>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230"/>
        </w:trPr>
        <w:tc>
          <w:tcPr>
            <w:tcW w:w="66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18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w:t>
              </w:r>
            </w:hyperlink>
          </w:p>
        </w:tc>
        <w:tc>
          <w:tcPr>
            <w:tcW w:w="180" w:type="dxa"/>
            <w:vAlign w:val="bottom"/>
            <w:tcBorders>
              <w:bottom w:val="single" w:sz="8" w:color="0000FF"/>
            </w:tcBorders>
          </w:tcPr>
          <w:p>
            <w:pPr>
              <w:ind w:left="20"/>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1.</w:t>
              </w:r>
            </w:hyperlink>
          </w:p>
        </w:tc>
        <w:tc>
          <w:tcPr>
            <w:tcW w:w="680" w:type="dxa"/>
            <w:vAlign w:val="bottom"/>
            <w:tcBorders>
              <w:bottom w:val="single" w:sz="8" w:color="0000FF"/>
            </w:tcBorders>
          </w:tcPr>
          <w:p>
            <w:pPr>
              <w:ind w:left="20"/>
              <w:spacing w:after="0"/>
              <w:rPr>
                <w:rFonts w:ascii="Arial" w:cs="Arial" w:eastAsia="Arial" w:hAnsi="Arial"/>
                <w:sz w:val="18"/>
                <w:szCs w:val="18"/>
                <w:b w:val="1"/>
                <w:bCs w:val="1"/>
                <w:color w:val="0000FF"/>
                <w:w w:val="79"/>
              </w:rPr>
            </w:pPr>
            <w:hyperlink w:anchor="page3">
              <w:r>
                <w:rPr>
                  <w:rFonts w:ascii="Arial" w:cs="Arial" w:eastAsia="Arial" w:hAnsi="Arial"/>
                  <w:sz w:val="18"/>
                  <w:szCs w:val="18"/>
                  <w:b w:val="1"/>
                  <w:bCs w:val="1"/>
                  <w:color w:val="0000FF"/>
                  <w:w w:val="79"/>
                </w:rPr>
                <w:t>Business</w:t>
              </w:r>
            </w:hyperlink>
          </w:p>
        </w:tc>
        <w:tc>
          <w:tcPr>
            <w:tcW w:w="8760" w:type="dxa"/>
            <w:vAlign w:val="bottom"/>
            <w:gridSpan w:val="19"/>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1</w:t>
              </w:r>
            </w:hyperlink>
          </w:p>
        </w:tc>
      </w:tr>
      <w:tr>
        <w:trPr>
          <w:trHeight w:val="250"/>
        </w:trPr>
        <w:tc>
          <w:tcPr>
            <w:tcW w:w="460" w:type="dxa"/>
            <w:vAlign w:val="bottom"/>
          </w:tcPr>
          <w:p>
            <w:pPr>
              <w:spacing w:after="0"/>
              <w:rPr>
                <w:sz w:val="21"/>
                <w:szCs w:val="21"/>
                <w:color w:val="auto"/>
              </w:rPr>
            </w:pPr>
          </w:p>
        </w:tc>
        <w:tc>
          <w:tcPr>
            <w:tcW w:w="380" w:type="dxa"/>
            <w:vAlign w:val="bottom"/>
            <w:gridSpan w:val="4"/>
          </w:tcPr>
          <w:p>
            <w:pPr>
              <w:jc w:val="right"/>
              <w:ind w:right="20"/>
              <w:spacing w:after="0"/>
              <w:rPr>
                <w:rFonts w:ascii="Arial" w:cs="Arial" w:eastAsia="Arial" w:hAnsi="Arial"/>
                <w:sz w:val="18"/>
                <w:szCs w:val="18"/>
                <w:b w:val="1"/>
                <w:bCs w:val="1"/>
                <w:color w:val="0000FF"/>
                <w:w w:val="91"/>
              </w:rPr>
            </w:pPr>
            <w:hyperlink w:anchor="page13">
              <w:r>
                <w:rPr>
                  <w:rFonts w:ascii="Arial" w:cs="Arial" w:eastAsia="Arial" w:hAnsi="Arial"/>
                  <w:sz w:val="18"/>
                  <w:szCs w:val="18"/>
                  <w:b w:val="1"/>
                  <w:bCs w:val="1"/>
                  <w:color w:val="0000FF"/>
                  <w:w w:val="91"/>
                </w:rPr>
                <w:t>Item</w:t>
              </w:r>
            </w:hyperlink>
          </w:p>
        </w:tc>
        <w:tc>
          <w:tcPr>
            <w:tcW w:w="9620" w:type="dxa"/>
            <w:vAlign w:val="bottom"/>
            <w:gridSpan w:val="21"/>
          </w:tcPr>
          <w:p>
            <w:pPr>
              <w:ind w:left="20"/>
              <w:spacing w:after="0"/>
              <w:rPr>
                <w:rFonts w:ascii="Arial" w:cs="Arial" w:eastAsia="Arial" w:hAnsi="Arial"/>
                <w:sz w:val="18"/>
                <w:szCs w:val="18"/>
                <w:b w:val="1"/>
                <w:bCs w:val="1"/>
                <w:color w:val="0000FF"/>
              </w:rPr>
            </w:pPr>
            <w:hyperlink w:anchor="page13">
              <w:r>
                <w:rPr>
                  <w:rFonts w:ascii="Arial" w:cs="Arial" w:eastAsia="Arial" w:hAnsi="Arial"/>
                  <w:sz w:val="18"/>
                  <w:szCs w:val="18"/>
                  <w:b w:val="1"/>
                  <w:bCs w:val="1"/>
                  <w:color w:val="0000FF"/>
                </w:rPr>
                <w:t>1A. Risk Factors</w:t>
              </w:r>
            </w:hyperlink>
          </w:p>
        </w:tc>
        <w:tc>
          <w:tcPr>
            <w:tcW w:w="920" w:type="dxa"/>
            <w:vAlign w:val="bottom"/>
          </w:tcPr>
          <w:p>
            <w:pPr>
              <w:jc w:val="right"/>
              <w:spacing w:after="0"/>
              <w:rPr>
                <w:rFonts w:ascii="Arial" w:cs="Arial" w:eastAsia="Arial" w:hAnsi="Arial"/>
                <w:sz w:val="18"/>
                <w:szCs w:val="18"/>
                <w:b w:val="1"/>
                <w:bCs w:val="1"/>
                <w:color w:val="auto"/>
              </w:rPr>
            </w:pPr>
            <w:hyperlink w:anchor="page13">
              <w:r>
                <w:rPr>
                  <w:rFonts w:ascii="Arial" w:cs="Arial" w:eastAsia="Arial" w:hAnsi="Arial"/>
                  <w:sz w:val="18"/>
                  <w:szCs w:val="18"/>
                  <w:b w:val="1"/>
                  <w:bCs w:val="1"/>
                  <w:color w:val="auto"/>
                </w:rPr>
                <w:t>12</w:t>
              </w:r>
            </w:hyperlink>
          </w:p>
        </w:tc>
      </w:tr>
      <w:tr>
        <w:trPr>
          <w:trHeight w:val="20"/>
        </w:trPr>
        <w:tc>
          <w:tcPr>
            <w:tcW w:w="4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22">
              <w:r>
                <w:rPr>
                  <w:rFonts w:ascii="Arial" w:cs="Arial" w:eastAsia="Arial" w:hAnsi="Arial"/>
                  <w:sz w:val="18"/>
                  <w:szCs w:val="18"/>
                  <w:b w:val="1"/>
                  <w:bCs w:val="1"/>
                  <w:color w:val="0000FF"/>
                  <w:w w:val="91"/>
                </w:rPr>
                <w:t>Item</w:t>
              </w:r>
            </w:hyperlink>
          </w:p>
        </w:tc>
        <w:tc>
          <w:tcPr>
            <w:tcW w:w="2480" w:type="dxa"/>
            <w:vAlign w:val="bottom"/>
            <w:tcBorders>
              <w:bottom w:val="single" w:sz="8" w:color="0000FF"/>
            </w:tcBorders>
            <w:gridSpan w:val="11"/>
          </w:tcPr>
          <w:p>
            <w:pPr>
              <w:ind w:left="20"/>
              <w:spacing w:after="0"/>
              <w:rPr>
                <w:rFonts w:ascii="Arial" w:cs="Arial" w:eastAsia="Arial" w:hAnsi="Arial"/>
                <w:sz w:val="18"/>
                <w:szCs w:val="18"/>
                <w:b w:val="1"/>
                <w:bCs w:val="1"/>
                <w:color w:val="0000FF"/>
                <w:w w:val="89"/>
              </w:rPr>
            </w:pPr>
            <w:hyperlink w:anchor="page22">
              <w:r>
                <w:rPr>
                  <w:rFonts w:ascii="Arial" w:cs="Arial" w:eastAsia="Arial" w:hAnsi="Arial"/>
                  <w:sz w:val="18"/>
                  <w:szCs w:val="18"/>
                  <w:b w:val="1"/>
                  <w:bCs w:val="1"/>
                  <w:color w:val="0000FF"/>
                  <w:w w:val="89"/>
                </w:rPr>
                <w:t>1B. Unresolved Staff Comments</w:t>
              </w:r>
            </w:hyperlink>
          </w:p>
        </w:tc>
        <w:tc>
          <w:tcPr>
            <w:tcW w:w="7140" w:type="dxa"/>
            <w:vAlign w:val="bottom"/>
            <w:gridSpan w:val="10"/>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20</w:t>
              </w:r>
            </w:hyperlink>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22">
              <w:r>
                <w:rPr>
                  <w:rFonts w:ascii="Arial" w:cs="Arial" w:eastAsia="Arial" w:hAnsi="Arial"/>
                  <w:sz w:val="18"/>
                  <w:szCs w:val="18"/>
                  <w:b w:val="1"/>
                  <w:bCs w:val="1"/>
                  <w:color w:val="0000FF"/>
                  <w:w w:val="91"/>
                </w:rPr>
                <w:t>Item</w:t>
              </w:r>
            </w:hyperlink>
          </w:p>
        </w:tc>
        <w:tc>
          <w:tcPr>
            <w:tcW w:w="180" w:type="dxa"/>
            <w:vAlign w:val="bottom"/>
            <w:tcBorders>
              <w:bottom w:val="single" w:sz="8" w:color="0000FF"/>
            </w:tcBorders>
          </w:tcPr>
          <w:p>
            <w:pPr>
              <w:ind w:left="20"/>
              <w:spacing w:after="0"/>
              <w:rPr>
                <w:rFonts w:ascii="Arial" w:cs="Arial" w:eastAsia="Arial" w:hAnsi="Arial"/>
                <w:sz w:val="18"/>
                <w:szCs w:val="18"/>
                <w:b w:val="1"/>
                <w:bCs w:val="1"/>
                <w:color w:val="0000FF"/>
                <w:w w:val="92"/>
              </w:rPr>
            </w:pPr>
            <w:hyperlink w:anchor="page22">
              <w:r>
                <w:rPr>
                  <w:rFonts w:ascii="Arial" w:cs="Arial" w:eastAsia="Arial" w:hAnsi="Arial"/>
                  <w:sz w:val="18"/>
                  <w:szCs w:val="18"/>
                  <w:b w:val="1"/>
                  <w:bCs w:val="1"/>
                  <w:color w:val="0000FF"/>
                  <w:w w:val="92"/>
                </w:rPr>
                <w:t>2.</w:t>
              </w:r>
            </w:hyperlink>
          </w:p>
        </w:tc>
        <w:tc>
          <w:tcPr>
            <w:tcW w:w="820" w:type="dxa"/>
            <w:vAlign w:val="bottom"/>
            <w:tcBorders>
              <w:bottom w:val="single" w:sz="8" w:color="0000FF"/>
            </w:tcBorders>
            <w:gridSpan w:val="2"/>
          </w:tcPr>
          <w:p>
            <w:pPr>
              <w:ind w:left="20"/>
              <w:spacing w:after="0"/>
              <w:rPr>
                <w:rFonts w:ascii="Arial" w:cs="Arial" w:eastAsia="Arial" w:hAnsi="Arial"/>
                <w:sz w:val="18"/>
                <w:szCs w:val="18"/>
                <w:b w:val="1"/>
                <w:bCs w:val="1"/>
                <w:color w:val="0000FF"/>
                <w:w w:val="87"/>
              </w:rPr>
            </w:pPr>
            <w:hyperlink w:anchor="page22">
              <w:r>
                <w:rPr>
                  <w:rFonts w:ascii="Arial" w:cs="Arial" w:eastAsia="Arial" w:hAnsi="Arial"/>
                  <w:sz w:val="18"/>
                  <w:szCs w:val="18"/>
                  <w:b w:val="1"/>
                  <w:bCs w:val="1"/>
                  <w:color w:val="0000FF"/>
                  <w:w w:val="87"/>
                </w:rPr>
                <w:t>Properties</w:t>
              </w:r>
            </w:hyperlink>
          </w:p>
        </w:tc>
        <w:tc>
          <w:tcPr>
            <w:tcW w:w="8620" w:type="dxa"/>
            <w:vAlign w:val="bottom"/>
            <w:gridSpan w:val="18"/>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20</w:t>
              </w:r>
            </w:hyperlink>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22">
              <w:r>
                <w:rPr>
                  <w:rFonts w:ascii="Arial" w:cs="Arial" w:eastAsia="Arial" w:hAnsi="Arial"/>
                  <w:sz w:val="18"/>
                  <w:szCs w:val="18"/>
                  <w:b w:val="1"/>
                  <w:bCs w:val="1"/>
                  <w:color w:val="0000FF"/>
                  <w:w w:val="91"/>
                </w:rPr>
                <w:t>Item</w:t>
              </w:r>
            </w:hyperlink>
          </w:p>
        </w:tc>
        <w:tc>
          <w:tcPr>
            <w:tcW w:w="180" w:type="dxa"/>
            <w:vAlign w:val="bottom"/>
            <w:tcBorders>
              <w:bottom w:val="single" w:sz="8" w:color="0000FF"/>
            </w:tcBorders>
          </w:tcPr>
          <w:p>
            <w:pPr>
              <w:ind w:left="20"/>
              <w:spacing w:after="0"/>
              <w:rPr>
                <w:rFonts w:ascii="Arial" w:cs="Arial" w:eastAsia="Arial" w:hAnsi="Arial"/>
                <w:sz w:val="18"/>
                <w:szCs w:val="18"/>
                <w:b w:val="1"/>
                <w:bCs w:val="1"/>
                <w:color w:val="0000FF"/>
                <w:w w:val="92"/>
              </w:rPr>
            </w:pPr>
            <w:hyperlink w:anchor="page22">
              <w:r>
                <w:rPr>
                  <w:rFonts w:ascii="Arial" w:cs="Arial" w:eastAsia="Arial" w:hAnsi="Arial"/>
                  <w:sz w:val="18"/>
                  <w:szCs w:val="18"/>
                  <w:b w:val="1"/>
                  <w:bCs w:val="1"/>
                  <w:color w:val="0000FF"/>
                  <w:w w:val="92"/>
                </w:rPr>
                <w:t>3.</w:t>
              </w:r>
            </w:hyperlink>
          </w:p>
        </w:tc>
        <w:tc>
          <w:tcPr>
            <w:tcW w:w="1420" w:type="dxa"/>
            <w:vAlign w:val="bottom"/>
            <w:tcBorders>
              <w:bottom w:val="single" w:sz="8" w:color="0000FF"/>
            </w:tcBorders>
            <w:gridSpan w:val="4"/>
          </w:tcPr>
          <w:p>
            <w:pPr>
              <w:ind w:left="20"/>
              <w:spacing w:after="0"/>
              <w:rPr>
                <w:rFonts w:ascii="Arial" w:cs="Arial" w:eastAsia="Arial" w:hAnsi="Arial"/>
                <w:sz w:val="18"/>
                <w:szCs w:val="18"/>
                <w:b w:val="1"/>
                <w:bCs w:val="1"/>
                <w:color w:val="0000FF"/>
                <w:w w:val="86"/>
              </w:rPr>
            </w:pPr>
            <w:hyperlink w:anchor="page22">
              <w:r>
                <w:rPr>
                  <w:rFonts w:ascii="Arial" w:cs="Arial" w:eastAsia="Arial" w:hAnsi="Arial"/>
                  <w:sz w:val="18"/>
                  <w:szCs w:val="18"/>
                  <w:b w:val="1"/>
                  <w:bCs w:val="1"/>
                  <w:color w:val="0000FF"/>
                  <w:w w:val="86"/>
                </w:rPr>
                <w:t>Legal Proceedings</w:t>
              </w:r>
            </w:hyperlink>
          </w:p>
        </w:tc>
        <w:tc>
          <w:tcPr>
            <w:tcW w:w="8020" w:type="dxa"/>
            <w:vAlign w:val="bottom"/>
            <w:gridSpan w:val="16"/>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20</w:t>
              </w:r>
            </w:hyperlink>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22">
              <w:r>
                <w:rPr>
                  <w:rFonts w:ascii="Arial" w:cs="Arial" w:eastAsia="Arial" w:hAnsi="Arial"/>
                  <w:sz w:val="18"/>
                  <w:szCs w:val="18"/>
                  <w:b w:val="1"/>
                  <w:bCs w:val="1"/>
                  <w:color w:val="0000FF"/>
                  <w:w w:val="91"/>
                </w:rPr>
                <w:t>Item</w:t>
              </w:r>
            </w:hyperlink>
          </w:p>
        </w:tc>
        <w:tc>
          <w:tcPr>
            <w:tcW w:w="180" w:type="dxa"/>
            <w:vAlign w:val="bottom"/>
            <w:tcBorders>
              <w:bottom w:val="single" w:sz="8" w:color="0000FF"/>
            </w:tcBorders>
          </w:tcPr>
          <w:p>
            <w:pPr>
              <w:ind w:left="20"/>
              <w:spacing w:after="0"/>
              <w:rPr>
                <w:rFonts w:ascii="Arial" w:cs="Arial" w:eastAsia="Arial" w:hAnsi="Arial"/>
                <w:sz w:val="18"/>
                <w:szCs w:val="18"/>
                <w:b w:val="1"/>
                <w:bCs w:val="1"/>
                <w:color w:val="0000FF"/>
                <w:w w:val="92"/>
              </w:rPr>
            </w:pPr>
            <w:hyperlink w:anchor="page22">
              <w:r>
                <w:rPr>
                  <w:rFonts w:ascii="Arial" w:cs="Arial" w:eastAsia="Arial" w:hAnsi="Arial"/>
                  <w:sz w:val="18"/>
                  <w:szCs w:val="18"/>
                  <w:b w:val="1"/>
                  <w:bCs w:val="1"/>
                  <w:color w:val="0000FF"/>
                  <w:w w:val="92"/>
                </w:rPr>
                <w:t>4.</w:t>
              </w:r>
            </w:hyperlink>
          </w:p>
        </w:tc>
        <w:tc>
          <w:tcPr>
            <w:tcW w:w="1860" w:type="dxa"/>
            <w:vAlign w:val="bottom"/>
            <w:tcBorders>
              <w:bottom w:val="single" w:sz="8" w:color="0000FF"/>
            </w:tcBorders>
            <w:gridSpan w:val="7"/>
          </w:tcPr>
          <w:p>
            <w:pPr>
              <w:ind w:left="20"/>
              <w:spacing w:after="0"/>
              <w:rPr>
                <w:rFonts w:ascii="Arial" w:cs="Arial" w:eastAsia="Arial" w:hAnsi="Arial"/>
                <w:sz w:val="18"/>
                <w:szCs w:val="18"/>
                <w:b w:val="1"/>
                <w:bCs w:val="1"/>
                <w:color w:val="0000FF"/>
                <w:w w:val="87"/>
              </w:rPr>
            </w:pPr>
            <w:hyperlink w:anchor="page22">
              <w:r>
                <w:rPr>
                  <w:rFonts w:ascii="Arial" w:cs="Arial" w:eastAsia="Arial" w:hAnsi="Arial"/>
                  <w:sz w:val="18"/>
                  <w:szCs w:val="18"/>
                  <w:b w:val="1"/>
                  <w:bCs w:val="1"/>
                  <w:color w:val="0000FF"/>
                  <w:w w:val="87"/>
                </w:rPr>
                <w:t>Mine Safety Disclosures</w:t>
              </w:r>
            </w:hyperlink>
          </w:p>
        </w:tc>
        <w:tc>
          <w:tcPr>
            <w:tcW w:w="7580" w:type="dxa"/>
            <w:vAlign w:val="bottom"/>
            <w:gridSpan w:val="13"/>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20</w:t>
              </w:r>
            </w:hyperlink>
          </w:p>
        </w:tc>
      </w:tr>
      <w:tr>
        <w:trPr>
          <w:trHeight w:val="318"/>
        </w:trPr>
        <w:tc>
          <w:tcPr>
            <w:tcW w:w="840" w:type="dxa"/>
            <w:vAlign w:val="bottom"/>
            <w:gridSpan w:val="5"/>
          </w:tcPr>
          <w:p>
            <w:pPr>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PART II:</w:t>
              </w:r>
            </w:hyperlink>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23">
              <w:r>
                <w:rPr>
                  <w:rFonts w:ascii="Arial" w:cs="Arial" w:eastAsia="Arial" w:hAnsi="Arial"/>
                  <w:sz w:val="18"/>
                  <w:szCs w:val="18"/>
                  <w:b w:val="1"/>
                  <w:bCs w:val="1"/>
                  <w:color w:val="0000FF"/>
                  <w:w w:val="91"/>
                </w:rPr>
                <w:t>Item</w:t>
              </w:r>
            </w:hyperlink>
          </w:p>
        </w:tc>
        <w:tc>
          <w:tcPr>
            <w:tcW w:w="180" w:type="dxa"/>
            <w:vAlign w:val="bottom"/>
            <w:tcBorders>
              <w:bottom w:val="single" w:sz="8" w:color="0000FF"/>
            </w:tcBorders>
          </w:tcPr>
          <w:p>
            <w:pPr>
              <w:ind w:left="20"/>
              <w:spacing w:after="0"/>
              <w:rPr>
                <w:rFonts w:ascii="Arial" w:cs="Arial" w:eastAsia="Arial" w:hAnsi="Arial"/>
                <w:sz w:val="18"/>
                <w:szCs w:val="18"/>
                <w:b w:val="1"/>
                <w:bCs w:val="1"/>
                <w:color w:val="0000FF"/>
                <w:w w:val="92"/>
              </w:rPr>
            </w:pPr>
            <w:hyperlink w:anchor="page23">
              <w:r>
                <w:rPr>
                  <w:rFonts w:ascii="Arial" w:cs="Arial" w:eastAsia="Arial" w:hAnsi="Arial"/>
                  <w:sz w:val="18"/>
                  <w:szCs w:val="18"/>
                  <w:b w:val="1"/>
                  <w:bCs w:val="1"/>
                  <w:color w:val="0000FF"/>
                  <w:w w:val="92"/>
                </w:rPr>
                <w:t>5.</w:t>
              </w:r>
            </w:hyperlink>
          </w:p>
        </w:tc>
        <w:tc>
          <w:tcPr>
            <w:tcW w:w="8700" w:type="dxa"/>
            <w:vAlign w:val="bottom"/>
            <w:tcBorders>
              <w:bottom w:val="single" w:sz="8" w:color="0000FF"/>
            </w:tcBorders>
            <w:gridSpan w:val="19"/>
          </w:tcPr>
          <w:p>
            <w:pPr>
              <w:ind w:left="20"/>
              <w:spacing w:after="0"/>
              <w:rPr>
                <w:rFonts w:ascii="Arial" w:cs="Arial" w:eastAsia="Arial" w:hAnsi="Arial"/>
                <w:sz w:val="18"/>
                <w:szCs w:val="18"/>
                <w:b w:val="1"/>
                <w:bCs w:val="1"/>
                <w:color w:val="0000FF"/>
                <w:w w:val="90"/>
              </w:rPr>
            </w:pPr>
            <w:hyperlink w:anchor="page23">
              <w:r>
                <w:rPr>
                  <w:rFonts w:ascii="Arial" w:cs="Arial" w:eastAsia="Arial" w:hAnsi="Arial"/>
                  <w:sz w:val="18"/>
                  <w:szCs w:val="18"/>
                  <w:b w:val="1"/>
                  <w:bCs w:val="1"/>
                  <w:color w:val="0000FF"/>
                  <w:w w:val="90"/>
                </w:rPr>
                <w:t>Market for Registrant’s Common Equity, Related Stockholder Matters and Issuer Purchases of Equity Securities</w:t>
              </w:r>
            </w:hyperlink>
          </w:p>
        </w:tc>
        <w:tc>
          <w:tcPr>
            <w:tcW w:w="740" w:type="dxa"/>
            <w:vAlign w:val="bottom"/>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21</w:t>
              </w:r>
            </w:hyperlink>
          </w:p>
        </w:tc>
      </w:tr>
      <w:tr>
        <w:trPr>
          <w:trHeight w:val="250"/>
        </w:trPr>
        <w:tc>
          <w:tcPr>
            <w:tcW w:w="460" w:type="dxa"/>
            <w:vAlign w:val="bottom"/>
          </w:tcPr>
          <w:p>
            <w:pPr>
              <w:spacing w:after="0"/>
              <w:rPr>
                <w:sz w:val="21"/>
                <w:szCs w:val="21"/>
                <w:color w:val="auto"/>
              </w:rPr>
            </w:pPr>
          </w:p>
        </w:tc>
        <w:tc>
          <w:tcPr>
            <w:tcW w:w="380" w:type="dxa"/>
            <w:vAlign w:val="bottom"/>
            <w:gridSpan w:val="4"/>
          </w:tcPr>
          <w:p>
            <w:pPr>
              <w:jc w:val="right"/>
              <w:ind w:right="20"/>
              <w:spacing w:after="0"/>
              <w:rPr>
                <w:rFonts w:ascii="Arial" w:cs="Arial" w:eastAsia="Arial" w:hAnsi="Arial"/>
                <w:sz w:val="18"/>
                <w:szCs w:val="18"/>
                <w:b w:val="1"/>
                <w:bCs w:val="1"/>
                <w:color w:val="0000FF"/>
                <w:w w:val="91"/>
              </w:rPr>
            </w:pPr>
            <w:hyperlink w:anchor="page24">
              <w:r>
                <w:rPr>
                  <w:rFonts w:ascii="Arial" w:cs="Arial" w:eastAsia="Arial" w:hAnsi="Arial"/>
                  <w:sz w:val="18"/>
                  <w:szCs w:val="18"/>
                  <w:b w:val="1"/>
                  <w:bCs w:val="1"/>
                  <w:color w:val="0000FF"/>
                  <w:w w:val="91"/>
                </w:rPr>
                <w:t>Item</w:t>
              </w:r>
            </w:hyperlink>
          </w:p>
        </w:tc>
        <w:tc>
          <w:tcPr>
            <w:tcW w:w="180" w:type="dxa"/>
            <w:vAlign w:val="bottom"/>
          </w:tcPr>
          <w:p>
            <w:pPr>
              <w:ind w:left="20"/>
              <w:spacing w:after="0"/>
              <w:rPr>
                <w:rFonts w:ascii="Arial" w:cs="Arial" w:eastAsia="Arial" w:hAnsi="Arial"/>
                <w:sz w:val="18"/>
                <w:szCs w:val="18"/>
                <w:b w:val="1"/>
                <w:bCs w:val="1"/>
                <w:color w:val="0000FF"/>
                <w:w w:val="92"/>
              </w:rPr>
            </w:pPr>
            <w:hyperlink w:anchor="page24">
              <w:r>
                <w:rPr>
                  <w:rFonts w:ascii="Arial" w:cs="Arial" w:eastAsia="Arial" w:hAnsi="Arial"/>
                  <w:sz w:val="18"/>
                  <w:szCs w:val="18"/>
                  <w:b w:val="1"/>
                  <w:bCs w:val="1"/>
                  <w:color w:val="0000FF"/>
                  <w:w w:val="92"/>
                </w:rPr>
                <w:t>6.</w:t>
              </w:r>
            </w:hyperlink>
          </w:p>
        </w:tc>
        <w:tc>
          <w:tcPr>
            <w:tcW w:w="9440" w:type="dxa"/>
            <w:vAlign w:val="bottom"/>
            <w:gridSpan w:val="20"/>
          </w:tcPr>
          <w:p>
            <w:pPr>
              <w:ind w:left="20"/>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Selected Financial Data</w:t>
              </w:r>
            </w:hyperlink>
          </w:p>
        </w:tc>
        <w:tc>
          <w:tcPr>
            <w:tcW w:w="920" w:type="dxa"/>
            <w:vAlign w:val="bottom"/>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23</w:t>
              </w:r>
            </w:hyperlink>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25">
              <w:r>
                <w:rPr>
                  <w:rFonts w:ascii="Arial" w:cs="Arial" w:eastAsia="Arial" w:hAnsi="Arial"/>
                  <w:sz w:val="18"/>
                  <w:szCs w:val="18"/>
                  <w:b w:val="1"/>
                  <w:bCs w:val="1"/>
                  <w:color w:val="0000FF"/>
                  <w:w w:val="91"/>
                </w:rPr>
                <w:t>Item</w:t>
              </w:r>
            </w:hyperlink>
          </w:p>
        </w:tc>
        <w:tc>
          <w:tcPr>
            <w:tcW w:w="180" w:type="dxa"/>
            <w:vAlign w:val="bottom"/>
            <w:tcBorders>
              <w:bottom w:val="single" w:sz="8" w:color="0000FF"/>
            </w:tcBorders>
          </w:tcPr>
          <w:p>
            <w:pPr>
              <w:ind w:left="20"/>
              <w:spacing w:after="0"/>
              <w:rPr>
                <w:rFonts w:ascii="Arial" w:cs="Arial" w:eastAsia="Arial" w:hAnsi="Arial"/>
                <w:sz w:val="18"/>
                <w:szCs w:val="18"/>
                <w:b w:val="1"/>
                <w:bCs w:val="1"/>
                <w:color w:val="0000FF"/>
                <w:w w:val="92"/>
              </w:rPr>
            </w:pPr>
            <w:hyperlink w:anchor="page25">
              <w:r>
                <w:rPr>
                  <w:rFonts w:ascii="Arial" w:cs="Arial" w:eastAsia="Arial" w:hAnsi="Arial"/>
                  <w:sz w:val="18"/>
                  <w:szCs w:val="18"/>
                  <w:b w:val="1"/>
                  <w:bCs w:val="1"/>
                  <w:color w:val="0000FF"/>
                  <w:w w:val="92"/>
                </w:rPr>
                <w:t>7.</w:t>
              </w:r>
            </w:hyperlink>
          </w:p>
        </w:tc>
        <w:tc>
          <w:tcPr>
            <w:tcW w:w="6860" w:type="dxa"/>
            <w:vAlign w:val="bottom"/>
            <w:tcBorders>
              <w:bottom w:val="single" w:sz="8" w:color="0000FF"/>
            </w:tcBorders>
            <w:gridSpan w:val="16"/>
          </w:tcPr>
          <w:p>
            <w:pPr>
              <w:ind w:left="20"/>
              <w:spacing w:after="0"/>
              <w:rPr>
                <w:rFonts w:ascii="Arial" w:cs="Arial" w:eastAsia="Arial" w:hAnsi="Arial"/>
                <w:sz w:val="18"/>
                <w:szCs w:val="18"/>
                <w:b w:val="1"/>
                <w:bCs w:val="1"/>
                <w:color w:val="0000FF"/>
                <w:w w:val="89"/>
              </w:rPr>
            </w:pPr>
            <w:hyperlink w:anchor="page25">
              <w:r>
                <w:rPr>
                  <w:rFonts w:ascii="Arial" w:cs="Arial" w:eastAsia="Arial" w:hAnsi="Arial"/>
                  <w:sz w:val="18"/>
                  <w:szCs w:val="18"/>
                  <w:b w:val="1"/>
                  <w:bCs w:val="1"/>
                  <w:color w:val="0000FF"/>
                  <w:w w:val="89"/>
                </w:rPr>
                <w:t>Management’s Discussion and Analysis of Financial Condition and Results of Operations</w:t>
              </w:r>
            </w:hyperlink>
          </w:p>
        </w:tc>
        <w:tc>
          <w:tcPr>
            <w:tcW w:w="2580" w:type="dxa"/>
            <w:vAlign w:val="bottom"/>
            <w:gridSpan w:val="4"/>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24</w:t>
              </w:r>
            </w:hyperlink>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38">
              <w:r>
                <w:rPr>
                  <w:rFonts w:ascii="Arial" w:cs="Arial" w:eastAsia="Arial" w:hAnsi="Arial"/>
                  <w:sz w:val="18"/>
                  <w:szCs w:val="18"/>
                  <w:b w:val="1"/>
                  <w:bCs w:val="1"/>
                  <w:color w:val="0000FF"/>
                  <w:w w:val="91"/>
                </w:rPr>
                <w:t>Item</w:t>
              </w:r>
            </w:hyperlink>
          </w:p>
        </w:tc>
        <w:tc>
          <w:tcPr>
            <w:tcW w:w="4960" w:type="dxa"/>
            <w:vAlign w:val="bottom"/>
            <w:tcBorders>
              <w:bottom w:val="single" w:sz="8" w:color="0000FF"/>
            </w:tcBorders>
            <w:gridSpan w:val="15"/>
          </w:tcPr>
          <w:p>
            <w:pPr>
              <w:ind w:left="20"/>
              <w:spacing w:after="0"/>
              <w:rPr>
                <w:rFonts w:ascii="Arial" w:cs="Arial" w:eastAsia="Arial" w:hAnsi="Arial"/>
                <w:sz w:val="18"/>
                <w:szCs w:val="18"/>
                <w:b w:val="1"/>
                <w:bCs w:val="1"/>
                <w:color w:val="0000FF"/>
                <w:w w:val="91"/>
              </w:rPr>
            </w:pPr>
            <w:hyperlink w:anchor="page38">
              <w:r>
                <w:rPr>
                  <w:rFonts w:ascii="Arial" w:cs="Arial" w:eastAsia="Arial" w:hAnsi="Arial"/>
                  <w:sz w:val="18"/>
                  <w:szCs w:val="18"/>
                  <w:b w:val="1"/>
                  <w:bCs w:val="1"/>
                  <w:color w:val="0000FF"/>
                  <w:w w:val="91"/>
                </w:rPr>
                <w:t>7A. Quantitative and Qualitative Disclosures about Market Risk</w:t>
              </w:r>
            </w:hyperlink>
          </w:p>
        </w:tc>
        <w:tc>
          <w:tcPr>
            <w:tcW w:w="4660" w:type="dxa"/>
            <w:vAlign w:val="bottom"/>
            <w:gridSpan w:val="6"/>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36</w:t>
              </w:r>
            </w:hyperlink>
          </w:p>
        </w:tc>
      </w:tr>
      <w:tr>
        <w:trPr>
          <w:trHeight w:val="250"/>
        </w:trPr>
        <w:tc>
          <w:tcPr>
            <w:tcW w:w="460" w:type="dxa"/>
            <w:vAlign w:val="bottom"/>
          </w:tcPr>
          <w:p>
            <w:pPr>
              <w:spacing w:after="0"/>
              <w:rPr>
                <w:sz w:val="21"/>
                <w:szCs w:val="21"/>
                <w:color w:val="auto"/>
              </w:rPr>
            </w:pPr>
          </w:p>
        </w:tc>
        <w:tc>
          <w:tcPr>
            <w:tcW w:w="380" w:type="dxa"/>
            <w:vAlign w:val="bottom"/>
            <w:gridSpan w:val="4"/>
          </w:tcPr>
          <w:p>
            <w:pPr>
              <w:jc w:val="right"/>
              <w:ind w:right="20"/>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w:t>
              </w:r>
            </w:hyperlink>
          </w:p>
        </w:tc>
        <w:tc>
          <w:tcPr>
            <w:tcW w:w="180" w:type="dxa"/>
            <w:vAlign w:val="bottom"/>
          </w:tcPr>
          <w:p>
            <w:pPr>
              <w:ind w:left="20"/>
              <w:spacing w:after="0"/>
              <w:rPr>
                <w:rFonts w:ascii="Arial" w:cs="Arial" w:eastAsia="Arial" w:hAnsi="Arial"/>
                <w:sz w:val="18"/>
                <w:szCs w:val="18"/>
                <w:b w:val="1"/>
                <w:bCs w:val="1"/>
                <w:color w:val="0000FF"/>
                <w:w w:val="92"/>
              </w:rPr>
            </w:pPr>
            <w:hyperlink w:anchor="page39">
              <w:r>
                <w:rPr>
                  <w:rFonts w:ascii="Arial" w:cs="Arial" w:eastAsia="Arial" w:hAnsi="Arial"/>
                  <w:sz w:val="18"/>
                  <w:szCs w:val="18"/>
                  <w:b w:val="1"/>
                  <w:bCs w:val="1"/>
                  <w:color w:val="0000FF"/>
                  <w:w w:val="92"/>
                </w:rPr>
                <w:t>8.</w:t>
              </w:r>
            </w:hyperlink>
          </w:p>
        </w:tc>
        <w:tc>
          <w:tcPr>
            <w:tcW w:w="9440" w:type="dxa"/>
            <w:vAlign w:val="bottom"/>
            <w:gridSpan w:val="20"/>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Financial Statements and Supplementary Data</w:t>
              </w:r>
            </w:hyperlink>
          </w:p>
        </w:tc>
        <w:tc>
          <w:tcPr>
            <w:tcW w:w="92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37</w:t>
              </w:r>
            </w:hyperlink>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w:t>
              </w:r>
            </w:hyperlink>
          </w:p>
        </w:tc>
        <w:tc>
          <w:tcPr>
            <w:tcW w:w="180" w:type="dxa"/>
            <w:vAlign w:val="bottom"/>
            <w:tcBorders>
              <w:bottom w:val="single" w:sz="8" w:color="0000FF"/>
            </w:tcBorders>
          </w:tcPr>
          <w:p>
            <w:pPr>
              <w:ind w:left="20"/>
              <w:spacing w:after="0"/>
              <w:rPr>
                <w:rFonts w:ascii="Arial" w:cs="Arial" w:eastAsia="Arial" w:hAnsi="Arial"/>
                <w:sz w:val="18"/>
                <w:szCs w:val="18"/>
                <w:b w:val="1"/>
                <w:bCs w:val="1"/>
                <w:color w:val="0000FF"/>
                <w:w w:val="92"/>
              </w:rPr>
            </w:pPr>
            <w:hyperlink w:anchor="page39">
              <w:r>
                <w:rPr>
                  <w:rFonts w:ascii="Arial" w:cs="Arial" w:eastAsia="Arial" w:hAnsi="Arial"/>
                  <w:sz w:val="18"/>
                  <w:szCs w:val="18"/>
                  <w:b w:val="1"/>
                  <w:bCs w:val="1"/>
                  <w:color w:val="0000FF"/>
                  <w:w w:val="92"/>
                </w:rPr>
                <w:t>9.</w:t>
              </w:r>
            </w:hyperlink>
          </w:p>
        </w:tc>
        <w:tc>
          <w:tcPr>
            <w:tcW w:w="6880" w:type="dxa"/>
            <w:vAlign w:val="bottom"/>
            <w:tcBorders>
              <w:bottom w:val="single" w:sz="8" w:color="0000FF"/>
            </w:tcBorders>
            <w:gridSpan w:val="17"/>
          </w:tcPr>
          <w:p>
            <w:pPr>
              <w:ind w:left="20"/>
              <w:spacing w:after="0"/>
              <w:rPr>
                <w:rFonts w:ascii="Arial" w:cs="Arial" w:eastAsia="Arial" w:hAnsi="Arial"/>
                <w:sz w:val="18"/>
                <w:szCs w:val="18"/>
                <w:b w:val="1"/>
                <w:bCs w:val="1"/>
                <w:color w:val="0000FF"/>
                <w:w w:val="88"/>
              </w:rPr>
            </w:pPr>
            <w:hyperlink w:anchor="page39">
              <w:r>
                <w:rPr>
                  <w:rFonts w:ascii="Arial" w:cs="Arial" w:eastAsia="Arial" w:hAnsi="Arial"/>
                  <w:sz w:val="18"/>
                  <w:szCs w:val="18"/>
                  <w:b w:val="1"/>
                  <w:bCs w:val="1"/>
                  <w:color w:val="0000FF"/>
                  <w:w w:val="88"/>
                </w:rPr>
                <w:t>Changes in and Disagreements with Accountants on Accounting and Financial Disclosure</w:t>
              </w:r>
            </w:hyperlink>
          </w:p>
        </w:tc>
        <w:tc>
          <w:tcPr>
            <w:tcW w:w="2560" w:type="dxa"/>
            <w:vAlign w:val="bottom"/>
            <w:gridSpan w:val="3"/>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37</w:t>
              </w:r>
            </w:hyperlink>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w:t>
              </w:r>
            </w:hyperlink>
          </w:p>
        </w:tc>
        <w:tc>
          <w:tcPr>
            <w:tcW w:w="2240" w:type="dxa"/>
            <w:vAlign w:val="bottom"/>
            <w:tcBorders>
              <w:bottom w:val="single" w:sz="8" w:color="0000FF"/>
            </w:tcBorders>
            <w:gridSpan w:val="10"/>
          </w:tcPr>
          <w:p>
            <w:pPr>
              <w:ind w:left="20"/>
              <w:spacing w:after="0"/>
              <w:rPr>
                <w:rFonts w:ascii="Arial" w:cs="Arial" w:eastAsia="Arial" w:hAnsi="Arial"/>
                <w:sz w:val="18"/>
                <w:szCs w:val="18"/>
                <w:b w:val="1"/>
                <w:bCs w:val="1"/>
                <w:color w:val="0000FF"/>
                <w:w w:val="88"/>
              </w:rPr>
            </w:pPr>
            <w:hyperlink w:anchor="page39">
              <w:r>
                <w:rPr>
                  <w:rFonts w:ascii="Arial" w:cs="Arial" w:eastAsia="Arial" w:hAnsi="Arial"/>
                  <w:sz w:val="18"/>
                  <w:szCs w:val="18"/>
                  <w:b w:val="1"/>
                  <w:bCs w:val="1"/>
                  <w:color w:val="0000FF"/>
                  <w:w w:val="88"/>
                </w:rPr>
                <w:t>9A. Controls and Procedures</w:t>
              </w:r>
            </w:hyperlink>
          </w:p>
        </w:tc>
        <w:tc>
          <w:tcPr>
            <w:tcW w:w="7380" w:type="dxa"/>
            <w:vAlign w:val="bottom"/>
            <w:gridSpan w:val="11"/>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38</w:t>
              </w:r>
            </w:hyperlink>
          </w:p>
        </w:tc>
      </w:tr>
      <w:tr>
        <w:trPr>
          <w:trHeight w:val="250"/>
        </w:trPr>
        <w:tc>
          <w:tcPr>
            <w:tcW w:w="460" w:type="dxa"/>
            <w:vAlign w:val="bottom"/>
          </w:tcPr>
          <w:p>
            <w:pPr>
              <w:spacing w:after="0"/>
              <w:rPr>
                <w:sz w:val="21"/>
                <w:szCs w:val="21"/>
                <w:color w:val="auto"/>
              </w:rPr>
            </w:pPr>
          </w:p>
        </w:tc>
        <w:tc>
          <w:tcPr>
            <w:tcW w:w="380" w:type="dxa"/>
            <w:vAlign w:val="bottom"/>
            <w:gridSpan w:val="4"/>
          </w:tcPr>
          <w:p>
            <w:pPr>
              <w:jc w:val="right"/>
              <w:ind w:right="20"/>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w:t>
              </w:r>
            </w:hyperlink>
          </w:p>
        </w:tc>
        <w:tc>
          <w:tcPr>
            <w:tcW w:w="9620" w:type="dxa"/>
            <w:vAlign w:val="bottom"/>
            <w:gridSpan w:val="21"/>
          </w:tcPr>
          <w:p>
            <w:pPr>
              <w:ind w:left="2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9B. Other Information</w:t>
              </w:r>
            </w:hyperlink>
          </w:p>
        </w:tc>
        <w:tc>
          <w:tcPr>
            <w:tcW w:w="92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III:</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60" w:type="dxa"/>
            <w:vAlign w:val="bottom"/>
          </w:tcPr>
          <w:p>
            <w:pPr>
              <w:spacing w:after="0"/>
              <w:rPr>
                <w:sz w:val="21"/>
                <w:szCs w:val="21"/>
                <w:color w:val="auto"/>
              </w:rPr>
            </w:pPr>
          </w:p>
        </w:tc>
        <w:tc>
          <w:tcPr>
            <w:tcW w:w="380" w:type="dxa"/>
            <w:vAlign w:val="bottom"/>
            <w:gridSpan w:val="4"/>
          </w:tcPr>
          <w:p>
            <w:pPr>
              <w:jc w:val="right"/>
              <w:ind w:right="20"/>
              <w:spacing w:after="0"/>
              <w:rPr>
                <w:rFonts w:ascii="Arial" w:cs="Arial" w:eastAsia="Arial" w:hAnsi="Arial"/>
                <w:sz w:val="18"/>
                <w:szCs w:val="18"/>
                <w:b w:val="1"/>
                <w:bCs w:val="1"/>
                <w:color w:val="0000FF"/>
                <w:w w:val="91"/>
              </w:rPr>
            </w:pPr>
            <w:hyperlink w:anchor="page43">
              <w:r>
                <w:rPr>
                  <w:rFonts w:ascii="Arial" w:cs="Arial" w:eastAsia="Arial" w:hAnsi="Arial"/>
                  <w:sz w:val="18"/>
                  <w:szCs w:val="18"/>
                  <w:b w:val="1"/>
                  <w:bCs w:val="1"/>
                  <w:color w:val="0000FF"/>
                  <w:w w:val="91"/>
                </w:rPr>
                <w:t>Item</w:t>
              </w:r>
            </w:hyperlink>
          </w:p>
        </w:tc>
        <w:tc>
          <w:tcPr>
            <w:tcW w:w="9620" w:type="dxa"/>
            <w:vAlign w:val="bottom"/>
            <w:gridSpan w:val="21"/>
          </w:tcPr>
          <w:p>
            <w:pPr>
              <w:ind w:left="2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10. Directors, Executive Officers and Corporate Governance</w:t>
              </w:r>
            </w:hyperlink>
          </w:p>
        </w:tc>
        <w:tc>
          <w:tcPr>
            <w:tcW w:w="920" w:type="dxa"/>
            <w:vAlign w:val="bottom"/>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41</w:t>
              </w:r>
            </w:hyperlink>
          </w:p>
        </w:tc>
      </w:tr>
      <w:tr>
        <w:trPr>
          <w:trHeight w:val="250"/>
        </w:trPr>
        <w:tc>
          <w:tcPr>
            <w:tcW w:w="460" w:type="dxa"/>
            <w:vAlign w:val="bottom"/>
          </w:tcPr>
          <w:p>
            <w:pPr>
              <w:spacing w:after="0"/>
              <w:rPr>
                <w:sz w:val="21"/>
                <w:szCs w:val="21"/>
                <w:color w:val="auto"/>
              </w:rPr>
            </w:pPr>
          </w:p>
        </w:tc>
        <w:tc>
          <w:tcPr>
            <w:tcW w:w="380" w:type="dxa"/>
            <w:vAlign w:val="bottom"/>
            <w:tcBorders>
              <w:top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43">
              <w:r>
                <w:rPr>
                  <w:rFonts w:ascii="Arial" w:cs="Arial" w:eastAsia="Arial" w:hAnsi="Arial"/>
                  <w:sz w:val="18"/>
                  <w:szCs w:val="18"/>
                  <w:b w:val="1"/>
                  <w:bCs w:val="1"/>
                  <w:color w:val="0000FF"/>
                  <w:w w:val="91"/>
                </w:rPr>
                <w:t>Item</w:t>
              </w:r>
            </w:hyperlink>
          </w:p>
        </w:tc>
        <w:tc>
          <w:tcPr>
            <w:tcW w:w="4660" w:type="dxa"/>
            <w:vAlign w:val="bottom"/>
            <w:tcBorders>
              <w:top w:val="single" w:sz="8" w:color="0000FF"/>
            </w:tcBorders>
            <w:gridSpan w:val="14"/>
          </w:tcPr>
          <w:p>
            <w:pPr>
              <w:ind w:left="2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11. Executive Compensation</w:t>
              </w:r>
            </w:hyperlink>
          </w:p>
        </w:tc>
        <w:tc>
          <w:tcPr>
            <w:tcW w:w="4960" w:type="dxa"/>
            <w:vAlign w:val="bottom"/>
            <w:gridSpan w:val="7"/>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41</w:t>
              </w:r>
            </w:hyperlink>
          </w:p>
        </w:tc>
      </w:tr>
      <w:tr>
        <w:trPr>
          <w:trHeight w:val="20"/>
        </w:trPr>
        <w:tc>
          <w:tcPr>
            <w:tcW w:w="4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380" w:type="dxa"/>
            <w:vAlign w:val="bottom"/>
            <w:tcBorders>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43">
              <w:r>
                <w:rPr>
                  <w:rFonts w:ascii="Arial" w:cs="Arial" w:eastAsia="Arial" w:hAnsi="Arial"/>
                  <w:sz w:val="18"/>
                  <w:szCs w:val="18"/>
                  <w:b w:val="1"/>
                  <w:bCs w:val="1"/>
                  <w:color w:val="0000FF"/>
                  <w:w w:val="91"/>
                </w:rPr>
                <w:t>Item</w:t>
              </w:r>
            </w:hyperlink>
          </w:p>
        </w:tc>
        <w:tc>
          <w:tcPr>
            <w:tcW w:w="8100" w:type="dxa"/>
            <w:vAlign w:val="bottom"/>
            <w:tcBorders>
              <w:bottom w:val="single" w:sz="8" w:color="0000FF"/>
            </w:tcBorders>
            <w:gridSpan w:val="19"/>
          </w:tcPr>
          <w:p>
            <w:pPr>
              <w:ind w:left="20"/>
              <w:spacing w:after="0"/>
              <w:rPr>
                <w:rFonts w:ascii="Arial" w:cs="Arial" w:eastAsia="Arial" w:hAnsi="Arial"/>
                <w:sz w:val="18"/>
                <w:szCs w:val="18"/>
                <w:b w:val="1"/>
                <w:bCs w:val="1"/>
                <w:color w:val="0000FF"/>
                <w:w w:val="90"/>
              </w:rPr>
            </w:pPr>
            <w:hyperlink w:anchor="page43">
              <w:r>
                <w:rPr>
                  <w:rFonts w:ascii="Arial" w:cs="Arial" w:eastAsia="Arial" w:hAnsi="Arial"/>
                  <w:sz w:val="18"/>
                  <w:szCs w:val="18"/>
                  <w:b w:val="1"/>
                  <w:bCs w:val="1"/>
                  <w:color w:val="0000FF"/>
                  <w:w w:val="90"/>
                </w:rPr>
                <w:t>12. Security Ownership of Certain Beneficial Owners and Management and Related Stockholder Matters</w:t>
              </w:r>
            </w:hyperlink>
          </w:p>
        </w:tc>
        <w:tc>
          <w:tcPr>
            <w:tcW w:w="1520" w:type="dxa"/>
            <w:vAlign w:val="bottom"/>
            <w:gridSpan w:val="2"/>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41</w:t>
              </w:r>
            </w:hyperlink>
          </w:p>
        </w:tc>
      </w:tr>
      <w:tr>
        <w:trPr>
          <w:trHeight w:val="250"/>
        </w:trPr>
        <w:tc>
          <w:tcPr>
            <w:tcW w:w="460" w:type="dxa"/>
            <w:vAlign w:val="bottom"/>
          </w:tcPr>
          <w:p>
            <w:pPr>
              <w:spacing w:after="0"/>
              <w:rPr>
                <w:sz w:val="21"/>
                <w:szCs w:val="21"/>
                <w:color w:val="auto"/>
              </w:rPr>
            </w:pPr>
          </w:p>
        </w:tc>
        <w:tc>
          <w:tcPr>
            <w:tcW w:w="380" w:type="dxa"/>
            <w:vAlign w:val="bottom"/>
            <w:gridSpan w:val="4"/>
          </w:tcPr>
          <w:p>
            <w:pPr>
              <w:jc w:val="right"/>
              <w:ind w:right="20"/>
              <w:spacing w:after="0"/>
              <w:rPr>
                <w:rFonts w:ascii="Arial" w:cs="Arial" w:eastAsia="Arial" w:hAnsi="Arial"/>
                <w:sz w:val="18"/>
                <w:szCs w:val="18"/>
                <w:b w:val="1"/>
                <w:bCs w:val="1"/>
                <w:color w:val="0000FF"/>
                <w:w w:val="91"/>
              </w:rPr>
            </w:pPr>
            <w:hyperlink w:anchor="page43">
              <w:r>
                <w:rPr>
                  <w:rFonts w:ascii="Arial" w:cs="Arial" w:eastAsia="Arial" w:hAnsi="Arial"/>
                  <w:sz w:val="18"/>
                  <w:szCs w:val="18"/>
                  <w:b w:val="1"/>
                  <w:bCs w:val="1"/>
                  <w:color w:val="0000FF"/>
                  <w:w w:val="91"/>
                </w:rPr>
                <w:t>Item</w:t>
              </w:r>
            </w:hyperlink>
          </w:p>
        </w:tc>
        <w:tc>
          <w:tcPr>
            <w:tcW w:w="9620" w:type="dxa"/>
            <w:vAlign w:val="bottom"/>
            <w:gridSpan w:val="21"/>
          </w:tcPr>
          <w:p>
            <w:pPr>
              <w:ind w:left="2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13. Certain Relationships and Related Transactions, and Director Independence</w:t>
              </w:r>
            </w:hyperlink>
          </w:p>
        </w:tc>
        <w:tc>
          <w:tcPr>
            <w:tcW w:w="920" w:type="dxa"/>
            <w:vAlign w:val="bottom"/>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41</w:t>
              </w:r>
            </w:hyperlink>
          </w:p>
        </w:tc>
      </w:tr>
      <w:tr>
        <w:trPr>
          <w:trHeight w:val="250"/>
        </w:trPr>
        <w:tc>
          <w:tcPr>
            <w:tcW w:w="460" w:type="dxa"/>
            <w:vAlign w:val="bottom"/>
          </w:tcPr>
          <w:p>
            <w:pPr>
              <w:spacing w:after="0"/>
              <w:rPr>
                <w:sz w:val="21"/>
                <w:szCs w:val="21"/>
                <w:color w:val="auto"/>
              </w:rPr>
            </w:pPr>
          </w:p>
        </w:tc>
        <w:tc>
          <w:tcPr>
            <w:tcW w:w="380" w:type="dxa"/>
            <w:vAlign w:val="bottom"/>
            <w:tcBorders>
              <w:top w:val="single" w:sz="8" w:color="0000FF"/>
              <w:bottom w:val="single" w:sz="8" w:color="0000FF"/>
            </w:tcBorders>
            <w:gridSpan w:val="4"/>
          </w:tcPr>
          <w:p>
            <w:pPr>
              <w:jc w:val="right"/>
              <w:ind w:right="20"/>
              <w:spacing w:after="0"/>
              <w:rPr>
                <w:rFonts w:ascii="Arial" w:cs="Arial" w:eastAsia="Arial" w:hAnsi="Arial"/>
                <w:sz w:val="18"/>
                <w:szCs w:val="18"/>
                <w:b w:val="1"/>
                <w:bCs w:val="1"/>
                <w:color w:val="0000FF"/>
                <w:w w:val="91"/>
              </w:rPr>
            </w:pPr>
            <w:hyperlink w:anchor="page43">
              <w:r>
                <w:rPr>
                  <w:rFonts w:ascii="Arial" w:cs="Arial" w:eastAsia="Arial" w:hAnsi="Arial"/>
                  <w:sz w:val="18"/>
                  <w:szCs w:val="18"/>
                  <w:b w:val="1"/>
                  <w:bCs w:val="1"/>
                  <w:color w:val="0000FF"/>
                  <w:w w:val="91"/>
                </w:rPr>
                <w:t>Item</w:t>
              </w:r>
            </w:hyperlink>
          </w:p>
        </w:tc>
        <w:tc>
          <w:tcPr>
            <w:tcW w:w="3360" w:type="dxa"/>
            <w:vAlign w:val="bottom"/>
            <w:tcBorders>
              <w:top w:val="single" w:sz="8" w:color="0000FF"/>
              <w:bottom w:val="single" w:sz="8" w:color="0000FF"/>
            </w:tcBorders>
            <w:gridSpan w:val="12"/>
          </w:tcPr>
          <w:p>
            <w:pPr>
              <w:ind w:left="20"/>
              <w:spacing w:after="0"/>
              <w:rPr>
                <w:rFonts w:ascii="Arial" w:cs="Arial" w:eastAsia="Arial" w:hAnsi="Arial"/>
                <w:sz w:val="18"/>
                <w:szCs w:val="18"/>
                <w:b w:val="1"/>
                <w:bCs w:val="1"/>
                <w:color w:val="0000FF"/>
                <w:w w:val="88"/>
              </w:rPr>
            </w:pPr>
            <w:hyperlink w:anchor="page43">
              <w:r>
                <w:rPr>
                  <w:rFonts w:ascii="Arial" w:cs="Arial" w:eastAsia="Arial" w:hAnsi="Arial"/>
                  <w:sz w:val="18"/>
                  <w:szCs w:val="18"/>
                  <w:b w:val="1"/>
                  <w:bCs w:val="1"/>
                  <w:color w:val="0000FF"/>
                  <w:w w:val="88"/>
                </w:rPr>
                <w:t>14. Principal Accounting Fees and Services</w:t>
              </w:r>
            </w:hyperlink>
          </w:p>
        </w:tc>
        <w:tc>
          <w:tcPr>
            <w:tcW w:w="2780" w:type="dxa"/>
            <w:vAlign w:val="bottom"/>
            <w:tcBorders>
              <w:top w:val="single" w:sz="8" w:color="0000FF"/>
            </w:tcBorders>
            <w:gridSpan w:val="4"/>
          </w:tcPr>
          <w:p>
            <w:pPr>
              <w:spacing w:after="0"/>
              <w:rPr>
                <w:sz w:val="21"/>
                <w:szCs w:val="21"/>
                <w:color w:val="auto"/>
              </w:rPr>
            </w:pPr>
          </w:p>
        </w:tc>
        <w:tc>
          <w:tcPr>
            <w:tcW w:w="3480" w:type="dxa"/>
            <w:vAlign w:val="bottom"/>
            <w:gridSpan w:val="5"/>
          </w:tcPr>
          <w:p>
            <w:pPr>
              <w:spacing w:after="0"/>
              <w:rPr>
                <w:sz w:val="21"/>
                <w:szCs w:val="21"/>
                <w:color w:val="auto"/>
              </w:rPr>
            </w:pPr>
          </w:p>
        </w:tc>
        <w:tc>
          <w:tcPr>
            <w:tcW w:w="920" w:type="dxa"/>
            <w:vAlign w:val="bottom"/>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41</w:t>
              </w:r>
            </w:hyperlink>
          </w:p>
        </w:tc>
      </w:tr>
      <w:tr>
        <w:trPr>
          <w:trHeight w:val="250"/>
        </w:trPr>
        <w:tc>
          <w:tcPr>
            <w:tcW w:w="840" w:type="dxa"/>
            <w:vAlign w:val="bottom"/>
            <w:gridSpan w:val="5"/>
          </w:tcPr>
          <w:p>
            <w:pPr>
              <w:jc w:val="right"/>
              <w:ind w:right="4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IV:</w:t>
              </w:r>
            </w:hyperlink>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380" w:type="dxa"/>
            <w:vAlign w:val="bottom"/>
            <w:gridSpan w:val="4"/>
          </w:tcPr>
          <w:p>
            <w:pPr>
              <w:jc w:val="right"/>
              <w:ind w:right="20"/>
              <w:spacing w:after="0"/>
              <w:rPr>
                <w:rFonts w:ascii="Arial" w:cs="Arial" w:eastAsia="Arial" w:hAnsi="Arial"/>
                <w:sz w:val="18"/>
                <w:szCs w:val="18"/>
                <w:b w:val="1"/>
                <w:bCs w:val="1"/>
                <w:color w:val="0000FF"/>
                <w:w w:val="91"/>
              </w:rPr>
            </w:pPr>
            <w:hyperlink w:anchor="page44">
              <w:r>
                <w:rPr>
                  <w:rFonts w:ascii="Arial" w:cs="Arial" w:eastAsia="Arial" w:hAnsi="Arial"/>
                  <w:sz w:val="18"/>
                  <w:szCs w:val="18"/>
                  <w:b w:val="1"/>
                  <w:bCs w:val="1"/>
                  <w:color w:val="0000FF"/>
                  <w:w w:val="91"/>
                </w:rPr>
                <w:t>Item</w:t>
              </w:r>
            </w:hyperlink>
          </w:p>
        </w:tc>
        <w:tc>
          <w:tcPr>
            <w:tcW w:w="9620" w:type="dxa"/>
            <w:vAlign w:val="bottom"/>
            <w:gridSpan w:val="21"/>
          </w:tcPr>
          <w:p>
            <w:pPr>
              <w:ind w:left="20"/>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15. Exhibits, Financial Statement Schedules</w:t>
              </w:r>
            </w:hyperlink>
          </w:p>
        </w:tc>
        <w:tc>
          <w:tcPr>
            <w:tcW w:w="920" w:type="dxa"/>
            <w:vAlign w:val="bottom"/>
          </w:tcPr>
          <w:p>
            <w:pPr>
              <w:jc w:val="right"/>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42</w:t>
              </w:r>
            </w:hyperlink>
          </w:p>
        </w:tc>
      </w:tr>
      <w:tr>
        <w:trPr>
          <w:trHeight w:val="20"/>
        </w:trPr>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891"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SEC-RIA and referred to hereinafter together as “Westwood Management”), Westwood International Advisors Inc. (“Westwood International Advisors”) and Westwood Trust. Westwood Management, founded in 1983, provides investment advisory services to institutional investors, a family of mutual funds called the Westwood Funds®, other mutual funds, individual investors and clients of Westwood Trust. Westwood International Advisors was established in 2012 and provides investment advisory services to institutional clients, the Westwood Funds®, other mutual funds, an Irish investment company authorized pursuant to the European Communities (Undertakings for Collective Investment in Transferable Securities) Regulation 2011 (as amended) (the “UCITS Fund”) and clients of Westwood Trust. Westwood Trust, founded as a state-chartered trust company in 1974, provides trust, custodial and investment management services through use of commingled funds and individual securities to institutions and high net worth individuals. Our revenues are generally derived from fees based on a percentage of assets under management ("AUM"). Westwood Management, Westwood International Advisors and Westwood Trust collectively managed assets valued at approximately $15.2 billion at December 31, 2019. We were incorporated under the laws of the State of Delaware on December 12, 2001. Our common stock is listed on the New York Stock Exchange under the ticker symbol “WHG.” We are a holding company whose principal assets consist of the capital stock of Westwood Management, Westwood Trust and Westwood International Advisors.</w:t>
      </w:r>
    </w:p>
    <w:p>
      <w:pPr>
        <w:spacing w:after="0" w:line="6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success of our business is dependent on client, institutional investment consultant and intermediary relationships. We believe that, in addition to investment performance, client service is paramount in the asset management business. Accordingly, a major business focus is to build strong relationships with clients to enhance our ability to anticipate their needs and satisfy their investment objectives. Our team approach is designed to deliver efficient, responsive service to our clients.</w:t>
      </w:r>
    </w:p>
    <w:p>
      <w:pPr>
        <w:spacing w:after="0" w:line="7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have focused on building our foundation in terms of personnel and infrastructure to support a larger business. We have developed investment strategies that we expect to be desirable within our target institutional, wealth management and intermediary markets. Developing new investment strategies and building the organization can result in incurring expenses before significant offsetting revenues are realized. We continue to evaluate new strategies and resources in terms of meeting actual and potential investor needs.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maintain a website at westwoodgroup.com. Information contained on, or connected to, our website is not incorporated by reference into this Report and should not be considered part of this Report or any other filing that we make with the Securities and Exchange Commission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Committee and Governance/Nominating Committee Charters are available without charge on our website. Stockholders also may obtain print copies of these documents free of charge by submitting a written request to Terry Forbes, our Chief Financial Officer and Treasurer, at the address set forth on the front of this Report. The public can also obtain any public document we file with the SEC at www.sec.gov.</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Advisory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advisory business is comprised of Westwood Management and Westwood International Advisors and encompasses three distinct investment teams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United States ("U.S.") Value Equity, Multi-Asset and Emerging Markets Equity.</w:t>
      </w:r>
    </w:p>
    <w:p>
      <w:pPr>
        <w:spacing w:after="0" w:line="103"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Westwood Management provides investment advisory services to large institutions, including corporate retirement plans, public retirement plans, endowments and foundations. Institutional separate account minimums vary by investment strategy and generally range from $10 million to $25 million. Westwood Management also provides advisory services to individuals and the Westwood Funds®, as well as subadvisory services to other mutual funds and pooled investment vehicles. Westwood Management’s investment strategies are managed by the U.S. Value Equity team, based in Dallas, Texas, and by the Multi-Asset team, based in both Dallas and Boston, Massachusetts. Our U.S. investment professionals average over fifteen years of investment experience. We believe team continuity and years of experience are among the critical elements required for successfully managing investments.</w:t>
      </w:r>
    </w:p>
    <w:p>
      <w:pPr>
        <w:spacing w:after="0" w:line="5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Westwood International Advisors, based in Toronto, Canada, provides investment advisory services to large institutions and pooled investment vehicles, as well as subadvisory services to the NBI Westwood Emerging Markets Fund, which is a mutual fund offered by a subsidiary of National Bank of Canada. Institutional separate account minimums vary by investment strategy and generally start at $25 million. Westwood International Advisors' investment strategies are managed by the Emerging Markets Equity team, with an average of 24 years of investment experience. Westwood International Advisors has entered into a Memorandum of Understanding (“MOU”) with Westwood Management pursuant to which Westwood International Advisors is considered a “participating affiliate” of Westwood Management as that term is used in relief granted by the staff of the SEC allowing U.S. registered investment advisers ("RIAs") to use portfolio management or research resources of advisory affiliates subject to the supervision of a registered adviser. Pursuant to the MOU, Westwood International Advisors professionals provide advisory and subadvisory services to certain Westwood Funds®, pooled investment vehicles and large institutions under the supervision of Westwood Management.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Strategies</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offer high conviction equity and outcome-oriented solutions to address a wide range of investment objectives, including three strategies: LargeCap Value, Income Opportunity and SmallCap Value, each with over $1 billion in AUM.</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U.S. Value Equity Team</w:t>
      </w:r>
    </w:p>
    <w:p>
      <w:pPr>
        <w:spacing w:after="0" w:line="11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U.S. Value Equity team employs a value-oriented approach focused on identifying undervalued, high quality businesses that can generate superior risk-adjusted returns, employing a fundamental bottom-up, three-step investment process. Our team seeks well-run businesses with conservative balance sheets and strong free cash flow that can grow their business value by funding growth initiatives or returning capital to shareholders. Identifying undervalued companies with strong fundamentals, where the outlook for future earnings growth is underestimated by the market, offers the potential for asymmetric returns. This investment approach is intended to preserve capital during unfavorable periods and provide superior real returns over the long term. We have established a track record of delivering competitive risk-adjusted returns for our clients. The principal investment strategies currently managed by the U.S. Value Equity team are as follows:</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LargeCap Value: </w:t>
      </w:r>
      <w:r>
        <w:rPr>
          <w:rFonts w:ascii="Arial" w:cs="Arial" w:eastAsia="Arial" w:hAnsi="Arial"/>
          <w:sz w:val="17"/>
          <w:szCs w:val="17"/>
          <w:color w:val="auto"/>
        </w:rPr>
        <w:t>Investments in equity securities of approximately 40 to 60 companies benchmarked to the Russell 1000 Value Index.</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LargeCap Select: </w:t>
      </w:r>
      <w:r>
        <w:rPr>
          <w:rFonts w:ascii="Arial" w:cs="Arial" w:eastAsia="Arial" w:hAnsi="Arial"/>
          <w:sz w:val="17"/>
          <w:szCs w:val="17"/>
          <w:color w:val="auto"/>
        </w:rPr>
        <w:t>Investments in equity securities of approximately 15 to 30 companies benchmarked to the Russell 1000 Value Index.</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SMidCap: </w:t>
      </w:r>
      <w:r>
        <w:rPr>
          <w:rFonts w:ascii="Arial" w:cs="Arial" w:eastAsia="Arial" w:hAnsi="Arial"/>
          <w:sz w:val="18"/>
          <w:szCs w:val="18"/>
          <w:color w:val="auto"/>
        </w:rPr>
        <w:t>Investments in equity securities of approximately 50 to 70 companies benchmarked to the Russell 2500 Index.</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SmallCap Value: </w:t>
      </w:r>
      <w:r>
        <w:rPr>
          <w:rFonts w:ascii="Arial" w:cs="Arial" w:eastAsia="Arial" w:hAnsi="Arial"/>
          <w:sz w:val="17"/>
          <w:szCs w:val="17"/>
          <w:color w:val="auto"/>
        </w:rPr>
        <w:t>Investments in equity securities of approximately 50 to 70 companies benchmarked to the Russell 2000 Value Index.</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AllCap Value: </w:t>
      </w:r>
      <w:r>
        <w:rPr>
          <w:rFonts w:ascii="Arial" w:cs="Arial" w:eastAsia="Arial" w:hAnsi="Arial"/>
          <w:sz w:val="18"/>
          <w:szCs w:val="18"/>
          <w:color w:val="auto"/>
        </w:rPr>
        <w:t>Investments in equity securities of approximately 50 to 80 companies benchmarked to the Russell 3000 Value Index.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Multi-Asset Team</w:t>
      </w:r>
    </w:p>
    <w:p>
      <w:pPr>
        <w:spacing w:after="0" w:line="117" w:lineRule="exact"/>
        <w:rPr>
          <w:sz w:val="20"/>
          <w:szCs w:val="20"/>
          <w:color w:val="auto"/>
        </w:rPr>
      </w:pPr>
    </w:p>
    <w:p>
      <w:pPr>
        <w:ind w:left="500" w:right="320" w:firstLine="486"/>
        <w:spacing w:after="0" w:line="312" w:lineRule="auto"/>
        <w:rPr>
          <w:sz w:val="20"/>
          <w:szCs w:val="20"/>
          <w:color w:val="auto"/>
        </w:rPr>
      </w:pPr>
      <w:r>
        <w:rPr>
          <w:rFonts w:ascii="Arial" w:cs="Arial" w:eastAsia="Arial" w:hAnsi="Arial"/>
          <w:sz w:val="16"/>
          <w:szCs w:val="16"/>
          <w:color w:val="auto"/>
        </w:rPr>
        <w:t>The Multi-Asset team investment process applies both top down views across asset classes along with bottom up security selection, utilizing quantitative and fundamental tools to evaluate macro, micro and technical conditions across a range of asset classes. Our continuum of outcome-oriented solutions maintains defined strategic and tactical allocations and a discipline geared towards managing downside risks.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 w:name="page5"/>
    <w:bookmarkEnd w:id="4"/>
    <w:p>
      <w:pPr>
        <w:ind w:left="500" w:right="140" w:firstLine="486"/>
        <w:spacing w:after="0" w:line="264" w:lineRule="auto"/>
        <w:rPr>
          <w:sz w:val="20"/>
          <w:szCs w:val="20"/>
          <w:color w:val="auto"/>
        </w:rPr>
      </w:pPr>
      <w:r>
        <w:rPr>
          <w:rFonts w:ascii="Arial" w:cs="Arial" w:eastAsia="Arial" w:hAnsi="Arial"/>
          <w:sz w:val="18"/>
          <w:szCs w:val="18"/>
          <w:color w:val="auto"/>
        </w:rPr>
        <w:t>The team draws on the proprietary fundamental research of all three of Westwood's investment teams in order to identify securities with attractive risk-adjusted return profiles across a broad spectrum of income-producing securities. The principal investment strategies currently managed by the Multi-Asset team are as follows:</w:t>
      </w:r>
    </w:p>
    <w:p>
      <w:pPr>
        <w:spacing w:after="0" w:line="73" w:lineRule="exact"/>
        <w:rPr>
          <w:sz w:val="20"/>
          <w:szCs w:val="20"/>
          <w:color w:val="auto"/>
        </w:rPr>
      </w:pPr>
    </w:p>
    <w:p>
      <w:pPr>
        <w:ind w:left="500" w:right="700" w:firstLine="486"/>
        <w:spacing w:after="0" w:line="277" w:lineRule="auto"/>
        <w:rPr>
          <w:sz w:val="20"/>
          <w:szCs w:val="20"/>
          <w:color w:val="auto"/>
        </w:rPr>
      </w:pPr>
      <w:r>
        <w:rPr>
          <w:rFonts w:ascii="Arial" w:cs="Arial" w:eastAsia="Arial" w:hAnsi="Arial"/>
          <w:sz w:val="18"/>
          <w:szCs w:val="18"/>
          <w:i w:val="1"/>
          <w:iCs w:val="1"/>
          <w:color w:val="auto"/>
        </w:rPr>
        <w:t xml:space="preserve">Income Opportunity: </w:t>
      </w:r>
      <w:r>
        <w:rPr>
          <w:rFonts w:ascii="Arial" w:cs="Arial" w:eastAsia="Arial" w:hAnsi="Arial"/>
          <w:sz w:val="18"/>
          <w:szCs w:val="18"/>
          <w:color w:val="auto"/>
        </w:rPr>
        <w:t>Multi-asset strategy that invests across multiple bond sectors including convertibles and income-producing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w:t>
      </w:r>
    </w:p>
    <w:p>
      <w:pPr>
        <w:spacing w:after="0" w:line="62" w:lineRule="exact"/>
        <w:rPr>
          <w:sz w:val="20"/>
          <w:szCs w:val="20"/>
          <w:color w:val="auto"/>
        </w:rPr>
      </w:pPr>
    </w:p>
    <w:p>
      <w:pPr>
        <w:ind w:left="500" w:right="480" w:firstLine="486"/>
        <w:spacing w:after="0" w:line="277" w:lineRule="auto"/>
        <w:rPr>
          <w:sz w:val="20"/>
          <w:szCs w:val="20"/>
          <w:color w:val="auto"/>
        </w:rPr>
      </w:pPr>
      <w:r>
        <w:rPr>
          <w:rFonts w:ascii="Arial" w:cs="Arial" w:eastAsia="Arial" w:hAnsi="Arial"/>
          <w:sz w:val="18"/>
          <w:szCs w:val="18"/>
          <w:i w:val="1"/>
          <w:iCs w:val="1"/>
          <w:color w:val="auto"/>
        </w:rPr>
        <w:t xml:space="preserve">Strategic Global Convertibles: </w:t>
      </w:r>
      <w:r>
        <w:rPr>
          <w:rFonts w:ascii="Arial" w:cs="Arial" w:eastAsia="Arial" w:hAnsi="Arial"/>
          <w:sz w:val="18"/>
          <w:szCs w:val="18"/>
          <w:color w:val="auto"/>
        </w:rPr>
        <w:t>Investments in convertible securities of approximately 60 to 90 global companies benchmarked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Thomson Reuters Global Focus Convertibles Index.</w:t>
      </w:r>
    </w:p>
    <w:p>
      <w:pPr>
        <w:spacing w:after="0" w:line="62" w:lineRule="exact"/>
        <w:rPr>
          <w:sz w:val="20"/>
          <w:szCs w:val="20"/>
          <w:color w:val="auto"/>
        </w:rPr>
      </w:pPr>
    </w:p>
    <w:p>
      <w:pPr>
        <w:ind w:left="500" w:right="560" w:firstLine="486"/>
        <w:spacing w:after="0" w:line="277" w:lineRule="auto"/>
        <w:rPr>
          <w:sz w:val="20"/>
          <w:szCs w:val="20"/>
          <w:color w:val="auto"/>
        </w:rPr>
      </w:pPr>
      <w:r>
        <w:rPr>
          <w:rFonts w:ascii="Arial" w:cs="Arial" w:eastAsia="Arial" w:hAnsi="Arial"/>
          <w:sz w:val="18"/>
          <w:szCs w:val="18"/>
          <w:i w:val="1"/>
          <w:iCs w:val="1"/>
          <w:color w:val="auto"/>
        </w:rPr>
        <w:t xml:space="preserve">Alternative Income: </w:t>
      </w:r>
      <w:r>
        <w:rPr>
          <w:rFonts w:ascii="Arial" w:cs="Arial" w:eastAsia="Arial" w:hAnsi="Arial"/>
          <w:sz w:val="18"/>
          <w:szCs w:val="18"/>
          <w:color w:val="auto"/>
        </w:rPr>
        <w:t>Multi-strategy process seeking to generate positive absolute returns through a short duration yield portfolio of global</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securities, convertible arbitrage and macro hedging.</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Total Return: </w:t>
      </w:r>
      <w:r>
        <w:rPr>
          <w:rFonts w:ascii="Arial" w:cs="Arial" w:eastAsia="Arial" w:hAnsi="Arial"/>
          <w:sz w:val="17"/>
          <w:szCs w:val="17"/>
          <w:color w:val="auto"/>
        </w:rPr>
        <w:t>Multi-asset strategy that invests across multiple bond sectors including convertibles and income-producing equity securities.</w:t>
      </w:r>
    </w:p>
    <w:p>
      <w:pPr>
        <w:spacing w:after="0" w:line="129" w:lineRule="exact"/>
        <w:rPr>
          <w:sz w:val="20"/>
          <w:szCs w:val="20"/>
          <w:color w:val="auto"/>
        </w:rPr>
      </w:pPr>
    </w:p>
    <w:p>
      <w:pPr>
        <w:ind w:left="500" w:right="100" w:firstLine="486"/>
        <w:spacing w:after="0" w:line="277" w:lineRule="auto"/>
        <w:rPr>
          <w:sz w:val="20"/>
          <w:szCs w:val="20"/>
          <w:color w:val="auto"/>
        </w:rPr>
      </w:pPr>
      <w:r>
        <w:rPr>
          <w:rFonts w:ascii="Arial" w:cs="Arial" w:eastAsia="Arial" w:hAnsi="Arial"/>
          <w:sz w:val="18"/>
          <w:szCs w:val="18"/>
          <w:i w:val="1"/>
          <w:iCs w:val="1"/>
          <w:color w:val="auto"/>
        </w:rPr>
        <w:t xml:space="preserve">Flexible Income: </w:t>
      </w:r>
      <w:r>
        <w:rPr>
          <w:rFonts w:ascii="Arial" w:cs="Arial" w:eastAsia="Arial" w:hAnsi="Arial"/>
          <w:sz w:val="18"/>
          <w:szCs w:val="18"/>
          <w:color w:val="auto"/>
        </w:rPr>
        <w:t>Investments in securities across a company’s capital structure with the objective of achieving higher yield and lower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than other income alternatives strategies.</w:t>
      </w:r>
    </w:p>
    <w:p>
      <w:pPr>
        <w:spacing w:after="0" w:line="62" w:lineRule="exact"/>
        <w:rPr>
          <w:sz w:val="20"/>
          <w:szCs w:val="20"/>
          <w:color w:val="auto"/>
        </w:rPr>
      </w:pPr>
    </w:p>
    <w:p>
      <w:pPr>
        <w:ind w:left="500" w:right="40" w:firstLine="486"/>
        <w:spacing w:after="0" w:line="375" w:lineRule="auto"/>
        <w:rPr>
          <w:sz w:val="20"/>
          <w:szCs w:val="20"/>
          <w:color w:val="auto"/>
        </w:rPr>
      </w:pPr>
      <w:r>
        <w:rPr>
          <w:rFonts w:ascii="Arial" w:cs="Arial" w:eastAsia="Arial" w:hAnsi="Arial"/>
          <w:sz w:val="18"/>
          <w:szCs w:val="18"/>
          <w:i w:val="1"/>
          <w:iCs w:val="1"/>
          <w:color w:val="auto"/>
        </w:rPr>
        <w:t xml:space="preserve">High Income Fund: </w:t>
      </w:r>
      <w:r>
        <w:rPr>
          <w:rFonts w:ascii="Arial" w:cs="Arial" w:eastAsia="Arial" w:hAnsi="Arial"/>
          <w:sz w:val="18"/>
          <w:szCs w:val="18"/>
          <w:color w:val="auto"/>
        </w:rPr>
        <w:t>Multi-asset strategy that invests across multiple bond sectors including convertibles and income producing equity securities.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Emerging Markets Equity Team</w:t>
      </w:r>
    </w:p>
    <w:p>
      <w:pPr>
        <w:spacing w:after="0" w:line="1" w:lineRule="exact"/>
        <w:rPr>
          <w:sz w:val="20"/>
          <w:szCs w:val="20"/>
          <w:color w:val="auto"/>
        </w:rPr>
      </w:pPr>
    </w:p>
    <w:p>
      <w:pPr>
        <w:ind w:left="500" w:right="20" w:firstLine="486"/>
        <w:spacing w:after="0" w:line="276" w:lineRule="auto"/>
        <w:rPr>
          <w:sz w:val="20"/>
          <w:szCs w:val="20"/>
          <w:color w:val="auto"/>
        </w:rPr>
      </w:pPr>
      <w:r>
        <w:rPr>
          <w:rFonts w:ascii="Arial" w:cs="Arial" w:eastAsia="Arial" w:hAnsi="Arial"/>
          <w:sz w:val="17"/>
          <w:szCs w:val="17"/>
          <w:color w:val="auto"/>
        </w:rPr>
        <w:t>The Emerging Markets Equity team seeks investments in mispriced high-quality companies that can generate positive and sustainable earnings growth and achieve economic profit over time. The team emphasizes Economic Value Added (“EVA”) analysis in its research process with the objective of generating attractive risk adjusted performance relative to the benchmark. Our internationally minded team is uniquely diverse by virtue of having lived or worked in foreign markets and together they speak 12 languages fluently. We view this diversity as additive to their bottom-up research approach. The team offers emerging markets equity investment strategies as follows:</w:t>
      </w:r>
    </w:p>
    <w:p>
      <w:pPr>
        <w:spacing w:after="0" w:line="64" w:lineRule="exact"/>
        <w:rPr>
          <w:sz w:val="20"/>
          <w:szCs w:val="20"/>
          <w:color w:val="auto"/>
        </w:rPr>
      </w:pPr>
    </w:p>
    <w:p>
      <w:pPr>
        <w:ind w:left="500" w:right="340" w:firstLine="486"/>
        <w:spacing w:after="0" w:line="277" w:lineRule="auto"/>
        <w:rPr>
          <w:sz w:val="20"/>
          <w:szCs w:val="20"/>
          <w:color w:val="auto"/>
        </w:rPr>
      </w:pPr>
      <w:r>
        <w:rPr>
          <w:rFonts w:ascii="Arial" w:cs="Arial" w:eastAsia="Arial" w:hAnsi="Arial"/>
          <w:sz w:val="18"/>
          <w:szCs w:val="18"/>
          <w:i w:val="1"/>
          <w:iCs w:val="1"/>
          <w:color w:val="auto"/>
        </w:rPr>
        <w:t xml:space="preserve">Emerging Markets: </w:t>
      </w:r>
      <w:r>
        <w:rPr>
          <w:rFonts w:ascii="Arial" w:cs="Arial" w:eastAsia="Arial" w:hAnsi="Arial"/>
          <w:sz w:val="18"/>
          <w:szCs w:val="18"/>
          <w:color w:val="auto"/>
        </w:rPr>
        <w:t>Investments in equity securities of approximately 70 to 90 emerging markets companies benchmarked against the MSCI</w:t>
      </w:r>
      <w:r>
        <w:rPr>
          <w:rFonts w:ascii="Arial" w:cs="Arial" w:eastAsia="Arial" w:hAnsi="Arial"/>
          <w:sz w:val="18"/>
          <w:szCs w:val="18"/>
          <w:i w:val="1"/>
          <w:iCs w:val="1"/>
          <w:color w:val="auto"/>
        </w:rPr>
        <w:t xml:space="preserve"> </w:t>
      </w:r>
      <w:r>
        <w:rPr>
          <w:rFonts w:ascii="Arial" w:cs="Arial" w:eastAsia="Arial" w:hAnsi="Arial"/>
          <w:sz w:val="18"/>
          <w:szCs w:val="18"/>
          <w:color w:val="auto"/>
        </w:rPr>
        <w:t>Emerging Markets Index.</w:t>
      </w:r>
    </w:p>
    <w:p>
      <w:pPr>
        <w:spacing w:after="0" w:line="62" w:lineRule="exact"/>
        <w:rPr>
          <w:sz w:val="20"/>
          <w:szCs w:val="20"/>
          <w:color w:val="auto"/>
        </w:rPr>
      </w:pPr>
    </w:p>
    <w:p>
      <w:pPr>
        <w:ind w:left="500" w:right="460" w:firstLine="486"/>
        <w:spacing w:after="0" w:line="277" w:lineRule="auto"/>
        <w:rPr>
          <w:sz w:val="20"/>
          <w:szCs w:val="20"/>
          <w:color w:val="auto"/>
        </w:rPr>
      </w:pPr>
      <w:r>
        <w:rPr>
          <w:rFonts w:ascii="Arial" w:cs="Arial" w:eastAsia="Arial" w:hAnsi="Arial"/>
          <w:sz w:val="18"/>
          <w:szCs w:val="18"/>
          <w:i w:val="1"/>
          <w:iCs w:val="1"/>
          <w:color w:val="auto"/>
        </w:rPr>
        <w:t xml:space="preserve">Emerging Markets Plus: </w:t>
      </w:r>
      <w:r>
        <w:rPr>
          <w:rFonts w:ascii="Arial" w:cs="Arial" w:eastAsia="Arial" w:hAnsi="Arial"/>
          <w:sz w:val="18"/>
          <w:szCs w:val="18"/>
          <w:color w:val="auto"/>
        </w:rPr>
        <w:t>Investments in equity securities of approximately 50 to 70 emerging markets companies benchmarked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MSCI Emerging Markets Index.</w:t>
      </w:r>
    </w:p>
    <w:p>
      <w:pPr>
        <w:spacing w:after="0" w:line="62" w:lineRule="exact"/>
        <w:rPr>
          <w:sz w:val="20"/>
          <w:szCs w:val="20"/>
          <w:color w:val="auto"/>
        </w:rPr>
      </w:pPr>
    </w:p>
    <w:p>
      <w:pPr>
        <w:ind w:left="500" w:right="100" w:firstLine="486"/>
        <w:spacing w:after="0" w:line="277" w:lineRule="auto"/>
        <w:rPr>
          <w:sz w:val="20"/>
          <w:szCs w:val="20"/>
          <w:color w:val="auto"/>
        </w:rPr>
      </w:pPr>
      <w:r>
        <w:rPr>
          <w:rFonts w:ascii="Arial" w:cs="Arial" w:eastAsia="Arial" w:hAnsi="Arial"/>
          <w:sz w:val="18"/>
          <w:szCs w:val="18"/>
          <w:i w:val="1"/>
          <w:iCs w:val="1"/>
          <w:color w:val="auto"/>
        </w:rPr>
        <w:t xml:space="preserve">Emerging Markets SMidCap: </w:t>
      </w:r>
      <w:r>
        <w:rPr>
          <w:rFonts w:ascii="Arial" w:cs="Arial" w:eastAsia="Arial" w:hAnsi="Arial"/>
          <w:sz w:val="18"/>
          <w:szCs w:val="18"/>
          <w:color w:val="auto"/>
        </w:rPr>
        <w:t>Investments in equity securities of approximately 70 to 90 emerging markets companies benchmarked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MSCI Emerging Markets SMidCap Index.</w:t>
      </w:r>
    </w:p>
    <w:p>
      <w:pPr>
        <w:spacing w:after="0" w:line="62" w:lineRule="exact"/>
        <w:rPr>
          <w:sz w:val="20"/>
          <w:szCs w:val="20"/>
          <w:color w:val="auto"/>
        </w:rPr>
      </w:pPr>
    </w:p>
    <w:p>
      <w:pPr>
        <w:ind w:left="500" w:firstLine="486"/>
        <w:spacing w:after="0" w:line="271" w:lineRule="auto"/>
        <w:rPr>
          <w:sz w:val="20"/>
          <w:szCs w:val="20"/>
          <w:color w:val="auto"/>
        </w:rPr>
      </w:pPr>
      <w:r>
        <w:rPr>
          <w:rFonts w:ascii="Arial" w:cs="Arial" w:eastAsia="Arial" w:hAnsi="Arial"/>
          <w:sz w:val="17"/>
          <w:szCs w:val="17"/>
          <w:color w:val="auto"/>
        </w:rPr>
        <w:t>Our ability to grow AUM is primarily dependent on our ability to generate competitive investment performance and our success in building strong relationships with investment consulting firms and other financial intermediaries, as well as our ability to develop new client relationships while nurturing and maintaining existing relationships. We continually seek to expand AUM by organically growing our existing investment strategies, as well bringing new products to market. We intend to grow our investment strategies internally but may also consider acquiring new investment strategies from third parties, as discussed under “Growth Strategy” below. Our growth strategy provides clients with more investment opportunities and diversifies our AUM, thereby reducing risk in any one area of investment and increasing our competitive ability to attract new clients. Our ten largest clients accounted for approximately 20% of our fee revenues for the year ended December 31, 2019. The loss of some or all of these large clients could have a material adverse effect on our business and our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and Subadvisory Agreements</w:t>
      </w:r>
    </w:p>
    <w:p>
      <w:pPr>
        <w:spacing w:after="0" w:line="11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Westwood Management and Westwood International Advisors manage client accounts under investment advisory and subadvisory agreements. Typical for the asset management industry, these agreements are usually terminable upon short notice and provide for compensation based on the market value of client AUM. Advisory fees are paid quarterly in advance based on AUM on the last day of the preceding quarter, quarterly in arrears based on AUM on the last day of the quarter just ended, or are based on a daily or monthly analysis of AUM for the stated period. Certain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 w:name="page6"/>
    <w:bookmarkEnd w:id="5"/>
    <w:p>
      <w:pPr>
        <w:jc w:val="both"/>
        <w:ind w:firstLine="486"/>
        <w:spacing w:after="0" w:line="264" w:lineRule="auto"/>
        <w:rPr>
          <w:sz w:val="20"/>
          <w:szCs w:val="20"/>
          <w:color w:val="auto"/>
        </w:rPr>
      </w:pPr>
      <w:r>
        <w:rPr>
          <w:rFonts w:ascii="Arial" w:cs="Arial" w:eastAsia="Arial" w:hAnsi="Arial"/>
          <w:sz w:val="18"/>
          <w:szCs w:val="18"/>
          <w:color w:val="auto"/>
        </w:rPr>
        <w:t>Westwood Management and Westwood International Advisors are parties to subadvisory agreements with other investment advisers under which they perform similar services under advisory agreements. Our subadvisory fees are generally computed based upon the average daily AUM and are payable on a monthly basis.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Westwood Management provides investment advisory services to the Westwood Funds® family of mutual funds: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880" w:type="dxa"/>
            <w:vAlign w:val="bottom"/>
          </w:tcPr>
          <w:p>
            <w:pPr>
              <w:ind w:left="80"/>
              <w:spacing w:after="0"/>
              <w:rPr>
                <w:sz w:val="20"/>
                <w:szCs w:val="20"/>
                <w:color w:val="auto"/>
              </w:rPr>
            </w:pPr>
            <w:r>
              <w:rPr>
                <w:rFonts w:ascii="Arial" w:cs="Arial" w:eastAsia="Arial" w:hAnsi="Arial"/>
                <w:sz w:val="18"/>
                <w:szCs w:val="18"/>
                <w:color w:val="auto"/>
              </w:rPr>
              <w:t>Westwood Alternative Income (WMNIX,WMNUX)</w:t>
            </w:r>
          </w:p>
        </w:tc>
        <w:tc>
          <w:tcPr>
            <w:tcW w:w="1200" w:type="dxa"/>
            <w:vAlign w:val="bottom"/>
          </w:tcPr>
          <w:p>
            <w:pPr>
              <w:ind w:left="1000"/>
              <w:spacing w:after="0"/>
              <w:rPr>
                <w:sz w:val="20"/>
                <w:szCs w:val="20"/>
                <w:color w:val="auto"/>
              </w:rPr>
            </w:pPr>
            <w:r>
              <w:rPr>
                <w:rFonts w:ascii="Arial" w:cs="Arial" w:eastAsia="Arial" w:hAnsi="Arial"/>
                <w:sz w:val="14"/>
                <w:szCs w:val="14"/>
                <w:color w:val="auto"/>
              </w:rPr>
              <w:t>●</w:t>
            </w:r>
          </w:p>
        </w:tc>
        <w:tc>
          <w:tcPr>
            <w:tcW w:w="3940" w:type="dxa"/>
            <w:vAlign w:val="bottom"/>
          </w:tcPr>
          <w:p>
            <w:pPr>
              <w:ind w:left="140"/>
              <w:spacing w:after="0"/>
              <w:rPr>
                <w:sz w:val="20"/>
                <w:szCs w:val="20"/>
                <w:color w:val="auto"/>
              </w:rPr>
            </w:pPr>
            <w:r>
              <w:rPr>
                <w:rFonts w:ascii="Arial" w:cs="Arial" w:eastAsia="Arial" w:hAnsi="Arial"/>
                <w:sz w:val="18"/>
                <w:szCs w:val="18"/>
                <w:color w:val="auto"/>
              </w:rPr>
              <w:t>Westwood LargeCap Value (WHGLX,WWLAX)</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880" w:type="dxa"/>
            <w:vAlign w:val="bottom"/>
          </w:tcPr>
          <w:p>
            <w:pPr>
              <w:ind w:left="80"/>
              <w:spacing w:after="0"/>
              <w:rPr>
                <w:sz w:val="20"/>
                <w:szCs w:val="20"/>
                <w:color w:val="auto"/>
              </w:rPr>
            </w:pPr>
            <w:r>
              <w:rPr>
                <w:rFonts w:ascii="Arial" w:cs="Arial" w:eastAsia="Arial" w:hAnsi="Arial"/>
                <w:sz w:val="18"/>
                <w:szCs w:val="18"/>
                <w:color w:val="auto"/>
              </w:rPr>
              <w:t>Westwood Emerging Markets (WWEMX,WWEAX)</w:t>
            </w:r>
          </w:p>
        </w:tc>
        <w:tc>
          <w:tcPr>
            <w:tcW w:w="1200" w:type="dxa"/>
            <w:vAlign w:val="bottom"/>
          </w:tcPr>
          <w:p>
            <w:pPr>
              <w:ind w:left="1000"/>
              <w:spacing w:after="0"/>
              <w:rPr>
                <w:sz w:val="20"/>
                <w:szCs w:val="20"/>
                <w:color w:val="auto"/>
              </w:rPr>
            </w:pPr>
            <w:r>
              <w:rPr>
                <w:rFonts w:ascii="Arial" w:cs="Arial" w:eastAsia="Arial" w:hAnsi="Arial"/>
                <w:sz w:val="14"/>
                <w:szCs w:val="14"/>
                <w:color w:val="auto"/>
              </w:rPr>
              <w:t>●</w:t>
            </w:r>
          </w:p>
        </w:tc>
        <w:tc>
          <w:tcPr>
            <w:tcW w:w="3940" w:type="dxa"/>
            <w:vAlign w:val="bottom"/>
          </w:tcPr>
          <w:p>
            <w:pPr>
              <w:ind w:left="140"/>
              <w:spacing w:after="0"/>
              <w:rPr>
                <w:sz w:val="20"/>
                <w:szCs w:val="20"/>
                <w:color w:val="auto"/>
              </w:rPr>
            </w:pPr>
            <w:r>
              <w:rPr>
                <w:rFonts w:ascii="Arial" w:cs="Arial" w:eastAsia="Arial" w:hAnsi="Arial"/>
                <w:sz w:val="18"/>
                <w:szCs w:val="18"/>
                <w:color w:val="auto"/>
                <w:w w:val="94"/>
              </w:rPr>
              <w:t>Westwood SmallCap (WHGSX,WHGAX,WHGCX)</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880" w:type="dxa"/>
            <w:vAlign w:val="bottom"/>
          </w:tcPr>
          <w:p>
            <w:pPr>
              <w:ind w:left="80"/>
              <w:spacing w:after="0"/>
              <w:rPr>
                <w:sz w:val="20"/>
                <w:szCs w:val="20"/>
                <w:color w:val="auto"/>
              </w:rPr>
            </w:pPr>
            <w:r>
              <w:rPr>
                <w:rFonts w:ascii="Arial" w:cs="Arial" w:eastAsia="Arial" w:hAnsi="Arial"/>
                <w:sz w:val="18"/>
                <w:szCs w:val="18"/>
                <w:color w:val="auto"/>
              </w:rPr>
              <w:t>Westwood Flexible Income (WFLEX)</w:t>
            </w:r>
          </w:p>
        </w:tc>
        <w:tc>
          <w:tcPr>
            <w:tcW w:w="1200" w:type="dxa"/>
            <w:vAlign w:val="bottom"/>
          </w:tcPr>
          <w:p>
            <w:pPr>
              <w:ind w:left="1000"/>
              <w:spacing w:after="0"/>
              <w:rPr>
                <w:sz w:val="20"/>
                <w:szCs w:val="20"/>
                <w:color w:val="auto"/>
              </w:rPr>
            </w:pPr>
            <w:r>
              <w:rPr>
                <w:rFonts w:ascii="Arial" w:cs="Arial" w:eastAsia="Arial" w:hAnsi="Arial"/>
                <w:sz w:val="14"/>
                <w:szCs w:val="14"/>
                <w:color w:val="auto"/>
              </w:rPr>
              <w:t>●</w:t>
            </w:r>
          </w:p>
        </w:tc>
        <w:tc>
          <w:tcPr>
            <w:tcW w:w="3940" w:type="dxa"/>
            <w:vAlign w:val="bottom"/>
          </w:tcPr>
          <w:p>
            <w:pPr>
              <w:ind w:left="140"/>
              <w:spacing w:after="0"/>
              <w:rPr>
                <w:sz w:val="20"/>
                <w:szCs w:val="20"/>
                <w:color w:val="auto"/>
              </w:rPr>
            </w:pPr>
            <w:r>
              <w:rPr>
                <w:rFonts w:ascii="Arial" w:cs="Arial" w:eastAsia="Arial" w:hAnsi="Arial"/>
                <w:sz w:val="18"/>
                <w:szCs w:val="18"/>
                <w:color w:val="auto"/>
              </w:rPr>
              <w:t>Westwood SMidCap (WHGMX)</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880" w:type="dxa"/>
            <w:vAlign w:val="bottom"/>
          </w:tcPr>
          <w:p>
            <w:pPr>
              <w:ind w:left="80"/>
              <w:spacing w:after="0"/>
              <w:rPr>
                <w:sz w:val="20"/>
                <w:szCs w:val="20"/>
                <w:color w:val="auto"/>
              </w:rPr>
            </w:pPr>
            <w:r>
              <w:rPr>
                <w:rFonts w:ascii="Arial" w:cs="Arial" w:eastAsia="Arial" w:hAnsi="Arial"/>
                <w:sz w:val="18"/>
                <w:szCs w:val="18"/>
                <w:color w:val="auto"/>
              </w:rPr>
              <w:t>Westwood High Income (WHGHX,WSDAX)</w:t>
            </w:r>
          </w:p>
        </w:tc>
        <w:tc>
          <w:tcPr>
            <w:tcW w:w="1200" w:type="dxa"/>
            <w:vAlign w:val="bottom"/>
          </w:tcPr>
          <w:p>
            <w:pPr>
              <w:ind w:left="1000"/>
              <w:spacing w:after="0"/>
              <w:rPr>
                <w:sz w:val="20"/>
                <w:szCs w:val="20"/>
                <w:color w:val="auto"/>
              </w:rPr>
            </w:pPr>
            <w:r>
              <w:rPr>
                <w:rFonts w:ascii="Arial" w:cs="Arial" w:eastAsia="Arial" w:hAnsi="Arial"/>
                <w:sz w:val="14"/>
                <w:szCs w:val="14"/>
                <w:color w:val="auto"/>
              </w:rPr>
              <w:t>●</w:t>
            </w:r>
          </w:p>
        </w:tc>
        <w:tc>
          <w:tcPr>
            <w:tcW w:w="3940" w:type="dxa"/>
            <w:vAlign w:val="bottom"/>
          </w:tcPr>
          <w:p>
            <w:pPr>
              <w:ind w:left="140"/>
              <w:spacing w:after="0"/>
              <w:rPr>
                <w:sz w:val="20"/>
                <w:szCs w:val="20"/>
                <w:color w:val="auto"/>
              </w:rPr>
            </w:pPr>
            <w:r>
              <w:rPr>
                <w:rFonts w:ascii="Arial" w:cs="Arial" w:eastAsia="Arial" w:hAnsi="Arial"/>
                <w:sz w:val="18"/>
                <w:szCs w:val="18"/>
                <w:color w:val="auto"/>
              </w:rPr>
              <w:t>Westwood Total Return (WLVIX)</w:t>
            </w:r>
          </w:p>
        </w:tc>
      </w:tr>
    </w:tbl>
    <w:p>
      <w:pPr>
        <w:ind w:left="360" w:hanging="233"/>
        <w:spacing w:after="0" w:line="183" w:lineRule="auto"/>
        <w:tabs>
          <w:tab w:leader="none" w:pos="36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Westwood Income Opportunity (WHGIX,WWIAX,WWICX)</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the Westwood Funds® had AUM of $2.1 billion.</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Through the combined efforts of the Dallas and Houston offices of Westwood Trust, we provide fiduciary and investment services to high net worth individuals and families, non-profit endowments and foundations, public and private retirement plans and individual retirement accounts (“IRAs”). Westwood Trust is chartered and regulated by the Texas Department of Banking. Fees charged by Westwood Trust are separately negotiated with each client and are typically based on AUM. Clients generally have at least $1 million in investable assets.</w:t>
      </w:r>
    </w:p>
    <w:p>
      <w:pPr>
        <w:spacing w:after="0" w:line="79" w:lineRule="exact"/>
        <w:rPr>
          <w:sz w:val="20"/>
          <w:szCs w:val="20"/>
          <w:color w:val="auto"/>
        </w:rPr>
      </w:pPr>
    </w:p>
    <w:p>
      <w:pPr>
        <w:ind w:right="600" w:firstLine="486"/>
        <w:spacing w:after="0" w:line="259" w:lineRule="auto"/>
        <w:rPr>
          <w:sz w:val="20"/>
          <w:szCs w:val="20"/>
          <w:color w:val="auto"/>
        </w:rPr>
      </w:pPr>
      <w:r>
        <w:rPr>
          <w:rFonts w:ascii="Arial" w:cs="Arial" w:eastAsia="Arial" w:hAnsi="Arial"/>
          <w:sz w:val="18"/>
          <w:szCs w:val="18"/>
          <w:color w:val="auto"/>
        </w:rPr>
        <w:t>On September 6, 2017, we entered into an agreement to sell the Omaha-based component of our Wealth Management business. The sale was completed on January 12, 2018. The sale did not represent a major strategic shift in our business. Further information on the sale is included in Note 1 “Description of the Business” to our Consolidated Financial Statements included in Part II, Item 8, “Financial Statements and Supplementary Data” accompanying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Fiduciary Services</w:t>
      </w:r>
    </w:p>
    <w:p>
      <w:pPr>
        <w:spacing w:after="0" w:line="11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Westwood Trust’s fiduciary services include but are not limited to: financial planning, wealth transfer planning, customizable trust services, trust administration and estate settlement. Westwood Trust also provides custodial services, tax reporting, accounting of trust income and principal, beneficiary and retiree distributions and safekeeping of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Westwood Trust utilizes a consultative approach in developing a client’s portfolio asset allocation. Our approach involves examining clients' financial situations, including their current portfolio of investments, and advising clients on ways to reduce risk, enhance investment returns and strengthen their financial position based on each client’s unique objectives and constraints. Westwood Trust seeks to define and improve risk/return profiles of client investment portfolios by offering a comprehensive investment solution or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the internal investment team in our Houston office. Fixed income portfolios consist of targeted “laddered” portfolios of primarily high-quality municipal securities.</w:t>
      </w:r>
    </w:p>
    <w:p>
      <w:pPr>
        <w:spacing w:after="0" w:line="7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Westwood Trust also sponsors a range of commingled funds in which client assets are commingled to achieve economies of scale. Westwood Trust’s commingled funds fall within two basic categories: personal trusts (common trust funds) and employee benefit trusts (collective investment funds). Westwood Trust sponsors commingled funds for most of the investment strategies managed by Westwood Management and Westwood International Advisors. Westwood Trust has also engaged Brandywine Global Investment Management, LLC, an RIA, to subadvise our International Fixed Income commingled funds and Loomis Sayles &amp; Co., L.P., to subadvise our AllCap Growth common trust fund.</w:t>
      </w:r>
    </w:p>
    <w:p>
      <w:pPr>
        <w:spacing w:after="0" w:line="64"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Westwood Trust also develops asset allocation models for certain clients utilizing its commingled funds, mutual funds managed by Westwood Management and Westwood International Advisors, and non-affiliated mutual funds.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Enhanced Balanced® Portfolios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 given level of risk. Periodic adjustments are made to asset class weightings in Enhanced Balanced® portfolios based on historical returns, risk and correlation data, and our current capital markets outlook.</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Select Equity Strategy</w:t>
      </w:r>
    </w:p>
    <w:p>
      <w:pPr>
        <w:spacing w:after="0" w:line="11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The Westwood Select Equity strategy aims to provide low-frequency turnover and tax efficiency to high net worth individuals. The offering allows individuals to own a diversified portfolio of best ideas from across Westwood's investment teams. The portfolios are diversified and include value and growth stocks, along with small-, mid- and large-cap stocks. Westwood Select Equity is also available without the tax efficiency overlay.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Distribution Channels</w:t>
      </w:r>
    </w:p>
    <w:p>
      <w:pPr>
        <w:spacing w:after="0" w:line="11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market our services through several distribution channels to optimize the reach of our investment advisory and trust services. These channels enable us to leverage distribution infrastructures and capabilities of other financial services firms and intermediaries while focusing on our core competency of developing and managing investment strategies.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Institutional</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our institutional channel, we market our investment strategies to institutional investment consultants, financial intermediaries and directly to institutional investors, which include pension plan sponsors, foundations and endowments, and financial institutions. We have established strong relationships with many global, national and regional investment consulting firms, which collectively have contributed to our being considered and hired by their clients. Continuing to enhance existing consulting firm relationships, as well as forging new relationships, increases the awareness of our services in both the consultant community and within their institutional client base.</w:t>
      </w:r>
    </w:p>
    <w:p>
      <w:pPr>
        <w:spacing w:after="0" w:line="8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Marketing our investment strategies to financial intermediaries, via subadvisory relationships, allows us to extend the reach of our investment advisory services to clients of other investment companies with broad, established distribution capabilities. In subadvisory arrangements, our client is generally the investment company through which our services are offered to investors, typically via mutual fund offerings. The investment company that sponsors the mutual fund is responsible for appropriate marketing, distribution and operational and accounting activities.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Intermediary and Retail</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our intermediary and retail channel, our team directly markets our investment services, including the Westwood Funds®, to financial intermediaries, RIAs, broker-dealers, turnkey asset management programs and select mutual fund platforms. By leveraging our firm relationships we are also able to offer our strategies within select defined contribution and other retirement plans where clients utilize a mutual fund vehicle. We continue to expand our relationships with financial intermediaries that manage discretionary mutual fund models as well. Our wholesaling group markets our mutual funds and separately managed accounts directly to select broker-dealers and RIAs.</w:t>
      </w:r>
    </w:p>
    <w:p>
      <w:pPr>
        <w:spacing w:after="0" w:line="8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Managed accounts are similar in some respects to mutual fund relationships in that a third-party financial institution, such as a broker dealer or RIA, trades securities under our model. The end client in a managed account is typically a high net worth individual or small institution that would prefer to own shares directly, rather than in a mutual fund. In these arrangements, the third-party financial institution is responsible to the end client for client service, operations and accounting.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Wealth Management</w:t>
      </w:r>
    </w:p>
    <w:p>
      <w:pPr>
        <w:spacing w:after="0" w:line="11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our wealth management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9"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Growth Strategy</w:t>
      </w:r>
    </w:p>
    <w:p>
      <w:pPr>
        <w:spacing w:after="0" w:line="117"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We believe that we have established a strong platform to support future growth, deriving our strength in large part from the experience and capabilities of our management team and skilled investment and client professionals. We believe that opportunities for future growth will come from our ability to:</w:t>
      </w:r>
    </w:p>
    <w:p>
      <w:pPr>
        <w:spacing w:after="0" w:line="16" w:lineRule="exact"/>
        <w:rPr>
          <w:sz w:val="20"/>
          <w:szCs w:val="20"/>
          <w:color w:val="auto"/>
        </w:rPr>
      </w:pPr>
    </w:p>
    <w:p>
      <w:pPr>
        <w:ind w:left="980" w:right="200" w:hanging="324"/>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 growth in our investment management platform from new and existing clients and consultant relationships, while fostering expanded intermediary distribution;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 and retain key employees;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 assets in our existing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enhance our digital capabilities;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foster continued growth of the wealth management platform and distribution channel;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pursue strategic corporate development opportunities;</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offering a diverse array of financial services such as banking and private equity investing through strategic alliances or business development opportunities;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pursue international opportunities through targeted sales and relationships with international distributors and institutional investors;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strengthen our brand name;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or acquire new investment strategies.</w:t>
      </w:r>
    </w:p>
    <w:p>
      <w:pPr>
        <w:spacing w:after="0" w:line="11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i w:val="1"/>
          <w:iCs w:val="1"/>
          <w:color w:val="auto"/>
        </w:rPr>
        <w:t>Generate growth from new and existing clients and consultant relationships, while fostering intermediary distribution</w:t>
      </w:r>
      <w:r>
        <w:rPr>
          <w:rFonts w:ascii="Arial" w:cs="Arial" w:eastAsia="Arial" w:hAnsi="Arial"/>
          <w:sz w:val="18"/>
          <w:szCs w:val="18"/>
          <w:color w:val="auto"/>
        </w:rPr>
        <w:t>. As our primary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we intend to maintain and enhance existing relationships with clients, investment consultants and intermediaries by providing value added investment performance and client service. Over the last two years, we have expanded and restructured our distribution team to improve our proactive sales and client engagement strategy. We intend to pursue growth via targeted sales and marketing efforts that showcase our boutique offering of high-conviction equity and outcome-oriented solutions, our consistent investment performance and superior client service. New institutional client accounts are sourced from either investment consultants or from our direct sales efforts with institutional investors. In intermediary, we also intend to broaden platform placement and expand our SMA offering. We believe that the in-depth knowledge of our firm, our people and our processes embedded in our consultant and platform relationships, as well as in existing and prospective relationships, are key factors when being considered for new client investment mandates and platform placements.</w:t>
      </w:r>
    </w:p>
    <w:p>
      <w:pPr>
        <w:spacing w:after="0" w:line="8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i w:val="1"/>
          <w:iCs w:val="1"/>
          <w:color w:val="auto"/>
        </w:rPr>
        <w:t>Attract and retain key employees</w:t>
      </w:r>
      <w:r>
        <w:rPr>
          <w:rFonts w:ascii="Arial" w:cs="Arial" w:eastAsia="Arial" w:hAnsi="Arial"/>
          <w:sz w:val="18"/>
          <w:szCs w:val="18"/>
          <w:color w:val="auto"/>
        </w:rPr>
        <w:t>. We believe that we have created a workplace environment in which motivated, performance-driven and client-oriented individuals can thrive. As a public company, we offer our employees a compensation program that includes strong equity incentives to closely align their success with that of our clients and stockholders. We believe that these factors are critical to maintaining a stable, client-focused environment that can support future growth.</w:t>
      </w:r>
    </w:p>
    <w:p>
      <w:pPr>
        <w:spacing w:after="0" w:line="79"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i w:val="1"/>
          <w:iCs w:val="1"/>
          <w:color w:val="auto"/>
        </w:rPr>
        <w:t>Grow assets in our existing investment strategies</w:t>
      </w:r>
      <w:r>
        <w:rPr>
          <w:rFonts w:ascii="Arial" w:cs="Arial" w:eastAsia="Arial" w:hAnsi="Arial"/>
          <w:sz w:val="18"/>
          <w:szCs w:val="18"/>
          <w:color w:val="auto"/>
        </w:rPr>
        <w:t>. We have significant capacity to manage additional assets across our existing range of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 We have developed a range of institutional investment strategies by building on the core competencies of our U.S. Value Equity, Multi-Asset and Emerging Markets Equity teams.</w:t>
      </w:r>
    </w:p>
    <w:p>
      <w:pPr>
        <w:spacing w:after="0" w:line="7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 xml:space="preserve">Enhance our digital capabilities. </w:t>
      </w:r>
      <w:r>
        <w:rPr>
          <w:rFonts w:ascii="Arial" w:cs="Arial" w:eastAsia="Arial" w:hAnsi="Arial"/>
          <w:sz w:val="18"/>
          <w:szCs w:val="18"/>
          <w:color w:val="auto"/>
        </w:rPr>
        <w:t>Over the past three years we have invested a significant amount of capital to enhance our automation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efficiency. We moved our technology infrastructure to secure, cloud-based access, created a data warehouse to improve our investment operations work flow, upgraded our trade order management and trade compliance systems and digitized our portfolio accounting and reconciliation system. We are also developing digital client portals for our institutional and wealth management clients. We believe these investments position us to improve efficiencies and better respond to consumer demand for digital interaction with investment advisors.</w:t>
      </w:r>
    </w:p>
    <w:p>
      <w:pPr>
        <w:spacing w:after="0" w:line="8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i w:val="1"/>
          <w:iCs w:val="1"/>
          <w:color w:val="auto"/>
        </w:rPr>
        <w:t xml:space="preserve">Foster continued growth of the wealth management platform and distribution channel. </w:t>
      </w:r>
      <w:r>
        <w:rPr>
          <w:rFonts w:ascii="Arial" w:cs="Arial" w:eastAsia="Arial" w:hAnsi="Arial"/>
          <w:sz w:val="16"/>
          <w:szCs w:val="16"/>
          <w:color w:val="auto"/>
        </w:rPr>
        <w:t>Westwood Trust serves high net worth individuals and families,</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small to medium-sized institutions. We anticipate continued interest from clients and prospects in our diversified, highly attentive service model. A significant percentage of asset inflows at Westwood Trust stems from referrals, as well as gathering additional assets from existing clients. We believe that our Enhanced Balanced</w:t>
      </w:r>
      <w:r>
        <w:rPr>
          <w:rFonts w:ascii="Arial" w:cs="Arial" w:eastAsia="Arial" w:hAnsi="Arial"/>
          <w:sz w:val="16"/>
          <w:szCs w:val="16"/>
          <w:i w:val="1"/>
          <w:iCs w:val="1"/>
          <w:color w:val="auto"/>
        </w:rPr>
        <w:t>®</w:t>
      </w:r>
      <w:r>
        <w:rPr>
          <w:rFonts w:ascii="Arial" w:cs="Arial" w:eastAsia="Arial" w:hAnsi="Arial"/>
          <w:sz w:val="16"/>
          <w:szCs w:val="16"/>
          <w:color w:val="auto"/>
        </w:rPr>
        <w:t xml:space="preserve"> strategy, which offers diversified exposure to multiple asset classes in a comprehensive manner, our Select Equity strategy, which offers diversified equity exposure in a tax-efficient manner, and our separately managed portfolio offerings all provide opportunities for growth.</w:t>
      </w:r>
    </w:p>
    <w:p>
      <w:pPr>
        <w:spacing w:after="0" w:line="5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i w:val="1"/>
          <w:iCs w:val="1"/>
          <w:color w:val="auto"/>
        </w:rPr>
        <w:t>Foster expanded intermediary distribution</w:t>
      </w:r>
      <w:r>
        <w:rPr>
          <w:rFonts w:ascii="Arial" w:cs="Arial" w:eastAsia="Arial" w:hAnsi="Arial"/>
          <w:sz w:val="18"/>
          <w:szCs w:val="18"/>
          <w:color w:val="auto"/>
        </w:rPr>
        <w:t>. During 2018 we hired a new Head of Intermediary Sales in order to expand and target our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and focus coverage for intermediary distribution, and during 2019 we expanded our intermediary sales team to extend our coverage and accelerate growth in top markets. We believe that providing investors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9" w:name="page10"/>
    <w:bookmarkEnd w:id="9"/>
    <w:p>
      <w:pPr>
        <w:ind w:right="280"/>
        <w:spacing w:after="0" w:line="277" w:lineRule="auto"/>
        <w:rPr>
          <w:sz w:val="20"/>
          <w:szCs w:val="20"/>
          <w:color w:val="auto"/>
        </w:rPr>
      </w:pPr>
      <w:r>
        <w:rPr>
          <w:rFonts w:ascii="Arial" w:cs="Arial" w:eastAsia="Arial" w:hAnsi="Arial"/>
          <w:sz w:val="18"/>
          <w:szCs w:val="18"/>
          <w:color w:val="auto"/>
        </w:rPr>
        <w:t>access to our mutual funds is a key component to achieving asset growth in the defined contribution and retirement marketplaces as well as with RIAs and select broker-dealers.</w:t>
      </w:r>
    </w:p>
    <w:p>
      <w:pPr>
        <w:spacing w:after="0" w:line="6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i w:val="1"/>
          <w:iCs w:val="1"/>
          <w:color w:val="auto"/>
        </w:rPr>
        <w:t xml:space="preserve">Pursue strategic corporate development opportunities. </w:t>
      </w:r>
      <w:r>
        <w:rPr>
          <w:rFonts w:ascii="Arial" w:cs="Arial" w:eastAsia="Arial" w:hAnsi="Arial"/>
          <w:sz w:val="16"/>
          <w:szCs w:val="16"/>
          <w:color w:val="auto"/>
        </w:rPr>
        <w:t>We evaluate strategic corporate development opportunities to augment organic growth. We may</w:t>
      </w:r>
      <w:r>
        <w:rPr>
          <w:rFonts w:ascii="Arial" w:cs="Arial" w:eastAsia="Arial" w:hAnsi="Arial"/>
          <w:sz w:val="16"/>
          <w:szCs w:val="16"/>
          <w:i w:val="1"/>
          <w:iCs w:val="1"/>
          <w:color w:val="auto"/>
        </w:rPr>
        <w:t xml:space="preserve"> </w:t>
      </w:r>
      <w:r>
        <w:rPr>
          <w:rFonts w:ascii="Arial" w:cs="Arial" w:eastAsia="Arial" w:hAnsi="Arial"/>
          <w:sz w:val="16"/>
          <w:szCs w:val="16"/>
          <w:color w:val="auto"/>
        </w:rPr>
        <w:t>pursue a variety of transactions, including acquisitions of asset management firms, mutual funds, wealth management firms, or other financial institutions, as well as hiring investment professionals or teams. We consider opportunities to enhance our existing operations, expand our range of investment strategies and services or further develop our distribution capabilities. By acquiring investment firms or by hiring investment professionals or teams that successfully manage investment strategies beyond our current expertise, we can both attract new clients and provide existing clients with an even more diversified range of investment strategies. We may also consider forging alliances with other financial services firms to leverage our core competency of developing and managing investment strategies with partners that can provide enhanced distribution capabilities or additional service offerings.</w:t>
      </w:r>
    </w:p>
    <w:p>
      <w:pPr>
        <w:spacing w:after="0" w:line="5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 xml:space="preserve">Pursue international opportunities through targeted sales and relationships with international distributors and institutional investors. </w:t>
      </w:r>
      <w:r>
        <w:rPr>
          <w:rFonts w:ascii="Arial" w:cs="Arial" w:eastAsia="Arial" w:hAnsi="Arial"/>
          <w:sz w:val="18"/>
          <w:szCs w:val="18"/>
          <w:color w:val="auto"/>
        </w:rPr>
        <w:t>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non-U.S. clients represented approximately 19% of our AUM. Our non-U.S. client base has primarily been a function of the broadening of our range of investment strategies to include Emerging Markets equity, Global Convertible Securities and Alternative Income. In addition, we established a UCITS platform in 2013 for non-U.S. investors. We intend to continue our sales efforts outside of the U.S. We may consider forging alliances with international financial services firms or partners to obtain enhanced distribution capabilities and greater access to global customers. Additionally, we continue to target select institutional clients around the globe.</w:t>
      </w:r>
    </w:p>
    <w:p>
      <w:pPr>
        <w:spacing w:after="0" w:line="85"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i w:val="1"/>
          <w:iCs w:val="1"/>
          <w:color w:val="auto"/>
        </w:rPr>
        <w:t xml:space="preserve">Continue to strengthen our brand name. </w:t>
      </w:r>
      <w:r>
        <w:rPr>
          <w:rFonts w:ascii="Arial" w:cs="Arial" w:eastAsia="Arial" w:hAnsi="Arial"/>
          <w:sz w:val="17"/>
          <w:szCs w:val="17"/>
          <w:color w:val="auto"/>
        </w:rPr>
        <w:t>We believe that the strength of our brand name has been a key component to our long-term success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industry and will be instrumental to our future success. We have developed a strong brand name largely through our performance, coupled with high profile coverage in investment publications and electronic media. Several of our investment professionals have been visible in print and electronic media, and we will continue to look for creative ways to strengthen our brand name and reputation in our target markets.</w:t>
      </w:r>
    </w:p>
    <w:p>
      <w:pPr>
        <w:spacing w:after="0" w:line="6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i w:val="1"/>
          <w:iCs w:val="1"/>
          <w:color w:val="auto"/>
        </w:rPr>
        <w:t xml:space="preserve">Develop or acquire new investment strategies. </w:t>
      </w:r>
      <w:r>
        <w:rPr>
          <w:rFonts w:ascii="Arial" w:cs="Arial" w:eastAsia="Arial" w:hAnsi="Arial"/>
          <w:sz w:val="17"/>
          <w:szCs w:val="17"/>
          <w:color w:val="auto"/>
        </w:rPr>
        <w:t>We continue to look for opportunities to expand the range of investment strategies that we offer to</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and prospective clients. We may consider internally-developed strategies that extend our existing investment process to new markets, and we may also consider externally acquired investment strategies. An expanded range of investment strategies offers additional ways to serve our client base, generating more diversified revenue streams, as well as providing asset and revenue growth opportunities.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We are subject to substantial and growing competition in all aspects of our business. Barriers to entry in the asset management business are relatively low, and we expect to face a growing number of competitors. Although no single company dominates the asset management industry, many companies are larger, better known and have greater resources.</w:t>
      </w:r>
    </w:p>
    <w:p>
      <w:pPr>
        <w:spacing w:after="0" w:line="73"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We compete with other asset management firms on the basis of investment strategies offered, their investment performance both in absolute terms and relative to peer groups, quality of service, fees charged, the level and type of compensation offered to key employees and the manner in which investment strategies are marketed. Many of our competitors offer more investment strategies and services and have substantially greater AUM.</w:t>
      </w:r>
    </w:p>
    <w:p>
      <w:pPr>
        <w:spacing w:after="0" w:line="5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compete against numerous investment dealers, banks, insurance companies, mutual fund companies, exchange-traded funds, brokerage and investment firms and others that sell equity funds, taxable income funds, tax-free investments and other investment products. In addition, the allocation of assets by many investors from active equity investment to index funds, fixed income or similar asset classes has enhanced the ability of firms offering non-equity asset classes and passive equity management to compete effectively with us. The demand for passive strategies with low-fee structures has rapidly increased, and investors more frequently demand customized and personalized strategies to fit their investment needs. This shift in the marketplace may benefit competitors that offer certain investment vehicles that we do not currently offer. In summary, our competitive landscape is intense and dynamic, which may affect our ability to compete successfully in the future as an independent company.</w:t>
      </w:r>
    </w:p>
    <w:p>
      <w:pPr>
        <w:spacing w:after="0" w:line="7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Additionally, most prospective clients perform a thorough review of an investment manager’s background, investment policies and performance before committing assets to that manager. In many cases, prospective clients invite a number of competing firms to make presentations. The process of obtaining a new client typically takes twelve to eighteen months from the time of initial contact. While we have achieved success in competing for new clients, it is a process to which we dedicate significant resources over an extended period, with no certainty of winning.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117"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Management</w:t>
      </w:r>
    </w:p>
    <w:p>
      <w:pPr>
        <w:spacing w:after="0" w:line="11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6"/>
          <w:szCs w:val="16"/>
          <w:color w:val="auto"/>
        </w:rPr>
        <w:t>Our business is subject to regulation at federal and state levels by the SEC and other regulatory bodies. Westwood Management Corp. and Westwood Advisors, L.L.C. are registered with the SEC under the Investment Advisers Act of 1940 (the “Investment Advisers Act”) and under the laws of various states. As RIAs, Westwood Management Corp. and Westwood Advisors, L.L.C. are regulated and subject to examination by the SEC. The Investment Advisers Act imposes numerous obligations on RIAs, including fiduciary duties, record keeping, operational and marketing requirements and disclosure obligations. Westwood Management Corp. also acts as adviser to the Westwood Funds®, a family of mutual funds registered with the SEC under the Investment Company Act of 1940 (the “Investment Company Act”). As an adviser to a registered 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must also comply with anti-money laundering 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1" w:name="page12"/>
    <w:bookmarkEnd w:id="11"/>
    <w:p>
      <w:pPr>
        <w:ind w:right="20" w:firstLine="486"/>
        <w:spacing w:after="0" w:line="291" w:lineRule="auto"/>
        <w:rPr>
          <w:sz w:val="20"/>
          <w:szCs w:val="20"/>
          <w:color w:val="auto"/>
        </w:rPr>
      </w:pPr>
      <w:r>
        <w:rPr>
          <w:rFonts w:ascii="Arial" w:cs="Arial" w:eastAsia="Arial" w:hAnsi="Arial"/>
          <w:sz w:val="16"/>
          <w:szCs w:val="16"/>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may receive soft dollar credits from certain broker-dealers that are used to pay for brokerage and research-related products, which reduces certain company operating expenses. We intend to use soft dollars to pay for only those brokerage and research related products and services that fall within the safe harbor provisions of the Securities Exchange Act of 1934. If our ability to use soft dollars were reduced or eliminated as a result of the implementation of statutory amendments or new regulations, our operating expenses would increase.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Trust</w:t>
      </w:r>
    </w:p>
    <w:p>
      <w:pPr>
        <w:spacing w:after="0" w:line="11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minimum capital maintenance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dividends;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investments of restricted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lending and borrowing limitations;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prohibitions against engaging in certain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periodic fiduciary and information technology examinations by the Texas Department of Banking Commissioner;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furnishing periodic financial statements to the Texas Department of Banking Commissioner;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fiduciary record keeping requirements; and</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regulatory approval for certain corporate events (such as mergers, the sale or purchase of all or substantially all trust company assets and transactions transferring control of a trust company).</w:t>
      </w:r>
    </w:p>
    <w:p>
      <w:pPr>
        <w:spacing w:after="0" w:line="6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Finance Code also gives the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Westwood Trust is limited by the Finance Code in the payment of dividends to undivided profits, which is described as the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has made quarterly and special dividend payments, and other distributions, to Westwood Holdings Group, Inc. out of undivided profits.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International Advisors</w:t>
      </w:r>
    </w:p>
    <w:p>
      <w:pPr>
        <w:spacing w:after="0" w:line="11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Westwood International Advisors is registered with the Ontario Securities Commission (“OSC”) and the Autorité des marchés financiers (“AMF”) in Québec.</w:t>
      </w:r>
    </w:p>
    <w:p>
      <w:pPr>
        <w:spacing w:after="0" w:line="62"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OSC is an independent corporation responsible for regulating the capital markets in Ontario. Its statutory mandate is to provide protection to investors from unfair, improper or fraudulent practices and to foster fair and efficient capital markets and confidence in capital markets. The OSC has rule making and enforcement powers to help safeguard investors, deter misconduct and regulate participants involved in capital markets in Ontario. It regulates firms and individuals that sell securities and provide advice in Ontario, and also regulates public companies, investment funds and marketplaces, such as the Toronto Stock Exchange. The OSC’s powers are granted under the Securities Act (Ontario), the Commodity Futures Act (Ontario) and certain provisions of the Business Corporations Act. It operates independently from the government and is funded by fees charged to market participants.</w:t>
      </w: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057" w:right="319" w:bottom="1440" w:gutter="0" w:footer="0" w:header="0"/>
        </w:sectPr>
      </w:pPr>
    </w:p>
    <w:bookmarkStart w:id="12" w:name="page13"/>
    <w:bookmarkEnd w:id="12"/>
    <w:p>
      <w:pPr>
        <w:ind w:right="40" w:firstLine="486"/>
        <w:spacing w:after="0" w:line="259" w:lineRule="auto"/>
        <w:rPr>
          <w:sz w:val="20"/>
          <w:szCs w:val="20"/>
          <w:color w:val="auto"/>
        </w:rPr>
      </w:pPr>
      <w:r>
        <w:rPr>
          <w:rFonts w:ascii="Arial" w:cs="Arial" w:eastAsia="Arial" w:hAnsi="Arial"/>
          <w:sz w:val="18"/>
          <w:szCs w:val="18"/>
          <w:color w:val="auto"/>
        </w:rPr>
        <w:t>The AMF is the entity mandated by the government of Québec to regulate the province’s financial markets and provide assistance to consumers of financial products and services. Established on February 1, 2004 under an Act regarding the Autorité des marchés financiers, the AMF integrates the regulation of the Québec financial sector, notably in the areas of insurance, securities, deposit institutions (other than banks) and the distribution of financial products and services. Specifically, the AMF’s mission is to:</w:t>
      </w:r>
    </w:p>
    <w:p>
      <w:pPr>
        <w:spacing w:after="0" w:line="7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assistance to consumers of financial products and services;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ensure that financial institutions and other regulated financial sector entities comply with applicable solvency and other obligations imposed by law;</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supervise activities connected with distribution of financial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supervise stock market and clearing house activities and monitor the securities market;</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supervise derivatives markets, including derivatives exchanges and clearing houses and ensure that regulated entities and other derivatives market practitioners comply with obligations imposed by law;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 protection and compensation programs for consumers of financial products and services, and administer compensation funds set up by law.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Retirement Income Security Act of 1974</w:t>
      </w:r>
    </w:p>
    <w:p>
      <w:pPr>
        <w:spacing w:after="0" w:line="117" w:lineRule="exact"/>
        <w:rPr>
          <w:sz w:val="20"/>
          <w:szCs w:val="20"/>
          <w:color w:val="auto"/>
        </w:rPr>
      </w:pPr>
    </w:p>
    <w:p>
      <w:pPr>
        <w:jc w:val="both"/>
        <w:ind w:right="260" w:firstLine="486"/>
        <w:spacing w:after="0" w:line="286" w:lineRule="auto"/>
        <w:rPr>
          <w:sz w:val="20"/>
          <w:szCs w:val="20"/>
          <w:color w:val="auto"/>
        </w:rPr>
      </w:pPr>
      <w:r>
        <w:rPr>
          <w:rFonts w:ascii="Arial" w:cs="Arial" w:eastAsia="Arial" w:hAnsi="Arial"/>
          <w:sz w:val="17"/>
          <w:szCs w:val="17"/>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jc w:val="both"/>
        <w:ind w:right="260" w:firstLine="486"/>
        <w:spacing w:after="0" w:line="277" w:lineRule="auto"/>
        <w:rPr>
          <w:sz w:val="20"/>
          <w:szCs w:val="20"/>
          <w:color w:val="auto"/>
        </w:rPr>
      </w:pPr>
      <w:r>
        <w:rPr>
          <w:rFonts w:ascii="Arial" w:cs="Arial" w:eastAsia="Arial" w:hAnsi="Arial"/>
          <w:sz w:val="18"/>
          <w:szCs w:val="18"/>
          <w:color w:val="auto"/>
        </w:rPr>
        <w:t>At December 31, 2019, we had 165 full-time employees (147 based in the U.S. and 18 based in Canada). No employees are represented by a labor union, and we believe our employee relations are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Investment Industry</w:t>
      </w:r>
    </w:p>
    <w:p>
      <w:pPr>
        <w:spacing w:after="0" w:line="117" w:lineRule="exact"/>
        <w:rPr>
          <w:sz w:val="20"/>
          <w:szCs w:val="20"/>
          <w:color w:val="auto"/>
        </w:rPr>
      </w:pPr>
    </w:p>
    <w:p>
      <w:pPr>
        <w:ind w:right="100" w:firstLine="486"/>
        <w:spacing w:after="0" w:line="282" w:lineRule="auto"/>
        <w:rPr>
          <w:sz w:val="20"/>
          <w:szCs w:val="20"/>
          <w:color w:val="auto"/>
        </w:rPr>
      </w:pPr>
      <w:r>
        <w:rPr>
          <w:rFonts w:ascii="Arial" w:cs="Arial" w:eastAsia="Arial" w:hAnsi="Arial"/>
          <w:sz w:val="18"/>
          <w:szCs w:val="18"/>
          <w:b w:val="1"/>
          <w:bCs w:val="1"/>
          <w:color w:val="auto"/>
        </w:rPr>
        <w:t>Our results of operations depend upon the market value and composition of AUM, which can fluctuate significantly based on various factors, some of which are beyond our control.</w:t>
      </w:r>
    </w:p>
    <w:p>
      <w:pPr>
        <w:spacing w:after="0" w:line="5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revenues are primarily generated from fees derived as a percentage of AUM. The value of our AUM can be negatively impacted by several factors, including:</w:t>
      </w:r>
    </w:p>
    <w:p>
      <w:pPr>
        <w:spacing w:after="0" w:line="62" w:lineRule="exact"/>
        <w:rPr>
          <w:sz w:val="20"/>
          <w:szCs w:val="20"/>
          <w:color w:val="auto"/>
        </w:rPr>
      </w:pPr>
    </w:p>
    <w:p>
      <w:pPr>
        <w:ind w:left="500" w:right="140" w:hanging="330"/>
        <w:spacing w:after="0" w:line="297" w:lineRule="auto"/>
        <w:tabs>
          <w:tab w:leader="none" w:pos="495"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50" w:lineRule="exact"/>
        <w:rPr>
          <w:rFonts w:ascii="Arial" w:cs="Arial" w:eastAsia="Arial" w:hAnsi="Arial"/>
          <w:sz w:val="16"/>
          <w:szCs w:val="16"/>
          <w:color w:val="auto"/>
        </w:rPr>
      </w:pPr>
    </w:p>
    <w:p>
      <w:pPr>
        <w:ind w:left="500" w:right="60" w:hanging="330"/>
        <w:spacing w:after="0" w:line="270" w:lineRule="auto"/>
        <w:tabs>
          <w:tab w:leader="none" w:pos="49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performance: Because we compete with many asset management firms on the basis of our investment strategies, the maintenance and growth of AUM is dependent, to a significant extent,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received in the past should not be considered indicative of the future results of these strategies or of any other strategies that we may develop in the future. The investment performance we achieve for our customers varies over time and variances can be wide. In addition, certain of our investment strategies have capacity constraints, as there may be a limit to the number of securities available for certain strategies to operate effectively. In those instances, we may choose to limit access to new or existing investors.</w:t>
      </w:r>
    </w:p>
    <w:p>
      <w:pPr>
        <w:spacing w:after="0" w:line="70" w:lineRule="exact"/>
        <w:rPr>
          <w:sz w:val="20"/>
          <w:szCs w:val="20"/>
          <w:color w:val="auto"/>
        </w:rPr>
      </w:pPr>
    </w:p>
    <w:p>
      <w:pPr>
        <w:ind w:right="60" w:firstLine="486"/>
        <w:spacing w:after="0" w:line="378" w:lineRule="auto"/>
        <w:rPr>
          <w:sz w:val="20"/>
          <w:szCs w:val="20"/>
          <w:color w:val="auto"/>
        </w:rPr>
      </w:pPr>
      <w:r>
        <w:rPr>
          <w:rFonts w:ascii="Arial" w:cs="Arial" w:eastAsia="Arial" w:hAnsi="Arial"/>
          <w:sz w:val="15"/>
          <w:szCs w:val="15"/>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5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the regulatory environment in which we operate is subject to change. We may be adversely affected as a result of new or revised legislation or regulations or by changes in the interpretation or enforcement of existing laws and regulations. In recent years, regulators have increased their oversight of the financial services industry. Some regulations are focused directly on the investment management industry, while others are more broadly focused but affect our industry as well.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14" w:name="page15"/>
    <w:bookmarkEnd w:id="14"/>
    <w:p>
      <w:pPr>
        <w:ind w:right="200" w:firstLine="486"/>
        <w:spacing w:after="0" w:line="273" w:lineRule="auto"/>
        <w:rPr>
          <w:sz w:val="20"/>
          <w:szCs w:val="20"/>
          <w:color w:val="auto"/>
        </w:rPr>
      </w:pPr>
      <w:r>
        <w:rPr>
          <w:rFonts w:ascii="Arial" w:cs="Arial" w:eastAsia="Arial" w:hAnsi="Arial"/>
          <w:sz w:val="17"/>
          <w:szCs w:val="17"/>
          <w:color w:val="auto"/>
        </w:rPr>
        <w:t>The Dodd-Frank Act of 2010 significantly increased and revised the federal rules and regulations governing the financial services industry and, in addition to other regulations, has generally resulted in increased compliance and administrative requirements. For example, the SEC’s adoption of Form PF and revisions to Form ADV impose additional reporting requirements for SEC-registered investment advisors. Additionally, ERISA Section 408(b)(2) and related regulations require additional information to be provided to ERISA-governed retirement plans. While we believe that changes in laws, rules and regulations, including those discussed above, have increased our administrative and compliance costs, we are unable to quantify the increased costs attributable to such changes. See “Item 1. Business — Regulation.”</w:t>
      </w:r>
    </w:p>
    <w:p>
      <w:pPr>
        <w:spacing w:after="0" w:line="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engage in product offerings and international business activities through our emerging markets, global multi-asset and global convertible securities product offerings that we make available to our international and domestic clients. As of December 31, 2019, approximately 19% of our AUM is managed for clients who are domiciled outside the U. S. As a result, we face increased operational, regulatory, compliance, marketing, client service, reputational and foreign exchange rate risks. In particular, rapid regulatory change is occurring internationally with respect to financial institutions, including, but not limited to, anticipated revisions to the European Communities (Undertakings for Collective Investment in Transferable Securities) Regulations 2011 and the Markets in Financial Instruments Directive (MiFID II).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71"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investment management and wealth management industry is highly competitive and innovative.</w:t>
      </w:r>
    </w:p>
    <w:p>
      <w:pPr>
        <w:spacing w:after="0" w:line="121"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The investment management and wealth management industry is highly competitive based on a variety of factors, including investment performance, fee rates, continuity of investment professionals and client relationships, the quality of services provided to clients, corporate positioning, business reputation and differentiated products. A number of factors increase our competitive risks, including the following:</w:t>
      </w:r>
    </w:p>
    <w:p>
      <w:pPr>
        <w:spacing w:after="0" w:line="73" w:lineRule="exact"/>
        <w:rPr>
          <w:sz w:val="20"/>
          <w:szCs w:val="20"/>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competitors have a relatively low cost of entering the investment management industry;</w:t>
      </w:r>
    </w:p>
    <w:p>
      <w:pPr>
        <w:spacing w:after="0" w:line="117" w:lineRule="exact"/>
        <w:rPr>
          <w:rFonts w:ascii="Arial" w:cs="Arial" w:eastAsia="Arial" w:hAnsi="Arial"/>
          <w:sz w:val="18"/>
          <w:szCs w:val="18"/>
          <w:color w:val="auto"/>
        </w:rPr>
      </w:pPr>
    </w:p>
    <w:p>
      <w:pPr>
        <w:ind w:left="500" w:right="300" w:hanging="330"/>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competitors have greater financial, technological, marketing and other resources, more comprehensive name recognition and more personnel than we do;</w:t>
      </w:r>
    </w:p>
    <w:p>
      <w:pPr>
        <w:spacing w:after="0" w:line="62" w:lineRule="exact"/>
        <w:rPr>
          <w:rFonts w:ascii="Arial" w:cs="Arial" w:eastAsia="Arial" w:hAnsi="Arial"/>
          <w:sz w:val="18"/>
          <w:szCs w:val="18"/>
          <w:color w:val="auto"/>
        </w:rPr>
      </w:pPr>
    </w:p>
    <w:p>
      <w:pPr>
        <w:ind w:left="500" w:right="280" w:hanging="330"/>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continuing trend toward consolidation in the investment management industry, and the securities business in general, has served to increase the size and strength of some of our competitors;</w:t>
      </w:r>
    </w:p>
    <w:p>
      <w:pPr>
        <w:spacing w:after="0" w:line="62" w:lineRule="exact"/>
        <w:rPr>
          <w:rFonts w:ascii="Arial" w:cs="Arial" w:eastAsia="Arial" w:hAnsi="Arial"/>
          <w:sz w:val="18"/>
          <w:szCs w:val="18"/>
          <w:color w:val="auto"/>
        </w:rPr>
      </w:pPr>
    </w:p>
    <w:p>
      <w:pPr>
        <w:ind w:left="500" w:right="320" w:hanging="330"/>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Recent changes in consumer demand for technological capabilities, including the enhanced ability for firms to offer lower fee passive management strategies, has increased competition in our industry;</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Shifts in demand for alternative investment styles, asset classes and distribution vehicles may cause our competitors to be perceived as more attractive;</w:t>
      </w:r>
    </w:p>
    <w:p>
      <w:pPr>
        <w:spacing w:after="0" w:line="140" w:lineRule="exact"/>
        <w:rPr>
          <w:rFonts w:ascii="Arial" w:cs="Arial" w:eastAsia="Arial" w:hAnsi="Arial"/>
          <w:sz w:val="16"/>
          <w:szCs w:val="16"/>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industry participants, hedge funds and alternative asset managers may seek to recruit our investment professionals;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competitors charge lower fees for their investment management services than we do;</w:t>
      </w:r>
    </w:p>
    <w:p>
      <w:pPr>
        <w:spacing w:after="0" w:line="117" w:lineRule="exact"/>
        <w:rPr>
          <w:rFonts w:ascii="Arial" w:cs="Arial" w:eastAsia="Arial" w:hAnsi="Arial"/>
          <w:sz w:val="18"/>
          <w:szCs w:val="18"/>
          <w:color w:val="auto"/>
        </w:rPr>
      </w:pPr>
    </w:p>
    <w:p>
      <w:pPr>
        <w:ind w:left="500" w:right="140" w:hanging="330"/>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competitors may provide more comprehensive client services, including banking, financial planning and tax planning at levels beyond what we currently provide; and</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competitors may have more sophisticated, innovative or advanced distribution networks than we do.</w:t>
      </w:r>
    </w:p>
    <w:p>
      <w:pPr>
        <w:spacing w:after="0" w:line="11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particular, we have faced significant competition from competitors with lower fee, passive investment strategies. Investment advisors that emphasize passive products have gained, and may continue to gain, significant market share from active managers like us, which could have a material adverse effect on our business. If we are unable to compete effectively, our earnings could be reduced and our business could be adversely affected.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5" w:name="page16"/>
    <w:bookmarkEnd w:id="15"/>
    <w:p>
      <w:pPr>
        <w:ind w:right="140" w:firstLine="486"/>
        <w:spacing w:after="0" w:line="282" w:lineRule="auto"/>
        <w:rPr>
          <w:sz w:val="20"/>
          <w:szCs w:val="20"/>
          <w:color w:val="auto"/>
        </w:rPr>
      </w:pPr>
      <w:r>
        <w:rPr>
          <w:rFonts w:ascii="Arial" w:cs="Arial" w:eastAsia="Arial" w:hAnsi="Arial"/>
          <w:sz w:val="18"/>
          <w:szCs w:val="18"/>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5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incurred significant costs to develop new investment strategies, launch new mutual funds under the Westwood Funds® name, and upgrade our business infrastructure. We expect to continue to incur significant costs related to such improvements.</w:t>
      </w:r>
    </w:p>
    <w:p>
      <w:pPr>
        <w:spacing w:after="0" w:line="6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The development of new investment strategies, whether through acquisition or internal development, requires a substantial amount of time and significant financial resources, including expenses related to compensation, sales and marketing, 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kind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5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To introduce new investment strategies, we may seek to add new investment teams. To the extent we are unable to recruit and retain investment teams to complement our existing business model, we may not be successful in further diversifying and increasing our investment strategies and client assets, which could have a material adverse effect on our business and future prospects. The addition of a new team using an investment strategy with which we may have limited or no experience may require additional resources to update our operational platform and could strain our operational resources and increase the possibility of operational errors. Additional investments may be required to improve our operational platform. If any new teams or strategies perform poorly and fail to attract sufficient assets, our results of operations and reputation may be adversely affected.</w:t>
      </w:r>
    </w:p>
    <w:p>
      <w:pPr>
        <w:spacing w:after="0" w:line="66" w:lineRule="exact"/>
        <w:rPr>
          <w:sz w:val="20"/>
          <w:szCs w:val="20"/>
          <w:color w:val="auto"/>
        </w:rPr>
      </w:pPr>
    </w:p>
    <w:p>
      <w:pPr>
        <w:ind w:right="600" w:firstLine="486"/>
        <w:spacing w:after="0" w:line="282" w:lineRule="auto"/>
        <w:rPr>
          <w:sz w:val="20"/>
          <w:szCs w:val="20"/>
          <w:color w:val="auto"/>
        </w:rPr>
      </w:pPr>
      <w:r>
        <w:rPr>
          <w:rFonts w:ascii="Arial" w:cs="Arial" w:eastAsia="Arial" w:hAnsi="Arial"/>
          <w:sz w:val="18"/>
          <w:szCs w:val="18"/>
          <w:b w:val="1"/>
          <w:bCs w:val="1"/>
          <w:color w:val="auto"/>
        </w:rPr>
        <w:t>Some of our strategies invest in the securities of non-U.S. companies, which involve foreign currency exchange, tax, political, social and economic uncertainties and risks.</w:t>
      </w:r>
    </w:p>
    <w:p>
      <w:pPr>
        <w:spacing w:after="0" w:line="5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As of December 31, 2019, approximately 23% of our AUM were invested in strategies offering access to global and emerging markets with significant exposure to non-U.S. companies. Fluctuations in foreign currency exchange rates could negatively affect the returns of clients invested in these strategies. Investments in non-U.S. issuers may also be affected by tax positions taken in countries or regions in which we are invested, as well as political, social and economic uncertainty or other diplomatic developments. Many financial markets are less developed or efficient than U.S. financial markets with limited liquidity and higher price volatility, and may lack an established regulatory framework. Liquidity and price volatility may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emerging or less developed markets. As a result, we may be unable to attract or retain client investments in these strategies, or assets invested in these strategies may experience significant declines in value and our results of operations may be negatively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Damage to our reputation could harm our business and have a material adverse effect on our results of operations.</w:t>
      </w:r>
    </w:p>
    <w:p>
      <w:pPr>
        <w:spacing w:after="0" w:line="121"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Public perception of our brand could be negatively affected by decreases in our profitability, AUM or stock price. Damage to our brand could impede our ability to attract and retain customers and key employees and could reduce our AUM, which could have a material adverse effect on our results of operations.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6" w:name="page17"/>
    <w:bookmarkEnd w:id="16"/>
    <w:p>
      <w:pPr>
        <w:ind w:right="160" w:firstLine="486"/>
        <w:spacing w:after="0" w:line="282" w:lineRule="auto"/>
        <w:rPr>
          <w:sz w:val="20"/>
          <w:szCs w:val="20"/>
          <w:color w:val="auto"/>
        </w:rPr>
      </w:pPr>
      <w:r>
        <w:rPr>
          <w:rFonts w:ascii="Arial" w:cs="Arial" w:eastAsia="Arial" w:hAnsi="Arial"/>
          <w:sz w:val="18"/>
          <w:szCs w:val="18"/>
          <w:b w:val="1"/>
          <w:bCs w:val="1"/>
          <w:color w:val="auto"/>
        </w:rPr>
        <w:t>Our success depends on certain key employees and our ability to attract and develop new, talented professionals. Our inability to attract and retain key employees could compromise our future success.</w:t>
      </w:r>
    </w:p>
    <w:p>
      <w:pPr>
        <w:spacing w:after="0" w:line="5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future success depends upon our ability to attract and retain professional and executive employees, including investment, marketing, client service and management personnel. There is substantial competition for skilled personnel within the asset management business, and the failure to attract, develop, retain and motivate qualified personnel could negatively impact our business, financial condition, results of operations and future prospects. A limited number of our employees, including our Chief Executive Officer and certain investment employees, have employment contracts, while other key employees do not have employment contracts. In order to retain or replace key personnel, we may be required to increase compensation, which would decrease net income. Investment and sales professionals often maintain strong relationships with their clients, and their departure may cause us to lose client accounts, which could have a material impact on our revenues and results of operations.</w:t>
      </w:r>
    </w:p>
    <w:p>
      <w:pPr>
        <w:spacing w:after="0" w:line="66" w:lineRule="exact"/>
        <w:rPr>
          <w:sz w:val="20"/>
          <w:szCs w:val="20"/>
          <w:color w:val="auto"/>
        </w:rPr>
      </w:pPr>
    </w:p>
    <w:p>
      <w:pPr>
        <w:ind w:right="300" w:firstLine="486"/>
        <w:spacing w:after="0" w:line="282" w:lineRule="auto"/>
        <w:rPr>
          <w:sz w:val="20"/>
          <w:szCs w:val="20"/>
          <w:color w:val="auto"/>
        </w:rPr>
      </w:pPr>
      <w:r>
        <w:rPr>
          <w:rFonts w:ascii="Arial" w:cs="Arial" w:eastAsia="Arial" w:hAnsi="Arial"/>
          <w:sz w:val="18"/>
          <w:szCs w:val="18"/>
          <w:b w:val="1"/>
          <w:bCs w:val="1"/>
          <w:color w:val="auto"/>
        </w:rPr>
        <w:t>Failure to implement and maintain effective cyber security controls could disrupt our operations and have a material adverse effect on our results of operations, reputation and stock price.</w:t>
      </w:r>
    </w:p>
    <w:p>
      <w:pPr>
        <w:spacing w:after="0" w:line="5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business is dependent on information technology systems and the cyber security controls we and our third party vendors have in place to protect those systems and the information contained therein. Despite the implementation of protective measures and endeavoring to modify them as circumstances warrant, our computer systems, software, networks and vendors may be vulnerable to human error, natural disasters, power loss, spam attacks, unauthorized access, distributed denial of service attacks, computer viruses and other malicious code, and other events that could result in significant liability and damage to our reputation, and have an ongoing impact on the security and stability of our operations. The techniques used in these attacks are increasingly sophisticated, change frequently and are often not recognized until launched. A failure of our and our third party vendors'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 As attempted attacks continue to evolve in scope and sophistication, we may be required to expend substantial additional resources to modify or enhance our protective measures, to investigate and remediate vulnerabilities or other exposures or to communicate about cyber attacks to our customers.</w:t>
      </w:r>
    </w:p>
    <w:p>
      <w:pPr>
        <w:spacing w:after="0" w:line="6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Additionally, the SEC issued guidance in February 2018 stating that, as a public company, we are expected to have controls and procedures that relate to cyber security disclosure, and are required under the federal securities laws to disclose information relating to certain cyber attacks or other information security breaches. Successful cyber attacks at other asset management companies or other market participants, whether or not we are affected, could lead to a general loss of customer confidence in the industry that could negatively affect us, including harming the market perception of the effectiveness of our security measures, which could result in a loss of business.</w:t>
      </w:r>
    </w:p>
    <w:p>
      <w:pPr>
        <w:spacing w:after="0" w:line="76" w:lineRule="exact"/>
        <w:rPr>
          <w:sz w:val="20"/>
          <w:szCs w:val="20"/>
          <w:color w:val="auto"/>
        </w:rPr>
      </w:pPr>
    </w:p>
    <w:p>
      <w:pPr>
        <w:ind w:right="40" w:firstLine="486"/>
        <w:spacing w:after="0" w:line="282" w:lineRule="auto"/>
        <w:rPr>
          <w:sz w:val="20"/>
          <w:szCs w:val="20"/>
          <w:color w:val="auto"/>
        </w:rPr>
      </w:pPr>
      <w:r>
        <w:rPr>
          <w:rFonts w:ascii="Arial" w:cs="Arial" w:eastAsia="Arial" w:hAnsi="Arial"/>
          <w:sz w:val="18"/>
          <w:szCs w:val="18"/>
          <w:b w:val="1"/>
          <w:bCs w:val="1"/>
          <w:color w:val="auto"/>
        </w:rPr>
        <w:t>Failure to perform operational tasks or the misrepresentation of products and services could have an adverse effect on our reputation and our business, financial condition and results of operations.</w:t>
      </w:r>
    </w:p>
    <w:p>
      <w:pPr>
        <w:spacing w:after="0" w:line="58"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7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73"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Damage to our reputation could impede our ability to attract and retain customers and key employees and could reduce our AUM, which could have a material adverse effect on our results of operations. Significant regulatory sanctions, fines, penalties, and litigation could also materially adversely affect our financial condition and results of operations.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7" w:name="page18"/>
    <w:bookmarkEnd w:id="17"/>
    <w:p>
      <w:pPr>
        <w:ind w:right="80" w:firstLine="486"/>
        <w:spacing w:after="0" w:line="282" w:lineRule="auto"/>
        <w:rPr>
          <w:sz w:val="20"/>
          <w:szCs w:val="20"/>
          <w:color w:val="auto"/>
        </w:rPr>
      </w:pPr>
      <w:r>
        <w:rPr>
          <w:rFonts w:ascii="Arial" w:cs="Arial" w:eastAsia="Arial" w:hAnsi="Arial"/>
          <w:sz w:val="18"/>
          <w:szCs w:val="18"/>
          <w:b w:val="1"/>
          <w:bCs w:val="1"/>
          <w:color w:val="auto"/>
        </w:rPr>
        <w:t>Failure to correctly identify our strategic growth plan or execute our strategic plan could result in damage to our reputation and could have a material adverse effect on our business, financial condition and results of operations.</w:t>
      </w:r>
    </w:p>
    <w:p>
      <w:pPr>
        <w:spacing w:after="0" w:line="58"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6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As part of our long-term business strategy, we may pursue corporate development transactions including the acquisition of asset management firms, mutual funds, wealth management firms and investment professionals or teams. Acquisitions involve inherent risks that could compromise the success of the combined business and dilute the holdings of current stockholders.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 changes in management, potential litigation or other legal risks, potential write-downs related to goodwill impairments in connection with acquisitions and dilution to the stockholders of the combined company if the acquisition is made for stock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6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Divestitures involve inherent risks that could compromise the success of our business. Risks related to divestitures can include difficulties in the separation of the divested business, loss of clients, retention or obligation to indemnify certain liabilities, the failure of counterparties to satisfy payment obligations, unfavorable market conditions that may impact any earnout or contingency payment due to us, unexpected difficulties in losing employees of the divested business or asset impairments.</w:t>
      </w:r>
    </w:p>
    <w:p>
      <w:pPr>
        <w:spacing w:after="0" w:line="7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As consumer demand for digital interaction with investment advisors and portfolios continues to grow, we are exploring opportunities to develop digital solutions to enhance services to our clients. If we are incorrect in assessing the value, strengths, weaknesses and potential profitability of such solutions, or if we fail to adequately integrate the solutions,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8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69" w:lineRule="exact"/>
        <w:rPr>
          <w:sz w:val="20"/>
          <w:szCs w:val="20"/>
          <w:color w:val="auto"/>
        </w:rPr>
      </w:pPr>
    </w:p>
    <w:p>
      <w:pPr>
        <w:ind w:right="440" w:firstLine="486"/>
        <w:spacing w:after="0" w:line="282" w:lineRule="auto"/>
        <w:rPr>
          <w:sz w:val="20"/>
          <w:szCs w:val="20"/>
          <w:color w:val="auto"/>
        </w:rPr>
      </w:pPr>
      <w:r>
        <w:rPr>
          <w:rFonts w:ascii="Arial" w:cs="Arial" w:eastAsia="Arial" w:hAnsi="Arial"/>
          <w:sz w:val="18"/>
          <w:szCs w:val="18"/>
          <w:b w:val="1"/>
          <w:bCs w:val="1"/>
          <w:color w:val="auto"/>
        </w:rPr>
        <w:t>Our business is vulnerable to systems failures that could have a material adverse effect on our business, financial condition and results of operations.</w:t>
      </w:r>
    </w:p>
    <w:p>
      <w:pPr>
        <w:spacing w:after="0" w:line="58" w:lineRule="exact"/>
        <w:rPr>
          <w:sz w:val="20"/>
          <w:szCs w:val="20"/>
          <w:color w:val="auto"/>
        </w:rPr>
      </w:pPr>
    </w:p>
    <w:p>
      <w:pPr>
        <w:ind w:right="260" w:firstLine="486"/>
        <w:spacing w:after="0" w:line="297" w:lineRule="auto"/>
        <w:rPr>
          <w:sz w:val="20"/>
          <w:szCs w:val="20"/>
          <w:color w:val="auto"/>
        </w:rPr>
      </w:pPr>
      <w:r>
        <w:rPr>
          <w:rFonts w:ascii="Arial" w:cs="Arial" w:eastAsia="Arial" w:hAnsi="Arial"/>
          <w:sz w:val="16"/>
          <w:szCs w:val="16"/>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 certain software. We, or our third-party vendors, may suffer a systems failure or interruption, whether caused by an earthquake, fire, other natural disaster, power or telecommunications failure, unauthorized access, force majeure, act of war or otherwise, and back-up procedures and capabilities may be inadequate to prevent the risk of extended interruptions in operations.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8" w:name="page19"/>
    <w:bookmarkEnd w:id="18"/>
    <w:p>
      <w:pPr>
        <w:ind w:right="320" w:firstLine="486"/>
        <w:spacing w:after="0" w:line="282" w:lineRule="auto"/>
        <w:rPr>
          <w:sz w:val="20"/>
          <w:szCs w:val="20"/>
          <w:color w:val="auto"/>
        </w:rPr>
      </w:pPr>
      <w:r>
        <w:rPr>
          <w:rFonts w:ascii="Arial" w:cs="Arial" w:eastAsia="Arial" w:hAnsi="Arial"/>
          <w:sz w:val="18"/>
          <w:szCs w:val="18"/>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58"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 procedures could result in the loss of clients, significant regulatory sanctions, fines, penalties and litigation, which could have a material adverse effect on our business, financial condition and results of operations.</w:t>
      </w:r>
    </w:p>
    <w:p>
      <w:pPr>
        <w:spacing w:after="0" w:line="60" w:lineRule="exact"/>
        <w:rPr>
          <w:sz w:val="20"/>
          <w:szCs w:val="20"/>
          <w:color w:val="auto"/>
        </w:rPr>
      </w:pPr>
    </w:p>
    <w:p>
      <w:pPr>
        <w:ind w:right="60" w:firstLine="486"/>
        <w:spacing w:after="0" w:line="282" w:lineRule="auto"/>
        <w:rPr>
          <w:sz w:val="20"/>
          <w:szCs w:val="20"/>
          <w:color w:val="auto"/>
        </w:rPr>
      </w:pPr>
      <w:r>
        <w:rPr>
          <w:rFonts w:ascii="Arial" w:cs="Arial" w:eastAsia="Arial" w:hAnsi="Arial"/>
          <w:sz w:val="18"/>
          <w:szCs w:val="18"/>
          <w:b w:val="1"/>
          <w:bCs w:val="1"/>
          <w:color w:val="auto"/>
        </w:rPr>
        <w:t>Misuse of assets and information in the possession of our employees and third-party vendors could damage our reputation and result in costly litigation and liability for our clients and us.</w:t>
      </w:r>
    </w:p>
    <w:p>
      <w:pPr>
        <w:spacing w:after="0" w:line="58"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Our employees and certain third-party vendors handle significant amounts of assets along with financial and personal information for our clients. Our employees or third party vendors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or third party vendors.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involves risks of being engaged in litigation and liability that could increase our expenses and reduce our results of operations.</w:t>
      </w:r>
    </w:p>
    <w:p>
      <w:pPr>
        <w:spacing w:after="0" w:line="144"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Many aspects of our business involve substantial risks of liability. We could be named as defendants or co-defendants in lawsuits or could be involved in disputes that involve the threat of lawsuits seeking substantial damages. As an SEC-RIA, mutual fund adviser, trustee to certain Trust clients and publicly-traded entity, we are subject to governmental and self-regulatory organization examinations, investigations and proceedings. Similarly, the investment strategies that we manage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of litigation and regulatory investigations in the asset management industry in recent years, including customer claims, as well as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Various factors may hinder the declaration and payment of dividends.</w:t>
      </w:r>
    </w:p>
    <w:p>
      <w:pPr>
        <w:spacing w:after="0" w:line="12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have historically paid a quarterly dividend; however, payment of future dividends is subject to the discretion of our Board of Directors, and various factors may impact our ability to maintain the current dividend or pay dividends at all. Such factors include our financial position, capital requirements and liquidity, tax regulations, stock repurchase plans, state corporate and banking law restrictions, results of operations and other factors that our Board of Directors may consider relevant. As a holding company, our ability to pay dividends is dependent on the dividends and income we receive from our subsidiaries. Currently, our primary source of cash consists of dividends from Westwood Management or Westwood Trust. The payment of dividends by Westwood Trust is subject to the discretion of its Board of Directors and compliance with applicable laws, including the provisions of the Finance Code applicable to Westwood Trust. See “Item 7. Management’s Discussion and Analysis of Financial Condition and Results of Operations.”</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may not be able to fund future capital requirements on favorable terms, if at all.</w:t>
      </w:r>
    </w:p>
    <w:p>
      <w:pPr>
        <w:spacing w:after="0" w:line="121"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technological investments and fluctuations in our operating results and financing activities. If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60" w:lineRule="exact"/>
        <w:rPr>
          <w:sz w:val="20"/>
          <w:szCs w:val="20"/>
          <w:color w:val="auto"/>
        </w:rPr>
      </w:pPr>
    </w:p>
    <w:p>
      <w:pPr>
        <w:ind w:right="580" w:firstLine="486"/>
        <w:spacing w:after="0" w:line="282" w:lineRule="auto"/>
        <w:rPr>
          <w:sz w:val="20"/>
          <w:szCs w:val="20"/>
          <w:color w:val="auto"/>
        </w:rPr>
      </w:pPr>
      <w:r>
        <w:rPr>
          <w:rFonts w:ascii="Arial" w:cs="Arial" w:eastAsia="Arial" w:hAnsi="Arial"/>
          <w:sz w:val="18"/>
          <w:szCs w:val="18"/>
          <w:b w:val="1"/>
          <w:bCs w:val="1"/>
          <w:color w:val="auto"/>
        </w:rPr>
        <w:t>Failure to properly identify and address conflicts of interest could harm our reputation or cause clients to withdraw funds, which could adversely affect our business and results of operations.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9" w:name="page20"/>
    <w:bookmarkEnd w:id="19"/>
    <w:p>
      <w:pPr>
        <w:ind w:right="20" w:firstLine="486"/>
        <w:spacing w:after="0" w:line="259" w:lineRule="auto"/>
        <w:rPr>
          <w:sz w:val="20"/>
          <w:szCs w:val="20"/>
          <w:color w:val="auto"/>
        </w:rPr>
      </w:pPr>
      <w:r>
        <w:rPr>
          <w:rFonts w:ascii="Arial" w:cs="Arial" w:eastAsia="Arial" w:hAnsi="Arial"/>
          <w:sz w:val="18"/>
          <w:szCs w:val="18"/>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7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we expand the scope of our business and our client base, we must also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AUM and investment management fees may be negatively impacted. Similarly, we may establish or add new investment teams or expand operations into other geographic areas or jurisdictions if we believe such actions are in the best interest of our clients, even though our 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Insurance coverage may be inadequate to cover legal and regulatory proceedings.</w:t>
      </w:r>
    </w:p>
    <w:p>
      <w:pPr>
        <w:spacing w:after="0" w:line="121"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We maintain insurance coverage in amounts and on terms we believe appropriate to cover legal and regulatory matters and potential cyber security attacks; however, we can make no assurance that there will be adequate coverage or that a specific claim will be covered by our insurance policies. Additionally, insurance premiums may rise for substantially the same coverage amounts and terms, which will increase our expenses and reduce net income.</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Failure to maintain effective internal controls could have a material adverse effect on our business and stock price.</w:t>
      </w:r>
    </w:p>
    <w:p>
      <w:pPr>
        <w:spacing w:after="0" w:line="121"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If we cannot provide reliable financial reports, our brand and operating results could be harmed. All internal control systems, no matter how well designed, contain inherent limitations, and systems determined to be effective can provide only reasonable assurance with respect to financial statement preparation and presentation.</w:t>
      </w:r>
    </w:p>
    <w:p>
      <w:pPr>
        <w:spacing w:after="0" w:line="7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stock is thinly traded and may be subject to volatility.</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Although our common stock is traded on the New York Stock Exchange, it may remain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limited trading in our stock continues, it may be difficult for holders to sell their shares in the public market at any given time at prevailing prices.</w:t>
      </w:r>
    </w:p>
    <w:p>
      <w:pPr>
        <w:spacing w:after="0" w:line="7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prevailing market price of our common stock may fluctuate significantly in response to a number of factors, some of which are beyond our control, including actual or anticipated fluctuations in operating results; changes in market valuations of other similar companies; additions or departures of key personnel; future sales of common stock; deviations in net revenues or in losses from levels expected by the investment community; and trading volume fluctuations.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20" w:name="page21"/>
    <w:bookmarkEnd w:id="20"/>
    <w:p>
      <w:pPr>
        <w:ind w:right="140" w:firstLine="486"/>
        <w:spacing w:after="0" w:line="282" w:lineRule="auto"/>
        <w:rPr>
          <w:sz w:val="20"/>
          <w:szCs w:val="20"/>
          <w:color w:val="auto"/>
        </w:rPr>
      </w:pPr>
      <w:r>
        <w:rPr>
          <w:rFonts w:ascii="Arial" w:cs="Arial" w:eastAsia="Arial" w:hAnsi="Arial"/>
          <w:sz w:val="18"/>
          <w:szCs w:val="18"/>
          <w:b w:val="1"/>
          <w:bCs w:val="1"/>
          <w:color w:val="auto"/>
        </w:rPr>
        <w:t>Our organizational documents contain provisions that may prevent or deter another group from paying a premium over the market price to our stockholders to acquire our stock.</w:t>
      </w:r>
    </w:p>
    <w:p>
      <w:pPr>
        <w:spacing w:after="0" w:line="5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organizational documents currently contain provisions that establish that stockholders cannot act by written consent, and that authorize our Board of Directors to issue, without shareholder approval, blank check preferred stock. In addition, as a Delaware corporation, we are subject to Section 203 of the Delaware General Corporation Law relating to business combinations. These provisions could delay, deter or prevent a merger, consolidation, tender offer or other business combination or change of control involving us that could include a premium over the market price of our common stock that some or a majority of our stockholders might consider to be in their best interests.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are a holding company dependent on the operations and funds of our subsidiaries.</w:t>
      </w:r>
    </w:p>
    <w:p>
      <w:pPr>
        <w:spacing w:after="0" w:line="121"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We are a holding company, with no revenue-generating operations or assets other than our ownership interests in Westwood Management, Westwood Trust and Westwood International Advisors. Accordingly, we are dependent on the cash flow generated by these operating subsidiaries and rely on dividends or other intercompany transfers from our operating subsidiaries to generate the funds necessary to meet our obligations.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Clients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Competitive fee pressures could reduce revenues and profit margins.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To the extent we have to compete on the basis of price, we may not be able to maintain a profitable fee structure. In recent years, there has been a trend toward lower fees in the investment management industry driven in large part by low-cost, passive strategies, and we are actively marketing lower fee structures to stay competitive. We cannot be assured that we will succeed in providing investment returns and service levels that will allow us to maintain a profitable fee structure. Continued fee reductions on existing or future new business could have an adverse effect on our profit margins and results of operations.</w:t>
      </w:r>
    </w:p>
    <w:p>
      <w:pPr>
        <w:spacing w:after="0" w:line="8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we have performance fee agreements with certain clients, who pay us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could fluctuate significantly between measurement periods, depending on how we perform relative to the indexes specified in these agreements. For example, we earned performance fees of $0.8 million in 2019, $3.0 million in 2018 and $1.4 million in 2017.</w:t>
      </w:r>
    </w:p>
    <w:p>
      <w:pPr>
        <w:spacing w:after="0" w:line="76" w:lineRule="exact"/>
        <w:rPr>
          <w:sz w:val="20"/>
          <w:szCs w:val="20"/>
          <w:color w:val="auto"/>
        </w:rPr>
      </w:pPr>
    </w:p>
    <w:p>
      <w:pPr>
        <w:ind w:right="380" w:firstLine="486"/>
        <w:spacing w:after="0" w:line="313" w:lineRule="auto"/>
        <w:rPr>
          <w:sz w:val="20"/>
          <w:szCs w:val="20"/>
          <w:color w:val="auto"/>
        </w:rPr>
      </w:pPr>
      <w:r>
        <w:rPr>
          <w:rFonts w:ascii="Arial" w:cs="Arial" w:eastAsia="Arial" w:hAnsi="Arial"/>
          <w:sz w:val="17"/>
          <w:szCs w:val="17"/>
          <w:b w:val="1"/>
          <w:bCs w:val="1"/>
          <w:color w:val="auto"/>
        </w:rPr>
        <w:t>Our business is dependent on investment advisory, subadvisory, and trust agreements that are subject to termination or non-renewal and investments we manage under such agreements may be redeemed. As a result, we could lose clients on very short notice.</w:t>
      </w:r>
    </w:p>
    <w:p>
      <w:pPr>
        <w:spacing w:after="0" w:line="3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Substantially all of our revenues are derived pursuant to investment advisory, subadvisory and trust agreements with our clients that are subject to termination without advance notice. Investors in funds that we advise or subadvise may redeem their investments at any time without prior notice, thereby reducing our AUM. These investors may redeem for any reason, including general financial market conditions, our absolute or relative investment performance or their own financial condition and requirements. In a declining stock market, the pace of redemptions could accelerate. Substantial additional redemptions or a termination or failure to renew a material number of these agreements would adversely affect our revenues and have a material adverse effect on our earnings and financial condition.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99" w:right="279" w:bottom="1440" w:gutter="0" w:footer="0" w:header="0"/>
        </w:sectPr>
      </w:pPr>
    </w:p>
    <w:bookmarkStart w:id="21" w:name="page22"/>
    <w:bookmarkEnd w:id="21"/>
    <w:p>
      <w:pPr>
        <w:ind w:firstLine="486"/>
        <w:spacing w:after="0" w:line="282" w:lineRule="auto"/>
        <w:rPr>
          <w:sz w:val="20"/>
          <w:szCs w:val="20"/>
          <w:color w:val="auto"/>
        </w:rPr>
      </w:pPr>
      <w:r>
        <w:rPr>
          <w:rFonts w:ascii="Arial" w:cs="Arial" w:eastAsia="Arial" w:hAnsi="Arial"/>
          <w:sz w:val="18"/>
          <w:szCs w:val="18"/>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58"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We are dependent to a significant degree on our ability to maintain our relationships with clients, consultants, managed account platforms and other intermediaries. Our ten largest clients accounted for approximately 20% of our fee revenue for each of the years ended December 31, 2019, 2018 and 2017. There can be no assurance that we will be successful in maintaining existing relationships, securing additional relationships or achieving the superior investment performance necessary to earn performance-based advisory fees. Our failure to retain one or more of these large relationships or to establish additional profitable relationships could have a material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Westwood, Westwood Management and Westwood Trust conduct their principal operations using approximately 45,000 square feet of leased office space in Dallas, Texas pursuant to a lease with an initial term that expires in March 2026. In addition, we lease approximately 8,000 square feet of office space in Houston, Texas pursuant to a lease that expires in June 2024 and approximately 2,600 square feet of office space in Southborough, Massachusetts pursuant to a lease that expires in August 2023. Westwood International Advisors conducts its principal operations using approximately 6,000 square feet of office space in Toronto, Ontario pursuant to a lease that expires in October 2021. We continue to assess these facilities to ensure their adequacy to serve our anticipated business needs.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from time to time to certain claims and legal proceedings arising in the ordinary course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999" w:right="3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2080"/>
        <w:spacing w:after="0" w:line="40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Our common stock trades on the New York Stock Exchange (the “NYSE”) under the symbol “WHG.” At December 31, 2019, there were approximately 214 record holders of our common stock, although we believe that the number of beneficial owners of our common stock is substantially greater.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have declared a cash dividend on our common stock for each quarter since our common stock was first publicly traded. On February 5, 2020, we declared a quarterly cash dividend of $0.43 per share on our common stock payable on April 1, 2020 to stockholders of record on March 6, 2020. We intend to continue paying cash dividends in such amounts as our Board of Directors may determine to be appropriate. Any future payments of cash dividends will be at the discretion of the Board of Directors and subject to limitations under the Delaware General Corporation Law.</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Westwood Holdings Group is the sole stockholder of Westwood Management, Westwood Trust and Westwood International Advisors. Westwood Trust is limited under applicable Texas law in the payment of dividends to the amount of undivided profits, which is defined as that part of equity capital equal to the balance of net profits, income, gains and losses since its formation minus subsequent distributions to stockholders and transfers to surplus or capital under share dividends or appropriate Board of Directors’ resolutions.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200" w:firstLine="486"/>
        <w:spacing w:after="0" w:line="297" w:lineRule="auto"/>
        <w:rPr>
          <w:sz w:val="20"/>
          <w:szCs w:val="20"/>
          <w:color w:val="auto"/>
        </w:rPr>
      </w:pPr>
      <w:r>
        <w:rPr>
          <w:rFonts w:ascii="Arial" w:cs="Arial" w:eastAsia="Arial" w:hAnsi="Arial"/>
          <w:sz w:val="16"/>
          <w:szCs w:val="16"/>
          <w:color w:val="auto"/>
        </w:rPr>
        <w:t>On July 20, 2012, our Board of Directors authorized management to repurchase up to $10.0 million of our outstanding common stock on the open market or in privately negotiated transactions. The share repurchase program has no expiration date and may be discontinued at any time by the Board of Directors. In July 2016, Westwood's Board of Directors authorized an additional $5.0 million of repurchases under the share repurchase program, and at December 31, 2019, approximately $3.0 million remained available under the share repurchase program. In February 2020, Westwood's Board of Directors authorized an additional $10.0 million of repurchases, bringing the total available under the share repurchase program to $13 million.</w:t>
      </w:r>
    </w:p>
    <w:p>
      <w:pPr>
        <w:spacing w:after="0" w:line="10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Between January 1, 2019 and December 31, 2019, under the share repurchase program the Company repurchased 85,559 shares of our common stock at an average price of $28.21 per share, including commissions, for an aggregate purchase price of $2.4 million.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information with respect to the treasury shares we purchased during the year ended December 31,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shares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shares that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number of</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9"/>
              </w:rPr>
              <w:t>may yet be purchased</w:t>
            </w:r>
          </w:p>
        </w:tc>
        <w:tc>
          <w:tcPr>
            <w:tcW w:w="0" w:type="dxa"/>
            <w:vAlign w:val="bottom"/>
          </w:tcPr>
          <w:p>
            <w:pPr>
              <w:spacing w:after="0"/>
              <w:rPr>
                <w:sz w:val="1"/>
                <w:szCs w:val="1"/>
                <w:color w:val="auto"/>
              </w:rPr>
            </w:pPr>
          </w:p>
        </w:tc>
      </w:tr>
      <w:tr>
        <w:trPr>
          <w:trHeight w:val="149"/>
        </w:trPr>
        <w:tc>
          <w:tcPr>
            <w:tcW w:w="4140" w:type="dxa"/>
            <w:vAlign w:val="bottom"/>
            <w:vMerge w:val="restart"/>
          </w:tcPr>
          <w:p>
            <w:pPr>
              <w:ind w:left="184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announced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w:t>
            </w:r>
          </w:p>
        </w:tc>
        <w:tc>
          <w:tcPr>
            <w:tcW w:w="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programs (1)</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 program</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2,951,985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May 1-31, 2019</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26,866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1860" w:type="dxa"/>
            <w:vAlign w:val="bottom"/>
          </w:tcPr>
          <w:p>
            <w:pPr>
              <w:jc w:val="right"/>
              <w:ind w:right="78"/>
              <w:spacing w:after="0"/>
              <w:rPr>
                <w:sz w:val="20"/>
                <w:szCs w:val="20"/>
                <w:color w:val="auto"/>
              </w:rPr>
            </w:pPr>
            <w:r>
              <w:rPr>
                <w:rFonts w:ascii="Arial" w:cs="Arial" w:eastAsia="Arial" w:hAnsi="Arial"/>
                <w:sz w:val="18"/>
                <w:szCs w:val="18"/>
                <w:color w:val="auto"/>
              </w:rPr>
              <w:t>26,866</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August 1-31, 2019</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2,200</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September 1-30, 2019</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14,322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1860" w:type="dxa"/>
            <w:vAlign w:val="bottom"/>
          </w:tcPr>
          <w:p>
            <w:pPr>
              <w:jc w:val="right"/>
              <w:ind w:right="78"/>
              <w:spacing w:after="0"/>
              <w:rPr>
                <w:sz w:val="20"/>
                <w:szCs w:val="20"/>
                <w:color w:val="auto"/>
              </w:rPr>
            </w:pPr>
            <w:r>
              <w:rPr>
                <w:rFonts w:ascii="Arial" w:cs="Arial" w:eastAsia="Arial" w:hAnsi="Arial"/>
                <w:sz w:val="18"/>
                <w:szCs w:val="18"/>
                <w:color w:val="auto"/>
              </w:rPr>
              <w:t>14,322</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October 1-31, 2019</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42,171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42,171</w:t>
            </w:r>
          </w:p>
        </w:tc>
        <w:tc>
          <w:tcPr>
            <w:tcW w:w="8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85,559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85,559</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Plan</w:t>
            </w:r>
            <w:r>
              <w:rPr>
                <w:rFonts w:ascii="Arial" w:cs="Arial" w:eastAsia="Arial" w:hAnsi="Arial"/>
                <w:sz w:val="23"/>
                <w:szCs w:val="23"/>
                <w:color w:val="auto"/>
                <w:vertAlign w:val="superscript"/>
              </w:rPr>
              <w:t>(2)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CDN  $</w:t>
            </w:r>
          </w:p>
        </w:tc>
        <w:tc>
          <w:tcPr>
            <w:tcW w:w="194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2,259,311</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purchases relate to the share repurchase program and were authorized in July 2012 and 2016.</w:t>
      </w:r>
    </w:p>
    <w:p>
      <w:pPr>
        <w:spacing w:after="0" w:line="55" w:lineRule="exact"/>
        <w:rPr>
          <w:rFonts w:ascii="Arial" w:cs="Arial" w:eastAsia="Arial" w:hAnsi="Arial"/>
          <w:sz w:val="14"/>
          <w:szCs w:val="14"/>
          <w:color w:val="auto"/>
        </w:rPr>
      </w:pPr>
    </w:p>
    <w:p>
      <w:pPr>
        <w:ind w:right="160" w:firstLine="8"/>
        <w:spacing w:after="0" w:line="257"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April 18, 2013, our stockholders approved the Share Award Plan of Westwood Holdings Group, Inc. for Service Provided in Canada to its Subsidiaries (the “Canadian Plan”), which contemplates a trustee purchasing up to $10 million CDN of our outstanding common stock on the open market for the purpose of making share awards to our Canadian employees. The Canadian Plan has no expiration date and may be discontinued at any time by the Board of Directors.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graph compares total stockholder returns of Westwood since December 31, 2014 with the total return of the Russell 2000 Index and the SNL U.S. Asset Manager Index, a composite of 41 publicly-traded asset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5840095" cy="4690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469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2"/>
              </w:rPr>
              <w:t>Period ended December 31,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Cumulative Five-Year</w:t>
            </w:r>
          </w:p>
        </w:tc>
      </w:tr>
      <w:tr>
        <w:trPr>
          <w:trHeight w:val="19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Index</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 Return</w:t>
            </w:r>
          </w:p>
        </w:tc>
        <w:tc>
          <w:tcPr>
            <w:tcW w:w="180" w:type="dxa"/>
            <w:vAlign w:val="bottom"/>
            <w:tcBorders>
              <w:bottom w:val="single" w:sz="8" w:color="auto"/>
            </w:tcBorders>
          </w:tcPr>
          <w:p>
            <w:pPr>
              <w:spacing w:after="0"/>
              <w:rPr>
                <w:sz w:val="17"/>
                <w:szCs w:val="17"/>
                <w:color w:val="auto"/>
              </w:rPr>
            </w:pPr>
          </w:p>
        </w:tc>
      </w:tr>
      <w:tr>
        <w:trPr>
          <w:trHeight w:val="236"/>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Westwood Holdings Group, Inc.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87.50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104.97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120.98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65.62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62.74</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(37.26) %</w:t>
            </w:r>
          </w:p>
        </w:tc>
      </w:tr>
      <w:tr>
        <w:trPr>
          <w:trHeight w:val="224"/>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Russell 2000 Index</w:t>
            </w:r>
          </w:p>
        </w:tc>
        <w:tc>
          <w:tcPr>
            <w:tcW w:w="220" w:type="dxa"/>
            <w:vAlign w:val="bottom"/>
          </w:tcPr>
          <w:p>
            <w:pPr>
              <w:spacing w:after="0"/>
              <w:rPr>
                <w:sz w:val="19"/>
                <w:szCs w:val="19"/>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95.59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63"/>
              <w:spacing w:after="0"/>
              <w:rPr>
                <w:sz w:val="20"/>
                <w:szCs w:val="20"/>
                <w:color w:val="auto"/>
              </w:rPr>
            </w:pPr>
            <w:r>
              <w:rPr>
                <w:rFonts w:ascii="Arial" w:cs="Arial" w:eastAsia="Arial" w:hAnsi="Arial"/>
                <w:sz w:val="16"/>
                <w:szCs w:val="16"/>
                <w:color w:val="auto"/>
              </w:rPr>
              <w:t>115.95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132.94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118.30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148.49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48.49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SNL U.S. Asset Manager Index</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90.22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125.98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3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The total return for our stock and for each index assumes $100 invested on December 31, 2014 in our common stock, the Russell 2000 Index, and the SNL U.S. Asset Manager Index, including reinvestment of dividends. Our common stock is traded on the NYSE under the ticker symbol “WHG.”</w:t>
      </w:r>
    </w:p>
    <w:p>
      <w:pPr>
        <w:spacing w:after="0" w:line="16"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closing price of our common stock on the last trading day of the year ended December 31, 2019 was $29.62 per share. Historical stock price performance is not necessarily indicative of future price performance.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45"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selected consolidated financial data, together with AUM data presented below, should be read in conjunction with “Item 1. Business” and “Item 7. Management’s Discussion and Analysis of Financial Condition and Results of Operations” included elsewhere in this Report. Historical results are not necessarily indicative of future results.</w:t>
      </w:r>
    </w:p>
    <w:p>
      <w:pPr>
        <w:spacing w:after="0" w:line="11"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Year ended December 31,</w:t>
      </w:r>
    </w:p>
    <w:p>
      <w:pPr>
        <w:spacing w:after="0" w:line="4"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(in thousands, except per share and %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9"/>
                <w:szCs w:val="9"/>
                <w:b w:val="1"/>
                <w:bCs w:val="1"/>
                <w:color w:val="auto"/>
              </w:rPr>
              <w:t>(1)</w:t>
            </w: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9"/>
                <w:szCs w:val="9"/>
                <w:b w:val="1"/>
                <w:bCs w:val="1"/>
                <w:color w:val="auto"/>
              </w:rPr>
              <w:t>(2)</w:t>
            </w: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9"/>
                <w:szCs w:val="9"/>
                <w:b w:val="1"/>
                <w:bCs w:val="1"/>
                <w:color w:val="auto"/>
              </w:rPr>
              <w:t>(3)</w:t>
            </w: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9"/>
                <w:szCs w:val="9"/>
                <w:b w:val="1"/>
                <w:bCs w:val="1"/>
                <w:color w:val="auto"/>
              </w:rPr>
              <w:t>(4)</w:t>
            </w: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9"/>
                <w:szCs w:val="9"/>
                <w:b w:val="1"/>
                <w:bCs w:val="1"/>
                <w:color w:val="auto"/>
              </w:rPr>
              <w:t>(5)</w:t>
            </w:r>
          </w:p>
        </w:tc>
        <w:tc>
          <w:tcPr>
            <w:tcW w:w="200" w:type="dxa"/>
            <w:vAlign w:val="bottom"/>
            <w:tcBorders>
              <w:top w:val="single" w:sz="8" w:color="auto"/>
              <w:bottom w:val="single" w:sz="8" w:color="auto"/>
            </w:tcBorders>
          </w:tcPr>
          <w:p>
            <w:pPr>
              <w:spacing w:after="0"/>
              <w:rPr>
                <w:sz w:val="16"/>
                <w:szCs w:val="16"/>
                <w:color w:val="auto"/>
              </w:rPr>
            </w:pPr>
          </w:p>
        </w:tc>
      </w:tr>
      <w:tr>
        <w:trPr>
          <w:trHeight w:val="24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Income Data:</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84,079</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122,300</w:t>
            </w: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133,785</w:t>
            </w: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123,021</w:t>
            </w:r>
          </w:p>
        </w:tc>
        <w:tc>
          <w:tcPr>
            <w:tcW w:w="5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130,936</w:t>
            </w:r>
          </w:p>
        </w:tc>
        <w:tc>
          <w:tcPr>
            <w:tcW w:w="20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compensation and benefits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50,152</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59,959</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64,955</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61,509</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63,562</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Employee compensation and benefits as a % of total revenues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36,462</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33,893</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34,010</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42,220</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Income before income taxes as a % of total revenues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5,911</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26,751</w:t>
            </w: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19,989</w:t>
            </w: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22,647</w:t>
            </w:r>
          </w:p>
        </w:tc>
        <w:tc>
          <w:tcPr>
            <w:tcW w:w="5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27,105</w:t>
            </w:r>
          </w:p>
        </w:tc>
        <w:tc>
          <w:tcPr>
            <w:tcW w:w="20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 – 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0.70</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3.13</w:t>
            </w: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2.38</w:t>
            </w: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2.77</w:t>
            </w:r>
          </w:p>
        </w:tc>
        <w:tc>
          <w:tcPr>
            <w:tcW w:w="5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3.33</w:t>
            </w:r>
          </w:p>
        </w:tc>
        <w:tc>
          <w:tcPr>
            <w:tcW w:w="20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Economic Earnings</w:t>
            </w:r>
            <w:r>
              <w:rPr>
                <w:rFonts w:ascii="Arial" w:cs="Arial" w:eastAsia="Arial" w:hAnsi="Arial"/>
                <w:sz w:val="21"/>
                <w:szCs w:val="21"/>
                <w:color w:val="auto"/>
                <w:vertAlign w:val="superscript"/>
              </w:rPr>
              <w:t>(6)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18,179</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43,943</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38,917</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41,108</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46,496</w:t>
            </w:r>
          </w:p>
        </w:tc>
        <w:tc>
          <w:tcPr>
            <w:tcW w:w="200" w:type="dxa"/>
            <w:vAlign w:val="bottom"/>
            <w:shd w:val="clear" w:color="auto" w:fill="CCEEFF"/>
          </w:tcPr>
          <w:p>
            <w:pPr>
              <w:spacing w:after="0"/>
              <w:rPr>
                <w:sz w:val="22"/>
                <w:szCs w:val="22"/>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Economic Earnings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5.14</w:t>
            </w: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4.63</w:t>
            </w:r>
          </w:p>
        </w:tc>
        <w:tc>
          <w:tcPr>
            <w:tcW w:w="5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5.03</w:t>
            </w:r>
          </w:p>
        </w:tc>
        <w:tc>
          <w:tcPr>
            <w:tcW w:w="5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5.71</w:t>
            </w:r>
          </w:p>
        </w:tc>
        <w:tc>
          <w:tcPr>
            <w:tcW w:w="200" w:type="dxa"/>
            <w:vAlign w:val="bottom"/>
          </w:tcPr>
          <w:p>
            <w:pPr>
              <w:spacing w:after="0"/>
              <w:rPr>
                <w:sz w:val="19"/>
                <w:szCs w:val="19"/>
                <w:color w:val="auto"/>
              </w:rPr>
            </w:pP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500" w:right="40" w:hanging="330"/>
        <w:spacing w:after="0" w:line="255"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2019 financial results were impacted by unrealized gains on private investments of $3.3 million, which positively impacted both diluted and basic earnings per share by $0.31 per share and a $1.9 million foreign currency transaction loss, which negatively impacted both diluted and basic earnings per share by $0.17 per share.</w:t>
      </w:r>
    </w:p>
    <w:p>
      <w:pPr>
        <w:spacing w:after="0" w:line="10" w:lineRule="exact"/>
        <w:rPr>
          <w:rFonts w:ascii="Arial" w:cs="Arial" w:eastAsia="Arial" w:hAnsi="Arial"/>
          <w:sz w:val="14"/>
          <w:szCs w:val="14"/>
          <w:color w:val="auto"/>
        </w:rPr>
      </w:pPr>
    </w:p>
    <w:p>
      <w:pPr>
        <w:ind w:left="480" w:hanging="310"/>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2018 financial results were impacted by a $2.8 million foreign currency transaction gain, which positively impacted both diluted and basic earnings per share by $0.26 per share.</w:t>
      </w:r>
    </w:p>
    <w:p>
      <w:pPr>
        <w:spacing w:after="0" w:line="39" w:lineRule="exact"/>
        <w:rPr>
          <w:rFonts w:ascii="Arial" w:cs="Arial" w:eastAsia="Arial" w:hAnsi="Arial"/>
          <w:sz w:val="13"/>
          <w:szCs w:val="13"/>
          <w:color w:val="auto"/>
        </w:rPr>
      </w:pPr>
    </w:p>
    <w:p>
      <w:pPr>
        <w:ind w:left="500" w:right="160" w:hanging="330"/>
        <w:spacing w:after="0" w:line="292" w:lineRule="auto"/>
        <w:tabs>
          <w:tab w:leader="none" w:pos="492"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2017 financial results were impacted by a $3.4 million incremental income tax expense related to tax reform, a $2.5 million legal settlement charge, net of insurance recovery and tax and a $1.6 million foreign currency transaction loss. These items negatively impacted diluted earnings per share by $0.40 per share, $0.30 per share and $0.12 per share, respectively.</w:t>
      </w:r>
    </w:p>
    <w:p>
      <w:pPr>
        <w:ind w:left="500" w:hanging="330"/>
        <w:spacing w:after="0" w:line="271"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2016 financial results were impacted by $1.3 million of one-time costs, net of tax, associated with implementation of new information technology platforms, which negatively impacted diluted earnings per share by $0.16 per share.</w:t>
      </w:r>
    </w:p>
    <w:p>
      <w:pPr>
        <w:spacing w:after="0" w:line="1" w:lineRule="exact"/>
        <w:rPr>
          <w:rFonts w:ascii="Arial" w:cs="Arial" w:eastAsia="Arial" w:hAnsi="Arial"/>
          <w:sz w:val="14"/>
          <w:szCs w:val="14"/>
          <w:color w:val="auto"/>
        </w:rPr>
      </w:pPr>
    </w:p>
    <w:p>
      <w:pPr>
        <w:ind w:left="500" w:right="120" w:hanging="330"/>
        <w:spacing w:after="0" w:line="255"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financial results related to the acquisition of our Westwood Trust office in Houston are included in our 2015 results from the acquisition date of April 1, 2015. Our 2015 results also include a pre-tax $1.0 million non-cash charge related to acceleration of stock-based compensation expense for a particular grant and a $0.8 million tax expense for uncertain tax positions related to prior years. These items negatively impacted diluted earnings per share by $0.08 per share and $0.10 per share, respectively.</w:t>
      </w:r>
    </w:p>
    <w:p>
      <w:pPr>
        <w:ind w:left="500" w:right="240" w:hanging="330"/>
        <w:spacing w:after="0" w:line="257"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Economic Earnings is a non–U.S. generally accepted accounting principles (“non-GAAP”) performance measure that is provided as supplemental information. See the definition of Economic Earnings and the reconciliation to Net income in Item 7, “Management’s Discussion and Analysis of Financial Condition and Results of Operations – Supplemental Financial Information.”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6"/>
          </w:tcPr>
          <w:p>
            <w:pPr>
              <w:jc w:val="right"/>
              <w:ind w:right="115"/>
              <w:spacing w:after="0"/>
              <w:rPr>
                <w:sz w:val="20"/>
                <w:szCs w:val="20"/>
                <w:color w:val="auto"/>
              </w:rPr>
            </w:pPr>
            <w:r>
              <w:rPr>
                <w:rFonts w:ascii="Arial" w:cs="Arial" w:eastAsia="Arial" w:hAnsi="Arial"/>
                <w:sz w:val="16"/>
                <w:szCs w:val="16"/>
                <w:b w:val="1"/>
                <w:bCs w:val="1"/>
                <w:color w:val="auto"/>
                <w:w w:val="92"/>
              </w:rPr>
              <w:t>As of 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5"/>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6"/>
                <w:szCs w:val="16"/>
                <w:b w:val="1"/>
                <w:bCs w:val="1"/>
                <w:color w:val="auto"/>
              </w:rPr>
              <w:t>2015</w:t>
            </w:r>
          </w:p>
        </w:tc>
      </w:tr>
      <w:tr>
        <w:trPr>
          <w:trHeight w:val="33"/>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Sheets Data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20"/>
              <w:spacing w:after="0"/>
              <w:rPr>
                <w:sz w:val="20"/>
                <w:szCs w:val="20"/>
                <w:color w:val="auto"/>
              </w:rPr>
            </w:pPr>
            <w:r>
              <w:rPr>
                <w:rFonts w:ascii="Arial" w:cs="Arial" w:eastAsia="Arial" w:hAnsi="Arial"/>
                <w:sz w:val="18"/>
                <w:szCs w:val="18"/>
                <w:color w:val="auto"/>
              </w:rPr>
              <w:t>Cash and investments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100,090</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118,230</w:t>
            </w:r>
          </w:p>
        </w:tc>
        <w:tc>
          <w:tcPr>
            <w:tcW w:w="4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105,573</w:t>
            </w:r>
          </w:p>
        </w:tc>
        <w:tc>
          <w:tcPr>
            <w:tcW w:w="100" w:type="dxa"/>
            <w:vAlign w:val="bottom"/>
          </w:tcPr>
          <w:p>
            <w:pPr>
              <w:spacing w:after="0"/>
              <w:rPr>
                <w:sz w:val="21"/>
                <w:szCs w:val="21"/>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90,164</w:t>
            </w:r>
          </w:p>
        </w:tc>
        <w:tc>
          <w:tcPr>
            <w:tcW w:w="100" w:type="dxa"/>
            <w:vAlign w:val="bottom"/>
          </w:tcPr>
          <w:p>
            <w:pPr>
              <w:spacing w:after="0"/>
              <w:rPr>
                <w:sz w:val="21"/>
                <w:szCs w:val="21"/>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95,060</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178,707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199,183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192,659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179,678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181,336</w:t>
            </w:r>
          </w:p>
        </w:tc>
      </w:tr>
      <w:tr>
        <w:trPr>
          <w:trHeight w:val="243"/>
        </w:trPr>
        <w:tc>
          <w:tcPr>
            <w:tcW w:w="560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148,287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161,149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156,396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146,069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133,967</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AUM (in millions)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15,235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16,606</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24,229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20,762</w:t>
            </w:r>
          </w:p>
        </w:tc>
      </w:tr>
      <w:tr>
        <w:trPr>
          <w:trHeight w:val="31"/>
        </w:trPr>
        <w:tc>
          <w:tcPr>
            <w:tcW w:w="5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61"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in conjunction with “Selected Financial Data” included in this Report, as well as our Consolidated Financial Statements and related notes thereto appearing elsewhere in this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“explore,” “believe,” “plan,” “estimate,” “expect,” “intend,” “should,” "potentially," “could,” “goal,” “may,” “target,” “designed”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8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composition and market value of our AUM;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AUM include investments in foreign companies;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organizational documents contain provisions that may prevent or deter another group from paying a premium over the market price to our stockholders to acquire our stock;</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holding company dependent on the operations and funds of our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22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w:t>
      </w:r>
    </w:p>
    <w:p>
      <w:pPr>
        <w:sectPr>
          <w:pgSz w:w="11900" w:h="16838" w:orient="portrait"/>
          <w:cols w:equalWidth="0" w:num="1">
            <w:col w:w="11420"/>
          </w:cols>
          <w:pgMar w:left="240" w:top="1161"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type w:val="continuous"/>
        </w:sectPr>
      </w:pPr>
    </w:p>
    <w:bookmarkStart w:id="26" w:name="page27"/>
    <w:bookmarkEnd w:id="26"/>
    <w:p>
      <w:pPr>
        <w:ind w:right="940"/>
        <w:spacing w:after="0" w:line="308" w:lineRule="auto"/>
        <w:rPr>
          <w:sz w:val="20"/>
          <w:szCs w:val="20"/>
          <w:color w:val="auto"/>
        </w:rPr>
      </w:pPr>
      <w:r>
        <w:rPr>
          <w:rFonts w:ascii="Arial" w:cs="Arial" w:eastAsia="Arial" w:hAnsi="Arial"/>
          <w:sz w:val="17"/>
          <w:szCs w:val="17"/>
          <w:color w:val="auto"/>
        </w:rPr>
        <w:t>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We manage investment assets and provide services for our clients through our subsidiaries, Westwood Management, Westwood Trust and Westwood International Advisors. Westwood Management provides investment advisory services to institutional investors, a family of mutual funds called the Westwood Funds®, other mutual funds, individual investors and clients of Westwood Trust. Westwood International Advisors was established in 2012 and provides investment advisory services to institutional clients, the Westwood Funds®, other mutual funds, the UCITS Fund and clients of Westwood Trust. Westwood Trust provides trust and custodial services and participation in self-sponsored common trust funds to institutions and high net worth individuals. Our revenues are generally derived from fees based on a percentage of AUM, and at December 31, 2019, Westwood Management, Westwood International Advisors and Westwood Trust collectively managed assets valued at approximately $15.2 billion. We have established a track record of delivering competitive, risk-adjusted returns for our clients.</w:t>
      </w:r>
    </w:p>
    <w:p>
      <w:pPr>
        <w:spacing w:after="0" w:line="7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With respect to most of our client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preserve capital during unfavorable periods and provide superior real returns over the long term. Our investment teams have significant industry experience. Our investment team members have average investment experience of over fifteen years.</w:t>
      </w:r>
    </w:p>
    <w:p>
      <w:pPr>
        <w:spacing w:after="0" w:line="8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have focused on building a foundation in terms of personnel and infrastructure to support a potentially much larger business. We have also developed investment strategies that we believe will be desirable within our target institutional, wealth management and intermediary markets. The cost of developing new products and growing the organization as a whole has resulted in our incurring expenses that, in some cases, do not currently have significant offsetting revenues. While we continue to evolve our products, we believe that the appropriate foundation and products are in place such that investors will recognize the value in these products, thereby generating new revenue streams for Westwood.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Highlights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items are highlights for the year ended December 31, 2019:</w:t>
      </w:r>
    </w:p>
    <w:p>
      <w:pPr>
        <w:spacing w:after="0" w:line="117" w:lineRule="exact"/>
        <w:rPr>
          <w:sz w:val="20"/>
          <w:szCs w:val="20"/>
          <w:color w:val="auto"/>
        </w:rPr>
      </w:pPr>
    </w:p>
    <w:p>
      <w:pPr>
        <w:ind w:left="98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AUM as of December 31, 2019 were $15.2 billion, an 8% decrease compared to December 31, 2018. Quarterly average AUM decreased 26% to $15.8 billion for 2019 compared to 2018, which contributed to the 31% decrease in total revenue from 2018.</w:t>
      </w:r>
    </w:p>
    <w:p>
      <w:pPr>
        <w:spacing w:after="0" w:line="62" w:lineRule="exact"/>
        <w:rPr>
          <w:rFonts w:ascii="Arial" w:cs="Arial" w:eastAsia="Arial" w:hAnsi="Arial"/>
          <w:sz w:val="18"/>
          <w:szCs w:val="18"/>
          <w:color w:val="auto"/>
        </w:rPr>
      </w:pPr>
    </w:p>
    <w:p>
      <w:pPr>
        <w:ind w:left="980" w:right="66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LargeCap Value, SMidCap, SmallCap Value, AllCap Value, Alternative Income, and Emerging Markets strategies exhibited strong performance by beating their primary benchmarks for the year.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welcomed Adrian Helfert as Senior Vice President and Director of Multi-Asset Portfolios to lead our Multi-Asset team.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Intermediary Sales Team added four experienced Tier 1 external wholesalers and one experienced internal wholesaler.</w:t>
      </w:r>
    </w:p>
    <w:p>
      <w:pPr>
        <w:spacing w:after="0" w:line="117" w:lineRule="exact"/>
        <w:rPr>
          <w:rFonts w:ascii="Arial" w:cs="Arial" w:eastAsia="Arial" w:hAnsi="Arial"/>
          <w:sz w:val="18"/>
          <w:szCs w:val="18"/>
          <w:color w:val="auto"/>
        </w:rPr>
      </w:pPr>
    </w:p>
    <w:p>
      <w:pPr>
        <w:jc w:val="both"/>
        <w:ind w:left="980" w:right="120" w:hanging="486"/>
        <w:spacing w:after="0" w:line="264"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 tax rate increased to 37.1% for 2019 compared to 26.6% for 2018, primarily related to a $0.6 million discrete tax expense related to a permanent difference between book and tax stock-based compensation expense, following a decrease in our stock price between grant and vesting dates.</w:t>
      </w:r>
    </w:p>
    <w:p>
      <w:pPr>
        <w:spacing w:after="0" w:line="73"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repurchased 85,559 shares of our common stock for an aggregate purchase price of $2.4 million.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financial position remains strong with liquid cash and short-term investments of $100.1 million and no debt as of December 31, 2019</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11"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derive our revenues from investment advisory fees, trust fees and other revenues. Our advisory fees are generated by Westwood Management and Westwood International Advisors,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8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From 2019 forward, our other revenues primarily consist of investment income from our seed money investments into new investment strategies.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Employee compensation and benefits costs generally consist of salaries, incentive compensation, equity-based compensation expense and benefits.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and marketing costs relate to our marketing efforts, including travel and entertainment, direct marketing and advertising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Professional services expenses generally consist of costs associated with subadvisory fees, audit, legal and other professional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Legal settlement expenses consist of settlements related to litigation claims, net of any amounts covered by our insurance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Gain (loss) on foreign currency transactions consist of foreign currency transactions primarily related to Westwood International Advisors.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 on sale of operations includes the gain on the sale of our Omaha-based component of our Wealth Management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gains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Unrealized gains on private investments includes changes in the value of our private equity investments.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primarily consists of income from the sublease of a portion of our corporate office.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7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AUM decreased $1.4 billion, or 8%, to $15.2 billion at December 31, 2019 compared to $16.6 billion at December 31, 2018. Quarterly average AUM decreased $5.6 billion, down 26%, to $15.8 billion for 2019 compared with $21.4 billion for 2018. The decrease in average AUM was primarily due to net outflows, primarily Institutional, partially offset by $3.0 billion of market appreciation in 2019.</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AUM decreased $7.6 billion, or 31%, to $16.6 billion at December 31, 2018 compared to $24.2 billion at December 31, 2017. Quarterly average AUM decreased $1.8 billion, down 8%, to $21.4 billion for 2018 compared with $23.1 billion for 2017. The decrease in average AUM was primarily due to net outflows related to the sale of the Omaha-based component of our Wealth Management business, and asset depreciation during 2018.</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AUM (in millions,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Arial" w:cs="Arial" w:eastAsia="Arial" w:hAnsi="Arial"/>
                <w:sz w:val="16"/>
                <w:szCs w:val="16"/>
                <w:b w:val="1"/>
                <w:bCs w:val="1"/>
                <w:color w:val="auto"/>
                <w:w w:val="90"/>
              </w:rPr>
              <w:t>As of December 31,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2017</w:t>
            </w:r>
          </w:p>
        </w:tc>
      </w:tr>
      <w:tr>
        <w:trPr>
          <w:trHeight w:val="256"/>
        </w:trPr>
        <w:tc>
          <w:tcPr>
            <w:tcW w:w="50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Institutional</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8,739</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9,327</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14,421</w:t>
            </w:r>
          </w:p>
        </w:tc>
      </w:tr>
      <w:tr>
        <w:trPr>
          <w:trHeight w:val="257"/>
        </w:trPr>
        <w:tc>
          <w:tcPr>
            <w:tcW w:w="5000" w:type="dxa"/>
            <w:vAlign w:val="bottom"/>
          </w:tcPr>
          <w:p>
            <w:pPr>
              <w:ind w:left="20"/>
              <w:spacing w:after="0" w:line="256" w:lineRule="exact"/>
              <w:rPr>
                <w:sz w:val="20"/>
                <w:szCs w:val="20"/>
                <w:color w:val="auto"/>
              </w:rPr>
            </w:pPr>
            <w:r>
              <w:rPr>
                <w:rFonts w:ascii="Arial" w:cs="Arial" w:eastAsia="Arial" w:hAnsi="Arial"/>
                <w:sz w:val="18"/>
                <w:szCs w:val="18"/>
                <w:color w:val="auto"/>
              </w:rPr>
              <w:t>Wealth Management</w:t>
            </w:r>
            <w:r>
              <w:rPr>
                <w:rFonts w:ascii="Arial" w:cs="Arial" w:eastAsia="Arial" w:hAnsi="Arial"/>
                <w:sz w:val="23"/>
                <w:szCs w:val="23"/>
                <w:color w:val="auto"/>
                <w:vertAlign w:val="superscript"/>
              </w:rPr>
              <w:t>(2)</w:t>
            </w:r>
          </w:p>
        </w:tc>
        <w:tc>
          <w:tcPr>
            <w:tcW w:w="260" w:type="dxa"/>
            <w:vAlign w:val="bottom"/>
          </w:tcPr>
          <w:p>
            <w:pPr>
              <w:spacing w:after="0"/>
              <w:rPr>
                <w:sz w:val="22"/>
                <w:szCs w:val="22"/>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4,438</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4,043</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5,566</w:t>
            </w:r>
          </w:p>
        </w:tc>
      </w:tr>
      <w:tr>
        <w:trPr>
          <w:trHeight w:val="257"/>
        </w:trPr>
        <w:tc>
          <w:tcPr>
            <w:tcW w:w="50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2,058</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3,236</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4,242</w:t>
            </w:r>
          </w:p>
        </w:tc>
      </w:tr>
      <w:tr>
        <w:trPr>
          <w:trHeight w:val="250"/>
        </w:trPr>
        <w:tc>
          <w:tcPr>
            <w:tcW w:w="5000" w:type="dxa"/>
            <w:vAlign w:val="bottom"/>
          </w:tcPr>
          <w:p>
            <w:pPr>
              <w:ind w:left="20"/>
              <w:spacing w:after="0" w:line="250" w:lineRule="exact"/>
              <w:rPr>
                <w:sz w:val="20"/>
                <w:szCs w:val="20"/>
                <w:color w:val="auto"/>
              </w:rPr>
            </w:pPr>
            <w:r>
              <w:rPr>
                <w:rFonts w:ascii="Arial" w:cs="Arial" w:eastAsia="Arial" w:hAnsi="Arial"/>
                <w:sz w:val="18"/>
                <w:szCs w:val="18"/>
                <w:b w:val="1"/>
                <w:bCs w:val="1"/>
                <w:color w:val="auto"/>
              </w:rPr>
              <w:t>Total AUM</w:t>
            </w:r>
            <w:r>
              <w:rPr>
                <w:rFonts w:ascii="Arial" w:cs="Arial" w:eastAsia="Arial" w:hAnsi="Arial"/>
                <w:sz w:val="23"/>
                <w:szCs w:val="23"/>
                <w:b w:val="1"/>
                <w:bCs w:val="1"/>
                <w:color w:val="auto"/>
                <w:vertAlign w:val="superscript"/>
              </w:rPr>
              <w:t>(4)</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15,235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16,606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24,229</w:t>
            </w:r>
          </w:p>
        </w:tc>
      </w:tr>
      <w:tr>
        <w:trPr>
          <w:trHeight w:val="21"/>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500" w:hanging="330"/>
        <w:spacing w:after="0" w:line="246"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ind w:left="500" w:right="40" w:hanging="330"/>
        <w:spacing w:after="0" w:line="241"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provided advisory services to high net worth individuals. Investment subadvisory services are provided for the common trust funds by Westwood Management, Westwood International Advisors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following an intergenerational transfer of wealth.</w:t>
      </w:r>
    </w:p>
    <w:p>
      <w:pPr>
        <w:spacing w:after="0" w:line="2" w:lineRule="exact"/>
        <w:rPr>
          <w:rFonts w:ascii="Arial" w:cs="Arial" w:eastAsia="Arial" w:hAnsi="Arial"/>
          <w:sz w:val="14"/>
          <w:szCs w:val="14"/>
          <w:color w:val="auto"/>
        </w:rPr>
      </w:pPr>
    </w:p>
    <w:p>
      <w:pPr>
        <w:ind w:left="500" w:right="280" w:hanging="330"/>
        <w:spacing w:after="0" w:line="241"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as well as offered as part of our investment strategies for institutional and wealth management accounts.</w:t>
      </w:r>
    </w:p>
    <w:p>
      <w:pPr>
        <w:ind w:left="500" w:right="120" w:hanging="330"/>
        <w:spacing w:after="0" w:line="255"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AUM for 2019, 2018 and 2017 excludes approximately $283 million, $228 million and $382 million of assets under advisement ("AUA"), respectively, related to our model portfolios, for which we provide consulting advice but do not have discretionary investment authority.</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Roll-Forward of Assets Under Management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 2019</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Wealth</w:t>
            </w:r>
          </w:p>
        </w:tc>
        <w:tc>
          <w:tcPr>
            <w:tcW w:w="240" w:type="dxa"/>
            <w:vAlign w:val="bottom"/>
          </w:tcPr>
          <w:p>
            <w:pPr>
              <w:spacing w:after="0"/>
              <w:rPr>
                <w:sz w:val="18"/>
                <w:szCs w:val="18"/>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6"/>
              </w:rPr>
              <w:t>Mutual</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AUM (in millions)</w:t>
            </w:r>
          </w:p>
        </w:tc>
        <w:tc>
          <w:tcPr>
            <w:tcW w:w="180" w:type="dxa"/>
            <w:vAlign w:val="bottom"/>
          </w:tcPr>
          <w:p>
            <w:pPr>
              <w:spacing w:after="0"/>
              <w:rPr>
                <w:sz w:val="2"/>
                <w:szCs w:val="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Institutional</w:t>
            </w:r>
          </w:p>
        </w:tc>
        <w:tc>
          <w:tcPr>
            <w:tcW w:w="140" w:type="dxa"/>
            <w:vAlign w:val="bottom"/>
          </w:tcPr>
          <w:p>
            <w:pPr>
              <w:spacing w:after="0"/>
              <w:rPr>
                <w:sz w:val="2"/>
                <w:szCs w:val="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Management</w:t>
            </w:r>
          </w:p>
        </w:tc>
        <w:tc>
          <w:tcPr>
            <w:tcW w:w="2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Funds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4,043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3,236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16,606</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Client flows: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Inflows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1,664</w:t>
            </w:r>
          </w:p>
        </w:tc>
        <w:tc>
          <w:tcPr>
            <w:tcW w:w="0" w:type="dxa"/>
            <w:vAlign w:val="bottom"/>
          </w:tcPr>
          <w:p>
            <w:pPr>
              <w:spacing w:after="0"/>
              <w:rPr>
                <w:sz w:val="1"/>
                <w:szCs w:val="1"/>
                <w:color w:val="auto"/>
              </w:rPr>
            </w:pPr>
          </w:p>
        </w:tc>
      </w:tr>
      <w:tr>
        <w:trPr>
          <w:trHeight w:val="243"/>
        </w:trPr>
        <w:tc>
          <w:tcPr>
            <w:tcW w:w="5820" w:type="dxa"/>
            <w:vAlign w:val="bottom"/>
          </w:tcPr>
          <w:p>
            <w:pPr>
              <w:ind w:left="340"/>
              <w:spacing w:after="0"/>
              <w:rPr>
                <w:sz w:val="20"/>
                <w:szCs w:val="20"/>
                <w:color w:val="auto"/>
              </w:rPr>
            </w:pPr>
            <w:r>
              <w:rPr>
                <w:rFonts w:ascii="Arial" w:cs="Arial" w:eastAsia="Arial" w:hAnsi="Arial"/>
                <w:sz w:val="18"/>
                <w:szCs w:val="18"/>
                <w:color w:val="auto"/>
              </w:rPr>
              <w:t>Outflows</w:t>
            </w:r>
          </w:p>
        </w:tc>
        <w:tc>
          <w:tcPr>
            <w:tcW w:w="18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(699)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(6,064)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client flows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(4,400)</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Market appreciation</w:t>
            </w:r>
          </w:p>
        </w:tc>
        <w:tc>
          <w:tcPr>
            <w:tcW w:w="18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1,793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7"/>
                <w:szCs w:val="17"/>
                <w:color w:val="auto"/>
              </w:rPr>
              <w:t>699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3,029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End of period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8,739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rPr>
              <w:t>4,438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rPr>
              <w:t>2,058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15,235</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decrease in AUM for the year ended December 31, 2019 was due to net outflows of $4.4 billion, partially offset by market appreciation of $3.0 billion. Net client flows were primarily related to our Income Opportunity, Emerging Markets, and LargeCap Value strategies.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 2018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Wealth</w:t>
            </w:r>
          </w:p>
        </w:tc>
        <w:tc>
          <w:tcPr>
            <w:tcW w:w="260" w:type="dxa"/>
            <w:vAlign w:val="bottom"/>
          </w:tcPr>
          <w:p>
            <w:pPr>
              <w:spacing w:after="0"/>
              <w:rPr>
                <w:sz w:val="18"/>
                <w:szCs w:val="18"/>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Mutual</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AUM (in millions)</w:t>
            </w:r>
          </w:p>
        </w:tc>
        <w:tc>
          <w:tcPr>
            <w:tcW w:w="180" w:type="dxa"/>
            <w:vAlign w:val="bottom"/>
          </w:tcPr>
          <w:p>
            <w:pPr>
              <w:spacing w:after="0"/>
              <w:rPr>
                <w:sz w:val="2"/>
                <w:szCs w:val="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Institutional</w:t>
            </w:r>
          </w:p>
        </w:tc>
        <w:tc>
          <w:tcPr>
            <w:tcW w:w="160" w:type="dxa"/>
            <w:vAlign w:val="bottom"/>
          </w:tcPr>
          <w:p>
            <w:pPr>
              <w:spacing w:after="0"/>
              <w:rPr>
                <w:sz w:val="2"/>
                <w:szCs w:val="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Management</w:t>
            </w:r>
          </w:p>
        </w:tc>
        <w:tc>
          <w:tcPr>
            <w:tcW w:w="2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Funds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24,229</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Client flows: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Inflows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2,610</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tcPr>
          <w:p>
            <w:pPr>
              <w:ind w:left="360"/>
              <w:spacing w:after="0" w:line="256" w:lineRule="exact"/>
              <w:rPr>
                <w:sz w:val="20"/>
                <w:szCs w:val="20"/>
                <w:color w:val="auto"/>
              </w:rPr>
            </w:pPr>
            <w:r>
              <w:rPr>
                <w:rFonts w:ascii="Arial" w:cs="Arial" w:eastAsia="Arial" w:hAnsi="Arial"/>
                <w:sz w:val="18"/>
                <w:szCs w:val="18"/>
                <w:color w:val="auto"/>
              </w:rPr>
              <w:t>Outflows</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(5,536)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(1,639)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(1,672)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(8,847)</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client flows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(6,237)</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Market depreciation</w:t>
            </w:r>
          </w:p>
        </w:tc>
        <w:tc>
          <w:tcPr>
            <w:tcW w:w="18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(1,386)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(7,623)</w:t>
            </w:r>
          </w:p>
        </w:tc>
        <w:tc>
          <w:tcPr>
            <w:tcW w:w="0" w:type="dxa"/>
            <w:vAlign w:val="bottom"/>
          </w:tcPr>
          <w:p>
            <w:pPr>
              <w:spacing w:after="0"/>
              <w:rPr>
                <w:sz w:val="1"/>
                <w:szCs w:val="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End of period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9,327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4,043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3,236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16,606</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Wealth Management outflows include approximately $1.1 billion of assets related to the sale of our Omaha-based component of our Wealth Management business.</w:t>
      </w:r>
    </w:p>
    <w:p>
      <w:pPr>
        <w:spacing w:after="0" w:line="113"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decrease in AUM for the year ended December 31, 2018 was due to net outflows of $6.2 billion, which included approximately $1.1 billion of outflows related to the divestiture of our Omaha operations, and market depreciation of $1.4 billion. Net client flows were primarily related to our SMidCap strategies, Emerging Markets strategies, LargeCap Value strategy and Income Opportunity strategy.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 2017</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Wealth</w:t>
            </w:r>
          </w:p>
        </w:tc>
        <w:tc>
          <w:tcPr>
            <w:tcW w:w="260" w:type="dxa"/>
            <w:vAlign w:val="bottom"/>
          </w:tcPr>
          <w:p>
            <w:pPr>
              <w:spacing w:after="0"/>
              <w:rPr>
                <w:sz w:val="18"/>
                <w:szCs w:val="18"/>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Mutual</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AUM (in millions)</w:t>
            </w:r>
          </w:p>
        </w:tc>
        <w:tc>
          <w:tcPr>
            <w:tcW w:w="180" w:type="dxa"/>
            <w:vAlign w:val="bottom"/>
          </w:tcPr>
          <w:p>
            <w:pPr>
              <w:spacing w:after="0"/>
              <w:rPr>
                <w:sz w:val="2"/>
                <w:szCs w:val="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Institutional</w:t>
            </w:r>
          </w:p>
        </w:tc>
        <w:tc>
          <w:tcPr>
            <w:tcW w:w="160" w:type="dxa"/>
            <w:vAlign w:val="bottom"/>
          </w:tcPr>
          <w:p>
            <w:pPr>
              <w:spacing w:after="0"/>
              <w:rPr>
                <w:sz w:val="2"/>
                <w:szCs w:val="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Management</w:t>
            </w:r>
          </w:p>
        </w:tc>
        <w:tc>
          <w:tcPr>
            <w:tcW w:w="2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Funds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3,810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21,241</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Client flows: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820" w:type="dxa"/>
            <w:vAlign w:val="bottom"/>
            <w:shd w:val="clear" w:color="auto" w:fill="CCEEFF"/>
          </w:tcPr>
          <w:p>
            <w:pPr>
              <w:ind w:left="480"/>
              <w:spacing w:after="0" w:line="256" w:lineRule="exact"/>
              <w:rPr>
                <w:sz w:val="20"/>
                <w:szCs w:val="20"/>
                <w:color w:val="auto"/>
              </w:rPr>
            </w:pPr>
            <w:r>
              <w:rPr>
                <w:rFonts w:ascii="Arial" w:cs="Arial" w:eastAsia="Arial" w:hAnsi="Arial"/>
                <w:sz w:val="18"/>
                <w:szCs w:val="18"/>
                <w:color w:val="auto"/>
              </w:rPr>
              <w:t>Inflows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4,738</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tcPr>
          <w:p>
            <w:pPr>
              <w:ind w:left="480"/>
              <w:spacing w:after="0" w:line="256" w:lineRule="exact"/>
              <w:rPr>
                <w:sz w:val="20"/>
                <w:szCs w:val="20"/>
                <w:color w:val="auto"/>
              </w:rPr>
            </w:pPr>
            <w:r>
              <w:rPr>
                <w:rFonts w:ascii="Arial" w:cs="Arial" w:eastAsia="Arial" w:hAnsi="Arial"/>
                <w:sz w:val="18"/>
                <w:szCs w:val="18"/>
                <w:color w:val="auto"/>
              </w:rPr>
              <w:t>Outflows</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(1,357)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(1,065)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(5,136)</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client flows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Market appreciation</w:t>
            </w:r>
          </w:p>
        </w:tc>
        <w:tc>
          <w:tcPr>
            <w:tcW w:w="18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3,386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2,988</w:t>
            </w:r>
          </w:p>
        </w:tc>
        <w:tc>
          <w:tcPr>
            <w:tcW w:w="0" w:type="dxa"/>
            <w:vAlign w:val="bottom"/>
          </w:tcPr>
          <w:p>
            <w:pPr>
              <w:spacing w:after="0"/>
              <w:rPr>
                <w:sz w:val="1"/>
                <w:szCs w:val="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End of period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14,421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5,566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4,242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24,229</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80" w:hanging="31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Institutional inflows include approximately $713.0 million of assets related to a long-only convertibles fund, which transitioned from AUA to AUM during the third quarter of 2017.</w:t>
      </w:r>
    </w:p>
    <w:p>
      <w:pPr>
        <w:spacing w:after="0" w:line="13" w:lineRule="exact"/>
        <w:rPr>
          <w:rFonts w:ascii="Arial" w:cs="Arial" w:eastAsia="Arial" w:hAnsi="Arial"/>
          <w:sz w:val="14"/>
          <w:szCs w:val="14"/>
          <w:color w:val="auto"/>
        </w:rPr>
      </w:pPr>
    </w:p>
    <w:p>
      <w:pPr>
        <w:ind w:left="480" w:hanging="31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Wealth Management outflows include approximately $397.0 million of assets related to the sale of our Omaha-based component of our Wealth Management business.</w:t>
      </w:r>
    </w:p>
    <w:p>
      <w:pPr>
        <w:sectPr>
          <w:pgSz w:w="11900" w:h="16838" w:orient="portrait"/>
          <w:cols w:equalWidth="0" w:num="1">
            <w:col w:w="11400"/>
          </w:cols>
          <w:pgMar w:left="240" w:top="121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9" w:right="259" w:bottom="1440" w:gutter="0" w:footer="0" w:header="0"/>
          <w:type w:val="continuous"/>
        </w:sectPr>
      </w:pPr>
    </w:p>
    <w:bookmarkStart w:id="30" w:name="page31"/>
    <w:bookmarkEnd w:id="30"/>
    <w:p>
      <w:pPr>
        <w:ind w:firstLine="486"/>
        <w:spacing w:after="0" w:line="259" w:lineRule="auto"/>
        <w:rPr>
          <w:sz w:val="20"/>
          <w:szCs w:val="20"/>
          <w:color w:val="auto"/>
        </w:rPr>
      </w:pPr>
      <w:r>
        <w:rPr>
          <w:rFonts w:ascii="Arial" w:cs="Arial" w:eastAsia="Arial" w:hAnsi="Arial"/>
          <w:sz w:val="18"/>
          <w:szCs w:val="18"/>
          <w:color w:val="auto"/>
        </w:rPr>
        <w:t>The increase in AUM for the year ended December 31, 2017 was due to market appreciation of $3.4 billion, partially offset by net outflows of $398.0 million, which included approximately $713.0 million of inflows in our Strategic Global Convertibles strategy that transitioned from AUA to AUM in the third quarter of 2017. Flows were primarily driven by net outflows in our SMidCap strategies and LargeCap Value strategy, partially offset by net inflows in our SmallCap Value and Market Neutral Income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003"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98" w:lineRule="auto"/>
        <w:rPr>
          <w:sz w:val="20"/>
          <w:szCs w:val="20"/>
          <w:color w:val="auto"/>
        </w:rPr>
      </w:pPr>
      <w:r>
        <w:rPr>
          <w:rFonts w:ascii="Arial" w:cs="Arial" w:eastAsia="Arial" w:hAnsi="Arial"/>
          <w:sz w:val="17"/>
          <w:szCs w:val="17"/>
          <w:color w:val="auto"/>
        </w:rPr>
        <w:t>The following table and discussion of our results of operations is based upon data derived from our Consolidated Statements of Comprehensive Income contained in our Consolidated Financial Statements and should be read in conjunction with these statements included elsewhere in this Report.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7"/>
          </w:tcPr>
          <w:p>
            <w:pPr>
              <w:ind w:left="500"/>
              <w:spacing w:after="0"/>
              <w:rPr>
                <w:sz w:val="20"/>
                <w:szCs w:val="20"/>
                <w:color w:val="auto"/>
              </w:rPr>
            </w:pPr>
            <w:r>
              <w:rPr>
                <w:rFonts w:ascii="Arial" w:cs="Arial" w:eastAsia="Arial" w:hAnsi="Arial"/>
                <w:sz w:val="16"/>
                <w:szCs w:val="16"/>
                <w:b w:val="1"/>
                <w:bCs w:val="1"/>
                <w:color w:val="auto"/>
              </w:rPr>
              <w:t>Years ended December 31, (in thousands)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5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22"/>
                <w:szCs w:val="22"/>
                <w:color w:val="auto"/>
              </w:rPr>
            </w:pPr>
          </w:p>
        </w:tc>
        <w:tc>
          <w:tcPr>
            <w:tcW w:w="920" w:type="dxa"/>
            <w:vAlign w:val="bottom"/>
          </w:tcPr>
          <w:p>
            <w:pPr>
              <w:jc w:val="right"/>
              <w:ind w:right="35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340" w:type="dxa"/>
            <w:vAlign w:val="bottom"/>
            <w:gridSpan w:val="2"/>
          </w:tcPr>
          <w:p>
            <w:pPr>
              <w:ind w:left="34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22"/>
                <w:szCs w:val="22"/>
                <w:color w:val="auto"/>
              </w:rPr>
            </w:pPr>
          </w:p>
        </w:tc>
        <w:tc>
          <w:tcPr>
            <w:tcW w:w="920" w:type="dxa"/>
            <w:vAlign w:val="bottom"/>
          </w:tcPr>
          <w:p>
            <w:pPr>
              <w:jc w:val="right"/>
              <w:ind w:right="355"/>
              <w:spacing w:after="0"/>
              <w:rPr>
                <w:sz w:val="20"/>
                <w:szCs w:val="20"/>
                <w:color w:val="auto"/>
              </w:rPr>
            </w:pPr>
            <w:r>
              <w:rPr>
                <w:rFonts w:ascii="Arial" w:cs="Arial" w:eastAsia="Arial" w:hAnsi="Arial"/>
                <w:sz w:val="16"/>
                <w:szCs w:val="16"/>
                <w:b w:val="1"/>
                <w:bCs w:val="1"/>
                <w:color w:val="auto"/>
              </w:rPr>
              <w:t>2017</w:t>
            </w:r>
          </w:p>
        </w:tc>
      </w:tr>
      <w:tr>
        <w:trPr>
          <w:trHeight w:val="33"/>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Advisory fees: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Asset-based</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57,033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89,367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99,201</w:t>
            </w:r>
          </w:p>
        </w:tc>
      </w:tr>
      <w:tr>
        <w:trPr>
          <w:trHeight w:val="243"/>
        </w:trPr>
        <w:tc>
          <w:tcPr>
            <w:tcW w:w="5000" w:type="dxa"/>
            <w:vAlign w:val="bottom"/>
          </w:tcPr>
          <w:p>
            <w:pPr>
              <w:ind w:left="54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764</w:t>
            </w:r>
          </w:p>
        </w:tc>
        <w:tc>
          <w:tcPr>
            <w:tcW w:w="1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2,984</w:t>
            </w:r>
          </w:p>
        </w:tc>
        <w:tc>
          <w:tcPr>
            <w:tcW w:w="10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1,411</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Trust fees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25,483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28,953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31,621</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799</w:t>
            </w:r>
          </w:p>
        </w:tc>
        <w:tc>
          <w:tcPr>
            <w:tcW w:w="1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996</w:t>
            </w:r>
          </w:p>
        </w:tc>
        <w:tc>
          <w:tcPr>
            <w:tcW w:w="1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1,552</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84,079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122,300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133,785</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50,152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59,959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64,955</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2,068</w:t>
            </w:r>
          </w:p>
        </w:tc>
        <w:tc>
          <w:tcPr>
            <w:tcW w:w="120" w:type="dxa"/>
            <w:vAlign w:val="bottom"/>
          </w:tcPr>
          <w:p>
            <w:pPr>
              <w:spacing w:after="0"/>
              <w:rPr>
                <w:sz w:val="21"/>
                <w:szCs w:val="21"/>
                <w:color w:val="auto"/>
              </w:rPr>
            </w:pPr>
          </w:p>
        </w:tc>
        <w:tc>
          <w:tcPr>
            <w:tcW w:w="1200" w:type="dxa"/>
            <w:vAlign w:val="bottom"/>
          </w:tcPr>
          <w:p>
            <w:pPr>
              <w:jc w:val="right"/>
              <w:ind w:right="115"/>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1,936</w:t>
            </w:r>
          </w:p>
        </w:tc>
        <w:tc>
          <w:tcPr>
            <w:tcW w:w="1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2,042</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Westwood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3,938</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Information technology</w:t>
            </w:r>
          </w:p>
        </w:tc>
        <w:tc>
          <w:tcPr>
            <w:tcW w:w="2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8,426</w:t>
            </w:r>
          </w:p>
        </w:tc>
        <w:tc>
          <w:tcPr>
            <w:tcW w:w="1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9,103</w:t>
            </w:r>
          </w:p>
        </w:tc>
        <w:tc>
          <w:tcPr>
            <w:tcW w:w="10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7,785</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4,322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5,916</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Legal settlement</w:t>
            </w:r>
          </w:p>
        </w:tc>
        <w:tc>
          <w:tcPr>
            <w:tcW w:w="2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36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ind w:left="38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4,009</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9,564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9,652</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(Gain) loss on foreign currency transactions</w:t>
            </w:r>
          </w:p>
        </w:tc>
        <w:tc>
          <w:tcPr>
            <w:tcW w:w="2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1,854</w:t>
            </w:r>
          </w:p>
        </w:tc>
        <w:tc>
          <w:tcPr>
            <w:tcW w:w="120" w:type="dxa"/>
            <w:vAlign w:val="bottom"/>
          </w:tcPr>
          <w:p>
            <w:pPr>
              <w:spacing w:after="0"/>
              <w:rPr>
                <w:sz w:val="21"/>
                <w:szCs w:val="21"/>
                <w:color w:val="auto"/>
              </w:rPr>
            </w:pPr>
          </w:p>
        </w:tc>
        <w:tc>
          <w:tcPr>
            <w:tcW w:w="1320" w:type="dxa"/>
            <w:vAlign w:val="bottom"/>
            <w:gridSpan w:val="2"/>
          </w:tcPr>
          <w:p>
            <w:pPr>
              <w:ind w:left="36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(2,791)</w:t>
            </w:r>
          </w:p>
        </w:tc>
        <w:tc>
          <w:tcPr>
            <w:tcW w:w="100" w:type="dxa"/>
            <w:vAlign w:val="bottom"/>
          </w:tcPr>
          <w:p>
            <w:pPr>
              <w:spacing w:after="0"/>
              <w:rPr>
                <w:sz w:val="21"/>
                <w:szCs w:val="21"/>
                <w:color w:val="auto"/>
              </w:rPr>
            </w:pPr>
          </w:p>
        </w:tc>
        <w:tc>
          <w:tcPr>
            <w:tcW w:w="1340" w:type="dxa"/>
            <w:vAlign w:val="bottom"/>
            <w:gridSpan w:val="2"/>
          </w:tcPr>
          <w:p>
            <w:pPr>
              <w:ind w:left="38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1,595</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79,435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86,362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99,892</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4,644</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35,938</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33,893</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on sale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NM</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7"/>
                <w:szCs w:val="17"/>
                <w:color w:val="auto"/>
              </w:rPr>
              <w:t>NM</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1"/>
                <w:szCs w:val="21"/>
                <w:color w:val="auto"/>
              </w:rPr>
            </w:pPr>
          </w:p>
        </w:tc>
        <w:tc>
          <w:tcPr>
            <w:tcW w:w="1320" w:type="dxa"/>
            <w:vAlign w:val="bottom"/>
            <w:gridSpan w:val="2"/>
          </w:tcPr>
          <w:p>
            <w:pPr>
              <w:ind w:left="36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gains on private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3,296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NM</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320" w:type="dxa"/>
            <w:vAlign w:val="bottom"/>
            <w:gridSpan w:val="2"/>
          </w:tcPr>
          <w:p>
            <w:pPr>
              <w:ind w:left="360"/>
              <w:spacing w:after="0"/>
              <w:rPr>
                <w:sz w:val="20"/>
                <w:szCs w:val="20"/>
                <w:color w:val="auto"/>
              </w:rPr>
            </w:pPr>
            <w:r>
              <w:rPr>
                <w:rFonts w:ascii="Arial" w:cs="Arial" w:eastAsia="Arial" w:hAnsi="Arial"/>
                <w:sz w:val="17"/>
                <w:szCs w:val="17"/>
                <w:color w:val="auto"/>
              </w:rPr>
              <w:t>NM</w:t>
            </w:r>
          </w:p>
        </w:tc>
        <w:tc>
          <w:tcPr>
            <w:tcW w:w="2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9,402</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36,462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33,893</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3,491</w:t>
            </w:r>
          </w:p>
        </w:tc>
        <w:tc>
          <w:tcPr>
            <w:tcW w:w="1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9,711</w:t>
            </w:r>
          </w:p>
        </w:tc>
        <w:tc>
          <w:tcPr>
            <w:tcW w:w="1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13,904</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5,911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26,751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19,989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Year Ended December 31, 2019 Compared to Year Ended December 31, 2018</w:t>
      </w:r>
    </w:p>
    <w:p>
      <w:pPr>
        <w:spacing w:after="0" w:line="11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Total revenues decreased $38.2 million, or 31%, to $84.1 million compared with $122.3 million for 2018.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 $32.3 million decrease in asset-based advisory fees, a $3.5 million decrease in Trust fees, and a $2.2 million decrease in performance-based fees. Advisory-based fees and Trust fees decreased as a result of lower average AUM compared to 2018.</w:t>
      </w:r>
    </w:p>
    <w:p>
      <w:pPr>
        <w:spacing w:after="0" w:line="73"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 costs decreased $9.8 million, or 16%, to $50.2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$60.0 million in 2018. The decrease was primarily due to reductions in compensation relating to short- and long-term incentive compensation as a result of lower asset-based revenues as compared to the prior year, and lower headcount.</w:t>
      </w:r>
    </w:p>
    <w:p>
      <w:pPr>
        <w:spacing w:after="0" w:line="73" w:lineRule="exact"/>
        <w:rPr>
          <w:sz w:val="20"/>
          <w:szCs w:val="20"/>
          <w:color w:val="auto"/>
        </w:rPr>
      </w:pPr>
    </w:p>
    <w:p>
      <w:pPr>
        <w:ind w:right="3080" w:firstLine="486"/>
        <w:spacing w:after="0" w:line="342" w:lineRule="auto"/>
        <w:rPr>
          <w:sz w:val="20"/>
          <w:szCs w:val="20"/>
          <w:color w:val="auto"/>
        </w:rPr>
      </w:pPr>
      <w:r>
        <w:rPr>
          <w:rFonts w:ascii="Arial" w:cs="Arial" w:eastAsia="Arial" w:hAnsi="Arial"/>
          <w:sz w:val="16"/>
          <w:szCs w:val="16"/>
          <w:i w:val="1"/>
          <w:iCs w:val="1"/>
          <w:color w:val="auto"/>
        </w:rPr>
        <w:t>Westwood Mutual Funds</w:t>
      </w:r>
      <w:r>
        <w:rPr>
          <w:rFonts w:ascii="Arial" w:cs="Arial" w:eastAsia="Arial" w:hAnsi="Arial"/>
          <w:sz w:val="16"/>
          <w:szCs w:val="16"/>
          <w:color w:val="auto"/>
        </w:rPr>
        <w:t>. Westwood mutual funds expenses decreased 19% to $3.1 million compared to $3.8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2018 primarily due to lower mutual funds average AUM, principally Income Opportunity outflows.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2" w:name="page33"/>
    <w:bookmarkEnd w:id="32"/>
    <w:p>
      <w:pPr>
        <w:ind w:right="240" w:firstLine="486"/>
        <w:spacing w:after="0" w:line="277" w:lineRule="auto"/>
        <w:rPr>
          <w:sz w:val="20"/>
          <w:szCs w:val="20"/>
          <w:color w:val="auto"/>
        </w:rPr>
      </w:pPr>
      <w:r>
        <w:rPr>
          <w:rFonts w:ascii="Arial" w:cs="Arial" w:eastAsia="Arial" w:hAnsi="Arial"/>
          <w:sz w:val="18"/>
          <w:szCs w:val="18"/>
          <w:i w:val="1"/>
          <w:iCs w:val="1"/>
          <w:color w:val="auto"/>
        </w:rPr>
        <w:t>Information Technology</w:t>
      </w:r>
      <w:r>
        <w:rPr>
          <w:rFonts w:ascii="Arial" w:cs="Arial" w:eastAsia="Arial" w:hAnsi="Arial"/>
          <w:sz w:val="18"/>
          <w:szCs w:val="18"/>
          <w:color w:val="auto"/>
        </w:rPr>
        <w:t>. Information technology costs decreased $0.7 million, or 7%, to $8.4 million compared with $9.1 million in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timing of implementation costs for our technology infrastructure.</w:t>
      </w:r>
    </w:p>
    <w:p>
      <w:pPr>
        <w:spacing w:after="0" w:line="6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$1.9 million foreign currency transaction losses in 2019 due to a 4% decrease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dollar exchange rate.</w:t>
      </w:r>
    </w:p>
    <w:p>
      <w:pPr>
        <w:spacing w:after="0" w:line="6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 xml:space="preserve">Unrealized gains on private investments. </w:t>
      </w:r>
      <w:r>
        <w:rPr>
          <w:rFonts w:ascii="Arial" w:cs="Arial" w:eastAsia="Arial" w:hAnsi="Arial"/>
          <w:sz w:val="18"/>
          <w:szCs w:val="18"/>
          <w:color w:val="auto"/>
        </w:rPr>
        <w:t>We recorded $3.3 million of unrealized gains on private investments in 2019. The increase in valuation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a $2.8 million valuation step-up in our investment in a private company, InvestCloud, a digital financial services provider ("InvestCloud") and a $0.5 million market value increase in our investment in Charis, the parent company of Westwood Private Bank ("Charis"). Further information is included in Note 3 "Investments" to our Consolidated Financial Statements included in Part II, Item 8, "Financial Statements and Supplementary Data" accompanying this Report.</w:t>
      </w:r>
    </w:p>
    <w:p>
      <w:pPr>
        <w:spacing w:after="0" w:line="13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increased to 37.1% for 2019 compared to 26.6% for 2018. The current year rate was negatively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a $0.6 million discrete tax expense related to a permanent difference between book and tax stock-based compensation expense following a decrease in our stock price between grant and vesting dates, as well as limitations on the deductibility of additional compensation under the Tax Cuts and Jobs Act (the "Tax Reform Act").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Year Ended December 31, 2018 Compared to Year Ended December 31, 2017</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Total revenues decreased $11.5 million, or 9%, to $122.3 million compared with $133.8 million for 2017.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 $9.8 million decrease in asset-based advisory fees and a $2.7 million decrease in Trust fees, partially offset by a $1.6 million increase in performance-based fees. Advisory-based fees decreased as a result of lower average AUM compared to 2017. Trust fees decreased primarily due to the sale of the Omaha-based component of our Wealth Management business.</w:t>
      </w:r>
    </w:p>
    <w:p>
      <w:pPr>
        <w:spacing w:after="0" w:line="79"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i w:val="1"/>
          <w:iCs w:val="1"/>
          <w:color w:val="auto"/>
        </w:rPr>
        <w:t xml:space="preserve">Employee Compensation and Benefits. </w:t>
      </w:r>
      <w:r>
        <w:rPr>
          <w:rFonts w:ascii="Arial" w:cs="Arial" w:eastAsia="Arial" w:hAnsi="Arial"/>
          <w:sz w:val="17"/>
          <w:szCs w:val="17"/>
          <w:color w:val="auto"/>
        </w:rPr>
        <w:t>Employee compensation and benefit costs decreased $5.0 million, or 8%, to $60.0 million compared with $65.0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2017 primarily due to the elimination of compensation following the sale of the Omaha-based component of our Wealth Management business and decreases in short- and long-term incentive compensation as a result of lower assets-based fees compared to the prior year.</w:t>
      </w:r>
    </w:p>
    <w:p>
      <w:pPr>
        <w:spacing w:after="0" w:line="5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i w:val="1"/>
          <w:iCs w:val="1"/>
          <w:color w:val="auto"/>
        </w:rPr>
        <w:t>Information Technology</w:t>
      </w:r>
      <w:r>
        <w:rPr>
          <w:rFonts w:ascii="Arial" w:cs="Arial" w:eastAsia="Arial" w:hAnsi="Arial"/>
          <w:sz w:val="18"/>
          <w:szCs w:val="18"/>
          <w:color w:val="auto"/>
        </w:rPr>
        <w:t>. Information technology costs increased $1.3 million, or 17%, to $9.1 million compared with $7.8 million in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implementation costs as we continue to invest in our technology infrastructure and increased research expenses.</w:t>
      </w:r>
    </w:p>
    <w:p>
      <w:pPr>
        <w:spacing w:after="0" w:line="62"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i w:val="1"/>
          <w:iCs w:val="1"/>
          <w:color w:val="auto"/>
        </w:rPr>
        <w:t xml:space="preserve">Professional Services. </w:t>
      </w:r>
      <w:r>
        <w:rPr>
          <w:rFonts w:ascii="Arial" w:cs="Arial" w:eastAsia="Arial" w:hAnsi="Arial"/>
          <w:sz w:val="16"/>
          <w:szCs w:val="16"/>
          <w:color w:val="auto"/>
        </w:rPr>
        <w:t>Professional services costs decreased $1.1 million, or 19%, to $4.8 million compared to $5.9 million in 2017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legal fees as the AGF litigation was settled in 2017 and the sale of our Omaha-based component was finalized in the first quarter of 2018.</w:t>
      </w:r>
    </w:p>
    <w:p>
      <w:pPr>
        <w:spacing w:after="0" w:line="16"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i w:val="1"/>
          <w:iCs w:val="1"/>
          <w:color w:val="auto"/>
        </w:rPr>
        <w:t xml:space="preserve">Legal Settlement. </w:t>
      </w:r>
      <w:r>
        <w:rPr>
          <w:rFonts w:ascii="Arial" w:cs="Arial" w:eastAsia="Arial" w:hAnsi="Arial"/>
          <w:sz w:val="18"/>
          <w:szCs w:val="18"/>
          <w:color w:val="auto"/>
        </w:rPr>
        <w:t>We recorded a net $4.0 million charge related to a legal settlement, net of associated insurance coverage, during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See further discussion of the settlement in Note 14 “Commitments and Contingencies” to our Consolidated Financial Statements included in Part II, Item 8, “Financial Statements and Supplementary Data”.</w:t>
      </w:r>
    </w:p>
    <w:p>
      <w:pPr>
        <w:spacing w:after="0" w:line="7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$2.8 million foreign currency transaction gains in 2018 due to an 8%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dollar exchange rate.</w:t>
      </w:r>
    </w:p>
    <w:p>
      <w:pPr>
        <w:spacing w:after="0" w:line="11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decreased to 26.6% for 2018 compared to 41.0% for 2017 primarily related to the Tax Reform Act</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in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our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considering financial information prepared in accordance with GAAP.</w:t>
      </w:r>
    </w:p>
    <w:p>
      <w:pPr>
        <w:spacing w:after="0" w:line="70"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w:t>
      </w:r>
    </w:p>
    <w:p>
      <w:pPr>
        <w:spacing w:after="0" w:line="62"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For the year ended December 31, 2019, our Economic Earnings decreased by 59% to $18.2 million compared with $43.9 million for the year ended December 31, 2018. The current year was impacted by lower revenue due to a decrease in quarterly average AUM, foreign currency transaction losses of $1.9 million and a higher effective tax rate, partially offset by lower employee compensation costs and unrealized gains on private investments.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net income to Economic Earnings for the years presented:</w:t>
      </w:r>
    </w:p>
    <w:p>
      <w:pPr>
        <w:spacing w:after="0" w:line="55" w:lineRule="exact"/>
        <w:rPr>
          <w:sz w:val="20"/>
          <w:szCs w:val="20"/>
          <w:color w:val="auto"/>
        </w:rPr>
      </w:pPr>
    </w:p>
    <w:p>
      <w:pPr>
        <w:jc w:val="center"/>
        <w:ind w:left="1960"/>
        <w:spacing w:after="0"/>
        <w:rPr>
          <w:sz w:val="20"/>
          <w:szCs w:val="20"/>
          <w:color w:val="auto"/>
        </w:rPr>
      </w:pPr>
      <w:r>
        <w:rPr>
          <w:rFonts w:ascii="Arial" w:cs="Arial" w:eastAsia="Arial" w:hAnsi="Arial"/>
          <w:sz w:val="14"/>
          <w:szCs w:val="14"/>
          <w:b w:val="1"/>
          <w:bCs w:val="1"/>
          <w:color w:val="auto"/>
        </w:rPr>
        <w:t>For the years ended December 31,</w:t>
      </w:r>
    </w:p>
    <w:p>
      <w:pPr>
        <w:spacing w:after="0" w:line="4" w:lineRule="exact"/>
        <w:rPr>
          <w:sz w:val="20"/>
          <w:szCs w:val="20"/>
          <w:color w:val="auto"/>
        </w:rPr>
      </w:pPr>
    </w:p>
    <w:p>
      <w:pPr>
        <w:jc w:val="center"/>
        <w:ind w:left="1960"/>
        <w:spacing w:after="0"/>
        <w:rPr>
          <w:sz w:val="20"/>
          <w:szCs w:val="20"/>
          <w:color w:val="auto"/>
        </w:rPr>
      </w:pPr>
      <w:r>
        <w:rPr>
          <w:rFonts w:ascii="Arial" w:cs="Arial" w:eastAsia="Arial" w:hAnsi="Arial"/>
          <w:sz w:val="14"/>
          <w:szCs w:val="14"/>
          <w:b w:val="1"/>
          <w:bCs w:val="1"/>
          <w:color w:val="auto"/>
        </w:rPr>
        <w:t>(in thousands, except percentages and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13335</wp:posOffset>
            </wp:positionV>
            <wp:extent cx="60115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8"/>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5,911</w:t>
            </w:r>
          </w:p>
        </w:tc>
        <w:tc>
          <w:tcPr>
            <w:tcW w:w="10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w w:val="93"/>
              </w:rPr>
              <w:t>(78)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26,751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19,989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22,647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27,105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Add: Stock-based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20"/>
              <w:spacing w:after="0"/>
              <w:rPr>
                <w:sz w:val="20"/>
                <w:szCs w:val="20"/>
                <w:color w:val="auto"/>
              </w:rPr>
            </w:pPr>
            <w:r>
              <w:rPr>
                <w:rFonts w:ascii="Arial" w:cs="Arial" w:eastAsia="Arial" w:hAnsi="Arial"/>
                <w:sz w:val="16"/>
                <w:szCs w:val="16"/>
                <w:color w:val="auto"/>
              </w:rPr>
              <w:t>compensation expense</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10,305</w:t>
            </w: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15,283</w:t>
            </w:r>
          </w:p>
        </w:tc>
        <w:tc>
          <w:tcPr>
            <w:tcW w:w="1020" w:type="dxa"/>
            <w:vAlign w:val="bottom"/>
            <w:gridSpan w:val="3"/>
          </w:tcPr>
          <w:p>
            <w:pPr>
              <w:jc w:val="right"/>
              <w:ind w:right="9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16,430</w:t>
            </w:r>
          </w:p>
        </w:tc>
        <w:tc>
          <w:tcPr>
            <w:tcW w:w="1020" w:type="dxa"/>
            <w:vAlign w:val="bottom"/>
            <w:gridSpan w:val="2"/>
          </w:tcPr>
          <w:p>
            <w:pPr>
              <w:jc w:val="right"/>
              <w:ind w:right="148"/>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15,954</w:t>
            </w:r>
          </w:p>
        </w:tc>
        <w:tc>
          <w:tcPr>
            <w:tcW w:w="1040" w:type="dxa"/>
            <w:vAlign w:val="bottom"/>
            <w:gridSpan w:val="2"/>
          </w:tcPr>
          <w:p>
            <w:pPr>
              <w:jc w:val="right"/>
              <w:ind w:right="108"/>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17,574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 Intangible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1,726</w:t>
            </w:r>
          </w:p>
        </w:tc>
        <w:tc>
          <w:tcPr>
            <w:tcW w:w="102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1,672</w:t>
            </w:r>
          </w:p>
        </w:tc>
        <w:tc>
          <w:tcPr>
            <w:tcW w:w="102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1,872</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1,960</w:t>
            </w:r>
          </w:p>
        </w:tc>
        <w:tc>
          <w:tcPr>
            <w:tcW w:w="10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20"/>
        </w:trPr>
        <w:tc>
          <w:tcPr>
            <w:tcW w:w="1960" w:type="dxa"/>
            <w:vAlign w:val="bottom"/>
          </w:tcPr>
          <w:p>
            <w:pPr>
              <w:ind w:left="220"/>
              <w:spacing w:after="0"/>
              <w:rPr>
                <w:sz w:val="20"/>
                <w:szCs w:val="20"/>
                <w:color w:val="auto"/>
              </w:rPr>
            </w:pPr>
            <w:r>
              <w:rPr>
                <w:rFonts w:ascii="Arial" w:cs="Arial" w:eastAsia="Arial" w:hAnsi="Arial"/>
                <w:sz w:val="16"/>
                <w:szCs w:val="16"/>
                <w:color w:val="auto"/>
              </w:rPr>
              <w:t>Add: Tax benefit from</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220"/>
              <w:spacing w:after="0"/>
              <w:rPr>
                <w:sz w:val="20"/>
                <w:szCs w:val="20"/>
                <w:color w:val="auto"/>
              </w:rPr>
            </w:pPr>
            <w:r>
              <w:rPr>
                <w:rFonts w:ascii="Arial" w:cs="Arial" w:eastAsia="Arial" w:hAnsi="Arial"/>
                <w:sz w:val="16"/>
                <w:szCs w:val="16"/>
                <w:color w:val="auto"/>
              </w:rPr>
              <w:t>goodwill amortization</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237</w:t>
            </w:r>
          </w:p>
        </w:tc>
        <w:tc>
          <w:tcPr>
            <w:tcW w:w="1020" w:type="dxa"/>
            <w:vAlign w:val="bottom"/>
            <w:gridSpan w:val="3"/>
          </w:tcPr>
          <w:p>
            <w:pPr>
              <w:jc w:val="right"/>
              <w:ind w:right="9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626</w:t>
            </w:r>
          </w:p>
        </w:tc>
        <w:tc>
          <w:tcPr>
            <w:tcW w:w="1020" w:type="dxa"/>
            <w:vAlign w:val="bottom"/>
            <w:gridSpan w:val="2"/>
          </w:tcPr>
          <w:p>
            <w:pPr>
              <w:jc w:val="right"/>
              <w:ind w:right="148"/>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547</w:t>
            </w:r>
          </w:p>
        </w:tc>
        <w:tc>
          <w:tcPr>
            <w:tcW w:w="1040" w:type="dxa"/>
            <w:vAlign w:val="bottom"/>
            <w:gridSpan w:val="2"/>
          </w:tcPr>
          <w:p>
            <w:pPr>
              <w:jc w:val="right"/>
              <w:ind w:right="148"/>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Economic Earnings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18,179</w:t>
            </w:r>
          </w:p>
        </w:tc>
        <w:tc>
          <w:tcPr>
            <w:tcW w:w="10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w w:val="93"/>
              </w:rPr>
              <w:t>(59)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43,943</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38,917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41,108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46,496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Economic Earnings per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2.15</w:t>
            </w: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w w:val="93"/>
              </w:rPr>
              <w:t>(58)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5.14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4.63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5.03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ind w:left="440"/>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Balance Sheet Data (in thousands)</w:t>
            </w:r>
          </w:p>
        </w:tc>
        <w:tc>
          <w:tcPr>
            <w:tcW w:w="30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5"/>
              <w:spacing w:after="0"/>
              <w:rPr>
                <w:sz w:val="20"/>
                <w:szCs w:val="20"/>
                <w:color w:val="auto"/>
              </w:rPr>
            </w:pPr>
            <w:r>
              <w:rPr>
                <w:rFonts w:ascii="Arial" w:cs="Arial" w:eastAsia="Arial" w:hAnsi="Arial"/>
                <w:sz w:val="16"/>
                <w:szCs w:val="16"/>
                <w:b w:val="1"/>
                <w:bCs w:val="1"/>
                <w:color w:val="auto"/>
              </w:rPr>
              <w:t>2018</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49,766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52,449</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40" w:type="dxa"/>
            <w:vAlign w:val="bottom"/>
          </w:tcPr>
          <w:p>
            <w:pPr>
              <w:ind w:left="420"/>
              <w:spacing w:after="0"/>
              <w:rPr>
                <w:sz w:val="20"/>
                <w:szCs w:val="20"/>
                <w:color w:val="auto"/>
              </w:rPr>
            </w:pPr>
            <w:r>
              <w:rPr>
                <w:rFonts w:ascii="Arial" w:cs="Arial" w:eastAsia="Arial" w:hAnsi="Arial"/>
                <w:sz w:val="17"/>
                <w:szCs w:val="17"/>
                <w:color w:val="auto"/>
              </w:rPr>
              <w:t>13,177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18,429</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liquid assets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62,943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70,878</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ind w:left="420"/>
              <w:spacing w:after="0"/>
              <w:rPr>
                <w:sz w:val="20"/>
                <w:szCs w:val="20"/>
                <w:color w:val="auto"/>
              </w:rPr>
            </w:pPr>
            <w:r>
              <w:rPr>
                <w:rFonts w:ascii="Arial" w:cs="Arial" w:eastAsia="Arial" w:hAnsi="Arial"/>
                <w:sz w:val="17"/>
                <w:szCs w:val="17"/>
                <w:color w:val="auto"/>
              </w:rPr>
              <w:t>50,324</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65,781</w:t>
            </w:r>
          </w:p>
        </w:tc>
      </w:tr>
    </w:tbl>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had cash and short-term investments of $100.1 million and $118.2 million as of December 31, 2019 and 2018, respectively. Cash and cash equivalents includes approximately $31 million and $33 million of undistributed income from Westwood International Advisors as of December 31, 2019 and 2018, respectively. If these funds were needed for our U.S. operations, we would be required to accrue and pay a 5% incremental Canadian withholding tax to repatriate a portion of these funds. Our current intent is to permanently reinvest the funds subject to withholding taxes outside of the U.S., and our current forecasts do not demonstrate a need to repatriate them to fund our U.S. operations.</w:t>
      </w:r>
    </w:p>
    <w:p>
      <w:pPr>
        <w:spacing w:after="0" w:line="134"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At December 31, 2019 and 2018, working capital aggregated $95.6 million and $112.6 million, respectively. As required by the Finance Code, Westwood Trust is subject to a minimum capital requirement of $4.0 million. At December 31, 2019, Westwood Trust had approximately $7.9 million in excess of its minimum capital requirement. We had no debt at December 31, 2019 or December 31, 2018.</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20" w:type="dxa"/>
            <w:vAlign w:val="bottom"/>
          </w:tcPr>
          <w:p>
            <w:pPr>
              <w:spacing w:after="0"/>
              <w:rPr>
                <w:sz w:val="18"/>
                <w:szCs w:val="18"/>
                <w:color w:val="auto"/>
              </w:rPr>
            </w:pPr>
          </w:p>
        </w:tc>
      </w:tr>
      <w:tr>
        <w:trPr>
          <w:trHeight w:val="33"/>
        </w:trPr>
        <w:tc>
          <w:tcPr>
            <w:tcW w:w="7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Cash Flow Data (in thousands)</w:t>
            </w:r>
          </w:p>
        </w:tc>
        <w:tc>
          <w:tcPr>
            <w:tcW w:w="300" w:type="dxa"/>
            <w:vAlign w:val="bottom"/>
          </w:tcPr>
          <w:p>
            <w:pPr>
              <w:spacing w:after="0"/>
              <w:rPr>
                <w:sz w:val="18"/>
                <w:szCs w:val="18"/>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96"/>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7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32,172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31,484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48,009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Investing cash flows</w:t>
            </w:r>
          </w:p>
        </w:tc>
        <w:tc>
          <w:tcPr>
            <w:tcW w:w="3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(4,848)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3,597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(1,167)</w:t>
            </w:r>
          </w:p>
        </w:tc>
      </w:tr>
      <w:tr>
        <w:trPr>
          <w:trHeight w:val="27"/>
        </w:trPr>
        <w:tc>
          <w:tcPr>
            <w:tcW w:w="7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(31,870)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(34,115)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(28,577)</w:t>
            </w:r>
          </w:p>
        </w:tc>
      </w:tr>
      <w:tr>
        <w:trPr>
          <w:trHeight w:val="27"/>
        </w:trPr>
        <w:tc>
          <w:tcPr>
            <w:tcW w:w="7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Historically we have funded our operations and cash requirements with cash generated from operating activities. We may also use cash from operations to pay dividends to our stockholders. The changes in net cash provided by operating activities generally reflect the changes in earnings plus the effects of non-cash items and changes in working capital. Changes in working capital, especially accounts receivable and accounts payable, generally result from timing differences between collection of fees billed and payment of operating expenses.</w:t>
      </w:r>
    </w:p>
    <w:p>
      <w:pPr>
        <w:spacing w:after="0" w:line="13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2019, cash flow provided by operating activities aggregated $32.2 million compared to cash provided by operations of $31.5 million during 2018 and $48.0 million during 2017. The increase of $0.7 million from 2018 to 2019 was primarily due to cash transferred from our investment accounts, offset by changes in operating assets, liabilities and net income. The decrease of $16.5 million from 2017 to 2018 was primarily due to cash transferred to our investment accounts offset by changes in operating assets and liabilities and net income.</w:t>
      </w:r>
    </w:p>
    <w:p>
      <w:pPr>
        <w:spacing w:after="0" w:line="13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Cash flow used in investing activities during 2019 of $4.8 million was primarily related to our investment in Charis. Cash flow provided by investing activities during 2018 of $3.6 million primarily related to the proceeds from the sale of our Omaha-based component of our Wealth Management business, partially offset by a $5.4 million investment in InvestCloud. Cash flow used in investing activities in 2017 of $1.2 million primarily related to the purchase of property and equipment.</w:t>
      </w:r>
    </w:p>
    <w:p>
      <w:pPr>
        <w:spacing w:after="0" w:line="133"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Cash used in financing activities was $31.9 million in 2019 compared to $34.1 million and $28.6 million in 2018 and 2017, respectively. The decrease in 2019 primarily related to repurchases of common stock under our share repurchase plan and the amount of restricted stock shares withheld for annual vesting, partially offset by higher dividends. The increase from 2017 to 2018 related to repurchases of common stock under our share repurchase plan.</w:t>
      </w:r>
    </w:p>
    <w:p>
      <w:pPr>
        <w:spacing w:after="0" w:line="93"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Our future liquidity and capital requirements will depend upon numerous factors, including results of operations, the timing and magnitude of capital expenditures or strategic initiatives, our dividend policy and other business and risk factors described under “Item 1A. Risk Factors” in this Report.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dividends declared during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Dividends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3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3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Paid Date</w:t>
            </w:r>
          </w:p>
        </w:tc>
        <w:tc>
          <w:tcPr>
            <w:tcW w:w="2280" w:type="dxa"/>
            <w:vAlign w:val="bottom"/>
          </w:tcPr>
          <w:p>
            <w:pPr>
              <w:jc w:val="right"/>
              <w:ind w:right="375"/>
              <w:spacing w:after="0"/>
              <w:rPr>
                <w:sz w:val="20"/>
                <w:szCs w:val="20"/>
                <w:color w:val="auto"/>
              </w:rPr>
            </w:pPr>
            <w:r>
              <w:rPr>
                <w:rFonts w:ascii="Arial" w:cs="Arial" w:eastAsia="Arial" w:hAnsi="Arial"/>
                <w:sz w:val="16"/>
                <w:szCs w:val="16"/>
                <w:b w:val="1"/>
                <w:bCs w:val="1"/>
                <w:color w:val="auto"/>
              </w:rPr>
              <w:t>Dividend Per Share</w:t>
            </w:r>
          </w:p>
        </w:tc>
      </w:tr>
      <w:tr>
        <w:trPr>
          <w:trHeight w:val="33"/>
        </w:trPr>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0"/>
        </w:trPr>
        <w:tc>
          <w:tcPr>
            <w:tcW w:w="3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6, 2019</w:t>
            </w:r>
          </w:p>
        </w:tc>
        <w:tc>
          <w:tcPr>
            <w:tcW w:w="3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March 8, 2019</w:t>
            </w:r>
          </w:p>
        </w:tc>
        <w:tc>
          <w:tcPr>
            <w:tcW w:w="3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6"/>
              </w:rPr>
              <w:t>April 1, 2019</w:t>
            </w:r>
          </w:p>
        </w:tc>
        <w:tc>
          <w:tcPr>
            <w:tcW w:w="228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7"/>
                <w:szCs w:val="17"/>
                <w:color w:val="auto"/>
              </w:rPr>
              <w:t>$0.72</w:t>
            </w:r>
          </w:p>
        </w:tc>
      </w:tr>
      <w:tr>
        <w:trPr>
          <w:trHeight w:val="226"/>
        </w:trPr>
        <w:tc>
          <w:tcPr>
            <w:tcW w:w="302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April 24, 2019</w:t>
            </w:r>
          </w:p>
        </w:tc>
        <w:tc>
          <w:tcPr>
            <w:tcW w:w="302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June 7, 2019</w:t>
            </w:r>
          </w:p>
        </w:tc>
        <w:tc>
          <w:tcPr>
            <w:tcW w:w="30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July 1, 2019</w:t>
            </w:r>
          </w:p>
        </w:tc>
        <w:tc>
          <w:tcPr>
            <w:tcW w:w="2280" w:type="dxa"/>
            <w:vAlign w:val="bottom"/>
          </w:tcPr>
          <w:p>
            <w:pPr>
              <w:jc w:val="right"/>
              <w:ind w:right="935"/>
              <w:spacing w:after="0"/>
              <w:rPr>
                <w:sz w:val="20"/>
                <w:szCs w:val="20"/>
                <w:color w:val="auto"/>
              </w:rPr>
            </w:pPr>
            <w:r>
              <w:rPr>
                <w:rFonts w:ascii="Arial" w:cs="Arial" w:eastAsia="Arial" w:hAnsi="Arial"/>
                <w:sz w:val="17"/>
                <w:szCs w:val="17"/>
                <w:color w:val="auto"/>
              </w:rPr>
              <w:t>$0.72</w:t>
            </w:r>
          </w:p>
        </w:tc>
      </w:tr>
      <w:tr>
        <w:trPr>
          <w:trHeight w:val="31"/>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0"/>
              </w:rPr>
              <w:t>July 31, 2019</w:t>
            </w:r>
          </w:p>
        </w:tc>
        <w:tc>
          <w:tcPr>
            <w:tcW w:w="3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September 6, 2019</w:t>
            </w:r>
          </w:p>
        </w:tc>
        <w:tc>
          <w:tcPr>
            <w:tcW w:w="3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October 1, 2019</w:t>
            </w:r>
          </w:p>
        </w:tc>
        <w:tc>
          <w:tcPr>
            <w:tcW w:w="228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7"/>
                <w:szCs w:val="17"/>
                <w:color w:val="auto"/>
              </w:rPr>
              <w:t>$0.72</w:t>
            </w:r>
          </w:p>
        </w:tc>
      </w:tr>
      <w:tr>
        <w:trPr>
          <w:trHeight w:val="226"/>
        </w:trPr>
        <w:tc>
          <w:tcPr>
            <w:tcW w:w="302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October 30, 2019</w:t>
            </w:r>
          </w:p>
        </w:tc>
        <w:tc>
          <w:tcPr>
            <w:tcW w:w="30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December 6, 2019</w:t>
            </w:r>
          </w:p>
        </w:tc>
        <w:tc>
          <w:tcPr>
            <w:tcW w:w="30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January 2, 2020</w:t>
            </w:r>
          </w:p>
        </w:tc>
        <w:tc>
          <w:tcPr>
            <w:tcW w:w="2280" w:type="dxa"/>
            <w:vAlign w:val="bottom"/>
          </w:tcPr>
          <w:p>
            <w:pPr>
              <w:jc w:val="right"/>
              <w:ind w:right="935"/>
              <w:spacing w:after="0"/>
              <w:rPr>
                <w:sz w:val="20"/>
                <w:szCs w:val="20"/>
                <w:color w:val="auto"/>
              </w:rPr>
            </w:pPr>
            <w:r>
              <w:rPr>
                <w:rFonts w:ascii="Arial" w:cs="Arial" w:eastAsia="Arial" w:hAnsi="Arial"/>
                <w:sz w:val="17"/>
                <w:szCs w:val="17"/>
                <w:color w:val="auto"/>
              </w:rPr>
              <w:t>$0.72</w:t>
            </w:r>
          </w:p>
        </w:tc>
      </w:tr>
      <w:tr>
        <w:trPr>
          <w:trHeight w:val="31"/>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75"/>
        </w:trPr>
        <w:tc>
          <w:tcPr>
            <w:tcW w:w="2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7"/>
                <w:szCs w:val="17"/>
                <w:color w:val="auto"/>
              </w:rPr>
              <w:t>$2.88</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Dividends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3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3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Paid Date</w:t>
            </w:r>
          </w:p>
        </w:tc>
        <w:tc>
          <w:tcPr>
            <w:tcW w:w="2280" w:type="dxa"/>
            <w:vAlign w:val="bottom"/>
          </w:tcPr>
          <w:p>
            <w:pPr>
              <w:jc w:val="right"/>
              <w:ind w:right="375"/>
              <w:spacing w:after="0"/>
              <w:rPr>
                <w:sz w:val="20"/>
                <w:szCs w:val="20"/>
                <w:color w:val="auto"/>
              </w:rPr>
            </w:pPr>
            <w:r>
              <w:rPr>
                <w:rFonts w:ascii="Arial" w:cs="Arial" w:eastAsia="Arial" w:hAnsi="Arial"/>
                <w:sz w:val="16"/>
                <w:szCs w:val="16"/>
                <w:b w:val="1"/>
                <w:bCs w:val="1"/>
                <w:color w:val="auto"/>
              </w:rPr>
              <w:t>Dividend Per Share</w:t>
            </w:r>
          </w:p>
        </w:tc>
      </w:tr>
      <w:tr>
        <w:trPr>
          <w:trHeight w:val="33"/>
        </w:trPr>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0"/>
        </w:trPr>
        <w:tc>
          <w:tcPr>
            <w:tcW w:w="3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7, 2018</w:t>
            </w:r>
          </w:p>
        </w:tc>
        <w:tc>
          <w:tcPr>
            <w:tcW w:w="3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March 9, 2018</w:t>
            </w:r>
          </w:p>
        </w:tc>
        <w:tc>
          <w:tcPr>
            <w:tcW w:w="3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6"/>
              </w:rPr>
              <w:t>April 2, 2018</w:t>
            </w:r>
          </w:p>
        </w:tc>
        <w:tc>
          <w:tcPr>
            <w:tcW w:w="228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7"/>
                <w:szCs w:val="17"/>
                <w:color w:val="auto"/>
              </w:rPr>
              <w:t>$0.68</w:t>
            </w:r>
          </w:p>
        </w:tc>
      </w:tr>
      <w:tr>
        <w:trPr>
          <w:trHeight w:val="226"/>
        </w:trPr>
        <w:tc>
          <w:tcPr>
            <w:tcW w:w="302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April 25, 2018</w:t>
            </w:r>
          </w:p>
        </w:tc>
        <w:tc>
          <w:tcPr>
            <w:tcW w:w="302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June 8, 2018</w:t>
            </w:r>
          </w:p>
        </w:tc>
        <w:tc>
          <w:tcPr>
            <w:tcW w:w="30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July 2, 2018</w:t>
            </w:r>
          </w:p>
        </w:tc>
        <w:tc>
          <w:tcPr>
            <w:tcW w:w="2280" w:type="dxa"/>
            <w:vAlign w:val="bottom"/>
          </w:tcPr>
          <w:p>
            <w:pPr>
              <w:jc w:val="right"/>
              <w:ind w:right="935"/>
              <w:spacing w:after="0"/>
              <w:rPr>
                <w:sz w:val="20"/>
                <w:szCs w:val="20"/>
                <w:color w:val="auto"/>
              </w:rPr>
            </w:pPr>
            <w:r>
              <w:rPr>
                <w:rFonts w:ascii="Arial" w:cs="Arial" w:eastAsia="Arial" w:hAnsi="Arial"/>
                <w:sz w:val="17"/>
                <w:szCs w:val="17"/>
                <w:color w:val="auto"/>
              </w:rPr>
              <w:t>$0.68</w:t>
            </w:r>
          </w:p>
        </w:tc>
      </w:tr>
      <w:tr>
        <w:trPr>
          <w:trHeight w:val="31"/>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0"/>
              </w:rPr>
              <w:t>July 25, 2018</w:t>
            </w:r>
          </w:p>
        </w:tc>
        <w:tc>
          <w:tcPr>
            <w:tcW w:w="3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September 7, 2018</w:t>
            </w:r>
          </w:p>
        </w:tc>
        <w:tc>
          <w:tcPr>
            <w:tcW w:w="3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October 1, 2018</w:t>
            </w:r>
          </w:p>
        </w:tc>
        <w:tc>
          <w:tcPr>
            <w:tcW w:w="228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7"/>
                <w:szCs w:val="17"/>
                <w:color w:val="auto"/>
              </w:rPr>
              <w:t>$0.68</w:t>
            </w:r>
          </w:p>
        </w:tc>
      </w:tr>
      <w:tr>
        <w:trPr>
          <w:trHeight w:val="226"/>
        </w:trPr>
        <w:tc>
          <w:tcPr>
            <w:tcW w:w="302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October 24, 2018</w:t>
            </w:r>
          </w:p>
        </w:tc>
        <w:tc>
          <w:tcPr>
            <w:tcW w:w="30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December 7, 2018</w:t>
            </w:r>
          </w:p>
        </w:tc>
        <w:tc>
          <w:tcPr>
            <w:tcW w:w="30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January 2, 2019</w:t>
            </w:r>
          </w:p>
        </w:tc>
        <w:tc>
          <w:tcPr>
            <w:tcW w:w="2280" w:type="dxa"/>
            <w:vAlign w:val="bottom"/>
          </w:tcPr>
          <w:p>
            <w:pPr>
              <w:jc w:val="right"/>
              <w:ind w:right="935"/>
              <w:spacing w:after="0"/>
              <w:rPr>
                <w:sz w:val="20"/>
                <w:szCs w:val="20"/>
                <w:color w:val="auto"/>
              </w:rPr>
            </w:pPr>
            <w:r>
              <w:rPr>
                <w:rFonts w:ascii="Arial" w:cs="Arial" w:eastAsia="Arial" w:hAnsi="Arial"/>
                <w:sz w:val="17"/>
                <w:szCs w:val="17"/>
                <w:color w:val="auto"/>
              </w:rPr>
              <w:t>$0.72</w:t>
            </w:r>
          </w:p>
        </w:tc>
      </w:tr>
      <w:tr>
        <w:trPr>
          <w:trHeight w:val="31"/>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75"/>
        </w:trPr>
        <w:tc>
          <w:tcPr>
            <w:tcW w:w="2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7"/>
                <w:szCs w:val="17"/>
                <w:color w:val="auto"/>
              </w:rPr>
              <w:t>$2.76</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Payments due in:</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Less than 1 year</w:t>
            </w:r>
          </w:p>
        </w:tc>
        <w:tc>
          <w:tcPr>
            <w:tcW w:w="120" w:type="dxa"/>
            <w:vAlign w:val="bottom"/>
          </w:tcPr>
          <w:p>
            <w:pPr>
              <w:spacing w:after="0"/>
              <w:rPr>
                <w:sz w:val="18"/>
                <w:szCs w:val="18"/>
                <w:color w:val="auto"/>
              </w:rPr>
            </w:pPr>
          </w:p>
        </w:tc>
        <w:tc>
          <w:tcPr>
            <w:tcW w:w="1480" w:type="dxa"/>
            <w:vAlign w:val="bottom"/>
            <w:gridSpan w:val="2"/>
          </w:tcPr>
          <w:p>
            <w:pPr>
              <w:ind w:left="30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4-5 years</w:t>
            </w:r>
          </w:p>
        </w:tc>
        <w:tc>
          <w:tcPr>
            <w:tcW w:w="240" w:type="dxa"/>
            <w:vAlign w:val="bottom"/>
          </w:tcPr>
          <w:p>
            <w:pPr>
              <w:spacing w:after="0"/>
              <w:rPr>
                <w:sz w:val="18"/>
                <w:szCs w:val="18"/>
                <w:color w:val="auto"/>
              </w:rPr>
            </w:pPr>
          </w:p>
        </w:tc>
        <w:tc>
          <w:tcPr>
            <w:tcW w:w="1280" w:type="dxa"/>
            <w:vAlign w:val="bottom"/>
          </w:tcPr>
          <w:p>
            <w:pPr>
              <w:jc w:val="right"/>
              <w:ind w:right="317"/>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340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11,018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4,385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4,394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1,715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524</w:t>
            </w:r>
          </w:p>
        </w:tc>
      </w:tr>
    </w:tbl>
    <w:p>
      <w:pPr>
        <w:spacing w:after="0" w:line="341" w:lineRule="exact"/>
        <w:rPr>
          <w:sz w:val="20"/>
          <w:szCs w:val="20"/>
          <w:color w:val="auto"/>
        </w:rPr>
      </w:pPr>
    </w:p>
    <w:p>
      <w:pPr>
        <w:ind w:left="300" w:hanging="211"/>
        <w:spacing w:after="0"/>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“purchase obligation” is defined as an agreement to purchase goods or services that is enforceable and legally binding and that specifies all significant terms, including</w:t>
      </w:r>
    </w:p>
    <w:p>
      <w:pPr>
        <w:spacing w:after="0" w:line="42" w:lineRule="exact"/>
        <w:rPr>
          <w:rFonts w:ascii="Arial" w:cs="Arial" w:eastAsia="Arial" w:hAnsi="Arial"/>
          <w:sz w:val="14"/>
          <w:szCs w:val="14"/>
          <w:color w:val="auto"/>
        </w:rPr>
      </w:pPr>
    </w:p>
    <w:p>
      <w:pPr>
        <w:ind w:left="80" w:right="40"/>
        <w:spacing w:after="0" w:line="252" w:lineRule="auto"/>
        <w:rPr>
          <w:rFonts w:ascii="Arial" w:cs="Arial" w:eastAsia="Arial" w:hAnsi="Arial"/>
          <w:sz w:val="14"/>
          <w:szCs w:val="14"/>
          <w:color w:val="auto"/>
        </w:rPr>
      </w:pPr>
      <w:r>
        <w:rPr>
          <w:rFonts w:ascii="Arial" w:cs="Arial" w:eastAsia="Arial" w:hAnsi="Arial"/>
          <w:sz w:val="16"/>
          <w:szCs w:val="16"/>
          <w:color w:val="auto"/>
        </w:rPr>
        <w:t>(a) fixed or minimum quantities to be purchased; (b) fixed, minimum or variable price provisions; and (c) the approximate timing of the transaction. Our purchase obligations relate to obligations associated with implementing and operating new information technology platforms and outsourcing services. The above purchase obligations exclude agreements that are cancelable without significant penalty.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any off-balance sheet arrangements.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policies critical.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type w:val="continuous"/>
        </w:sectPr>
      </w:pPr>
    </w:p>
    <w:bookmarkStart w:id="36" w:name="page37"/>
    <w:bookmarkEnd w:id="36"/>
    <w:p>
      <w:pPr>
        <w:ind w:right="40"/>
        <w:spacing w:after="0" w:line="277" w:lineRule="auto"/>
        <w:rPr>
          <w:sz w:val="20"/>
          <w:szCs w:val="20"/>
          <w:color w:val="auto"/>
        </w:rPr>
      </w:pPr>
      <w:r>
        <w:rPr>
          <w:rFonts w:ascii="Arial" w:cs="Arial" w:eastAsia="Arial" w:hAnsi="Arial"/>
          <w:sz w:val="18"/>
          <w:szCs w:val="18"/>
          <w:color w:val="auto"/>
        </w:rPr>
        <w:t>whenever contractual arrangements change, the entity receives additional equity or returns equity to its investors or changes in facts and circumstances occur that change the investors' abilities to direct the activities of the entity.</w:t>
      </w:r>
    </w:p>
    <w:p>
      <w:pPr>
        <w:spacing w:after="0" w:line="6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75"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38"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Westwood Investment Funds PLC (the “UCITS Fund”) and the Westwood Funds® and (iii) our investments in InvestCloud and Charis discussed in Note 3 </w:t>
      </w:r>
      <w:r>
        <w:rPr>
          <w:rFonts w:ascii="Arial" w:cs="Arial" w:eastAsia="Arial" w:hAnsi="Arial"/>
          <w:sz w:val="16"/>
          <w:szCs w:val="16"/>
          <w:color w:val="222222"/>
        </w:rPr>
        <w:t xml:space="preserve">“Investments” to our Consolidated Financial Statements included in Part II. Item 8 </w:t>
      </w:r>
      <w:r>
        <w:rPr>
          <w:rFonts w:ascii="Arial" w:cs="Arial" w:eastAsia="Arial" w:hAnsi="Arial"/>
          <w:sz w:val="16"/>
          <w:szCs w:val="16"/>
          <w:color w:val="000000"/>
        </w:rPr>
        <w:t>“Financial Statements and Supplementary Data” (“Private Equity”) to</w:t>
      </w:r>
      <w:r>
        <w:rPr>
          <w:rFonts w:ascii="Arial" w:cs="Arial" w:eastAsia="Arial" w:hAnsi="Arial"/>
          <w:sz w:val="16"/>
          <w:szCs w:val="16"/>
          <w:color w:val="222222"/>
        </w:rPr>
        <w:t xml:space="preserve"> </w:t>
      </w:r>
      <w:r>
        <w:rPr>
          <w:rFonts w:ascii="Arial" w:cs="Arial" w:eastAsia="Arial" w:hAnsi="Arial"/>
          <w:sz w:val="16"/>
          <w:szCs w:val="16"/>
          <w:color w:val="000000"/>
        </w:rPr>
        <w:t>determine whether each of these entities is a variable interest entity (“VIE”) or voting ownership entity (“VOE”).</w:t>
      </w:r>
    </w:p>
    <w:p>
      <w:pPr>
        <w:spacing w:after="0" w:line="50"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73"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Although we have related parties on the UCITS Fund board of directors, the shareholders have rights to remove the current directors by a simple majority vote and so we determined that the UCITS Fund is not a VIE.</w:t>
      </w:r>
    </w:p>
    <w:p>
      <w:pPr>
        <w:spacing w:after="0" w:line="62"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Based on our analyses, we determined the UCITS Fund,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57"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 xml:space="preserve">Based on our analyses of our investments in these entities for the periods ending December 31, 2019 and 2018, we have not consolidated the CTFs or Private Funds under the VIE method or the UCITS Fund, Westwood Funds® or Private Equity under the VOE method, and therefore the financial results of these entities are not included in the Company’s consolidated financial results. We have included the disclosures related to VIEs and VOEs in Note 12 “Variable Interest Entities” </w:t>
      </w:r>
      <w:r>
        <w:rPr>
          <w:rFonts w:ascii="Arial" w:cs="Arial" w:eastAsia="Arial" w:hAnsi="Arial"/>
          <w:sz w:val="16"/>
          <w:szCs w:val="16"/>
          <w:color w:val="222222"/>
        </w:rPr>
        <w:t>to our Consolidated Financial Statements included in Part II. Item 8</w:t>
      </w:r>
      <w:r>
        <w:rPr>
          <w:rFonts w:ascii="Arial" w:cs="Arial" w:eastAsia="Arial" w:hAnsi="Arial"/>
          <w:sz w:val="16"/>
          <w:szCs w:val="16"/>
          <w:color w:val="auto"/>
        </w:rPr>
        <w:t xml:space="preserve"> “Financial Statements and Supplementary Data.”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Goodwill is tested for impairment, at least annually. We assess the recoverability of the carrying amount of goodwill either qualitatively or quantitatively as of July 1 of each fiscal year, or whenever events or changes in circumstances indicate that the carrying amount of the assets may not be fully recoverable. When assessing the recoverability of goodwill, we may first assess qualitative factors. If an initial qualitative assessment indicates that it is more likely than not that the carrying amount exceeds fair value, a quantitative analysis may be required. We may also elect to skip the qualitative assessment and proceed directly to the quantitative analysis.</w:t>
      </w:r>
    </w:p>
    <w:p>
      <w:pPr>
        <w:spacing w:after="0" w:line="80"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Recoverability of the carrying value of goodwill is measured at the reporting unit level. We have identified two reporting units, which are consistent with our reporting segments. In performing a quantitative analysis, we measure the recoverability of goodwill for our reporting units using a combination of the income approach and the market multiple approach. The income approach is based on the long-term projected future cash flows of the reporting units. We discount the estimated cash flows to present value using a weighted average cost of capital that considers factors such as market assumptions, the timing of cash flows and the risks inherent in such cash flows. The key assumptions used in the market multiple valuation require significant</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03" w:right="299" w:bottom="1440" w:gutter="0" w:footer="0" w:header="0"/>
        </w:sectPr>
      </w:pPr>
    </w:p>
    <w:bookmarkStart w:id="37" w:name="page38"/>
    <w:bookmarkEnd w:id="37"/>
    <w:p>
      <w:pPr>
        <w:ind w:right="260"/>
        <w:spacing w:after="0" w:line="277" w:lineRule="auto"/>
        <w:rPr>
          <w:sz w:val="20"/>
          <w:szCs w:val="20"/>
          <w:color w:val="auto"/>
        </w:rPr>
      </w:pPr>
      <w:r>
        <w:rPr>
          <w:rFonts w:ascii="Arial" w:cs="Arial" w:eastAsia="Arial" w:hAnsi="Arial"/>
          <w:sz w:val="18"/>
          <w:szCs w:val="18"/>
          <w:color w:val="auto"/>
        </w:rPr>
        <w:t>management judgment, including the determination of our peer group and the valuation multiples of such peer group. If the carrying value exceeds the fair value, an impairment loss is measured by reducing the goodwill to the fair market value.</w:t>
      </w:r>
    </w:p>
    <w:p>
      <w:pPr>
        <w:spacing w:after="0" w:line="62" w:lineRule="exact"/>
        <w:rPr>
          <w:sz w:val="20"/>
          <w:szCs w:val="20"/>
          <w:color w:val="auto"/>
        </w:rPr>
      </w:pPr>
    </w:p>
    <w:p>
      <w:pPr>
        <w:ind w:right="1140" w:firstLine="486"/>
        <w:spacing w:after="0" w:line="375" w:lineRule="auto"/>
        <w:rPr>
          <w:sz w:val="20"/>
          <w:szCs w:val="20"/>
          <w:color w:val="auto"/>
        </w:rPr>
      </w:pPr>
      <w:r>
        <w:rPr>
          <w:rFonts w:ascii="Arial" w:cs="Arial" w:eastAsia="Arial" w:hAnsi="Arial"/>
          <w:sz w:val="18"/>
          <w:szCs w:val="18"/>
          <w:color w:val="auto"/>
        </w:rPr>
        <w:t xml:space="preserve">We completed our annual impairment assessments during 2019, 2018 and 2017 and concluded that no impairment losses were required. </w:t>
      </w:r>
      <w:r>
        <w:rPr>
          <w:rFonts w:ascii="Arial" w:cs="Arial" w:eastAsia="Arial" w:hAnsi="Arial"/>
          <w:sz w:val="18"/>
          <w:szCs w:val="18"/>
          <w:i w:val="1"/>
          <w:iCs w:val="1"/>
          <w:color w:val="auto"/>
        </w:rPr>
        <w:t>Accounting for Income Taxes</w:t>
      </w:r>
    </w:p>
    <w:p>
      <w:pPr>
        <w:spacing w:after="0" w:line="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 xml:space="preserve">We operate in several states and countries and are required to allocate our income, expenses and earnings under the various laws and regulations of these tax jurisdictions. Accordingly, our provision for income taxes reflects the statutory tax obligations of the jurisdictions in which we operate. Significant judgment and complex calculations are used when determining our tax liability and in evaluating our tax positions, and we are subject to audits by taxing authorities in each of the jurisdictions in which we operate. We adjust our income tax provision in the period in which we determine that actual outcomes will likely be different from our estimates. Changes in tax laws may result in changes to our tax position and effective tax rates. We include penalties and interest on income-based taxes in the “General and administrative” line on our Consolidated Statements of Comprehensive Income. On December 22, 2017, the Tax Reform Act was signed into law. Further information on the tax impacts of the Tax Reform Act is included in Note 2 “Summary of Significant Accounting Policies” </w:t>
      </w:r>
      <w:r>
        <w:rPr>
          <w:rFonts w:ascii="Arial" w:cs="Arial" w:eastAsia="Arial" w:hAnsi="Arial"/>
          <w:sz w:val="16"/>
          <w:szCs w:val="16"/>
          <w:color w:val="222222"/>
        </w:rPr>
        <w:t>to our Consolidated Financial Statements included in Part II. Item 8</w:t>
      </w:r>
      <w:r>
        <w:rPr>
          <w:rFonts w:ascii="Arial" w:cs="Arial" w:eastAsia="Arial" w:hAnsi="Arial"/>
          <w:sz w:val="16"/>
          <w:szCs w:val="16"/>
          <w:color w:val="auto"/>
        </w:rPr>
        <w:t xml:space="preserve"> “Financial Statements and Supplementary Data.”</w:t>
      </w:r>
    </w:p>
    <w:p>
      <w:pPr>
        <w:spacing w:after="0" w:line="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not recognized a deferred tax liability on the undistributed earnings of our foreign subsidiary, Westwood International Advisors. If these funds were needed for our U.S. operations, we would be required to accrue and pay incremental foreign withholding taxes to repatriate a portion of these funds. Our current intent is to permanently reinvest the funds subject to withholding taxes outside of the U.S.</w:t>
      </w:r>
    </w:p>
    <w:p>
      <w:pPr>
        <w:spacing w:after="0" w:line="73"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We are required to assess whether a valuation allowance should be established against our deferred tax assets based on consideration of all available evidence, using a more-likely-than-not standard. As of December 31, 2019 and 2018, we have not recorded a valuation allowance on any deferred tax assets. In the event that sufficient taxable income does not result in future years, a valuation allowance may be required.</w:t>
      </w:r>
    </w:p>
    <w:p>
      <w:pPr>
        <w:spacing w:after="0" w:line="5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 xml:space="preserve">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periodically review our tax positions and adjust the balances as new information becomes available. In making these assessments, we often must analyze complex tax laws of multiple domestic and international jurisdictions. The actual outcome of our tax positions, if significantly different from our estimates, could materially impact the financial statements. Further information on uncertain tax positions is included in Note 7 “Income Taxes” </w:t>
      </w:r>
      <w:r>
        <w:rPr>
          <w:rFonts w:ascii="Arial" w:cs="Arial" w:eastAsia="Arial" w:hAnsi="Arial"/>
          <w:sz w:val="17"/>
          <w:szCs w:val="17"/>
          <w:color w:val="222222"/>
        </w:rPr>
        <w:t>to our Consolidated</w:t>
      </w:r>
      <w:r>
        <w:rPr>
          <w:rFonts w:ascii="Arial" w:cs="Arial" w:eastAsia="Arial" w:hAnsi="Arial"/>
          <w:sz w:val="17"/>
          <w:szCs w:val="17"/>
          <w:color w:val="auto"/>
        </w:rPr>
        <w:t xml:space="preserve"> </w:t>
      </w:r>
      <w:r>
        <w:rPr>
          <w:rFonts w:ascii="Arial" w:cs="Arial" w:eastAsia="Arial" w:hAnsi="Arial"/>
          <w:sz w:val="17"/>
          <w:szCs w:val="17"/>
          <w:color w:val="222222"/>
        </w:rPr>
        <w:t xml:space="preserve">Financial Statements included in Part II. Item 8 </w:t>
      </w:r>
      <w:r>
        <w:rPr>
          <w:rFonts w:ascii="Arial" w:cs="Arial" w:eastAsia="Arial" w:hAnsi="Arial"/>
          <w:sz w:val="17"/>
          <w:szCs w:val="17"/>
          <w:color w:val="000000"/>
        </w:rPr>
        <w:t>“Financial Statements and Supplementary 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Developments</w:t>
      </w:r>
    </w:p>
    <w:p>
      <w:pPr>
        <w:spacing w:after="0" w:line="117"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See Note 2 “Summary of Significant Accounting Policies” to our Consolidated Financial Statements included in Part II, Item 8, “Financial Statements and Supplementary Data” for a description of new accounting standards and their anticipated effects on our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revenues are primarily generated from fees derived as a percentage of our AUM, which is subject to market risks. Additionally, we invest corporate capital in various financial instruments, including U. S. treasury bills and equity funds, all of which present inherent market risks. We do not currently participate in any hedging activities, nor do we utilize any derivative financial instruments. The following information describes the key aspects of certain financial instruments that involve market risks.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Markets and Interest Rates</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value of AUM is affected by fluctuations in securities markets and changes in interest rates. Since we derive a substantial portion of our revenues from investment advisory and trust fees based on the value of AUM, our revenues may be adversely affected by a decline in the prices of securities or changing interest rates. A hypothetical 10% decrease in our average AUM during the year ended December 31, 2019 would have reduced our reported consolidated total revenue by approximately $8 million.</w:t>
      </w:r>
    </w:p>
    <w:p>
      <w:pPr>
        <w:spacing w:after="0" w:line="79"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38" w:name="page39"/>
    <w:bookmarkEnd w:id="38"/>
    <w:p>
      <w:pPr>
        <w:ind w:right="80" w:firstLine="486"/>
        <w:spacing w:after="0" w:line="255" w:lineRule="auto"/>
        <w:rPr>
          <w:sz w:val="20"/>
          <w:szCs w:val="20"/>
          <w:color w:val="auto"/>
        </w:rPr>
      </w:pPr>
      <w:r>
        <w:rPr>
          <w:rFonts w:ascii="Arial" w:cs="Arial" w:eastAsia="Arial" w:hAnsi="Arial"/>
          <w:sz w:val="18"/>
          <w:szCs w:val="18"/>
          <w:color w:val="auto"/>
        </w:rPr>
        <w:t>Westwood International Advisors operates in Toronto, Canada and accordingly we are exposed to foreign currency fluctuation risk associated with changes in the value of the Canadian dollar relative to the U. S. dollar. For the year ended December 31, 2019, Westwood International Advisors represented 12% of our revenues. Changes in exchange rates result in cumulative translation adjustments included in “Accumulated other comprehensive loss” on our Consolidated Balance Sheets and potentially result in transaction gains or losses, which are included in our earnings. A hypothetical 10% devaluation in the average quoted U. S. dollar-equivalent of the Canadian dollar exchange rate during the year ended December 31, 2019 would have reduced our revenues by approximately $1.1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independent registered public accounting firm's report and our Consolidated Financial Statements listed in the accompanying index are included in Item 15 of this Report. See “Index to Financial Statements” on page F-1.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Based on that evaluation, our management, including our Chief Executive Officer and Chief Financial Officer, has concluded that our disclosure controls and procedures were effective at the reasonable assurance level as of December 31, 2019 to ensure that information required to be disclosed by us in the reports we file or submit under the Exchange Act was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8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During the quarterly period ended December 31, 2019,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999" w:right="319" w:bottom="1440" w:gutter="0" w:footer="0" w:header="0"/>
        </w:sectPr>
      </w:pPr>
    </w:p>
    <w:bookmarkStart w:id="40" w:name="page41"/>
    <w:bookmarkEnd w:id="40"/>
    <w:p>
      <w:pPr>
        <w:ind w:right="340"/>
        <w:spacing w:after="0" w:line="282" w:lineRule="auto"/>
        <w:rPr>
          <w:sz w:val="20"/>
          <w:szCs w:val="20"/>
          <w:color w:val="auto"/>
        </w:rPr>
      </w:pPr>
      <w:r>
        <w:rPr>
          <w:rFonts w:ascii="Arial" w:cs="Arial" w:eastAsia="Arial" w:hAnsi="Arial"/>
          <w:sz w:val="18"/>
          <w:szCs w:val="18"/>
          <w:b w:val="1"/>
          <w:bCs w:val="1"/>
          <w:color w:val="auto"/>
        </w:rPr>
        <w:t>REPORT OF WESTWOOD HOLDINGS GROUP, INC.’S MANAGEMENT ASSESSMENT OF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Westwood Holdings Group, Inc.:</w:t>
      </w:r>
    </w:p>
    <w:p>
      <w:pPr>
        <w:spacing w:after="0" w:line="11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management of Westwood assessed the effectiveness of Westwood’s internal control over financial reporting as of December 31, 2019. In making this assessment, it used the criteria set forth by the Committee of Sponsoring Organizations of the Treadway Commission (COSO) in the 2013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our assessment, we believe that, as of December 31, 2019, Westwood’s internal control over financial reporting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those criteria.</w:t>
      </w:r>
    </w:p>
    <w:p>
      <w:pPr>
        <w:spacing w:after="0" w:line="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Westwood’s independent registered public accounting firm has issued an audit report on our assessment of Westwood’s internal control over financial reporting, and its report is included below.</w:t>
      </w:r>
    </w:p>
    <w:p>
      <w:pPr>
        <w:spacing w:after="0" w:line="265"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38074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Brian O. Casey, President &amp; Chief Executive Officer</w:t>
      </w:r>
    </w:p>
    <w:p>
      <w:pPr>
        <w:spacing w:after="0" w:line="3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38074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Murray Forbes III, Chief Financial Officer &amp; Treasurer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07"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Westwood Holdings Group,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Westwood Holdings Group, Inc.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20, 2020, expressed an unqualified opinion on those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discussed in Note 1 to the financial statements, effective January 1, 2019, the Company adopted the FASB’s new standard related to leases using the modified retrospective approach.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Report of Westwood Holdings Group, Inc.’s Management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99"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information required by this item is, or will be, set forth in the definitive proxy statement relating to the 2020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The following table gives information as of December 31, 2019 about shares of our common stock that may be issued upon the exercise of options, warrants and rights under our Sixth Amended and Restated Westwood Holdings Group, Inc. Stock Incentive Plan and the Share Award Plan of Westwood Holdings Group, Inc. for Service Provided in Canada to its Subsidiaries, which are our only equity compensation plans in effect at that time. The material terms of these plans were approved by our stockholders and are discussed in Note 10 “Employee Benefits” to our Consolidated Financial Statements included in </w:t>
      </w:r>
      <w:r>
        <w:rPr>
          <w:rFonts w:ascii="Arial" w:cs="Arial" w:eastAsia="Arial" w:hAnsi="Arial"/>
          <w:sz w:val="18"/>
          <w:szCs w:val="18"/>
          <w:color w:val="222222"/>
        </w:rPr>
        <w:t>Part II. Item 8</w:t>
      </w:r>
      <w:r>
        <w:rPr>
          <w:rFonts w:ascii="Arial" w:cs="Arial" w:eastAsia="Arial" w:hAnsi="Arial"/>
          <w:sz w:val="18"/>
          <w:szCs w:val="18"/>
          <w:color w:val="auto"/>
        </w:rPr>
        <w:t xml:space="preserve"> “Financial Statements and Supplementary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securities to be</w:t>
            </w:r>
          </w:p>
        </w:tc>
        <w:tc>
          <w:tcPr>
            <w:tcW w:w="1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 average exercise</w:t>
            </w:r>
          </w:p>
        </w:tc>
        <w:tc>
          <w:tcPr>
            <w:tcW w:w="2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issued upon exercise of</w:t>
            </w:r>
          </w:p>
        </w:tc>
        <w:tc>
          <w:tcPr>
            <w:tcW w:w="16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price of outstanding</w:t>
            </w:r>
          </w:p>
        </w:tc>
        <w:tc>
          <w:tcPr>
            <w:tcW w:w="2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6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2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warrants and rights (a)</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5"/>
              </w:rPr>
              <w:t>rights (b)</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reflected in column (a)) (c)</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586,000  </w:t>
            </w:r>
            <w:r>
              <w:rPr>
                <w:rFonts w:ascii="Arial" w:cs="Arial" w:eastAsia="Arial" w:hAnsi="Arial"/>
                <w:sz w:val="21"/>
                <w:szCs w:val="21"/>
                <w:color w:val="auto"/>
                <w:vertAlign w:val="subscript"/>
              </w:rPr>
              <w:t>(1)</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586,000</w:t>
            </w: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100" w:firstLine="8"/>
        <w:spacing w:after="0" w:line="275" w:lineRule="auto"/>
        <w:tabs>
          <w:tab w:leader="none" w:pos="208" w:val="left"/>
        </w:tabs>
        <w:numPr>
          <w:ilvl w:val="0"/>
          <w:numId w:val="15"/>
        </w:numPr>
        <w:rPr>
          <w:rFonts w:ascii="Arial" w:cs="Arial" w:eastAsia="Arial" w:hAnsi="Arial"/>
          <w:sz w:val="14"/>
          <w:szCs w:val="14"/>
          <w:color w:val="auto"/>
        </w:rPr>
      </w:pPr>
      <w:r>
        <w:rPr>
          <w:rFonts w:ascii="Arial" w:cs="Arial" w:eastAsia="Arial" w:hAnsi="Arial"/>
          <w:sz w:val="16"/>
          <w:szCs w:val="16"/>
          <w:color w:val="auto"/>
        </w:rPr>
        <w:t>Includes 527,000 shares available under our Sixth Amended and Restated Westwood Holdings Group, Inc. Stock Incentive Plan and approximately 59,000 shares available under the Share Award Plan of Westwood Holdings Group, Inc. for Service Provided in Canada to its Subsidiaries.</w:t>
      </w:r>
    </w:p>
    <w:p>
      <w:pPr>
        <w:spacing w:after="0" w:line="6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660" w:firstLine="486"/>
        <w:spacing w:after="0" w:line="342" w:lineRule="auto"/>
        <w:rPr>
          <w:sz w:val="20"/>
          <w:szCs w:val="20"/>
          <w:color w:val="auto"/>
        </w:rPr>
      </w:pPr>
      <w:r>
        <w:rPr>
          <w:rFonts w:ascii="Arial" w:cs="Arial" w:eastAsia="Arial" w:hAnsi="Arial"/>
          <w:sz w:val="16"/>
          <w:szCs w:val="16"/>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right="660" w:firstLine="486"/>
        <w:spacing w:after="0" w:line="342" w:lineRule="auto"/>
        <w:rPr>
          <w:sz w:val="20"/>
          <w:szCs w:val="20"/>
          <w:color w:val="auto"/>
        </w:rPr>
      </w:pPr>
      <w:r>
        <w:rPr>
          <w:rFonts w:ascii="Arial" w:cs="Arial" w:eastAsia="Arial" w:hAnsi="Arial"/>
          <w:sz w:val="16"/>
          <w:szCs w:val="16"/>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3" w:name="page44"/>
    <w:bookmarkEnd w:id="43"/>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The financial statements included in this Report are listed in the Index to Financial Statements on page F-1 of this Report. Schedules for which provision is made in the applicable accounting regulations of the SEC are either not required under the related instructions or are not applicable.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exhibits required to be furnished pursuant to Item 15 are listed in the Index to Exhibits filed herewith, which Index to Exhibits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107" w:right="639" w:bottom="1440" w:gutter="0" w:footer="0" w:header="0"/>
        </w:sectPr>
      </w:pPr>
    </w:p>
    <w:bookmarkStart w:id="44" w:name="page45"/>
    <w:bookmarkEnd w:id="4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0" w:firstLine="486"/>
        <w:spacing w:after="0" w:line="32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WESTWOOD HOLDINGS GROUP, INC.</w:t>
      </w:r>
    </w:p>
    <w:p>
      <w:pPr>
        <w:spacing w:after="0" w:line="360" w:lineRule="exact"/>
        <w:rPr>
          <w:sz w:val="20"/>
          <w:szCs w:val="20"/>
          <w:color w:val="auto"/>
        </w:rPr>
      </w:pPr>
    </w:p>
    <w:p>
      <w:pPr>
        <w:ind w:left="6120"/>
        <w:spacing w:after="0"/>
        <w:tabs>
          <w:tab w:leader="none" w:pos="6620" w:val="left"/>
        </w:tabs>
        <w:rPr>
          <w:sz w:val="20"/>
          <w:szCs w:val="20"/>
          <w:color w:val="auto"/>
        </w:rPr>
      </w:pPr>
      <w:r>
        <w:rPr>
          <w:rFonts w:ascii="Arial" w:cs="Arial" w:eastAsia="Arial" w:hAnsi="Arial"/>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31750</wp:posOffset>
            </wp:positionV>
            <wp:extent cx="30270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70"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Brian O. Casey</w:t>
      </w:r>
    </w:p>
    <w:p>
      <w:pPr>
        <w:spacing w:after="0" w:line="3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Chief Executive Officer and Director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5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ind w:left="2200"/>
        <w:spacing w:after="0"/>
        <w:tabs>
          <w:tab w:leader="none" w:pos="828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80"/>
          </w:cols>
          <w:pgMar w:left="240" w:top="891" w:right="379" w:bottom="1440" w:gutter="0" w:footer="0" w:header="0"/>
        </w:sectPr>
      </w:pP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84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Brian O. Casey</w:t>
      </w: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84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Murray Forbes III</w:t>
      </w: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84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Richard M. Frank</w:t>
      </w: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84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Susan M. Byrne</w:t>
      </w: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84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Ellen H. Masterson</w:t>
      </w: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84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Geoffrey R. Norman</w:t>
      </w: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/s/ Raymond E.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1984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66"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Raymond E. Wooldridge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477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477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477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477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477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477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47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70" w:lineRule="exact"/>
        <w:rPr>
          <w:sz w:val="20"/>
          <w:szCs w:val="20"/>
          <w:color w:val="auto"/>
        </w:rPr>
      </w:pPr>
    </w:p>
    <w:p>
      <w:pPr>
        <w:sectPr>
          <w:pgSz w:w="11900" w:h="16838" w:orient="portrait"/>
          <w:cols w:equalWidth="0" w:num="2">
            <w:col w:w="4780" w:space="720"/>
            <w:col w:w="5780"/>
          </w:cols>
          <w:pgMar w:left="240" w:top="89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891" w:right="379" w:bottom="1440" w:gutter="0" w:footer="0" w:header="0"/>
          <w:type w:val="continuous"/>
        </w:sectPr>
      </w:pPr>
    </w:p>
    <w:bookmarkStart w:id="45" w:name="page46"/>
    <w:bookmarkEnd w:id="45"/>
    <w:p>
      <w:pPr>
        <w:jc w:val="center"/>
        <w:ind w:right="-339"/>
        <w:spacing w:after="0"/>
        <w:rPr>
          <w:sz w:val="20"/>
          <w:szCs w:val="20"/>
          <w:color w:val="auto"/>
        </w:rPr>
      </w:pPr>
      <w:r>
        <w:rPr>
          <w:rFonts w:ascii="Arial" w:cs="Arial" w:eastAsia="Arial" w:hAnsi="Arial"/>
          <w:sz w:val="18"/>
          <w:szCs w:val="18"/>
          <w:b w:val="1"/>
          <w:bCs w:val="1"/>
          <w:color w:val="auto"/>
        </w:rPr>
        <w:t>INDEX TO FINANCIAL STATEMENTS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80" w:type="dxa"/>
            <w:vAlign w:val="bottom"/>
          </w:tcPr>
          <w:p>
            <w:pPr>
              <w:jc w:val="center"/>
              <w:ind w:left="1420"/>
              <w:spacing w:after="0"/>
              <w:rPr>
                <w:sz w:val="20"/>
                <w:szCs w:val="20"/>
                <w:color w:val="auto"/>
              </w:rPr>
            </w:pPr>
            <w:r>
              <w:rPr>
                <w:rFonts w:ascii="Arial" w:cs="Arial" w:eastAsia="Arial" w:hAnsi="Arial"/>
                <w:sz w:val="14"/>
                <w:szCs w:val="14"/>
                <w:color w:val="auto"/>
                <w:w w:val="85"/>
              </w:rPr>
              <w:t>Page</w:t>
            </w:r>
          </w:p>
        </w:tc>
      </w:tr>
      <w:tr>
        <w:trPr>
          <w:trHeight w:val="201"/>
        </w:trPr>
        <w:tc>
          <w:tcPr>
            <w:tcW w:w="9260" w:type="dxa"/>
            <w:vAlign w:val="bottom"/>
            <w:gridSpan w:val="7"/>
          </w:tcPr>
          <w:p>
            <w:pPr>
              <w:spacing w:after="0" w:line="201" w:lineRule="exact"/>
              <w:rPr>
                <w:rFonts w:ascii="Arial" w:cs="Arial" w:eastAsia="Arial" w:hAnsi="Arial"/>
                <w:sz w:val="18"/>
                <w:szCs w:val="18"/>
                <w:color w:val="0000FF"/>
              </w:rPr>
            </w:pPr>
            <w:hyperlink w:anchor="page46">
              <w:r>
                <w:rPr>
                  <w:rFonts w:ascii="Arial" w:cs="Arial" w:eastAsia="Arial" w:hAnsi="Arial"/>
                  <w:sz w:val="18"/>
                  <w:szCs w:val="18"/>
                  <w:color w:val="0000FF"/>
                </w:rPr>
                <w:t>Report of Independent Registered Public Accounting Firm</w:t>
              </w:r>
            </w:hyperlink>
          </w:p>
        </w:tc>
        <w:tc>
          <w:tcPr>
            <w:tcW w:w="1780" w:type="dxa"/>
            <w:vAlign w:val="bottom"/>
          </w:tcPr>
          <w:p>
            <w:pPr>
              <w:jc w:val="center"/>
              <w:ind w:left="1420"/>
              <w:spacing w:after="0"/>
              <w:rPr>
                <w:rFonts w:ascii="Arial" w:cs="Arial" w:eastAsia="Arial" w:hAnsi="Arial"/>
                <w:sz w:val="16"/>
                <w:szCs w:val="16"/>
                <w:color w:val="auto"/>
                <w:w w:val="89"/>
              </w:rPr>
            </w:pPr>
            <w:hyperlink w:anchor="page46">
              <w:r>
                <w:rPr>
                  <w:rFonts w:ascii="Arial" w:cs="Arial" w:eastAsia="Arial" w:hAnsi="Arial"/>
                  <w:sz w:val="16"/>
                  <w:szCs w:val="16"/>
                  <w:color w:val="auto"/>
                  <w:w w:val="89"/>
                </w:rPr>
                <w:t>2</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0"/>
        </w:trPr>
        <w:tc>
          <w:tcPr>
            <w:tcW w:w="466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 xml:space="preserve">Consolidated Balance Sheets as of December 31, 2019 and </w:t>
              </w:r>
            </w:hyperlink>
            <w:r>
              <w:rPr>
                <w:rFonts w:ascii="Arial" w:cs="Arial" w:eastAsia="Arial" w:hAnsi="Arial"/>
                <w:sz w:val="18"/>
                <w:szCs w:val="18"/>
                <w:color w:val="0000FF"/>
                <w:w w:val="88"/>
              </w:rPr>
              <w:t>2018</w:t>
            </w:r>
          </w:p>
        </w:tc>
        <w:tc>
          <w:tcPr>
            <w:tcW w:w="4600" w:type="dxa"/>
            <w:vAlign w:val="bottom"/>
            <w:gridSpan w:val="4"/>
          </w:tcPr>
          <w:p>
            <w:pPr>
              <w:spacing w:after="0"/>
              <w:rPr>
                <w:sz w:val="18"/>
                <w:szCs w:val="18"/>
                <w:color w:val="auto"/>
              </w:rPr>
            </w:pPr>
          </w:p>
        </w:tc>
        <w:tc>
          <w:tcPr>
            <w:tcW w:w="1780" w:type="dxa"/>
            <w:vAlign w:val="bottom"/>
          </w:tcPr>
          <w:p>
            <w:pPr>
              <w:jc w:val="center"/>
              <w:ind w:left="1420"/>
              <w:spacing w:after="0"/>
              <w:rPr>
                <w:rFonts w:ascii="Arial" w:cs="Arial" w:eastAsia="Arial" w:hAnsi="Arial"/>
                <w:sz w:val="16"/>
                <w:szCs w:val="16"/>
                <w:color w:val="auto"/>
                <w:w w:val="89"/>
              </w:rPr>
            </w:pPr>
            <w:hyperlink w:anchor="page47">
              <w:r>
                <w:rPr>
                  <w:rFonts w:ascii="Arial" w:cs="Arial" w:eastAsia="Arial" w:hAnsi="Arial"/>
                  <w:sz w:val="16"/>
                  <w:szCs w:val="16"/>
                  <w:color w:val="auto"/>
                  <w:w w:val="89"/>
                </w:rPr>
                <w:t>3</w:t>
              </w:r>
            </w:hyperlink>
          </w:p>
        </w:tc>
      </w:tr>
      <w:tr>
        <w:trPr>
          <w:trHeight w:val="210"/>
        </w:trPr>
        <w:tc>
          <w:tcPr>
            <w:tcW w:w="926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 xml:space="preserve">Consolidated Statements of Comprehensive Income for the years ended December 31, </w:t>
              </w:r>
            </w:hyperlink>
            <w:r>
              <w:rPr>
                <w:rFonts w:ascii="Arial" w:cs="Arial" w:eastAsia="Arial" w:hAnsi="Arial"/>
                <w:sz w:val="18"/>
                <w:szCs w:val="18"/>
                <w:color w:val="0000FF"/>
              </w:rPr>
              <w:t xml:space="preserve">2019, </w:t>
            </w:r>
            <w:hyperlink w:anchor="page48">
              <w:r>
                <w:rPr>
                  <w:rFonts w:ascii="Arial" w:cs="Arial" w:eastAsia="Arial" w:hAnsi="Arial"/>
                  <w:sz w:val="18"/>
                  <w:szCs w:val="18"/>
                  <w:color w:val="0000FF"/>
                </w:rPr>
                <w:t xml:space="preserve">2018 and </w:t>
              </w:r>
            </w:hyperlink>
            <w:r>
              <w:rPr>
                <w:rFonts w:ascii="Arial" w:cs="Arial" w:eastAsia="Arial" w:hAnsi="Arial"/>
                <w:sz w:val="18"/>
                <w:szCs w:val="18"/>
                <w:color w:val="0000FF"/>
              </w:rPr>
              <w:t>2017</w:t>
            </w:r>
          </w:p>
        </w:tc>
        <w:tc>
          <w:tcPr>
            <w:tcW w:w="1780" w:type="dxa"/>
            <w:vAlign w:val="bottom"/>
          </w:tcPr>
          <w:p>
            <w:pPr>
              <w:jc w:val="center"/>
              <w:ind w:left="1420"/>
              <w:spacing w:after="0"/>
              <w:rPr>
                <w:rFonts w:ascii="Arial" w:cs="Arial" w:eastAsia="Arial" w:hAnsi="Arial"/>
                <w:sz w:val="16"/>
                <w:szCs w:val="16"/>
                <w:color w:val="auto"/>
                <w:w w:val="89"/>
              </w:rPr>
            </w:pPr>
            <w:hyperlink w:anchor="page48">
              <w:r>
                <w:rPr>
                  <w:rFonts w:ascii="Arial" w:cs="Arial" w:eastAsia="Arial" w:hAnsi="Arial"/>
                  <w:sz w:val="16"/>
                  <w:szCs w:val="16"/>
                  <w:color w:val="auto"/>
                  <w:w w:val="89"/>
                </w:rPr>
                <w:t>4</w:t>
              </w:r>
            </w:hyperlink>
          </w:p>
        </w:tc>
      </w:tr>
      <w:tr>
        <w:trPr>
          <w:trHeight w:val="210"/>
        </w:trPr>
        <w:tc>
          <w:tcPr>
            <w:tcW w:w="76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 xml:space="preserve">Consolidated Statements of Stockholders’ Equity for the years ended December 31, </w:t>
              </w:r>
            </w:hyperlink>
            <w:r>
              <w:rPr>
                <w:rFonts w:ascii="Arial" w:cs="Arial" w:eastAsia="Arial" w:hAnsi="Arial"/>
                <w:sz w:val="18"/>
                <w:szCs w:val="18"/>
                <w:color w:val="0000FF"/>
                <w:w w:val="89"/>
              </w:rPr>
              <w:t xml:space="preserve">2019, </w:t>
            </w:r>
            <w:hyperlink w:anchor="page49">
              <w:r>
                <w:rPr>
                  <w:rFonts w:ascii="Arial" w:cs="Arial" w:eastAsia="Arial" w:hAnsi="Arial"/>
                  <w:sz w:val="18"/>
                  <w:szCs w:val="18"/>
                  <w:color w:val="0000FF"/>
                  <w:w w:val="89"/>
                </w:rPr>
                <w:t>2018 and 2017</w:t>
              </w:r>
            </w:hyperlink>
          </w:p>
        </w:tc>
        <w:tc>
          <w:tcPr>
            <w:tcW w:w="180" w:type="dxa"/>
            <w:vAlign w:val="bottom"/>
            <w:tcBorders>
              <w:top w:val="single" w:sz="8" w:color="0000FF"/>
            </w:tcBorders>
          </w:tcPr>
          <w:p>
            <w:pPr>
              <w:spacing w:after="0"/>
              <w:rPr>
                <w:sz w:val="18"/>
                <w:szCs w:val="18"/>
                <w:color w:val="auto"/>
              </w:rPr>
            </w:pPr>
          </w:p>
        </w:tc>
        <w:tc>
          <w:tcPr>
            <w:tcW w:w="1480" w:type="dxa"/>
            <w:vAlign w:val="bottom"/>
          </w:tcPr>
          <w:p>
            <w:pPr>
              <w:spacing w:after="0"/>
              <w:rPr>
                <w:sz w:val="18"/>
                <w:szCs w:val="18"/>
                <w:color w:val="auto"/>
              </w:rPr>
            </w:pPr>
          </w:p>
        </w:tc>
        <w:tc>
          <w:tcPr>
            <w:tcW w:w="1780" w:type="dxa"/>
            <w:vAlign w:val="bottom"/>
          </w:tcPr>
          <w:p>
            <w:pPr>
              <w:jc w:val="center"/>
              <w:ind w:left="1420"/>
              <w:spacing w:after="0"/>
              <w:rPr>
                <w:rFonts w:ascii="Arial" w:cs="Arial" w:eastAsia="Arial" w:hAnsi="Arial"/>
                <w:sz w:val="16"/>
                <w:szCs w:val="16"/>
                <w:color w:val="auto"/>
                <w:w w:val="89"/>
              </w:rPr>
            </w:pPr>
            <w:hyperlink w:anchor="page49">
              <w:r>
                <w:rPr>
                  <w:rFonts w:ascii="Arial" w:cs="Arial" w:eastAsia="Arial" w:hAnsi="Arial"/>
                  <w:sz w:val="16"/>
                  <w:szCs w:val="16"/>
                  <w:color w:val="auto"/>
                  <w:w w:val="89"/>
                </w:rPr>
                <w:t>5</w:t>
              </w:r>
            </w:hyperlink>
          </w:p>
        </w:tc>
      </w:tr>
      <w:tr>
        <w:trPr>
          <w:trHeight w:val="210"/>
        </w:trPr>
        <w:tc>
          <w:tcPr>
            <w:tcW w:w="69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 xml:space="preserve">Consolidated Statements of Cash Flows for the years ended December 31, </w:t>
              </w:r>
            </w:hyperlink>
            <w:r>
              <w:rPr>
                <w:rFonts w:ascii="Arial" w:cs="Arial" w:eastAsia="Arial" w:hAnsi="Arial"/>
                <w:sz w:val="18"/>
                <w:szCs w:val="18"/>
                <w:color w:val="0000FF"/>
                <w:w w:val="89"/>
              </w:rPr>
              <w:t xml:space="preserve">2019, </w:t>
            </w:r>
            <w:hyperlink w:anchor="page50">
              <w:r>
                <w:rPr>
                  <w:rFonts w:ascii="Arial" w:cs="Arial" w:eastAsia="Arial" w:hAnsi="Arial"/>
                  <w:sz w:val="18"/>
                  <w:szCs w:val="18"/>
                  <w:color w:val="0000FF"/>
                  <w:w w:val="89"/>
                </w:rPr>
                <w:t>2018 and 2017</w:t>
              </w:r>
            </w:hyperlink>
          </w:p>
        </w:tc>
        <w:tc>
          <w:tcPr>
            <w:tcW w:w="2340" w:type="dxa"/>
            <w:vAlign w:val="bottom"/>
            <w:gridSpan w:val="3"/>
          </w:tcPr>
          <w:p>
            <w:pPr>
              <w:spacing w:after="0"/>
              <w:rPr>
                <w:sz w:val="18"/>
                <w:szCs w:val="18"/>
                <w:color w:val="auto"/>
              </w:rPr>
            </w:pPr>
          </w:p>
        </w:tc>
        <w:tc>
          <w:tcPr>
            <w:tcW w:w="1780" w:type="dxa"/>
            <w:vAlign w:val="bottom"/>
          </w:tcPr>
          <w:p>
            <w:pPr>
              <w:jc w:val="center"/>
              <w:ind w:left="1420"/>
              <w:spacing w:after="0"/>
              <w:rPr>
                <w:rFonts w:ascii="Arial" w:cs="Arial" w:eastAsia="Arial" w:hAnsi="Arial"/>
                <w:sz w:val="16"/>
                <w:szCs w:val="16"/>
                <w:color w:val="auto"/>
                <w:w w:val="89"/>
              </w:rPr>
            </w:pPr>
            <w:hyperlink w:anchor="page50">
              <w:r>
                <w:rPr>
                  <w:rFonts w:ascii="Arial" w:cs="Arial" w:eastAsia="Arial" w:hAnsi="Arial"/>
                  <w:sz w:val="16"/>
                  <w:szCs w:val="16"/>
                  <w:color w:val="auto"/>
                  <w:w w:val="89"/>
                </w:rPr>
                <w:t>6</w:t>
              </w:r>
            </w:hyperlink>
          </w:p>
        </w:tc>
      </w:tr>
      <w:tr>
        <w:trPr>
          <w:trHeight w:val="210"/>
        </w:trPr>
        <w:tc>
          <w:tcPr>
            <w:tcW w:w="3160" w:type="dxa"/>
            <w:vAlign w:val="bottom"/>
            <w:tcBorders>
              <w:bottom w:val="single" w:sz="8" w:color="0000FF"/>
            </w:tcBorders>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Notes to Consolidated Financial Statements</w:t>
              </w:r>
            </w:hyperlink>
          </w:p>
        </w:tc>
        <w:tc>
          <w:tcPr>
            <w:tcW w:w="6100" w:type="dxa"/>
            <w:vAlign w:val="bottom"/>
            <w:gridSpan w:val="6"/>
          </w:tcPr>
          <w:p>
            <w:pPr>
              <w:spacing w:after="0"/>
              <w:rPr>
                <w:sz w:val="18"/>
                <w:szCs w:val="18"/>
                <w:color w:val="auto"/>
              </w:rPr>
            </w:pPr>
          </w:p>
        </w:tc>
        <w:tc>
          <w:tcPr>
            <w:tcW w:w="1780" w:type="dxa"/>
            <w:vAlign w:val="bottom"/>
          </w:tcPr>
          <w:p>
            <w:pPr>
              <w:jc w:val="center"/>
              <w:ind w:left="1420"/>
              <w:spacing w:after="0"/>
              <w:rPr>
                <w:rFonts w:ascii="Arial" w:cs="Arial" w:eastAsia="Arial" w:hAnsi="Arial"/>
                <w:sz w:val="16"/>
                <w:szCs w:val="16"/>
                <w:color w:val="auto"/>
                <w:w w:val="89"/>
              </w:rPr>
            </w:pPr>
            <w:hyperlink w:anchor="page51">
              <w:r>
                <w:rPr>
                  <w:rFonts w:ascii="Arial" w:cs="Arial" w:eastAsia="Arial" w:hAnsi="Arial"/>
                  <w:sz w:val="16"/>
                  <w:szCs w:val="16"/>
                  <w:color w:val="auto"/>
                  <w:w w:val="89"/>
                </w:rPr>
                <w:t>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60" w:top="891" w:right="599" w:bottom="1440" w:gutter="0" w:footer="0" w:header="0"/>
        </w:sectPr>
      </w:pPr>
    </w:p>
    <w:bookmarkStart w:id="46" w:name="page47"/>
    <w:bookmarkEnd w:id="46"/>
    <w:p>
      <w:pPr>
        <w:ind w:right="5180"/>
        <w:spacing w:after="0" w:line="41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Westwood Holdings Group, Inc. </w:t>
      </w:r>
      <w:r>
        <w:rPr>
          <w:rFonts w:ascii="Arial" w:cs="Arial" w:eastAsia="Arial" w:hAnsi="Arial"/>
          <w:sz w:val="18"/>
          <w:szCs w:val="18"/>
          <w:b w:val="1"/>
          <w:bCs w:val="1"/>
          <w:color w:val="auto"/>
        </w:rPr>
        <w:t>Opinion on the Financial Statements</w:t>
      </w:r>
    </w:p>
    <w:p>
      <w:pPr>
        <w:ind w:right="60"/>
        <w:spacing w:after="0" w:line="297" w:lineRule="auto"/>
        <w:rPr>
          <w:sz w:val="20"/>
          <w:szCs w:val="20"/>
          <w:color w:val="auto"/>
        </w:rPr>
      </w:pPr>
      <w:r>
        <w:rPr>
          <w:rFonts w:ascii="Arial" w:cs="Arial" w:eastAsia="Arial" w:hAnsi="Arial"/>
          <w:sz w:val="16"/>
          <w:szCs w:val="16"/>
          <w:color w:val="auto"/>
        </w:rPr>
        <w:t>We have audited the accompanying consolidated balance sheets of Westwood Holdings Group, Inc. and subsidiaries (the "Company") as of December 31, 2019 and 2018, the related consolidated statements of comprehensive income,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20, 2020,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discussed in Note 1 to the financial statements, effective January 1, 2019, the Company adopted the FASB’s new standard related to leases using the modified retrospective approach.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20, 2020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99" w:right="29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6"/>
          <w:szCs w:val="16"/>
          <w:b w:val="1"/>
          <w:bCs w:val="1"/>
          <w:color w:val="auto"/>
        </w:rPr>
        <w:t>WESTWOOD HOLDINGS GROUP,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par values and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455"/>
              <w:spacing w:after="0"/>
              <w:rPr>
                <w:sz w:val="20"/>
                <w:szCs w:val="20"/>
                <w:color w:val="auto"/>
              </w:rPr>
            </w:pPr>
            <w:r>
              <w:rPr>
                <w:rFonts w:ascii="Arial" w:cs="Arial" w:eastAsia="Arial" w:hAnsi="Arial"/>
                <w:sz w:val="17"/>
                <w:szCs w:val="17"/>
                <w:b w:val="1"/>
                <w:bCs w:val="1"/>
                <w:color w:val="auto"/>
                <w:w w:val="95"/>
              </w:rPr>
              <w:t>2018</w:t>
            </w:r>
          </w:p>
        </w:tc>
        <w:tc>
          <w:tcPr>
            <w:tcW w:w="0" w:type="dxa"/>
            <w:vAlign w:val="bottom"/>
          </w:tcPr>
          <w:p>
            <w:pPr>
              <w:spacing w:after="0"/>
              <w:rPr>
                <w:sz w:val="1"/>
                <w:szCs w:val="1"/>
                <w:color w:val="auto"/>
              </w:rPr>
            </w:pPr>
          </w:p>
        </w:tc>
      </w:tr>
      <w:tr>
        <w:trPr>
          <w:trHeight w:val="31"/>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7"/>
                <w:szCs w:val="17"/>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5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Cash and cash equivalents</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49,766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52,449</w:t>
            </w:r>
          </w:p>
        </w:tc>
        <w:tc>
          <w:tcPr>
            <w:tcW w:w="0" w:type="dxa"/>
            <w:vAlign w:val="bottom"/>
          </w:tcPr>
          <w:p>
            <w:pPr>
              <w:spacing w:after="0"/>
              <w:rPr>
                <w:sz w:val="1"/>
                <w:szCs w:val="1"/>
                <w:color w:val="auto"/>
              </w:rPr>
            </w:pPr>
          </w:p>
        </w:tc>
      </w:tr>
      <w:tr>
        <w:trPr>
          <w:trHeight w:val="226"/>
        </w:trPr>
        <w:tc>
          <w:tcPr>
            <w:tcW w:w="8500" w:type="dxa"/>
            <w:vAlign w:val="bottom"/>
          </w:tcPr>
          <w:p>
            <w:pPr>
              <w:ind w:left="460"/>
              <w:spacing w:after="0"/>
              <w:rPr>
                <w:sz w:val="20"/>
                <w:szCs w:val="20"/>
                <w:color w:val="auto"/>
              </w:rPr>
            </w:pPr>
            <w:r>
              <w:rPr>
                <w:rFonts w:ascii="Arial" w:cs="Arial" w:eastAsia="Arial" w:hAnsi="Arial"/>
                <w:sz w:val="17"/>
                <w:szCs w:val="17"/>
                <w:color w:val="auto"/>
              </w:rPr>
              <w:t>Accounts receivable</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13,177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18,429</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Investments, at fair value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50,324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65,781</w:t>
            </w:r>
          </w:p>
        </w:tc>
        <w:tc>
          <w:tcPr>
            <w:tcW w:w="0" w:type="dxa"/>
            <w:vAlign w:val="bottom"/>
          </w:tcPr>
          <w:p>
            <w:pPr>
              <w:spacing w:after="0"/>
              <w:rPr>
                <w:sz w:val="1"/>
                <w:szCs w:val="1"/>
                <w:color w:val="auto"/>
              </w:rPr>
            </w:pPr>
          </w:p>
        </w:tc>
      </w:tr>
      <w:tr>
        <w:trPr>
          <w:trHeight w:val="226"/>
        </w:trPr>
        <w:tc>
          <w:tcPr>
            <w:tcW w:w="8500" w:type="dxa"/>
            <w:vAlign w:val="bottom"/>
          </w:tcPr>
          <w:p>
            <w:pPr>
              <w:ind w:left="460"/>
              <w:spacing w:after="0"/>
              <w:rPr>
                <w:sz w:val="20"/>
                <w:szCs w:val="20"/>
                <w:color w:val="auto"/>
              </w:rPr>
            </w:pPr>
            <w:r>
              <w:rPr>
                <w:rFonts w:ascii="Arial" w:cs="Arial" w:eastAsia="Arial" w:hAnsi="Arial"/>
                <w:sz w:val="17"/>
                <w:szCs w:val="17"/>
                <w:color w:val="auto"/>
              </w:rPr>
              <w:t>Prepaid income taxes</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Other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2,731</w:t>
            </w:r>
          </w:p>
        </w:tc>
        <w:tc>
          <w:tcPr>
            <w:tcW w:w="0" w:type="dxa"/>
            <w:vAlign w:val="bottom"/>
          </w:tcPr>
          <w:p>
            <w:pPr>
              <w:spacing w:after="0"/>
              <w:rPr>
                <w:sz w:val="1"/>
                <w:szCs w:val="1"/>
                <w:color w:val="auto"/>
              </w:rPr>
            </w:pPr>
          </w:p>
        </w:tc>
      </w:tr>
      <w:tr>
        <w:trPr>
          <w:trHeight w:val="219"/>
        </w:trPr>
        <w:tc>
          <w:tcPr>
            <w:tcW w:w="8500" w:type="dxa"/>
            <w:vAlign w:val="bottom"/>
          </w:tcPr>
          <w:p>
            <w:pPr>
              <w:ind w:left="780"/>
              <w:spacing w:after="0"/>
              <w:rPr>
                <w:sz w:val="20"/>
                <w:szCs w:val="20"/>
                <w:color w:val="auto"/>
              </w:rPr>
            </w:pPr>
            <w:r>
              <w:rPr>
                <w:rFonts w:ascii="Arial" w:cs="Arial" w:eastAsia="Arial" w:hAnsi="Arial"/>
                <w:sz w:val="17"/>
                <w:szCs w:val="17"/>
                <w:color w:val="auto"/>
              </w:rPr>
              <w:t>Total current assets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116,961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139,739</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8,154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5,425</w:t>
            </w:r>
          </w:p>
        </w:tc>
        <w:tc>
          <w:tcPr>
            <w:tcW w:w="0" w:type="dxa"/>
            <w:vAlign w:val="bottom"/>
          </w:tcPr>
          <w:p>
            <w:pPr>
              <w:spacing w:after="0"/>
              <w:rPr>
                <w:sz w:val="1"/>
                <w:szCs w:val="1"/>
                <w:color w:val="auto"/>
              </w:rPr>
            </w:pPr>
          </w:p>
        </w:tc>
      </w:tr>
      <w:tr>
        <w:trPr>
          <w:trHeight w:val="226"/>
        </w:trPr>
        <w:tc>
          <w:tcPr>
            <w:tcW w:w="8500" w:type="dxa"/>
            <w:vAlign w:val="bottom"/>
          </w:tcPr>
          <w:p>
            <w:pPr>
              <w:ind w:left="20"/>
              <w:spacing w:after="0"/>
              <w:rPr>
                <w:sz w:val="20"/>
                <w:szCs w:val="20"/>
                <w:color w:val="auto"/>
              </w:rPr>
            </w:pPr>
            <w:r>
              <w:rPr>
                <w:rFonts w:ascii="Arial" w:cs="Arial" w:eastAsia="Arial" w:hAnsi="Arial"/>
                <w:sz w:val="17"/>
                <w:szCs w:val="17"/>
                <w:color w:val="auto"/>
              </w:rPr>
              <w:t>Noncurrent investments at fair value</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4,238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19,804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19,804</w:t>
            </w:r>
          </w:p>
        </w:tc>
        <w:tc>
          <w:tcPr>
            <w:tcW w:w="0" w:type="dxa"/>
            <w:vAlign w:val="bottom"/>
          </w:tcPr>
          <w:p>
            <w:pPr>
              <w:spacing w:after="0"/>
              <w:rPr>
                <w:sz w:val="1"/>
                <w:szCs w:val="1"/>
                <w:color w:val="auto"/>
              </w:rPr>
            </w:pPr>
          </w:p>
        </w:tc>
      </w:tr>
      <w:tr>
        <w:trPr>
          <w:trHeight w:val="226"/>
        </w:trPr>
        <w:tc>
          <w:tcPr>
            <w:tcW w:w="850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2,216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5,102</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7,562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8,698</w:t>
            </w:r>
          </w:p>
        </w:tc>
        <w:tc>
          <w:tcPr>
            <w:tcW w:w="0" w:type="dxa"/>
            <w:vAlign w:val="bottom"/>
          </w:tcPr>
          <w:p>
            <w:pPr>
              <w:spacing w:after="0"/>
              <w:rPr>
                <w:sz w:val="1"/>
                <w:szCs w:val="1"/>
                <w:color w:val="auto"/>
              </w:rPr>
            </w:pPr>
          </w:p>
        </w:tc>
      </w:tr>
      <w:tr>
        <w:trPr>
          <w:trHeight w:val="226"/>
        </w:trPr>
        <w:tc>
          <w:tcPr>
            <w:tcW w:w="850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15,256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15,961</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 of accumulated depreciation of $7,395 and $6,462</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4,152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4,454</w:t>
            </w:r>
          </w:p>
        </w:tc>
        <w:tc>
          <w:tcPr>
            <w:tcW w:w="0" w:type="dxa"/>
            <w:vAlign w:val="bottom"/>
          </w:tcPr>
          <w:p>
            <w:pPr>
              <w:spacing w:after="0"/>
              <w:rPr>
                <w:sz w:val="1"/>
                <w:szCs w:val="1"/>
                <w:color w:val="auto"/>
              </w:rPr>
            </w:pPr>
          </w:p>
        </w:tc>
      </w:tr>
      <w:tr>
        <w:trPr>
          <w:trHeight w:val="226"/>
        </w:trPr>
        <w:tc>
          <w:tcPr>
            <w:tcW w:w="8500" w:type="dxa"/>
            <w:vAlign w:val="bottom"/>
          </w:tcPr>
          <w:p>
            <w:pPr>
              <w:ind w:left="20"/>
              <w:spacing w:after="0"/>
              <w:rPr>
                <w:sz w:val="20"/>
                <w:szCs w:val="20"/>
                <w:color w:val="auto"/>
              </w:rPr>
            </w:pPr>
            <w:r>
              <w:rPr>
                <w:rFonts w:ascii="Arial" w:cs="Arial" w:eastAsia="Arial" w:hAnsi="Arial"/>
                <w:sz w:val="17"/>
                <w:szCs w:val="17"/>
                <w:color w:val="auto"/>
              </w:rPr>
              <w:t>Other long-term assets</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8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7"/>
                <w:szCs w:val="17"/>
                <w:b w:val="1"/>
                <w:bCs w:val="1"/>
                <w:color w:val="auto"/>
              </w:rPr>
              <w:t>Total assets</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178,707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199,183</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340"/>
              <w:spacing w:after="0"/>
              <w:rPr>
                <w:sz w:val="20"/>
                <w:szCs w:val="20"/>
                <w:color w:val="auto"/>
              </w:rPr>
            </w:pPr>
            <w:r>
              <w:rPr>
                <w:rFonts w:ascii="Arial" w:cs="Arial" w:eastAsia="Arial" w:hAnsi="Arial"/>
                <w:sz w:val="17"/>
                <w:szCs w:val="17"/>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8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500" w:type="dxa"/>
            <w:vAlign w:val="bottom"/>
          </w:tcPr>
          <w:p>
            <w:pPr>
              <w:ind w:left="460"/>
              <w:spacing w:after="0"/>
              <w:rPr>
                <w:sz w:val="20"/>
                <w:szCs w:val="20"/>
                <w:color w:val="auto"/>
              </w:rPr>
            </w:pPr>
            <w:r>
              <w:rPr>
                <w:rFonts w:ascii="Arial" w:cs="Arial" w:eastAsia="Arial" w:hAnsi="Arial"/>
                <w:sz w:val="17"/>
                <w:szCs w:val="17"/>
                <w:color w:val="auto"/>
              </w:rPr>
              <w:t>Accounts payable and accrued liabilities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2,145</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2,518</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Dividends payable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7,362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7,710</w:t>
            </w:r>
          </w:p>
        </w:tc>
        <w:tc>
          <w:tcPr>
            <w:tcW w:w="0" w:type="dxa"/>
            <w:vAlign w:val="bottom"/>
          </w:tcPr>
          <w:p>
            <w:pPr>
              <w:spacing w:after="0"/>
              <w:rPr>
                <w:sz w:val="1"/>
                <w:szCs w:val="1"/>
                <w:color w:val="auto"/>
              </w:rPr>
            </w:pPr>
          </w:p>
        </w:tc>
      </w:tr>
      <w:tr>
        <w:trPr>
          <w:trHeight w:val="226"/>
        </w:trPr>
        <w:tc>
          <w:tcPr>
            <w:tcW w:w="8500" w:type="dxa"/>
            <w:vAlign w:val="bottom"/>
          </w:tcPr>
          <w:p>
            <w:pPr>
              <w:ind w:left="460"/>
              <w:spacing w:after="0"/>
              <w:rPr>
                <w:sz w:val="20"/>
                <w:szCs w:val="20"/>
                <w:color w:val="auto"/>
              </w:rPr>
            </w:pPr>
            <w:r>
              <w:rPr>
                <w:rFonts w:ascii="Arial" w:cs="Arial" w:eastAsia="Arial" w:hAnsi="Arial"/>
                <w:sz w:val="17"/>
                <w:szCs w:val="17"/>
                <w:color w:val="auto"/>
              </w:rPr>
              <w:t>Compensation and benefits payable</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9,975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15,102</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Operating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1,584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1,432</w:t>
            </w:r>
          </w:p>
        </w:tc>
        <w:tc>
          <w:tcPr>
            <w:tcW w:w="0" w:type="dxa"/>
            <w:vAlign w:val="bottom"/>
          </w:tcPr>
          <w:p>
            <w:pPr>
              <w:spacing w:after="0"/>
              <w:rPr>
                <w:sz w:val="1"/>
                <w:szCs w:val="1"/>
                <w:color w:val="auto"/>
              </w:rPr>
            </w:pPr>
          </w:p>
        </w:tc>
      </w:tr>
      <w:tr>
        <w:trPr>
          <w:trHeight w:val="226"/>
        </w:trPr>
        <w:tc>
          <w:tcPr>
            <w:tcW w:w="8500" w:type="dxa"/>
            <w:vAlign w:val="bottom"/>
          </w:tcPr>
          <w:p>
            <w:pPr>
              <w:ind w:left="460"/>
              <w:spacing w:after="0"/>
              <w:rPr>
                <w:sz w:val="20"/>
                <w:szCs w:val="20"/>
                <w:color w:val="auto"/>
              </w:rPr>
            </w:pPr>
            <w:r>
              <w:rPr>
                <w:rFonts w:ascii="Arial" w:cs="Arial" w:eastAsia="Arial" w:hAnsi="Arial"/>
                <w:sz w:val="17"/>
                <w:szCs w:val="17"/>
                <w:color w:val="auto"/>
              </w:rPr>
              <w:t>Income taxes payable</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31"/>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7"/>
                <w:szCs w:val="17"/>
                <w:color w:val="auto"/>
              </w:rPr>
              <w:t>Total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21,355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27,127</w:t>
            </w:r>
          </w:p>
        </w:tc>
        <w:tc>
          <w:tcPr>
            <w:tcW w:w="0" w:type="dxa"/>
            <w:vAlign w:val="bottom"/>
          </w:tcPr>
          <w:p>
            <w:pPr>
              <w:spacing w:after="0"/>
              <w:rPr>
                <w:sz w:val="1"/>
                <w:szCs w:val="1"/>
                <w:color w:val="auto"/>
              </w:rPr>
            </w:pPr>
          </w:p>
        </w:tc>
      </w:tr>
      <w:tr>
        <w:trPr>
          <w:trHeight w:val="226"/>
        </w:trPr>
        <w:tc>
          <w:tcPr>
            <w:tcW w:w="8500" w:type="dxa"/>
            <w:vAlign w:val="bottom"/>
          </w:tcPr>
          <w:p>
            <w:pPr>
              <w:ind w:left="20"/>
              <w:spacing w:after="0"/>
              <w:rPr>
                <w:sz w:val="20"/>
                <w:szCs w:val="20"/>
                <w:color w:val="auto"/>
              </w:rPr>
            </w:pPr>
            <w:r>
              <w:rPr>
                <w:rFonts w:ascii="Arial" w:cs="Arial" w:eastAsia="Arial" w:hAnsi="Arial"/>
                <w:sz w:val="17"/>
                <w:szCs w:val="17"/>
                <w:color w:val="auto"/>
              </w:rPr>
              <w:t>Accrued dividends</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1,303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1,576</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 operating lease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7,762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9,331</w:t>
            </w:r>
          </w:p>
        </w:tc>
        <w:tc>
          <w:tcPr>
            <w:tcW w:w="0" w:type="dxa"/>
            <w:vAlign w:val="bottom"/>
          </w:tcPr>
          <w:p>
            <w:pPr>
              <w:spacing w:after="0"/>
              <w:rPr>
                <w:sz w:val="1"/>
                <w:szCs w:val="1"/>
                <w:color w:val="auto"/>
              </w:rPr>
            </w:pPr>
          </w:p>
        </w:tc>
      </w:tr>
      <w:tr>
        <w:trPr>
          <w:trHeight w:val="219"/>
        </w:trPr>
        <w:tc>
          <w:tcPr>
            <w:tcW w:w="8500" w:type="dxa"/>
            <w:vAlign w:val="bottom"/>
          </w:tcPr>
          <w:p>
            <w:pPr>
              <w:ind w:left="780"/>
              <w:spacing w:after="0"/>
              <w:rPr>
                <w:sz w:val="20"/>
                <w:szCs w:val="20"/>
                <w:color w:val="auto"/>
              </w:rPr>
            </w:pPr>
            <w:r>
              <w:rPr>
                <w:rFonts w:ascii="Arial" w:cs="Arial" w:eastAsia="Arial" w:hAnsi="Arial"/>
                <w:sz w:val="17"/>
                <w:szCs w:val="17"/>
                <w:color w:val="auto"/>
              </w:rPr>
              <w:t>Total long-term liabilities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9,065</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10,907</w:t>
            </w:r>
          </w:p>
        </w:tc>
        <w:tc>
          <w:tcPr>
            <w:tcW w:w="0" w:type="dxa"/>
            <w:vAlign w:val="bottom"/>
          </w:tcPr>
          <w:p>
            <w:pPr>
              <w:spacing w:after="0"/>
              <w:rPr>
                <w:sz w:val="1"/>
                <w:szCs w:val="1"/>
                <w:color w:val="auto"/>
              </w:rPr>
            </w:pPr>
          </w:p>
        </w:tc>
      </w:tr>
      <w:tr>
        <w:trPr>
          <w:trHeight w:val="31"/>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7"/>
                <w:szCs w:val="17"/>
                <w:b w:val="1"/>
                <w:bCs w:val="1"/>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30,420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38,034</w:t>
            </w:r>
          </w:p>
        </w:tc>
        <w:tc>
          <w:tcPr>
            <w:tcW w:w="0" w:type="dxa"/>
            <w:vAlign w:val="bottom"/>
          </w:tcPr>
          <w:p>
            <w:pPr>
              <w:spacing w:after="0"/>
              <w:rPr>
                <w:sz w:val="1"/>
                <w:szCs w:val="1"/>
                <w:color w:val="auto"/>
              </w:rPr>
            </w:pPr>
          </w:p>
        </w:tc>
      </w:tr>
      <w:tr>
        <w:trPr>
          <w:trHeight w:val="206"/>
        </w:trPr>
        <w:tc>
          <w:tcPr>
            <w:tcW w:w="8500" w:type="dxa"/>
            <w:vAlign w:val="bottom"/>
          </w:tcPr>
          <w:p>
            <w:pPr>
              <w:ind w:left="20"/>
              <w:spacing w:after="0"/>
              <w:rPr>
                <w:sz w:val="20"/>
                <w:szCs w:val="20"/>
                <w:color w:val="auto"/>
              </w:rPr>
            </w:pPr>
            <w:r>
              <w:rPr>
                <w:rFonts w:ascii="Arial" w:cs="Arial" w:eastAsia="Arial" w:hAnsi="Arial"/>
                <w:sz w:val="17"/>
                <w:szCs w:val="17"/>
                <w:color w:val="auto"/>
              </w:rPr>
              <w:t>Commitments and contingencies (Note 14)</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500" w:type="dxa"/>
            <w:vAlign w:val="bottom"/>
          </w:tcPr>
          <w:p>
            <w:pPr>
              <w:ind w:left="460"/>
              <w:spacing w:after="0"/>
              <w:rPr>
                <w:sz w:val="20"/>
                <w:szCs w:val="20"/>
                <w:color w:val="auto"/>
              </w:rPr>
            </w:pPr>
            <w:r>
              <w:rPr>
                <w:rFonts w:ascii="Arial" w:cs="Arial" w:eastAsia="Arial" w:hAnsi="Arial"/>
                <w:sz w:val="17"/>
                <w:szCs w:val="17"/>
                <w:color w:val="auto"/>
                <w:w w:val="96"/>
              </w:rPr>
              <w:t>Common stock, $0.01 par value, authorized 25,000,000 shares, issued 10,306,570 and outstanding 8,881,086</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460"/>
              <w:spacing w:after="0"/>
              <w:rPr>
                <w:sz w:val="20"/>
                <w:szCs w:val="20"/>
                <w:color w:val="auto"/>
              </w:rPr>
            </w:pPr>
            <w:r>
              <w:rPr>
                <w:rFonts w:ascii="Arial" w:cs="Arial" w:eastAsia="Arial" w:hAnsi="Arial"/>
                <w:sz w:val="17"/>
                <w:szCs w:val="17"/>
                <w:color w:val="auto"/>
                <w:w w:val="99"/>
              </w:rPr>
              <w:t>shares at December 31, 2019; issued 10,182,583 and outstanding 8,904,902 shares at December 31, 2018</w:t>
            </w:r>
          </w:p>
        </w:tc>
        <w:tc>
          <w:tcPr>
            <w:tcW w:w="320" w:type="dxa"/>
            <w:vAlign w:val="bottom"/>
          </w:tcPr>
          <w:p>
            <w:pPr>
              <w:spacing w:after="0"/>
              <w:rPr>
                <w:sz w:val="18"/>
                <w:szCs w:val="18"/>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Additional paid-in capital</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203,441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194,116</w:t>
            </w:r>
          </w:p>
        </w:tc>
        <w:tc>
          <w:tcPr>
            <w:tcW w:w="0" w:type="dxa"/>
            <w:vAlign w:val="bottom"/>
          </w:tcPr>
          <w:p>
            <w:pPr>
              <w:spacing w:after="0"/>
              <w:rPr>
                <w:sz w:val="1"/>
                <w:szCs w:val="1"/>
                <w:color w:val="auto"/>
              </w:rPr>
            </w:pPr>
          </w:p>
        </w:tc>
      </w:tr>
      <w:tr>
        <w:trPr>
          <w:trHeight w:val="226"/>
        </w:trPr>
        <w:tc>
          <w:tcPr>
            <w:tcW w:w="8500" w:type="dxa"/>
            <w:vAlign w:val="bottom"/>
          </w:tcPr>
          <w:p>
            <w:pPr>
              <w:ind w:left="460"/>
              <w:spacing w:after="0"/>
              <w:rPr>
                <w:sz w:val="20"/>
                <w:szCs w:val="20"/>
                <w:color w:val="auto"/>
              </w:rPr>
            </w:pPr>
            <w:r>
              <w:rPr>
                <w:rFonts w:ascii="Arial" w:cs="Arial" w:eastAsia="Arial" w:hAnsi="Arial"/>
                <w:sz w:val="17"/>
                <w:szCs w:val="17"/>
                <w:color w:val="auto"/>
                <w:w w:val="99"/>
              </w:rPr>
              <w:t>Treasury stock, at cost – 1,425,483 shares at December 31, 2019; 1,277,681 shares at December 31, 2018</w:t>
            </w:r>
          </w:p>
        </w:tc>
        <w:tc>
          <w:tcPr>
            <w:tcW w:w="3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(63,281)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(58,711)</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(4,883)</w:t>
            </w:r>
          </w:p>
        </w:tc>
        <w:tc>
          <w:tcPr>
            <w:tcW w:w="0" w:type="dxa"/>
            <w:vAlign w:val="bottom"/>
          </w:tcPr>
          <w:p>
            <w:pPr>
              <w:spacing w:after="0"/>
              <w:rPr>
                <w:sz w:val="1"/>
                <w:szCs w:val="1"/>
                <w:color w:val="auto"/>
              </w:rPr>
            </w:pPr>
          </w:p>
        </w:tc>
      </w:tr>
      <w:tr>
        <w:trPr>
          <w:trHeight w:val="226"/>
        </w:trPr>
        <w:tc>
          <w:tcPr>
            <w:tcW w:w="8500" w:type="dxa"/>
            <w:vAlign w:val="bottom"/>
          </w:tcPr>
          <w:p>
            <w:pPr>
              <w:ind w:left="46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10,967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30,525</w:t>
            </w:r>
          </w:p>
        </w:tc>
        <w:tc>
          <w:tcPr>
            <w:tcW w:w="0" w:type="dxa"/>
            <w:vAlign w:val="bottom"/>
          </w:tcPr>
          <w:p>
            <w:pPr>
              <w:spacing w:after="0"/>
              <w:rPr>
                <w:sz w:val="1"/>
                <w:szCs w:val="1"/>
                <w:color w:val="auto"/>
              </w:rPr>
            </w:pPr>
          </w:p>
        </w:tc>
      </w:tr>
      <w:tr>
        <w:trPr>
          <w:trHeight w:val="31"/>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7"/>
                <w:szCs w:val="17"/>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148,287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161,149</w:t>
            </w:r>
          </w:p>
        </w:tc>
        <w:tc>
          <w:tcPr>
            <w:tcW w:w="0" w:type="dxa"/>
            <w:vAlign w:val="bottom"/>
          </w:tcPr>
          <w:p>
            <w:pPr>
              <w:spacing w:after="0"/>
              <w:rPr>
                <w:sz w:val="1"/>
                <w:szCs w:val="1"/>
                <w:color w:val="auto"/>
              </w:rPr>
            </w:pPr>
          </w:p>
        </w:tc>
      </w:tr>
      <w:tr>
        <w:trPr>
          <w:trHeight w:val="219"/>
        </w:trPr>
        <w:tc>
          <w:tcPr>
            <w:tcW w:w="850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178,707</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199,183</w:t>
            </w:r>
          </w:p>
        </w:tc>
        <w:tc>
          <w:tcPr>
            <w:tcW w:w="0" w:type="dxa"/>
            <w:vAlign w:val="bottom"/>
          </w:tcPr>
          <w:p>
            <w:pPr>
              <w:spacing w:after="0"/>
              <w:rPr>
                <w:sz w:val="1"/>
                <w:szCs w:val="1"/>
                <w:color w:val="auto"/>
              </w:rPr>
            </w:pPr>
          </w:p>
        </w:tc>
      </w:tr>
      <w:tr>
        <w:trPr>
          <w:trHeight w:val="31"/>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400"/>
          </w:cols>
          <w:pgMar w:left="240" w:top="9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shares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2"/>
              </w:rPr>
              <w:t>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Advisory fees: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Asset-based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57,033</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89,367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99,201</w:t>
            </w:r>
          </w:p>
        </w:tc>
        <w:tc>
          <w:tcPr>
            <w:tcW w:w="0" w:type="dxa"/>
            <w:vAlign w:val="bottom"/>
          </w:tcPr>
          <w:p>
            <w:pPr>
              <w:spacing w:after="0"/>
              <w:rPr>
                <w:sz w:val="1"/>
                <w:szCs w:val="1"/>
                <w:color w:val="auto"/>
              </w:rPr>
            </w:pPr>
          </w:p>
        </w:tc>
      </w:tr>
      <w:tr>
        <w:trPr>
          <w:trHeight w:val="243"/>
        </w:trPr>
        <w:tc>
          <w:tcPr>
            <w:tcW w:w="7400" w:type="dxa"/>
            <w:vAlign w:val="bottom"/>
          </w:tcPr>
          <w:p>
            <w:pPr>
              <w:ind w:left="78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Trust fees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28,953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31,621</w:t>
            </w: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122,300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133,785</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64,955</w:t>
            </w: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Westwood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Information technology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Legal settlement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(Gain) loss on foreign currency transactions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86,362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99,892</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Net 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35,938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33,893</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Gain on sale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Unrealized gains on private investments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33,893</w:t>
            </w:r>
          </w:p>
        </w:tc>
        <w:tc>
          <w:tcPr>
            <w:tcW w:w="0" w:type="dxa"/>
            <w:vAlign w:val="bottom"/>
          </w:tcPr>
          <w:p>
            <w:pPr>
              <w:spacing w:after="0"/>
              <w:rPr>
                <w:sz w:val="1"/>
                <w:szCs w:val="1"/>
                <w:color w:val="auto"/>
              </w:rPr>
            </w:pPr>
          </w:p>
        </w:tc>
      </w:tr>
      <w:tr>
        <w:trPr>
          <w:trHeight w:val="243"/>
        </w:trPr>
        <w:tc>
          <w:tcPr>
            <w:tcW w:w="7400" w:type="dxa"/>
            <w:vAlign w:val="bottom"/>
          </w:tcPr>
          <w:p>
            <w:pPr>
              <w:ind w:left="46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9,711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13,904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26,751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19,989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23,632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7400" w:type="dxa"/>
            <w:vAlign w:val="bottom"/>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0.70</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8,408,017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8,365,360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8,147,742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8,463,239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8,547,370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8,400,022</w:t>
            </w:r>
          </w:p>
        </w:tc>
        <w:tc>
          <w:tcPr>
            <w:tcW w:w="0" w:type="dxa"/>
            <w:vAlign w:val="bottom"/>
          </w:tcPr>
          <w:p>
            <w:pPr>
              <w:spacing w:after="0"/>
              <w:rPr>
                <w:sz w:val="1"/>
                <w:szCs w:val="1"/>
                <w:color w:val="auto"/>
              </w:rPr>
            </w:pPr>
          </w:p>
        </w:tc>
      </w:tr>
      <w:tr>
        <w:trPr>
          <w:trHeight w:val="27"/>
        </w:trPr>
        <w:tc>
          <w:tcPr>
            <w:tcW w:w="7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400"/>
          </w:cols>
          <w:pgMar w:left="240" w:top="93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type w:val="continuous"/>
        </w:sectPr>
      </w:pPr>
    </w:p>
    <w:bookmarkStart w:id="49" w:name="page50"/>
    <w:bookmarkEnd w:id="49"/>
    <w:p>
      <w:pPr>
        <w:ind w:left="318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Westwood Holdings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212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Group, Inc.</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212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Common Stock, Par</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2016</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8,810,375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162,730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(44,353)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31,881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146,069</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Cumulative Adjustment for ASU 2016-09</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19,989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19,989</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net of forfeitures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178,889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16,430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16,430</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Reclassification of compensation liability to be paid in shares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Dividends declared ($2.54 per share)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(22,552)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(22,552)</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Issuance of treasury stock under employee stock plans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22,091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returned for payment of taxes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8,899,587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179,241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(49,788)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28,607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156,396</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26,751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26,751</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(3,119)</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net of forfeitures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15,283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15,283</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Reclassification of compensation liability to be paid in shares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Dividends declared ($2.76 per share)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(24,833)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(24,833)</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Issuance of treasury stock under employee stock plans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10,327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returned for payment of taxes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(4,768)</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8,904,902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194,116</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(58,711)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(4,883)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30,525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161,149</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net of forfeitures</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123,986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10,305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10,305</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Reclassification of compensation liability to be paid in shares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Dividends declared ($2.88 per share)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(25,469)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(25,469)</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(110,606)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(3,394)</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Issuance of treasury stock under employee stock plans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24,840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returned for payment of taxes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202"/>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8,881,086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203,441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(63,281)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(2,943)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10,967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148,287</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50" w:name="page51"/>
    <w:bookmarkEnd w:id="50"/>
    <w:p>
      <w:pPr>
        <w:ind w:left="320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5,911</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26,751</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19,989</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1,044</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1,872</w:t>
            </w:r>
          </w:p>
        </w:tc>
      </w:tr>
      <w:tr>
        <w:trPr>
          <w:trHeight w:val="224"/>
        </w:trPr>
        <w:tc>
          <w:tcPr>
            <w:tcW w:w="7400" w:type="dxa"/>
            <w:vAlign w:val="bottom"/>
          </w:tcPr>
          <w:p>
            <w:pPr>
              <w:ind w:left="660"/>
              <w:spacing w:after="0"/>
              <w:rPr>
                <w:sz w:val="20"/>
                <w:szCs w:val="20"/>
                <w:color w:val="auto"/>
              </w:rPr>
            </w:pPr>
            <w:r>
              <w:rPr>
                <w:rFonts w:ascii="Arial" w:cs="Arial" w:eastAsia="Arial" w:hAnsi="Arial"/>
                <w:sz w:val="16"/>
                <w:szCs w:val="16"/>
                <w:color w:val="auto"/>
              </w:rPr>
              <w:t>Unrealized (gains) losses on investments</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(617)</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16,430</w:t>
            </w:r>
          </w:p>
        </w:tc>
      </w:tr>
      <w:tr>
        <w:trPr>
          <w:trHeight w:val="224"/>
        </w:trPr>
        <w:tc>
          <w:tcPr>
            <w:tcW w:w="740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2,906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7,542</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Gain on sale of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400" w:type="dxa"/>
            <w:vAlign w:val="bottom"/>
          </w:tcPr>
          <w:p>
            <w:pPr>
              <w:ind w:left="66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1,042</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tcPr>
          <w:p>
            <w:pPr>
              <w:ind w:left="660"/>
              <w:spacing w:after="0"/>
              <w:rPr>
                <w:sz w:val="20"/>
                <w:szCs w:val="20"/>
                <w:color w:val="auto"/>
              </w:rPr>
            </w:pPr>
            <w:r>
              <w:rPr>
                <w:rFonts w:ascii="Arial" w:cs="Arial" w:eastAsia="Arial" w:hAnsi="Arial"/>
                <w:sz w:val="16"/>
                <w:szCs w:val="16"/>
                <w:color w:val="auto"/>
              </w:rPr>
              <w:t>Net (purchases) sales of investments – trading securities</w:t>
            </w: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15,811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(15,194)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5,778</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2,161</w:t>
            </w:r>
          </w:p>
        </w:tc>
      </w:tr>
      <w:tr>
        <w:trPr>
          <w:trHeight w:val="224"/>
        </w:trPr>
        <w:tc>
          <w:tcPr>
            <w:tcW w:w="7400" w:type="dxa"/>
            <w:vAlign w:val="bottom"/>
          </w:tcPr>
          <w:p>
            <w:pPr>
              <w:ind w:left="66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3,755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(4,234)</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763</w:t>
            </w:r>
          </w:p>
        </w:tc>
      </w:tr>
      <w:tr>
        <w:trPr>
          <w:trHeight w:val="224"/>
        </w:trPr>
        <w:tc>
          <w:tcPr>
            <w:tcW w:w="7400" w:type="dxa"/>
            <w:vAlign w:val="bottom"/>
          </w:tcPr>
          <w:p>
            <w:pPr>
              <w:ind w:left="660"/>
              <w:spacing w:after="0"/>
              <w:rPr>
                <w:sz w:val="20"/>
                <w:szCs w:val="20"/>
                <w:color w:val="auto"/>
              </w:rPr>
            </w:pPr>
            <w:r>
              <w:rPr>
                <w:rFonts w:ascii="Arial" w:cs="Arial" w:eastAsia="Arial" w:hAnsi="Arial"/>
                <w:sz w:val="16"/>
                <w:szCs w:val="16"/>
                <w:color w:val="auto"/>
              </w:rPr>
              <w:t>Compensation and benefits payable</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2,262</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Income taxes payable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(4,816)</w:t>
            </w:r>
          </w:p>
        </w:tc>
      </w:tr>
      <w:tr>
        <w:trPr>
          <w:trHeight w:val="224"/>
        </w:trPr>
        <w:tc>
          <w:tcPr>
            <w:tcW w:w="7400" w:type="dxa"/>
            <w:vAlign w:val="bottom"/>
          </w:tcPr>
          <w:p>
            <w:pPr>
              <w:ind w:left="66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(1,207)</w:t>
            </w:r>
          </w:p>
        </w:tc>
      </w:tr>
      <w:tr>
        <w:trPr>
          <w:trHeight w:val="33"/>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48,009</w:t>
            </w:r>
          </w:p>
        </w:tc>
      </w:tr>
      <w:tr>
        <w:trPr>
          <w:trHeight w:val="204"/>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7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Purchases of property, equipment and other</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w:t>
            </w:r>
          </w:p>
        </w:tc>
      </w:tr>
      <w:tr>
        <w:trPr>
          <w:trHeight w:val="224"/>
        </w:trPr>
        <w:tc>
          <w:tcPr>
            <w:tcW w:w="7400" w:type="dxa"/>
            <w:vAlign w:val="bottom"/>
          </w:tcPr>
          <w:p>
            <w:pPr>
              <w:ind w:left="340"/>
              <w:spacing w:after="0"/>
              <w:rPr>
                <w:sz w:val="20"/>
                <w:szCs w:val="20"/>
                <w:color w:val="auto"/>
              </w:rPr>
            </w:pPr>
            <w:r>
              <w:rPr>
                <w:rFonts w:ascii="Arial" w:cs="Arial" w:eastAsia="Arial" w:hAnsi="Arial"/>
                <w:sz w:val="16"/>
                <w:szCs w:val="16"/>
                <w:color w:val="auto"/>
              </w:rPr>
              <w:t>Proceeds from Omaha divestiture</w:t>
            </w:r>
          </w:p>
        </w:tc>
        <w:tc>
          <w:tcPr>
            <w:tcW w:w="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Purchases of 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400" w:type="dxa"/>
            <w:vAlign w:val="bottom"/>
          </w:tcPr>
          <w:p>
            <w:pPr>
              <w:ind w:left="340"/>
              <w:spacing w:after="0"/>
              <w:rPr>
                <w:sz w:val="20"/>
                <w:szCs w:val="20"/>
                <w:color w:val="auto"/>
              </w:rPr>
            </w:pPr>
            <w:r>
              <w:rPr>
                <w:rFonts w:ascii="Arial" w:cs="Arial" w:eastAsia="Arial" w:hAnsi="Arial"/>
                <w:sz w:val="16"/>
                <w:szCs w:val="16"/>
                <w:color w:val="auto"/>
              </w:rPr>
              <w:t>Additions to internally developed software</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w:t>
            </w: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Purchases of treasury stock</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400" w:type="dxa"/>
            <w:vAlign w:val="bottom"/>
          </w:tcPr>
          <w:p>
            <w:pPr>
              <w:ind w:left="340"/>
              <w:spacing w:after="0"/>
              <w:rPr>
                <w:sz w:val="20"/>
                <w:szCs w:val="20"/>
                <w:color w:val="auto"/>
              </w:rPr>
            </w:pPr>
            <w:r>
              <w:rPr>
                <w:rFonts w:ascii="Arial" w:cs="Arial" w:eastAsia="Arial" w:hAnsi="Arial"/>
                <w:sz w:val="16"/>
                <w:szCs w:val="16"/>
                <w:color w:val="auto"/>
              </w:rPr>
              <w:t>Purchases of treasury stock under employee stock plans</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(1,326)</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Restricted stock returned for payment of taxes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(5,328)</w:t>
            </w:r>
          </w:p>
        </w:tc>
      </w:tr>
      <w:tr>
        <w:trPr>
          <w:trHeight w:val="224"/>
        </w:trPr>
        <w:tc>
          <w:tcPr>
            <w:tcW w:w="7400" w:type="dxa"/>
            <w:vAlign w:val="bottom"/>
          </w:tcPr>
          <w:p>
            <w:pPr>
              <w:ind w:left="340"/>
              <w:spacing w:after="0"/>
              <w:rPr>
                <w:sz w:val="20"/>
                <w:szCs w:val="20"/>
                <w:color w:val="auto"/>
              </w:rPr>
            </w:pPr>
            <w:r>
              <w:rPr>
                <w:rFonts w:ascii="Arial" w:cs="Arial" w:eastAsia="Arial" w:hAnsi="Arial"/>
                <w:sz w:val="16"/>
                <w:szCs w:val="16"/>
                <w:color w:val="auto"/>
              </w:rPr>
              <w:t>Cash dividends paid</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(24,621)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(21,923)</w:t>
            </w:r>
          </w:p>
        </w:tc>
      </w:tr>
      <w:tr>
        <w:trPr>
          <w:trHeight w:val="33"/>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(28,577)</w:t>
            </w:r>
          </w:p>
        </w:tc>
      </w:tr>
      <w:tr>
        <w:trPr>
          <w:trHeight w:val="217"/>
        </w:trPr>
        <w:tc>
          <w:tcPr>
            <w:tcW w:w="7400" w:type="dxa"/>
            <w:vAlign w:val="bottom"/>
          </w:tcPr>
          <w:p>
            <w:pPr>
              <w:ind w:left="20"/>
              <w:spacing w:after="0"/>
              <w:rPr>
                <w:sz w:val="20"/>
                <w:szCs w:val="20"/>
                <w:color w:val="auto"/>
              </w:rPr>
            </w:pPr>
            <w:r>
              <w:rPr>
                <w:rFonts w:ascii="Arial" w:cs="Arial" w:eastAsia="Arial" w:hAnsi="Arial"/>
                <w:sz w:val="16"/>
                <w:szCs w:val="16"/>
                <w:color w:val="auto"/>
              </w:rPr>
              <w:t>Effect of currency rate changes on cash</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1,863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2,305</w:t>
            </w:r>
          </w:p>
        </w:tc>
      </w:tr>
      <w:tr>
        <w:trPr>
          <w:trHeight w:val="33"/>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20,570</w:t>
            </w: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52,449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54,249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33,679</w:t>
            </w:r>
          </w:p>
        </w:tc>
      </w:tr>
      <w:tr>
        <w:trPr>
          <w:trHeight w:val="33"/>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year</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54,249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7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tcPr>
          <w:p>
            <w:pPr>
              <w:ind w:left="340"/>
              <w:spacing w:after="0"/>
              <w:rPr>
                <w:sz w:val="20"/>
                <w:szCs w:val="20"/>
                <w:color w:val="auto"/>
              </w:rPr>
            </w:pPr>
            <w:r>
              <w:rPr>
                <w:rFonts w:ascii="Arial" w:cs="Arial" w:eastAsia="Arial" w:hAnsi="Arial"/>
                <w:sz w:val="16"/>
                <w:szCs w:val="16"/>
                <w:color w:val="auto"/>
              </w:rPr>
              <w:t>Cash paid during the year for 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9,766</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10,770</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dividends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9,074</w:t>
            </w:r>
          </w:p>
        </w:tc>
      </w:tr>
      <w:tr>
        <w:trPr>
          <w:trHeight w:val="224"/>
        </w:trPr>
        <w:tc>
          <w:tcPr>
            <w:tcW w:w="7400" w:type="dxa"/>
            <w:vAlign w:val="bottom"/>
          </w:tcPr>
          <w:p>
            <w:pPr>
              <w:ind w:left="340"/>
              <w:spacing w:after="0"/>
              <w:rPr>
                <w:sz w:val="20"/>
                <w:szCs w:val="20"/>
                <w:color w:val="auto"/>
              </w:rPr>
            </w:pPr>
            <w:r>
              <w:rPr>
                <w:rFonts w:ascii="Arial" w:cs="Arial" w:eastAsia="Arial" w:hAnsi="Arial"/>
                <w:sz w:val="16"/>
                <w:szCs w:val="16"/>
                <w:color w:val="auto"/>
              </w:rPr>
              <w:t>Tenant allowance included in Property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accrued Property and equipment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r>
      <w:tr>
        <w:trPr>
          <w:trHeight w:val="33"/>
        </w:trPr>
        <w:tc>
          <w:tcPr>
            <w:tcW w:w="7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See Notes to Consolidated Financial Statements.</w:t>
      </w:r>
    </w:p>
    <w:p>
      <w:pPr>
        <w:sectPr>
          <w:pgSz w:w="11900" w:h="16838" w:orient="portrait"/>
          <w:cols w:equalWidth="0" w:num="1">
            <w:col w:w="11400"/>
          </w:cols>
          <w:pgMar w:left="240" w:top="93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(each of which is an SEC-RIA and referred to hereinafter together as “Westwood Management”), Westwood Trust and Westwood International Advisors Inc. (“Westwood International Advisors”). Westwood Management provides investment advisory services to institutional clients, a family of mutual funds called the Westwood Funds® other mutual funds, individual investors and clients of Westwood Trust. Westwood International Advisors provides investment advisory services to institutional clients, the Westwood Funds®, other mutual funds, the UCITS Fund, individual investors and clients of Westwood Trust. Westwood Trust provides trust and custodial services and participation in self-sponsored common trust funds (“CTFs”) to institutions and high net worth individuals. Revenue is largely dependent on the total value and composition of AUM. Accordingly, fluctuations in financial markets and in the composition of AUM impact our revenues and results of operations.</w:t>
      </w:r>
    </w:p>
    <w:p>
      <w:pPr>
        <w:spacing w:after="0" w:line="7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Westwood Management is an RIA under the Investment Advisers Act of 1940. Westwood Trust is chartered and regulated by the Texas Department of Banking. Westwood International Advisors is registered as a portfolio manager and exempt market dealer with the Ontario Securities Commission and the Autorité des marchés financiers in Québec.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21"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Wealth Management business. The sale closed on January 12, 2018. We received proceeds of $10.0 million, net of working capital requirements, and recorded a $0.5 million gain on the sale, which is included as “Gain on sale of operations” on our Consolidated Statement of Comprehensive Income. The sale reduced our goodwill and intangible assets, but did not have a material impact on our Consolidated Balance Sheets. The following table presents cash proceeds received and net assets sold (in thousands):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10,013</w:t>
            </w:r>
          </w:p>
        </w:tc>
      </w:tr>
      <w:tr>
        <w:trPr>
          <w:trHeight w:val="243"/>
        </w:trPr>
        <w:tc>
          <w:tcPr>
            <w:tcW w:w="1000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r>
      <w:tr>
        <w:trPr>
          <w:trHeight w:val="243"/>
        </w:trPr>
        <w:tc>
          <w:tcPr>
            <w:tcW w:w="100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112</w:t>
            </w:r>
          </w:p>
        </w:tc>
      </w:tr>
      <w:tr>
        <w:trPr>
          <w:trHeight w:val="27"/>
        </w:trPr>
        <w:tc>
          <w:tcPr>
            <w:tcW w:w="10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7,340</w:t>
            </w:r>
          </w:p>
        </w:tc>
      </w:tr>
      <w:tr>
        <w:trPr>
          <w:trHeight w:val="243"/>
        </w:trPr>
        <w:tc>
          <w:tcPr>
            <w:tcW w:w="10000" w:type="dxa"/>
            <w:vAlign w:val="bottom"/>
          </w:tcPr>
          <w:p>
            <w:pPr>
              <w:ind w:left="320"/>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2,170</w:t>
            </w:r>
          </w:p>
        </w:tc>
      </w:tr>
      <w:tr>
        <w:trPr>
          <w:trHeight w:val="27"/>
        </w:trPr>
        <w:tc>
          <w:tcPr>
            <w:tcW w:w="10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r>
      <w:tr>
        <w:trPr>
          <w:trHeight w:val="243"/>
        </w:trPr>
        <w:tc>
          <w:tcPr>
            <w:tcW w:w="100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10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64"/>
        </w:trPr>
        <w:tc>
          <w:tcPr>
            <w:tcW w:w="10000" w:type="dxa"/>
            <w:vAlign w:val="bottom"/>
          </w:tcPr>
          <w:p>
            <w:pPr>
              <w:ind w:left="20"/>
              <w:spacing w:after="0"/>
              <w:rPr>
                <w:sz w:val="20"/>
                <w:szCs w:val="20"/>
                <w:color w:val="auto"/>
              </w:rPr>
            </w:pPr>
            <w:r>
              <w:rPr>
                <w:rFonts w:ascii="Arial" w:cs="Arial" w:eastAsia="Arial" w:hAnsi="Arial"/>
                <w:sz w:val="18"/>
                <w:szCs w:val="18"/>
                <w:color w:val="auto"/>
              </w:rPr>
              <w:t>Gain on sale of operations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524</w:t>
            </w:r>
          </w:p>
        </w:tc>
      </w:tr>
      <w:tr>
        <w:trPr>
          <w:trHeight w:val="21"/>
        </w:trPr>
        <w:tc>
          <w:tcPr>
            <w:tcW w:w="10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component was reported within both our Advisory and Trust segments. The sale did not represent a major strategic shift in our business and did not qualify for discontinued operations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Westwood and its subsidiaries. All intercompany accounts and transactions have been eliminated upon consolidation. In the current year, we created items on the Consolidated Statements of Comprehensive Income for unrealized gains on private investments, investment income and other income. Prior year financial statements were not reclassified to conform to this presentation as those amounts are insignificant.</w:t>
      </w:r>
    </w:p>
    <w:p>
      <w:pPr>
        <w:spacing w:after="0" w:line="7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the investors’ abilities to direct the activities of the entity.</w:t>
      </w:r>
    </w:p>
    <w:p>
      <w:pPr>
        <w:spacing w:after="0" w:line="8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75"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38"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Westwood Investment Funds PLC (the “UCITS Fund”) and the Westwood Funds®, and (iii) our investments in InvestCloud and Charis discussed in Note 3 </w:t>
      </w:r>
      <w:r>
        <w:rPr>
          <w:rFonts w:ascii="Arial" w:cs="Arial" w:eastAsia="Arial" w:hAnsi="Arial"/>
          <w:sz w:val="16"/>
          <w:szCs w:val="16"/>
          <w:color w:val="222222"/>
        </w:rPr>
        <w:t xml:space="preserve">“Investments” </w:t>
      </w:r>
      <w:r>
        <w:rPr>
          <w:rFonts w:ascii="Arial" w:cs="Arial" w:eastAsia="Arial" w:hAnsi="Arial"/>
          <w:sz w:val="16"/>
          <w:szCs w:val="16"/>
          <w:color w:val="000000"/>
        </w:rPr>
        <w:t>(“Private Equity”) to determine whether each of these entities is a variable interest entity (“VIE”) or voting ownership entity (“VOE”).</w:t>
      </w:r>
    </w:p>
    <w:p>
      <w:pPr>
        <w:spacing w:after="0" w:line="46"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7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Although we have related parties on the UCITS Fund board of directors, the shareholders have rights to remove the current directors by a simple majority vote and so we determined that the UCITS Fund is not a VIE.</w:t>
      </w:r>
    </w:p>
    <w:p>
      <w:pPr>
        <w:spacing w:after="0" w:line="62"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Based on our analyses, we determined the UCITS Fund,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5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Based on our analyses of our investments in these entities for the periods ending December 31, 2019 and 2018, we have not consolidated the CTFs or Private Funds under the VIE method or the UCITS Fund, Westwood Funds® or Private Equity under the VOE method, and therefore the financial results of these entities are not included in the Company’s consolidated financial results. We have included the disclosures related to VIEs and VOEs in Note 12 “Variable Interest Entities.”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the reported amounts of revenues and expenses during the reporting period. Actual results could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color w:val="auto"/>
        </w:rPr>
        <w:t>Cash and cash equivalents consist of money market accounts and other short-term, highly liquid investments with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Accounts receivable represents balances arising from services provided to customers and are recorded on an accrual basis, net of any allowance for doubtful accounts. Accounts receivable are written off when they are determined to be uncollectible. Any allowance for doubtful accounts is estimated based on the Company’s historical amounts written off, existing conditions in the industry, and the financial stability of the customer. The majority of our accounts receivable balances consist of advisory and trust fees receivable from customers that we believe are, and have experienced to be, fully collectible. Accordingly, our Consolidated Financial Statements include neither an allowance for bad debt, nor bad debt expense.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40" w:firstLine="486"/>
        <w:spacing w:after="0" w:line="286" w:lineRule="auto"/>
        <w:rPr>
          <w:sz w:val="20"/>
          <w:szCs w:val="20"/>
          <w:color w:val="auto"/>
        </w:rPr>
      </w:pPr>
      <w:r>
        <w:rPr>
          <w:rFonts w:ascii="Arial" w:cs="Arial" w:eastAsia="Arial" w:hAnsi="Arial"/>
          <w:sz w:val="17"/>
          <w:szCs w:val="17"/>
          <w:color w:val="auto"/>
        </w:rPr>
        <w:t>Investments measured at fair market value are classified as trading securities and are carried at quoted market values on the accompanying Consolidated Balance Sheets. Net unrealized holding gains or losses on investments classified as trading securities are reflected as a component of other revenues. We measure realized gains and losses on investments using the specific identification method.</w:t>
      </w:r>
    </w:p>
    <w:p>
      <w:pPr>
        <w:spacing w:after="0" w:line="5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For an investment without a readily determinable fair value, the Company has elected to apply the measurement alternative of cost minus impairment, if any, plus or minus changes resulting from observable price changes. The Company will reassess whether such an investment qualifies for the measurement alternative at each reporting period. In evaluating an investment for impairment or observable price changes, we will use inputs including recent financing events, as well as other available information regarding the investee's historical and forecasted performance.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determined the estimated fair values of our financial instruments using available information. The fair value amounts discussed in Notes 3 “Investments” and 4 “Fair Value of Financial Instruments” are not necessarily indicative of either the amounts realizable upon disposition of these instruments or of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 mutual funds, the UCITS Fund and Westwood Trust common trust fund shares, equals fair value based on prices quoted in active markets and, with respect to funds, the reported net asset value (“NAV”) of the shares held. Market values of our money market holdings generally do not fluctuate.</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investment in Westwood Hospitality Fund I, LLC is measured at fair value using NAV.</w:t>
      </w:r>
    </w:p>
    <w:p>
      <w:pPr>
        <w:spacing w:after="0" w:line="117"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Our investment in Charis Holdings, Inc. ("Charis"), the parent company of Westwood Private Bank, is measured at fair value on a recurring basis using a market approach based on a price to tangible book value multiple that is determined to be reasonable in the current environment, or market transactions. Management believes this valuation methodology is consistent with the banking industry and will reevaluate our methodology and inputs on a quarterly basis.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tested at least annually for impairment.</w:t>
      </w:r>
    </w:p>
    <w:p>
      <w:pPr>
        <w:spacing w:after="0" w:line="62"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using either a qualitative or quantitative assessment. The qualitative assessment includes consideration of the current trends in the industry in which we operate, macroeconomic conditions and recent financial performance of our reporting units. In performing the annual impairment test during the third quarter, or more frequently when impairment indicators exist, and after assessing the qualitative factors, we may be required to utilize the two-step approach prescribed by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We may also elect to skip the qualitative assessment and proceed directly to the quantitative analysis. The quantitative analysis requires a comparison of each reporting unit’s carrying value to the fair value of the respective unit. If the carrying value exceeds the fair value, an impairment loss is measured by reducing the goodwill to the fair market value. The fair value of each reporting unit is estimated, entirely or predominantly, using a market multiple approach and an income approach. During the third quarter of 2019 we completed our annual goodwill impairment assessment and determined that no impairment loss was required. No impairments were recorded during any of the periods presented.</w:t>
      </w:r>
    </w:p>
    <w:p>
      <w:pPr>
        <w:spacing w:after="0" w:line="5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intangible assets represent the acquisition date fair value of the acquired client relationships, trade names and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5 “Goodwill and Other Intangible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 improvements, furniture and fixtures, computer hardware and most office equipment purchases.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right="100" w:firstLine="486"/>
        <w:spacing w:after="0" w:line="257" w:lineRule="auto"/>
        <w:rPr>
          <w:sz w:val="20"/>
          <w:szCs w:val="20"/>
          <w:color w:val="auto"/>
        </w:rPr>
      </w:pPr>
      <w:r>
        <w:rPr>
          <w:rFonts w:ascii="Arial" w:cs="Arial" w:eastAsia="Arial" w:hAnsi="Arial"/>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AUM and the performance obligation is realized over the then-current calendar quarter. Once clients receive our investment advisory services we have an enforceable right to payment.</w:t>
      </w:r>
    </w:p>
    <w:p>
      <w:pPr>
        <w:spacing w:after="0" w:line="8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Incremental costs to obtain a contract are eligible to be capitalized if the costs are expected to be recovered over the service period. We incur certain incremental costs in obtaining new Trust business and continually evaluate whether costs should be capitalized and amortized over the expected period of benefit of the asset. Certain costs used to fulfill a contract such as the distribution services utilized to sell our Westwood Funds® are expensed as incurred. We recognize the incremental costs of obtaining a contract as an expense when incurred if the amortization period of the asset that the entity otherwise would have recognized is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 xml:space="preserve">We have issued restricted stock to our U.S. employees and Board of Directors in accordance with our Sixth Amended and Restated Westwood Holdings Group, Inc. Stock Incentive Plan (the “Plan”). We account for stock-based compensation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and adopted Accounting Standards Update (“ASU”) 2016-09,</w:t>
      </w:r>
      <w:r>
        <w:rPr>
          <w:rFonts w:ascii="Arial" w:cs="Arial" w:eastAsia="Arial" w:hAnsi="Arial"/>
          <w:sz w:val="18"/>
          <w:szCs w:val="18"/>
          <w:i w:val="1"/>
          <w:iCs w:val="1"/>
          <w:color w:val="auto"/>
        </w:rPr>
        <w:t xml:space="preserve"> Compensation-Stock Compensation: Improvements to Employee Share-Based Payment Accounting </w:t>
      </w:r>
      <w:r>
        <w:rPr>
          <w:rFonts w:ascii="Arial" w:cs="Arial" w:eastAsia="Arial" w:hAnsi="Arial"/>
          <w:sz w:val="18"/>
          <w:szCs w:val="18"/>
          <w:color w:val="auto"/>
        </w:rPr>
        <w:t>effective January 1, 2017.</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Under ASC 718, 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effects of the adoption of ASU 2016-09 on our Consolidated Financial Statements:</w:t>
      </w:r>
    </w:p>
    <w:p>
      <w:pPr>
        <w:spacing w:after="0" w:line="117" w:lineRule="exact"/>
        <w:rPr>
          <w:sz w:val="20"/>
          <w:szCs w:val="20"/>
          <w:color w:val="auto"/>
        </w:rPr>
      </w:pPr>
    </w:p>
    <w:p>
      <w:pPr>
        <w:ind w:left="500" w:right="180" w:firstLine="486"/>
        <w:spacing w:after="0" w:line="259" w:lineRule="auto"/>
        <w:rPr>
          <w:sz w:val="20"/>
          <w:szCs w:val="20"/>
          <w:color w:val="auto"/>
        </w:rPr>
      </w:pPr>
      <w:r>
        <w:rPr>
          <w:rFonts w:ascii="Arial" w:cs="Arial" w:eastAsia="Arial" w:hAnsi="Arial"/>
          <w:sz w:val="18"/>
          <w:szCs w:val="18"/>
          <w:color w:val="auto"/>
        </w:rPr>
        <w:t>Income Taxes - Upon adoption of this standard, all excess tax benefits and tax deficiencies, including tax benefits of dividends on stock-based payment awards, are recognized as income tax expense or benefit in the Consolidated Statement of Comprehensive Income. The tax effects of exercised or vested awards are treated as discrete items in the reporting period in which they occur. As a result, the Company recognized discrete adjustments to income tax expense of $1.0 million in 2017 related to excess tax benefits.</w:t>
      </w:r>
    </w:p>
    <w:p>
      <w:pPr>
        <w:spacing w:after="0" w:line="79" w:lineRule="exact"/>
        <w:rPr>
          <w:sz w:val="20"/>
          <w:szCs w:val="20"/>
          <w:color w:val="auto"/>
        </w:rPr>
      </w:pPr>
    </w:p>
    <w:p>
      <w:pPr>
        <w:ind w:left="500" w:right="40" w:firstLine="486"/>
        <w:spacing w:after="0" w:line="297" w:lineRule="auto"/>
        <w:rPr>
          <w:sz w:val="20"/>
          <w:szCs w:val="20"/>
          <w:color w:val="auto"/>
        </w:rPr>
      </w:pPr>
      <w:r>
        <w:rPr>
          <w:rFonts w:ascii="Arial" w:cs="Arial" w:eastAsia="Arial" w:hAnsi="Arial"/>
          <w:sz w:val="16"/>
          <w:szCs w:val="16"/>
          <w:color w:val="auto"/>
        </w:rPr>
        <w:t>Forfeitures - Prior to adoption, stock-based compensation expense was recognized on a straight-line basis, net of estimated forfeitures, such that expense was recognized for stock-based awards that were expected to vest. A forfeiture rate was estimated annually and revised, if necessary, in subsequent periods if actual forfeitures differed from initial estimates. Upon adoption of this standard, the Company no longer applies an estimated forfeiture rate and instead accounts for forfeitures as they occur. The Company applied the modified retrospective adoption approach, resulting in a $0.7 million cumulative-effect reduction to “Retained earnings” with the offset to “Additional paid-in-capital” on January 1, 2017.</w:t>
      </w:r>
    </w:p>
    <w:p>
      <w:pPr>
        <w:spacing w:after="0" w:line="5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Advisors. We record compensation costs for these awards on a straight-line basis over the vesting period once we determine it is probable that the award will be earned. Awards expected to be settled in shares are funded into a trust pursuant to an established Canadian employee benefit plan. Generally, the Canadian trust subsequently acquires Westwood common shares in market transactions and holds such shares until the shares are vested and distributed, or forfeited. Shares held in the trust are shown on our Consolidated Balance Sheet as treasury shares. Until shares are acquired by the trust, we record compensation costs and measure the liability as a cash-based award, which is included in “Compensation and benefits payable” on our Consolidated Balance Sheets. For the years ended December 31, 2019, 2018 and 2017, the compensation expense recorded for these awards was $0.2 million, $0.1 million and $0.2 million, respectively. When the number of shares related to an award is determinable, the award becomes an equity award accounted for in a manner similar to restricted stock, which is described in Note 10 “Employee Benefits.”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 and Re-measurement</w:t>
      </w:r>
    </w:p>
    <w:p>
      <w:pPr>
        <w:spacing w:after="0" w:line="121" w:lineRule="exact"/>
        <w:rPr>
          <w:sz w:val="20"/>
          <w:szCs w:val="20"/>
          <w:color w:val="auto"/>
        </w:rPr>
      </w:pPr>
    </w:p>
    <w:p>
      <w:pPr>
        <w:jc w:val="both"/>
        <w:ind w:right="260" w:firstLine="486"/>
        <w:spacing w:after="0" w:line="264" w:lineRule="auto"/>
        <w:rPr>
          <w:sz w:val="20"/>
          <w:szCs w:val="20"/>
          <w:color w:val="auto"/>
        </w:rPr>
      </w:pPr>
      <w:r>
        <w:rPr>
          <w:rFonts w:ascii="Arial" w:cs="Arial" w:eastAsia="Arial" w:hAnsi="Arial"/>
          <w:sz w:val="18"/>
          <w:szCs w:val="18"/>
          <w:color w:val="auto"/>
        </w:rPr>
        <w:t>Assets and liabilities of Westwood International Advisors, our non-U.S. dollar functional currency subsidiary, are translated at exchange rates as of applicable reporting dates. The gains and losses resulting from translating non-U.S. dollar functional currency into U.S. dollars are recorded through other comprehensive income.</w:t>
      </w:r>
    </w:p>
    <w:p>
      <w:pPr>
        <w:spacing w:after="0" w:line="7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Revenue and expense transactions are recorded at the rates of exchange prevailing on the dates of the transactions. Gains and losses resulting from transactions in foreign currencies are included in “(Gain) loss on foreign currency transactions” in our Consolidated Statements of Comprehensive Income. For the year ended December 31, 2019, we recorded a loss of $1.9 million, for the year ended December 31, 2018, we recorded a gain of $2.8 million, and for the year ended December 31, 2017, we recorded a loss of $1.6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We file a U. S. federal income tax return as a consolidated group for Westwood and its subsidiaries based in the U. S. We file a Canadian income tax return for Westwood International Advisors. Deferred income tax assets and liabilities are determined based on temporary differences between the financial statements and income tax bases of assets and liabilities as measured at enacted income tax rates.</w:t>
      </w:r>
    </w:p>
    <w:p>
      <w:pPr>
        <w:spacing w:after="0" w:line="5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16"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Comprehensive Income. See Note 7 “Income Taxes.”</w:t>
      </w:r>
    </w:p>
    <w:p>
      <w:pPr>
        <w:spacing w:after="0" w:line="7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Tax Reform Act that was signed into law in 2017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any foreign subsidiary earnings in excess of an allowable return on the foreign subsidiary’s tangible assets. We had no U.S. tax liability on GILTI for the years ended December 31, 2019 and 2018. We have elected to account for GILTI tax expense in the period in which it is incurred, and therefore have not provided any deferred tax impacts of GILTI in our Consolidated Financial Statements for the years ended December 31, 2019 and 2018.</w:t>
      </w:r>
    </w:p>
    <w:p>
      <w:pPr>
        <w:spacing w:after="0" w:line="8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BEAT provisions in the Tax Reform Act eliminate the deduction of certain base-erosion payments made to related foreign corporations and impose a minimum tax if the recalculated taxable income under BEAT is greater than regular taxable income. We do not expect to be subject to this tax and therefore have not included any tax impacts of BEAT in our Consolidated Financial Statements for the years ended December 31, 2019 and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requires lessees to recognize a lease liability and a right-of-use asset for all leases at the commencement date, excluding short-term leases. Leases will be classified as either financing or operating, with classification impacting the pattern of expense recognition in the income statement. The amendment was effective for fiscal years beginning after December 15, 2018, including interim periods within those fiscal years. We adopted the standard as of January 1, 2019 under the modified retrospective approach, which provides a method for recording existing leases at adoption and in comparative periods that approximates the results of a full retrospective approach. We elected the package of practical expedients permitted under the transition guidance, which, among other things, allows us to carry forward the historical lease classification and elect hindsight to determine certain lease terms for existing leases. See further discussion in Note 13 “Leases.”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impacts of the adoption of ASU 2016-02 to our previously reported results (both in thousands):</w:t>
      </w:r>
    </w:p>
    <w:p>
      <w:pPr>
        <w:sectPr>
          <w:pgSz w:w="11900" w:h="16838" w:orient="portrait"/>
          <w:cols w:equalWidth="0" w:num="1">
            <w:col w:w="11420"/>
          </w:cols>
          <w:pgMar w:left="240" w:top="121" w:right="239" w:bottom="1440" w:gutter="0" w:footer="0" w:header="0"/>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Sheet as of December 31, 2018:</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Previously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New Lease Standard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Adjustment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Recast</w:t>
      </w:r>
    </w:p>
    <w:p>
      <w:pPr>
        <w:spacing w:after="0" w:line="62" w:lineRule="exact"/>
        <w:rPr>
          <w:sz w:val="20"/>
          <w:szCs w:val="20"/>
          <w:color w:val="auto"/>
        </w:rPr>
      </w:pPr>
    </w:p>
    <w:p>
      <w:pPr>
        <w:sectPr>
          <w:pgSz w:w="11900" w:h="16838" w:orient="portrait"/>
          <w:cols w:equalWidth="0" w:num="4">
            <w:col w:w="6080" w:space="720"/>
            <w:col w:w="940" w:space="480"/>
            <w:col w:w="1420" w:space="720"/>
            <w:col w:w="1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Operating lease right-of-use assets</w:t>
            </w:r>
          </w:p>
        </w:tc>
        <w:tc>
          <w:tcPr>
            <w:tcW w:w="12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2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3"/>
              </w:rPr>
              <w:t>8,698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8,698</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center"/>
              <w:ind w:left="253"/>
              <w:spacing w:after="0"/>
              <w:rPr>
                <w:sz w:val="20"/>
                <w:szCs w:val="20"/>
                <w:color w:val="auto"/>
              </w:rPr>
            </w:pPr>
            <w:r>
              <w:rPr>
                <w:rFonts w:ascii="Arial" w:cs="Arial" w:eastAsia="Arial" w:hAnsi="Arial"/>
                <w:sz w:val="18"/>
                <w:szCs w:val="18"/>
                <w:color w:val="auto"/>
                <w:w w:val="93"/>
              </w:rPr>
              <w:t>1,432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1,432</w:t>
            </w:r>
          </w:p>
        </w:tc>
      </w:tr>
      <w:tr>
        <w:trPr>
          <w:trHeight w:val="27"/>
        </w:trPr>
        <w:tc>
          <w:tcPr>
            <w:tcW w:w="3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3"/>
              </w:rPr>
              <w:t>9,331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9,331</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2,065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center"/>
              <w:ind w:left="233"/>
              <w:spacing w:after="0"/>
              <w:rPr>
                <w:sz w:val="20"/>
                <w:szCs w:val="20"/>
                <w:color w:val="auto"/>
              </w:rPr>
            </w:pPr>
            <w:r>
              <w:rPr>
                <w:rFonts w:ascii="Arial" w:cs="Arial" w:eastAsia="Arial" w:hAnsi="Arial"/>
                <w:sz w:val="18"/>
                <w:szCs w:val="18"/>
                <w:color w:val="auto"/>
                <w:w w:val="91"/>
              </w:rPr>
              <w:t>(2,065)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737"/>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gridSpan w:val="9"/>
          </w:tcPr>
          <w:p>
            <w:pPr>
              <w:jc w:val="center"/>
              <w:ind w:right="260"/>
              <w:spacing w:after="0"/>
              <w:rPr>
                <w:sz w:val="20"/>
                <w:szCs w:val="20"/>
                <w:color w:val="auto"/>
              </w:rPr>
            </w:pPr>
            <w:r>
              <w:rPr>
                <w:rFonts w:ascii="Arial" w:cs="Arial" w:eastAsia="Arial" w:hAnsi="Arial"/>
                <w:sz w:val="16"/>
                <w:szCs w:val="16"/>
                <w:b w:val="1"/>
                <w:bCs w:val="1"/>
                <w:color w:val="auto"/>
                <w:w w:val="91"/>
              </w:rPr>
              <w:t>For the year ended December 31, 2018</w:t>
            </w:r>
          </w:p>
        </w:tc>
        <w:tc>
          <w:tcPr>
            <w:tcW w:w="180" w:type="dxa"/>
            <w:vAlign w:val="bottom"/>
          </w:tcPr>
          <w:p>
            <w:pPr>
              <w:spacing w:after="0"/>
              <w:rPr>
                <w:sz w:val="24"/>
                <w:szCs w:val="24"/>
                <w:color w:val="auto"/>
              </w:rPr>
            </w:pPr>
          </w:p>
        </w:tc>
        <w:tc>
          <w:tcPr>
            <w:tcW w:w="4240" w:type="dxa"/>
            <w:vAlign w:val="bottom"/>
            <w:gridSpan w:val="12"/>
          </w:tcPr>
          <w:p>
            <w:pPr>
              <w:jc w:val="center"/>
              <w:ind w:right="91"/>
              <w:spacing w:after="0"/>
              <w:rPr>
                <w:sz w:val="20"/>
                <w:szCs w:val="20"/>
                <w:color w:val="auto"/>
              </w:rPr>
            </w:pPr>
            <w:r>
              <w:rPr>
                <w:rFonts w:ascii="Arial" w:cs="Arial" w:eastAsia="Arial" w:hAnsi="Arial"/>
                <w:sz w:val="16"/>
                <w:szCs w:val="16"/>
                <w:b w:val="1"/>
                <w:bCs w:val="1"/>
                <w:color w:val="auto"/>
                <w:w w:val="91"/>
              </w:rPr>
              <w:t>For the year ended December 31, 2017</w:t>
            </w:r>
          </w:p>
        </w:tc>
      </w:tr>
      <w:tr>
        <w:trPr>
          <w:trHeight w:val="33"/>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New Lease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New Lease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As Previously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Standard</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ind w:left="60"/>
              <w:spacing w:after="0"/>
              <w:rPr>
                <w:sz w:val="20"/>
                <w:szCs w:val="20"/>
                <w:color w:val="auto"/>
              </w:rPr>
            </w:pPr>
            <w:r>
              <w:rPr>
                <w:rFonts w:ascii="Arial" w:cs="Arial" w:eastAsia="Arial" w:hAnsi="Arial"/>
                <w:sz w:val="16"/>
                <w:szCs w:val="16"/>
                <w:b w:val="1"/>
                <w:bCs w:val="1"/>
                <w:color w:val="auto"/>
              </w:rPr>
              <w:t>As Previously</w:t>
            </w:r>
          </w:p>
        </w:tc>
        <w:tc>
          <w:tcPr>
            <w:tcW w:w="2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Standard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Statements of Cash Flows:</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Reported</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Adjustment</w:t>
            </w:r>
          </w:p>
        </w:tc>
        <w:tc>
          <w:tcPr>
            <w:tcW w:w="280" w:type="dxa"/>
            <w:vAlign w:val="bottom"/>
          </w:tcPr>
          <w:p>
            <w:pPr>
              <w:spacing w:after="0"/>
              <w:rPr>
                <w:sz w:val="18"/>
                <w:szCs w:val="18"/>
                <w:color w:val="auto"/>
              </w:rPr>
            </w:pPr>
          </w:p>
        </w:tc>
        <w:tc>
          <w:tcPr>
            <w:tcW w:w="1200" w:type="dxa"/>
            <w:vAlign w:val="bottom"/>
            <w:gridSpan w:val="3"/>
          </w:tcPr>
          <w:p>
            <w:pPr>
              <w:ind w:left="180"/>
              <w:spacing w:after="0"/>
              <w:rPr>
                <w:sz w:val="20"/>
                <w:szCs w:val="20"/>
                <w:color w:val="auto"/>
              </w:rPr>
            </w:pPr>
            <w:r>
              <w:rPr>
                <w:rFonts w:ascii="Arial" w:cs="Arial" w:eastAsia="Arial" w:hAnsi="Arial"/>
                <w:sz w:val="16"/>
                <w:szCs w:val="16"/>
                <w:b w:val="1"/>
                <w:bCs w:val="1"/>
                <w:color w:val="auto"/>
              </w:rPr>
              <w:t>Recast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Reported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Adjustment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Recast</w:t>
            </w:r>
          </w:p>
        </w:tc>
      </w:tr>
      <w:tr>
        <w:trPr>
          <w:trHeight w:val="33"/>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lease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w:t>
            </w: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1,042</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purpose of this amendment is to simplify the accounting for stock-based payments granted to nonemployees for goods and services by</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it with the accounting used for arrangements with employees. We adopted the standard as of January 1, 2019 and it did not have a material impact on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purpose of this amendment is to modify, remove and add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Under ASU 2018-13, entities are required to disclose the amount of total gains or losses recognized in other comprehensive income attributable to assets and liabilities categorized within Level 3 of the fair value hierarchy. The ASU also adds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do not expect the amendment to have a material impact on our Consolidated Financial Statements, and we plan to adopt this amendment within the required time frame.</w:t>
      </w:r>
    </w:p>
    <w:p>
      <w:pPr>
        <w:spacing w:after="0" w:line="7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Goodwill and Other - Internal-Use Software (Topic 350):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The purpose of this amendment is to align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5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In May 2019, the FASB issued ASU 2019-05, </w:t>
      </w:r>
      <w:r>
        <w:rPr>
          <w:rFonts w:ascii="Arial" w:cs="Arial" w:eastAsia="Arial" w:hAnsi="Arial"/>
          <w:sz w:val="18"/>
          <w:szCs w:val="18"/>
          <w:i w:val="1"/>
          <w:iCs w:val="1"/>
          <w:color w:val="auto"/>
        </w:rPr>
        <w:t>Financial Instruments—Credit Losses (Topic 326): Targeted Transition Relief.</w:t>
      </w:r>
      <w:r>
        <w:rPr>
          <w:rFonts w:ascii="Arial" w:cs="Arial" w:eastAsia="Arial" w:hAnsi="Arial"/>
          <w:sz w:val="18"/>
          <w:szCs w:val="18"/>
          <w:color w:val="auto"/>
        </w:rPr>
        <w:t xml:space="preserve"> The purpose of this amendment is to amend ASU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xml:space="preserve">, to allow companies to irrevocably elect, upon adoption of ASU 2016-13, the fair value option on financial instruments that were previously recorded at amortized cost and are within the scope of ASC 326-20, </w:t>
      </w:r>
      <w:r>
        <w:rPr>
          <w:rFonts w:ascii="Arial" w:cs="Arial" w:eastAsia="Arial" w:hAnsi="Arial"/>
          <w:sz w:val="18"/>
          <w:szCs w:val="18"/>
          <w:i w:val="1"/>
          <w:iCs w:val="1"/>
          <w:color w:val="auto"/>
        </w:rPr>
        <w:t>Financial Instruments-Credit Losses: Amortization Cost</w:t>
      </w:r>
      <w:r>
        <w:rPr>
          <w:rFonts w:ascii="Arial" w:cs="Arial" w:eastAsia="Arial" w:hAnsi="Arial"/>
          <w:sz w:val="18"/>
          <w:szCs w:val="18"/>
          <w:color w:val="auto"/>
        </w:rPr>
        <w:t>, if the instruments are eligible for the fair value option under Accounting Standards Codification 825 - Financial Instruments. The fair value option election does not apply to held-to-maturity debt securities.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During 2018, we made a $5.4 million strategic investment in InvestCloud, which is included in “Investments” on our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 Following observable price changes for this investment in the year ended December 31, 2019, we recorded a gain of $2.8 million in "Unrealized gains on private investments" on our Consolidated Statements of Comprehensive Income. As of December 31, 2018, there were no observable price changes or indicators of impairment for this investment.</w:t>
      </w:r>
    </w:p>
    <w:p>
      <w:pPr>
        <w:spacing w:after="0" w:line="85" w:lineRule="exact"/>
        <w:rPr>
          <w:sz w:val="20"/>
          <w:szCs w:val="20"/>
          <w:color w:val="auto"/>
        </w:rPr>
      </w:pPr>
    </w:p>
    <w:p>
      <w:pPr>
        <w:ind w:right="3420" w:firstLine="486"/>
        <w:spacing w:after="0" w:line="291" w:lineRule="auto"/>
        <w:rPr>
          <w:sz w:val="20"/>
          <w:szCs w:val="20"/>
          <w:color w:val="auto"/>
        </w:rPr>
      </w:pPr>
      <w:r>
        <w:rPr>
          <w:rFonts w:ascii="Arial" w:cs="Arial" w:eastAsia="Arial" w:hAnsi="Arial"/>
          <w:sz w:val="16"/>
          <w:szCs w:val="16"/>
          <w:color w:val="auto"/>
        </w:rPr>
        <w:t>In 2019 we made a $0.3 million investment in Westwood Hospitality Fund I, LLC, a private investment fund. Our investment is included in “Noncurrent investments at fair value” on our Consolidated Balance</w:t>
      </w:r>
    </w:p>
    <w:p>
      <w:pPr>
        <w:spacing w:after="0"/>
        <w:rPr>
          <w:sz w:val="20"/>
          <w:szCs w:val="20"/>
          <w:color w:val="auto"/>
        </w:rPr>
      </w:pPr>
      <w:r>
        <w:rPr>
          <w:rFonts w:ascii="Arial" w:cs="Arial" w:eastAsia="Arial" w:hAnsi="Arial"/>
          <w:sz w:val="18"/>
          <w:szCs w:val="18"/>
          <w:color w:val="auto"/>
        </w:rPr>
        <w:t>Sheets and will be measured at fair value on a recurring basis using net asset value (“NAV”) as a practical expedient.</w:t>
      </w:r>
    </w:p>
    <w:p>
      <w:pPr>
        <w:spacing w:after="0" w:line="103"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In 2019 we made a $3.4 million strategic private equity investment in Charis which is included in "Noncurrent investments at fair value" on our Consolidated Balance Sheets. Following fair value increases resulting from market transactions, we recorded a gain of $0.6 million in "Unrealized gains on private investments" on our Consolidated Statements of Comprehensive Income in the year ended December 31, 2019.</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Gross</w:t>
            </w:r>
          </w:p>
        </w:tc>
        <w:tc>
          <w:tcPr>
            <w:tcW w:w="180" w:type="dxa"/>
            <w:vAlign w:val="bottom"/>
          </w:tcPr>
          <w:p>
            <w:pPr>
              <w:spacing w:after="0"/>
              <w:rPr>
                <w:sz w:val="17"/>
                <w:szCs w:val="17"/>
                <w:color w:val="auto"/>
              </w:rPr>
            </w:pPr>
          </w:p>
        </w:tc>
        <w:tc>
          <w:tcPr>
            <w:tcW w:w="100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Estimated</w:t>
            </w:r>
          </w:p>
        </w:tc>
      </w:tr>
      <w:tr>
        <w:trPr>
          <w:trHeight w:val="162"/>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4"/>
                <w:szCs w:val="14"/>
                <w:color w:val="auto"/>
              </w:rPr>
            </w:pPr>
          </w:p>
        </w:tc>
        <w:tc>
          <w:tcPr>
            <w:tcW w:w="1000" w:type="dxa"/>
            <w:vAlign w:val="bottom"/>
          </w:tcPr>
          <w:p>
            <w:pPr>
              <w:jc w:val="center"/>
              <w:ind w:right="92"/>
              <w:spacing w:after="0" w:line="162" w:lineRule="exact"/>
              <w:rPr>
                <w:sz w:val="20"/>
                <w:szCs w:val="20"/>
                <w:color w:val="auto"/>
              </w:rPr>
            </w:pPr>
            <w:r>
              <w:rPr>
                <w:rFonts w:ascii="Arial" w:cs="Arial" w:eastAsia="Arial" w:hAnsi="Arial"/>
                <w:sz w:val="16"/>
                <w:szCs w:val="16"/>
                <w:b w:val="1"/>
                <w:bCs w:val="1"/>
                <w:color w:val="auto"/>
              </w:rPr>
              <w:t>Fair</w:t>
            </w:r>
          </w:p>
        </w:tc>
      </w:tr>
      <w:tr>
        <w:trPr>
          <w:trHeight w:val="251"/>
        </w:trPr>
        <w:tc>
          <w:tcPr>
            <w:tcW w:w="6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21"/>
                <w:szCs w:val="21"/>
                <w:color w:val="auto"/>
              </w:rPr>
            </w:pPr>
          </w:p>
        </w:tc>
        <w:tc>
          <w:tcPr>
            <w:tcW w:w="100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39,074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39,248</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4,592</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6,484</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50,324</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Private investment fund</w:t>
            </w: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263</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3,975</w:t>
            </w:r>
          </w:p>
        </w:tc>
      </w:tr>
      <w:tr>
        <w:trPr>
          <w:trHeight w:val="264"/>
        </w:trPr>
        <w:tc>
          <w:tcPr>
            <w:tcW w:w="6400" w:type="dxa"/>
            <w:vAlign w:val="bottom"/>
          </w:tcPr>
          <w:p>
            <w:pPr>
              <w:ind w:left="340"/>
              <w:spacing w:after="0"/>
              <w:rPr>
                <w:sz w:val="20"/>
                <w:szCs w:val="20"/>
                <w:color w:val="auto"/>
              </w:rPr>
            </w:pPr>
            <w:r>
              <w:rPr>
                <w:rFonts w:ascii="Arial" w:cs="Arial" w:eastAsia="Arial" w:hAnsi="Arial"/>
                <w:sz w:val="18"/>
                <w:szCs w:val="18"/>
                <w:color w:val="auto"/>
              </w:rPr>
              <w:t>Total investments carried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53,735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54,562</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6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48,409</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10,354</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funds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7,018</w:t>
            </w:r>
          </w:p>
        </w:tc>
      </w:tr>
      <w:tr>
        <w:trPr>
          <w:trHeight w:val="264"/>
        </w:trPr>
        <w:tc>
          <w:tcPr>
            <w:tcW w:w="6400" w:type="dxa"/>
            <w:vAlign w:val="bottom"/>
          </w:tcPr>
          <w:p>
            <w:pPr>
              <w:ind w:left="34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65,875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65,781</w:t>
            </w:r>
          </w:p>
        </w:tc>
      </w:tr>
      <w:tr>
        <w:trPr>
          <w:trHeight w:val="21"/>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following amounts, except for income tax amounts, are included in our Consolidated Statements of Comprehensive Income under the headings “Other revenues, net," "Unrealized gains on private investments," or "Investment Income" for 2019. For 2018 and 2017 the following amounts are included under the heading "Other revenues, net"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2017</w:t>
            </w:r>
          </w:p>
        </w:tc>
      </w:tr>
      <w:tr>
        <w:trPr>
          <w:trHeight w:val="33"/>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395</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Realized losses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191"/>
              <w:spacing w:after="0"/>
              <w:rPr>
                <w:sz w:val="20"/>
                <w:szCs w:val="20"/>
                <w:color w:val="auto"/>
              </w:rPr>
            </w:pPr>
            <w:r>
              <w:rPr>
                <w:rFonts w:ascii="Arial" w:cs="Arial" w:eastAsia="Arial" w:hAnsi="Arial"/>
                <w:sz w:val="18"/>
                <w:szCs w:val="18"/>
                <w:color w:val="auto"/>
                <w:w w:val="95"/>
              </w:rPr>
              <w:t>(121)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rPr>
              <w:t>(96)</w:t>
            </w: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gains (losses)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299</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Income tax expense from gains (losses)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231"/>
              <w:spacing w:after="0"/>
              <w:rPr>
                <w:sz w:val="20"/>
                <w:szCs w:val="20"/>
                <w:color w:val="auto"/>
              </w:rPr>
            </w:pPr>
            <w:r>
              <w:rPr>
                <w:rFonts w:ascii="Arial" w:cs="Arial" w:eastAsia="Arial" w:hAnsi="Arial"/>
                <w:sz w:val="18"/>
                <w:szCs w:val="18"/>
                <w:color w:val="auto"/>
                <w:w w:val="93"/>
              </w:rPr>
              <w:t>168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460"/>
              <w:spacing w:after="0"/>
              <w:rPr>
                <w:sz w:val="20"/>
                <w:szCs w:val="20"/>
                <w:color w:val="auto"/>
              </w:rPr>
            </w:pPr>
            <w:r>
              <w:rPr>
                <w:rFonts w:ascii="Arial" w:cs="Arial" w:eastAsia="Arial" w:hAnsi="Arial"/>
                <w:sz w:val="18"/>
                <w:szCs w:val="18"/>
                <w:color w:val="auto"/>
              </w:rPr>
              <w:t>105</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 trading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334</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Dividend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231"/>
              <w:spacing w:after="0"/>
              <w:rPr>
                <w:sz w:val="20"/>
                <w:szCs w:val="20"/>
                <w:color w:val="auto"/>
              </w:rPr>
            </w:pPr>
            <w:r>
              <w:rPr>
                <w:rFonts w:ascii="Arial" w:cs="Arial" w:eastAsia="Arial" w:hAnsi="Arial"/>
                <w:sz w:val="18"/>
                <w:szCs w:val="18"/>
                <w:color w:val="auto"/>
                <w:w w:val="93"/>
              </w:rPr>
              <w:t>290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460"/>
              <w:spacing w:after="0"/>
              <w:rPr>
                <w:sz w:val="20"/>
                <w:szCs w:val="20"/>
                <w:color w:val="auto"/>
              </w:rPr>
            </w:pPr>
            <w:r>
              <w:rPr>
                <w:rFonts w:ascii="Arial" w:cs="Arial" w:eastAsia="Arial" w:hAnsi="Arial"/>
                <w:sz w:val="18"/>
                <w:szCs w:val="18"/>
                <w:color w:val="auto"/>
              </w:rPr>
              <w:t>302</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gains/(losses)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3,650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191"/>
              <w:spacing w:after="0"/>
              <w:rPr>
                <w:sz w:val="20"/>
                <w:szCs w:val="20"/>
                <w:color w:val="auto"/>
              </w:rPr>
            </w:pPr>
            <w:r>
              <w:rPr>
                <w:rFonts w:ascii="Arial" w:cs="Arial" w:eastAsia="Arial" w:hAnsi="Arial"/>
                <w:sz w:val="18"/>
                <w:szCs w:val="18"/>
                <w:color w:val="auto"/>
                <w:w w:val="95"/>
              </w:rPr>
              <w:t>(737)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617</w:t>
            </w:r>
          </w:p>
        </w:tc>
      </w:tr>
      <w:tr>
        <w:trPr>
          <w:trHeight w:val="27"/>
        </w:trPr>
        <w:tc>
          <w:tcPr>
            <w:tcW w:w="7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of December 31, 2019 and 2018, $6.4 million and $6.1 million in corporate funds, respectively, were invested in the Westwood Funds®, Westwood Common Trust Funds and the UCITS fund, which are included in “Investments, at fair value” on our Consolidated Balance Sheets. See Note 12 “Variable Interest Entities.”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defines fair value, establishes a framework for measuring fair value and requires additional disclosures regarding certain fair value measurements. ASC 820 establishes a three-tier hierarchy for measuring fair value, as follows:</w:t>
      </w:r>
    </w:p>
    <w:p>
      <w:pPr>
        <w:spacing w:after="0" w:line="116" w:lineRule="exact"/>
        <w:rPr>
          <w:sz w:val="20"/>
          <w:szCs w:val="20"/>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and liabilities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unobservable inputs where there is little or no market activity</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strategic investment in InvestCloud discussed in Note 3 "Investments" is excluded from the recurring fair value table shown below, as we have elected to apply the measurement alternative for that investment.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values of our assets and liabilities as of the dates indicated within the fair value hierarchy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6"/>
                <w:szCs w:val="16"/>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6"/>
                <w:szCs w:val="16"/>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Measured at</w:t>
            </w:r>
          </w:p>
        </w:tc>
        <w:tc>
          <w:tcPr>
            <w:tcW w:w="300" w:type="dxa"/>
            <w:vAlign w:val="bottom"/>
          </w:tcPr>
          <w:p>
            <w:pPr>
              <w:spacing w:after="0"/>
              <w:rPr>
                <w:sz w:val="16"/>
                <w:szCs w:val="16"/>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line="216" w:lineRule="exact"/>
              <w:rPr>
                <w:sz w:val="20"/>
                <w:szCs w:val="20"/>
                <w:color w:val="auto"/>
              </w:rPr>
            </w:pPr>
            <w:r>
              <w:rPr>
                <w:rFonts w:ascii="Arial" w:cs="Arial" w:eastAsia="Arial" w:hAnsi="Arial"/>
                <w:sz w:val="16"/>
                <w:szCs w:val="16"/>
                <w:b w:val="1"/>
                <w:bCs w:val="1"/>
                <w:color w:val="auto"/>
                <w:w w:val="90"/>
              </w:rPr>
              <w:t xml:space="preserve">NAV </w:t>
            </w:r>
            <w:r>
              <w:rPr>
                <w:rFonts w:ascii="Arial" w:cs="Arial" w:eastAsia="Arial" w:hAnsi="Arial"/>
                <w:sz w:val="21"/>
                <w:szCs w:val="21"/>
                <w:b w:val="1"/>
                <w:bCs w:val="1"/>
                <w:color w:val="auto"/>
                <w:w w:val="90"/>
                <w:vertAlign w:val="superscript"/>
              </w:rPr>
              <w:t>(1)</w:t>
            </w: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50,324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50,324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54,562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65,781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65,781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65,781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65,781</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720" w:hanging="234"/>
        <w:spacing w:after="0"/>
        <w:tabs>
          <w:tab w:leader="none" w:pos="18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-226695</wp:posOffset>
            </wp:positionV>
            <wp:extent cx="42710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80"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The investment classified in Level 3 is a strategic private equity investment, and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market transactions. Management believes this valuation methodology is consistent with the banking industry and will reevaluate our methodology and inputs on a quarterly basis.</w:t>
      </w:r>
    </w:p>
    <w:p>
      <w:pPr>
        <w:spacing w:after="0" w:line="181"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ind w:left="180"/>
              <w:spacing w:after="0"/>
              <w:rPr>
                <w:sz w:val="20"/>
                <w:szCs w:val="20"/>
                <w:color w:val="auto"/>
              </w:rPr>
            </w:pPr>
            <w:r>
              <w:rPr>
                <w:rFonts w:ascii="Arial" w:cs="Arial" w:eastAsia="Arial" w:hAnsi="Arial"/>
                <w:sz w:val="16"/>
                <w:szCs w:val="16"/>
                <w:b w:val="1"/>
                <w:bCs w:val="1"/>
                <w:color w:val="auto"/>
              </w:rPr>
              <w:t>Years ended December 31,</w:t>
            </w:r>
          </w:p>
        </w:tc>
      </w:tr>
      <w:tr>
        <w:trPr>
          <w:trHeight w:val="33"/>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2018</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6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3,975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1"/>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7080" w:firstLine="8"/>
        <w:spacing w:after="0" w:line="378" w:lineRule="auto"/>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ind w:right="60" w:firstLine="486"/>
        <w:spacing w:after="0" w:line="277"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Changes in goodwill were as follows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4"/>
          </w:tcPr>
          <w:p>
            <w:pPr>
              <w:jc w:val="right"/>
              <w:ind w:right="716"/>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6"/>
              <w:spacing w:after="0"/>
              <w:rPr>
                <w:sz w:val="20"/>
                <w:szCs w:val="20"/>
                <w:color w:val="auto"/>
              </w:rPr>
            </w:pPr>
            <w:r>
              <w:rPr>
                <w:rFonts w:ascii="Arial" w:cs="Arial" w:eastAsia="Arial" w:hAnsi="Arial"/>
                <w:sz w:val="16"/>
                <w:szCs w:val="16"/>
                <w:b w:val="1"/>
                <w:bCs w:val="1"/>
                <w:color w:val="auto"/>
              </w:rPr>
              <w:t>2018</w:t>
            </w: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19,804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27,144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Omaha divestiture</w:t>
            </w: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080" w:type="dxa"/>
            <w:vAlign w:val="bottom"/>
          </w:tcPr>
          <w:p>
            <w:pPr>
              <w:ind w:left="480"/>
              <w:spacing w:after="0"/>
              <w:rPr>
                <w:sz w:val="20"/>
                <w:szCs w:val="20"/>
                <w:color w:val="auto"/>
              </w:rPr>
            </w:pPr>
            <w:r>
              <w:rPr>
                <w:rFonts w:ascii="Arial" w:cs="Arial" w:eastAsia="Arial" w:hAnsi="Arial"/>
                <w:sz w:val="17"/>
                <w:szCs w:val="17"/>
                <w:color w:val="auto"/>
              </w:rPr>
              <w:t>(7,340)</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19,804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19,804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Our intangible assets represent the acquisition date fair value of acquired client relationships, trade names and internally-developed software, and are reflected net of amortization. In valuing these assets, we made significant estimates regarding their useful lives, growth rates and potential attrition.</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intangible assets at December 31, 2019 and 2018 (in thousands, except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Period (years)</w:t>
            </w: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45"/>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00"/>
              <w:spacing w:after="0"/>
              <w:rPr>
                <w:sz w:val="20"/>
                <w:szCs w:val="20"/>
                <w:color w:val="auto"/>
              </w:rPr>
            </w:pPr>
            <w:r>
              <w:rPr>
                <w:rFonts w:ascii="Arial" w:cs="Arial" w:eastAsia="Arial" w:hAnsi="Arial"/>
                <w:sz w:val="18"/>
                <w:szCs w:val="18"/>
                <w:color w:val="auto"/>
              </w:rPr>
              <w:t>Client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14.8</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78"/>
              <w:spacing w:after="0"/>
              <w:rPr>
                <w:sz w:val="20"/>
                <w:szCs w:val="20"/>
                <w:color w:val="auto"/>
              </w:rPr>
            </w:pPr>
            <w:r>
              <w:rPr>
                <w:rFonts w:ascii="Arial" w:cs="Arial" w:eastAsia="Arial" w:hAnsi="Arial"/>
                <w:sz w:val="17"/>
                <w:szCs w:val="17"/>
                <w:color w:val="auto"/>
              </w:rPr>
              <w:t>21,431</w:t>
            </w:r>
          </w:p>
        </w:tc>
        <w:tc>
          <w:tcPr>
            <w:tcW w:w="10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(7,416)</w:t>
            </w:r>
          </w:p>
        </w:tc>
        <w:tc>
          <w:tcPr>
            <w:tcW w:w="10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78"/>
              <w:spacing w:after="0"/>
              <w:rPr>
                <w:sz w:val="20"/>
                <w:szCs w:val="20"/>
                <w:color w:val="auto"/>
              </w:rPr>
            </w:pPr>
            <w:r>
              <w:rPr>
                <w:rFonts w:ascii="Arial" w:cs="Arial" w:eastAsia="Arial" w:hAnsi="Arial"/>
                <w:sz w:val="17"/>
                <w:szCs w:val="17"/>
                <w:color w:val="auto"/>
              </w:rPr>
              <w:t>14,015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Internally developed software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r>
        <w:trPr>
          <w:trHeight w:val="243"/>
        </w:trPr>
        <w:tc>
          <w:tcPr>
            <w:tcW w:w="528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1500" w:type="dxa"/>
            <w:vAlign w:val="bottom"/>
          </w:tcPr>
          <w:p>
            <w:pPr>
              <w:jc w:val="center"/>
              <w:spacing w:after="0"/>
              <w:rPr>
                <w:sz w:val="20"/>
                <w:szCs w:val="20"/>
                <w:color w:val="auto"/>
              </w:rPr>
            </w:pPr>
            <w:r>
              <w:rPr>
                <w:rFonts w:ascii="Arial" w:cs="Arial" w:eastAsia="Arial" w:hAnsi="Arial"/>
                <w:sz w:val="17"/>
                <w:szCs w:val="17"/>
                <w:color w:val="auto"/>
                <w:w w:val="92"/>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78"/>
              <w:spacing w:after="0"/>
              <w:rPr>
                <w:sz w:val="20"/>
                <w:szCs w:val="20"/>
                <w:color w:val="auto"/>
              </w:rPr>
            </w:pPr>
            <w:r>
              <w:rPr>
                <w:rFonts w:ascii="Arial" w:cs="Arial" w:eastAsia="Arial" w:hAnsi="Arial"/>
                <w:sz w:val="17"/>
                <w:szCs w:val="17"/>
                <w:color w:val="auto"/>
              </w:rPr>
              <w:t>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78"/>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23,578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(8,322)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15,256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2018</w:t>
            </w: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Client relationships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21,431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15,471</w:t>
            </w:r>
          </w:p>
        </w:tc>
        <w:tc>
          <w:tcPr>
            <w:tcW w:w="0" w:type="dxa"/>
            <w:vAlign w:val="bottom"/>
          </w:tcPr>
          <w:p>
            <w:pPr>
              <w:spacing w:after="0"/>
              <w:rPr>
                <w:sz w:val="1"/>
                <w:szCs w:val="1"/>
                <w:color w:val="auto"/>
              </w:rPr>
            </w:pPr>
          </w:p>
        </w:tc>
      </w:tr>
      <w:tr>
        <w:trPr>
          <w:trHeight w:val="243"/>
        </w:trPr>
        <w:tc>
          <w:tcPr>
            <w:tcW w:w="5280" w:type="dxa"/>
            <w:vAlign w:val="bottom"/>
          </w:tcPr>
          <w:p>
            <w:pPr>
              <w:ind w:left="200"/>
              <w:spacing w:after="0"/>
              <w:rPr>
                <w:sz w:val="20"/>
                <w:szCs w:val="20"/>
                <w:color w:val="auto"/>
              </w:rPr>
            </w:pPr>
            <w:r>
              <w:rPr>
                <w:rFonts w:ascii="Arial" w:cs="Arial" w:eastAsia="Arial" w:hAnsi="Arial"/>
                <w:sz w:val="18"/>
                <w:szCs w:val="18"/>
                <w:color w:val="auto"/>
              </w:rPr>
              <w:t>Internally developed software</w:t>
            </w:r>
          </w:p>
        </w:tc>
        <w:tc>
          <w:tcPr>
            <w:tcW w:w="1500" w:type="dxa"/>
            <w:vAlign w:val="bottom"/>
          </w:tcPr>
          <w:p>
            <w:pPr>
              <w:jc w:val="center"/>
              <w:spacing w:after="0"/>
              <w:rPr>
                <w:sz w:val="20"/>
                <w:szCs w:val="20"/>
                <w:color w:val="auto"/>
              </w:rPr>
            </w:pPr>
            <w:r>
              <w:rPr>
                <w:rFonts w:ascii="Arial" w:cs="Arial" w:eastAsia="Arial" w:hAnsi="Arial"/>
                <w:sz w:val="17"/>
                <w:szCs w:val="17"/>
                <w:color w:val="auto"/>
                <w:w w:val="92"/>
              </w:rPr>
              <w:t>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78"/>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78"/>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Trade names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19"/>
        </w:trPr>
        <w:tc>
          <w:tcPr>
            <w:tcW w:w="5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78"/>
              <w:spacing w:after="0"/>
              <w:rPr>
                <w:sz w:val="20"/>
                <w:szCs w:val="20"/>
                <w:color w:val="auto"/>
              </w:rPr>
            </w:pPr>
            <w:r>
              <w:rPr>
                <w:rFonts w:ascii="Arial" w:cs="Arial" w:eastAsia="Arial" w:hAnsi="Arial"/>
                <w:sz w:val="17"/>
                <w:szCs w:val="17"/>
                <w:color w:val="auto"/>
              </w:rPr>
              <w:t>22,557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(6,596)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78"/>
              <w:spacing w:after="0"/>
              <w:rPr>
                <w:sz w:val="20"/>
                <w:szCs w:val="20"/>
                <w:color w:val="auto"/>
              </w:rPr>
            </w:pPr>
            <w:r>
              <w:rPr>
                <w:rFonts w:ascii="Arial" w:cs="Arial" w:eastAsia="Arial" w:hAnsi="Arial"/>
                <w:sz w:val="17"/>
                <w:szCs w:val="17"/>
                <w:color w:val="auto"/>
              </w:rPr>
              <w:t>15,961</w:t>
            </w:r>
          </w:p>
        </w:tc>
        <w:tc>
          <w:tcPr>
            <w:tcW w:w="0" w:type="dxa"/>
            <w:vAlign w:val="bottom"/>
          </w:tcPr>
          <w:p>
            <w:pPr>
              <w:spacing w:after="0"/>
              <w:rPr>
                <w:sz w:val="1"/>
                <w:szCs w:val="1"/>
                <w:color w:val="auto"/>
              </w:rPr>
            </w:pPr>
          </w:p>
        </w:tc>
      </w:tr>
      <w:tr>
        <w:trPr>
          <w:trHeight w:val="31"/>
        </w:trPr>
        <w:tc>
          <w:tcPr>
            <w:tcW w:w="5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Amortization expense, which is included in “General and administrative” expense on our Consolidated Statements of Comprehensive Income, was $1.7 million, $1.7 million and $1.9 million for the years ended December 31, 2019, 2018 and 2017,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amortization expense for intangible assets over the next five years is as follows (in thousands):</w:t>
      </w: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9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162"/>
        </w:trPr>
        <w:tc>
          <w:tcPr>
            <w:tcW w:w="9820" w:type="dxa"/>
            <w:vAlign w:val="bottom"/>
            <w:vMerge w:val="restart"/>
          </w:tcPr>
          <w:p>
            <w:pPr>
              <w:spacing w:after="0"/>
              <w:rPr>
                <w:sz w:val="20"/>
                <w:szCs w:val="20"/>
                <w:color w:val="auto"/>
              </w:rPr>
            </w:pPr>
            <w:r>
              <w:rPr>
                <w:rFonts w:ascii="Arial" w:cs="Arial" w:eastAsia="Arial" w:hAnsi="Arial"/>
                <w:sz w:val="18"/>
                <w:szCs w:val="18"/>
                <w:color w:val="auto"/>
              </w:rPr>
              <w:t>For the year ending December 31,</w:t>
            </w:r>
          </w:p>
        </w:tc>
        <w:tc>
          <w:tcPr>
            <w:tcW w:w="180" w:type="dxa"/>
            <w:vAlign w:val="bottom"/>
          </w:tcPr>
          <w:p>
            <w:pPr>
              <w:spacing w:after="0"/>
              <w:rPr>
                <w:sz w:val="14"/>
                <w:szCs w:val="14"/>
                <w:color w:val="auto"/>
              </w:rPr>
            </w:pPr>
          </w:p>
        </w:tc>
        <w:tc>
          <w:tcPr>
            <w:tcW w:w="1280" w:type="dxa"/>
            <w:vAlign w:val="bottom"/>
          </w:tcPr>
          <w:p>
            <w:pPr>
              <w:jc w:val="center"/>
              <w:ind w:right="96"/>
              <w:spacing w:after="0" w:line="162" w:lineRule="exact"/>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213"/>
        </w:trPr>
        <w:tc>
          <w:tcPr>
            <w:tcW w:w="98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w w:val="88"/>
              </w:rPr>
              <w:t>Expense</w:t>
            </w:r>
          </w:p>
        </w:tc>
        <w:tc>
          <w:tcPr>
            <w:tcW w:w="0" w:type="dxa"/>
            <w:vAlign w:val="bottom"/>
          </w:tcPr>
          <w:p>
            <w:pPr>
              <w:spacing w:after="0"/>
              <w:rPr>
                <w:sz w:val="1"/>
                <w:szCs w:val="1"/>
                <w:color w:val="auto"/>
              </w:rPr>
            </w:pPr>
          </w:p>
        </w:tc>
      </w:tr>
      <w:tr>
        <w:trPr>
          <w:trHeight w:val="233"/>
        </w:trPr>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1,658</w:t>
            </w:r>
          </w:p>
        </w:tc>
        <w:tc>
          <w:tcPr>
            <w:tcW w:w="0" w:type="dxa"/>
            <w:vAlign w:val="bottom"/>
          </w:tcPr>
          <w:p>
            <w:pPr>
              <w:spacing w:after="0"/>
              <w:rPr>
                <w:sz w:val="1"/>
                <w:szCs w:val="1"/>
                <w:color w:val="auto"/>
              </w:rPr>
            </w:pPr>
          </w:p>
        </w:tc>
      </w:tr>
      <w:tr>
        <w:trPr>
          <w:trHeight w:val="243"/>
        </w:trPr>
        <w:tc>
          <w:tcPr>
            <w:tcW w:w="982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1,548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1,548</w:t>
            </w:r>
          </w:p>
        </w:tc>
        <w:tc>
          <w:tcPr>
            <w:tcW w:w="0" w:type="dxa"/>
            <w:vAlign w:val="bottom"/>
          </w:tcPr>
          <w:p>
            <w:pPr>
              <w:spacing w:after="0"/>
              <w:rPr>
                <w:sz w:val="1"/>
                <w:szCs w:val="1"/>
                <w:color w:val="auto"/>
              </w:rPr>
            </w:pPr>
          </w:p>
        </w:tc>
      </w:tr>
      <w:tr>
        <w:trPr>
          <w:trHeight w:val="243"/>
        </w:trPr>
        <w:tc>
          <w:tcPr>
            <w:tcW w:w="982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1,529</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7"/>
        </w:trPr>
        <w:tc>
          <w:tcPr>
            <w:tcW w:w="9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300" w:firstLine="8"/>
        <w:spacing w:after="0" w:line="400" w:lineRule="auto"/>
        <w:tabs>
          <w:tab w:leader="none" w:pos="18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 Property and Equipment</w:t>
      </w: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reflects information about our property and equipment as of December 31, 2019 and 2018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615"/>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5"/>
              <w:spacing w:after="0"/>
              <w:rPr>
                <w:sz w:val="20"/>
                <w:szCs w:val="20"/>
                <w:color w:val="auto"/>
              </w:rPr>
            </w:pPr>
            <w:r>
              <w:rPr>
                <w:rFonts w:ascii="Arial" w:cs="Arial" w:eastAsia="Arial" w:hAnsi="Arial"/>
                <w:sz w:val="16"/>
                <w:szCs w:val="16"/>
                <w:b w:val="1"/>
                <w:bCs w:val="1"/>
                <w:color w:val="auto"/>
              </w:rPr>
              <w:t>2018</w:t>
            </w:r>
          </w:p>
        </w:tc>
      </w:tr>
      <w:tr>
        <w:trPr>
          <w:trHeight w:val="33"/>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5,517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4,714</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2,906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2,716</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2,996</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490</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(7,395)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(6,462)</w:t>
            </w:r>
          </w:p>
        </w:tc>
      </w:tr>
      <w:tr>
        <w:trPr>
          <w:trHeight w:val="223"/>
        </w:trPr>
        <w:tc>
          <w:tcPr>
            <w:tcW w:w="8640" w:type="dxa"/>
            <w:vAlign w:val="bottom"/>
          </w:tcPr>
          <w:p>
            <w:pPr>
              <w:ind w:left="3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4,152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4,454</w:t>
            </w:r>
          </w:p>
        </w:tc>
      </w:tr>
      <w:tr>
        <w:trPr>
          <w:trHeight w:val="27"/>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income taxes by jurisdiction was as follows (in thousands):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2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17,531</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15,212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16,362</w:t>
            </w:r>
          </w:p>
        </w:tc>
      </w:tr>
      <w:tr>
        <w:trPr>
          <w:trHeight w:val="27"/>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9,402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36,462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33,893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Income tax expense differs from the amount that would otherwise have been calculated by applying the U.S. Federal corporate tax rate of 21%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income before income taxes for the years ended December 31, 2019 and 2018 and 35% to income before income taxes for the year ended December 31, 2017.</w:t>
      </w:r>
    </w:p>
    <w:p>
      <w:pPr>
        <w:spacing w:after="0" w:line="12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difference between the Federal corporate tax rate and the effective tax rate is comprised of the following (in thousands). In 2019, we recast certain 2018 and 2017 income tax expense components related to stock-based compensation.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3"/>
          </w:tcPr>
          <w:p>
            <w:pPr>
              <w:jc w:val="right"/>
              <w:ind w:right="630"/>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computed at US federal statutory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Canadian rate differential</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 of federal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Global Intangible Low Taxed Income, net deductions</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ASC 740-10 positions (net)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Rate changes</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on repatriation</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Effective income tax rate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We include penalties and interest on income-based taxes in the “General and administrative” line on our Consolidated Statements of Comprehensive Income. 2019 penalties and interest were insignificant, and we recorded 140000 and $0.2 million of penalties and interest in 2018 and 2017, respectively.</w:t>
      </w:r>
    </w:p>
    <w:p>
      <w:pPr>
        <w:spacing w:after="0" w:line="16"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Income tax provision (benefit) as set forth in the Consolidated Statements of Comprehensive Income consisted of the following components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4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w w:val="89"/>
              </w:rPr>
              <w:t>Years ended December 31,</w:t>
            </w:r>
          </w:p>
        </w:tc>
        <w:tc>
          <w:tcPr>
            <w:tcW w:w="102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taxes: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424</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1,122</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662</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4,578</w:t>
            </w:r>
          </w:p>
        </w:tc>
      </w:tr>
      <w:tr>
        <w:trPr>
          <w:trHeight w:val="27"/>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6,362</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Deferred taxes: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7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7,569</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22</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Total deferred taxes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7,542</w:t>
            </w:r>
          </w:p>
        </w:tc>
      </w:tr>
      <w:tr>
        <w:trPr>
          <w:trHeight w:val="27"/>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income tax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9,711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13,904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7"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 xml:space="preserve">The tax effects of temporary differences that give rise to the deferred tax assets and deferred tax liabilities are presented below (in thousands). We recast December 31, 2018 deferred tax balances related to deferred rent and leases following our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in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9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9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9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8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3,137</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rent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2,369</w:t>
            </w:r>
          </w:p>
        </w:tc>
      </w:tr>
      <w:tr>
        <w:trPr>
          <w:trHeight w:val="243"/>
        </w:trPr>
        <w:tc>
          <w:tcPr>
            <w:tcW w:w="9080" w:type="dxa"/>
            <w:vAlign w:val="bottom"/>
          </w:tcPr>
          <w:p>
            <w:pPr>
              <w:ind w:left="460"/>
              <w:spacing w:after="0"/>
              <w:rPr>
                <w:sz w:val="20"/>
                <w:szCs w:val="20"/>
                <w:color w:val="auto"/>
              </w:rPr>
            </w:pPr>
            <w:r>
              <w:rPr>
                <w:rFonts w:ascii="Arial" w:cs="Arial" w:eastAsia="Arial" w:hAnsi="Arial"/>
                <w:sz w:val="18"/>
                <w:szCs w:val="18"/>
                <w:color w:val="auto"/>
              </w:rPr>
              <w:t>Compensation and benefits payable</w:t>
            </w:r>
          </w:p>
        </w:tc>
        <w:tc>
          <w:tcPr>
            <w:tcW w:w="2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2,606</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Federal unrecognized tax benefit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w:t>
            </w:r>
          </w:p>
        </w:tc>
      </w:tr>
      <w:tr>
        <w:trPr>
          <w:trHeight w:val="243"/>
        </w:trPr>
        <w:tc>
          <w:tcPr>
            <w:tcW w:w="9080" w:type="dxa"/>
            <w:vAlign w:val="bottom"/>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9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8,167</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41"/>
        </w:trPr>
        <w:tc>
          <w:tcPr>
            <w:tcW w:w="9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9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r>
      <w:tr>
        <w:trPr>
          <w:trHeight w:val="243"/>
        </w:trPr>
        <w:tc>
          <w:tcPr>
            <w:tcW w:w="9080" w:type="dxa"/>
            <w:vAlign w:val="bottom"/>
          </w:tcPr>
          <w:p>
            <w:pPr>
              <w:ind w:left="46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(448)</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Unrealized gains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9080" w:type="dxa"/>
            <w:vAlign w:val="bottom"/>
          </w:tcPr>
          <w:p>
            <w:pPr>
              <w:ind w:left="460"/>
              <w:spacing w:after="0"/>
              <w:rPr>
                <w:sz w:val="20"/>
                <w:szCs w:val="20"/>
                <w:color w:val="auto"/>
              </w:rPr>
            </w:pPr>
            <w:r>
              <w:rPr>
                <w:rFonts w:ascii="Arial" w:cs="Arial" w:eastAsia="Arial" w:hAnsi="Arial"/>
                <w:sz w:val="18"/>
                <w:szCs w:val="18"/>
                <w:color w:val="auto"/>
              </w:rPr>
              <w:t>Leases</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(1,980)</w:t>
            </w:r>
          </w:p>
        </w:tc>
      </w:tr>
      <w:tr>
        <w:trPr>
          <w:trHeight w:val="27"/>
        </w:trPr>
        <w:tc>
          <w:tcPr>
            <w:tcW w:w="9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5,102</w:t>
            </w:r>
          </w:p>
        </w:tc>
      </w:tr>
      <w:tr>
        <w:trPr>
          <w:trHeight w:val="27"/>
        </w:trPr>
        <w:tc>
          <w:tcPr>
            <w:tcW w:w="9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Company is subject to taxation in the U. S. and various state and foreign jurisdictions. As of December 31, 2019, the Company’s 2016, 2017 and 2018 tax years are open for examination by the Internal Revenue Service, and various state and foreign jurisdiction tax years remain open to examination. Our 2016, 2017 and 2018 tax returns are currently under audit in a state jurisdiction in which we operate. It is reasonably possible that the audits may be completed during the next twelve months, and we do not expect the result of the audits to have a material impact on our Consolidated Financial Statements.</w:t>
      </w:r>
    </w:p>
    <w:p>
      <w:pPr>
        <w:spacing w:after="0" w:line="46"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have not provided foreign withholding taxes on the undistributed earnings of our foreign subsidiary, Westwood International Advisors. If these funds were needed for our U.S. operations, we would be required to accrue and pay incremental foreign withholding taxes to repatriate a portion of these funds. Our current intent is to permanently reinvest the funds subject to withholding taxes outside of the U.S., and our current plans do not demonstrate a need to repatriate them to fund our U.S. operations. As of December 31, 2019, the cumulative amount of earnings upon which foreign withholding taxes have not been provided is approximately $31.0 million, and the unrecognized deferred tax liability related to these earnings is approximately $1.6 million.</w:t>
      </w:r>
    </w:p>
    <w:p>
      <w:pPr>
        <w:spacing w:after="0" w:line="50"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At December 31, 2019 and 2018, the Company's gross liability related to uncertain tax positions was $0.2 million.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the related interest and penalties, would be reversed as a reduction of income tax expense, net of federal tax effects, in the period such determination is made. A reconciliation of the change in recorded uncertain tax positions during the years ended December 31, 2019 and 2018 is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r>
      <w:tr>
        <w:trPr>
          <w:trHeight w:val="243"/>
        </w:trPr>
        <w:tc>
          <w:tcPr>
            <w:tcW w:w="9900" w:type="dxa"/>
            <w:vAlign w:val="bottom"/>
          </w:tcPr>
          <w:p>
            <w:pPr>
              <w:ind w:left="160"/>
              <w:spacing w:after="0"/>
              <w:rPr>
                <w:sz w:val="20"/>
                <w:szCs w:val="20"/>
                <w:color w:val="auto"/>
              </w:rPr>
            </w:pPr>
            <w:r>
              <w:rPr>
                <w:rFonts w:ascii="Arial" w:cs="Arial" w:eastAsia="Arial" w:hAnsi="Arial"/>
                <w:sz w:val="18"/>
                <w:szCs w:val="18"/>
                <w:color w:val="auto"/>
              </w:rPr>
              <w:t>Additions for tax positions related to the current year</w:t>
            </w:r>
          </w:p>
        </w:tc>
        <w:tc>
          <w:tcPr>
            <w:tcW w:w="5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7"/>
        </w:trPr>
        <w:tc>
          <w:tcPr>
            <w:tcW w:w="9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Reductions for tax positions related to prior years</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99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184</w:t>
            </w:r>
          </w:p>
        </w:tc>
      </w:tr>
      <w:tr>
        <w:trPr>
          <w:trHeight w:val="27"/>
        </w:trPr>
        <w:tc>
          <w:tcPr>
            <w:tcW w:w="9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Additions for tax positions related to the current year</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43"/>
        </w:trPr>
        <w:tc>
          <w:tcPr>
            <w:tcW w:w="9900" w:type="dxa"/>
            <w:vAlign w:val="bottom"/>
          </w:tcPr>
          <w:p>
            <w:pPr>
              <w:ind w:left="120"/>
              <w:spacing w:after="0"/>
              <w:rPr>
                <w:sz w:val="20"/>
                <w:szCs w:val="20"/>
                <w:color w:val="auto"/>
              </w:rPr>
            </w:pPr>
            <w:r>
              <w:rPr>
                <w:rFonts w:ascii="Arial" w:cs="Arial" w:eastAsia="Arial" w:hAnsi="Arial"/>
                <w:sz w:val="18"/>
                <w:szCs w:val="18"/>
                <w:color w:val="auto"/>
              </w:rPr>
              <w:t>Reductions for tax positions related to prior years</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99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184</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It is reasonably possible that the liability for uncertain tax positions could decrease by as much as $0.2 million within the next twelve months as a result of settlements with certain taxing authorities that, if recognized, would decrease our provision for income taxes by $0.2 million.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REGULATORY CAPITAL REQUIREMENTS:</w:t>
      </w:r>
    </w:p>
    <w:p>
      <w:pPr>
        <w:spacing w:after="0" w:line="12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required minimum restricted capital of $4.0 million as required by the Texas Finance Code. Restricted capital is included in Investments in the accompanying Consolidated Balance Sheets. At December 31, 2019, Westwood Trust had approximately $7.9 million in excess of its minimum capital requirement.</w:t>
      </w:r>
    </w:p>
    <w:p>
      <w:pPr>
        <w:spacing w:after="0" w:line="73"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may make quarterly and special dividend payments, or other distributions, to us out of its undivided profits. No dividend payments were made to us in 2019, 2018 or 2017.</w:t>
      </w:r>
    </w:p>
    <w:p>
      <w:pPr>
        <w:spacing w:after="0" w:line="63" w:lineRule="exact"/>
        <w:rPr>
          <w:sz w:val="20"/>
          <w:szCs w:val="20"/>
          <w:color w:val="auto"/>
        </w:rPr>
      </w:pPr>
    </w:p>
    <w:p>
      <w:pPr>
        <w:jc w:val="both"/>
        <w:ind w:right="180" w:firstLine="486"/>
        <w:spacing w:after="0" w:line="259" w:lineRule="auto"/>
        <w:rPr>
          <w:sz w:val="20"/>
          <w:szCs w:val="20"/>
          <w:color w:val="auto"/>
        </w:rPr>
      </w:pPr>
      <w:r>
        <w:rPr>
          <w:rFonts w:ascii="Arial" w:cs="Arial" w:eastAsia="Arial" w:hAnsi="Arial"/>
          <w:sz w:val="18"/>
          <w:szCs w:val="18"/>
          <w:color w:val="auto"/>
        </w:rPr>
        <w:t>Westwood International Advisors is subject to the working capital requirements of the Ontario Securities Commission, which requires that combined cash and receivables exceed current liabilities by at least $100,000 CDN. At December 31, 2019 Westwood International Advisors had combined cash and receivables that were $49.2 million CDN (or $37.9 million in U.S. dollars using the exchange rate on December 31, 2019) in excess of its current liabilities, which satisfies this requirement.</w:t>
      </w:r>
    </w:p>
    <w:p>
      <w:pPr>
        <w:spacing w:after="0" w:line="75" w:lineRule="exact"/>
        <w:rPr>
          <w:sz w:val="20"/>
          <w:szCs w:val="20"/>
          <w:color w:val="auto"/>
        </w:rPr>
      </w:pPr>
    </w:p>
    <w:p>
      <w:pPr>
        <w:ind w:right="9620" w:firstLine="8"/>
        <w:spacing w:after="0" w:line="400" w:lineRule="auto"/>
        <w:tabs>
          <w:tab w:leader="none" w:pos="1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REVENUE Advisory Fee Revenues</w:t>
      </w:r>
    </w:p>
    <w:p>
      <w:pPr>
        <w:spacing w:after="0" w:line="1"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6"/>
          <w:szCs w:val="16"/>
          <w:color w:val="auto"/>
        </w:rPr>
        <w:t>Our advisory fees are generated by Westwood Management and Westwood International,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and mutual fund accounts.</w:t>
      </w:r>
    </w:p>
    <w:p>
      <w:pPr>
        <w:spacing w:after="0" w:line="8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63"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 Based Obligations</w:t>
      </w:r>
    </w:p>
    <w:p>
      <w:pPr>
        <w:spacing w:after="0" w:line="12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73"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21" w:lineRule="exact"/>
        <w:rPr>
          <w:sz w:val="20"/>
          <w:szCs w:val="20"/>
          <w:color w:val="auto"/>
        </w:rPr>
      </w:pPr>
    </w:p>
    <w:p>
      <w:pPr>
        <w:jc w:val="both"/>
        <w:ind w:right="140" w:firstLine="486"/>
        <w:spacing w:after="0" w:line="288" w:lineRule="auto"/>
        <w:rPr>
          <w:sz w:val="20"/>
          <w:szCs w:val="20"/>
          <w:color w:val="auto"/>
        </w:rPr>
      </w:pPr>
      <w:r>
        <w:rPr>
          <w:rFonts w:ascii="Arial" w:cs="Arial" w:eastAsia="Arial" w:hAnsi="Arial"/>
          <w:sz w:val="16"/>
          <w:szCs w:val="16"/>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w:t>
      </w:r>
    </w:p>
    <w:p>
      <w:pPr>
        <w:ind w:right="780"/>
        <w:spacing w:after="0" w:line="261" w:lineRule="auto"/>
        <w:rPr>
          <w:sz w:val="20"/>
          <w:szCs w:val="20"/>
          <w:color w:val="auto"/>
        </w:rPr>
      </w:pPr>
      <w:r>
        <w:rPr>
          <w:rFonts w:ascii="Arial" w:cs="Arial" w:eastAsia="Arial" w:hAnsi="Arial"/>
          <w:sz w:val="18"/>
          <w:szCs w:val="18"/>
          <w:color w:val="auto"/>
        </w:rPr>
        <w:t>Since billing periods for most of Westwood Trust’s clients coincide with the calendar quarter, revenue is fully recognized within the quarter and our Consolidated Financial Statements contain no deferred advisory fee revenues.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6"/>
          </w:tcPr>
          <w:p>
            <w:pPr>
              <w:jc w:val="right"/>
              <w:ind w:right="55"/>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Pr>
          <w:p>
            <w:pPr>
              <w:spacing w:after="0"/>
              <w:rPr>
                <w:sz w:val="18"/>
                <w:szCs w:val="18"/>
                <w:color w:val="auto"/>
              </w:rPr>
            </w:pPr>
          </w:p>
        </w:tc>
      </w:tr>
      <w:tr>
        <w:trPr>
          <w:trHeight w:val="33"/>
        </w:trPr>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55"/>
              <w:spacing w:after="0"/>
              <w:rPr>
                <w:sz w:val="20"/>
                <w:szCs w:val="20"/>
                <w:color w:val="auto"/>
              </w:rPr>
            </w:pPr>
            <w:r>
              <w:rPr>
                <w:rFonts w:ascii="Arial" w:cs="Arial" w:eastAsia="Arial" w:hAnsi="Arial"/>
                <w:sz w:val="16"/>
                <w:szCs w:val="16"/>
                <w:b w:val="1"/>
                <w:bCs w:val="1"/>
                <w:color w:val="auto"/>
              </w:rPr>
              <w:t>2017</w:t>
            </w:r>
          </w:p>
        </w:tc>
      </w:tr>
      <w:tr>
        <w:trPr>
          <w:trHeight w:val="33"/>
        </w:trPr>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Advisory Fees: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7520" w:type="dxa"/>
            <w:vAlign w:val="bottom"/>
          </w:tcPr>
          <w:p>
            <w:pPr>
              <w:ind w:left="340"/>
              <w:spacing w:after="0"/>
              <w:rPr>
                <w:sz w:val="20"/>
                <w:szCs w:val="20"/>
                <w:color w:val="auto"/>
              </w:rPr>
            </w:pPr>
            <w:r>
              <w:rPr>
                <w:rFonts w:ascii="Arial" w:cs="Arial" w:eastAsia="Arial" w:hAnsi="Arial"/>
                <w:sz w:val="18"/>
                <w:szCs w:val="18"/>
                <w:color w:val="auto"/>
              </w:rPr>
              <w:t>Institutional</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37,289</w:t>
            </w:r>
          </w:p>
        </w:tc>
        <w:tc>
          <w:tcPr>
            <w:tcW w:w="10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59,345</w:t>
            </w:r>
          </w:p>
        </w:tc>
        <w:tc>
          <w:tcPr>
            <w:tcW w:w="10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69,029</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19,288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29,792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30,172</w:t>
            </w:r>
          </w:p>
        </w:tc>
      </w:tr>
      <w:tr>
        <w:trPr>
          <w:trHeight w:val="243"/>
        </w:trPr>
        <w:tc>
          <w:tcPr>
            <w:tcW w:w="7520" w:type="dxa"/>
            <w:vAlign w:val="bottom"/>
          </w:tcPr>
          <w:p>
            <w:pPr>
              <w:ind w:left="340"/>
              <w:spacing w:after="0"/>
              <w:rPr>
                <w:sz w:val="20"/>
                <w:szCs w:val="20"/>
                <w:color w:val="auto"/>
              </w:rPr>
            </w:pPr>
            <w:r>
              <w:rPr>
                <w:rFonts w:ascii="Arial" w:cs="Arial" w:eastAsia="Arial" w:hAnsi="Arial"/>
                <w:sz w:val="18"/>
                <w:szCs w:val="18"/>
                <w:color w:val="auto"/>
              </w:rPr>
              <w:t>Wealth Management</w:t>
            </w:r>
          </w:p>
        </w:tc>
        <w:tc>
          <w:tcPr>
            <w:tcW w:w="280" w:type="dxa"/>
            <w:vAlign w:val="bottom"/>
          </w:tcPr>
          <w:p>
            <w:pPr>
              <w:spacing w:after="0"/>
              <w:rPr>
                <w:sz w:val="21"/>
                <w:szCs w:val="21"/>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Performance-based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1,411</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Trust Fees</w:t>
            </w:r>
          </w:p>
        </w:tc>
        <w:tc>
          <w:tcPr>
            <w:tcW w:w="280" w:type="dxa"/>
            <w:vAlign w:val="bottom"/>
          </w:tcPr>
          <w:p>
            <w:pPr>
              <w:spacing w:after="0"/>
              <w:rPr>
                <w:sz w:val="21"/>
                <w:szCs w:val="21"/>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25,483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28,953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31,621</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1,552</w:t>
            </w:r>
          </w:p>
        </w:tc>
      </w:tr>
      <w:tr>
        <w:trPr>
          <w:trHeight w:val="250"/>
        </w:trPr>
        <w:tc>
          <w:tcPr>
            <w:tcW w:w="75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84,079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122,300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133,785</w:t>
            </w:r>
          </w:p>
        </w:tc>
      </w:tr>
      <w:tr>
        <w:trPr>
          <w:trHeight w:val="21"/>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clients in various locations around the world. The following table presents our revenue disaggregated by our clients' geographical locations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based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1000" w:type="dxa"/>
            <w:vAlign w:val="bottom"/>
          </w:tcPr>
          <w:p>
            <w:pPr>
              <w:jc w:val="right"/>
              <w:ind w:right="435"/>
              <w:spacing w:after="0"/>
              <w:rPr>
                <w:sz w:val="20"/>
                <w:szCs w:val="20"/>
                <w:color w:val="auto"/>
              </w:rPr>
            </w:pPr>
            <w:r>
              <w:rPr>
                <w:rFonts w:ascii="Arial" w:cs="Arial" w:eastAsia="Arial" w:hAnsi="Arial"/>
                <w:sz w:val="16"/>
                <w:szCs w:val="16"/>
                <w:b w:val="1"/>
                <w:bCs w:val="1"/>
                <w:color w:val="auto"/>
              </w:rPr>
              <w:t>Total</w:t>
            </w:r>
          </w:p>
        </w:tc>
      </w:tr>
      <w:tr>
        <w:trPr>
          <w:trHeight w:val="33"/>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1,639</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591</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3,022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764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4,467</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48,360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25,483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74,360</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57,033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25,483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764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799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84,079</w:t>
            </w:r>
          </w:p>
        </w:tc>
      </w:tr>
      <w:tr>
        <w:trPr>
          <w:trHeight w:val="21"/>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52"/>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2018</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based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1000" w:type="dxa"/>
            <w:vAlign w:val="bottom"/>
          </w:tcPr>
          <w:p>
            <w:pPr>
              <w:jc w:val="right"/>
              <w:ind w:right="435"/>
              <w:spacing w:after="0"/>
              <w:rPr>
                <w:sz w:val="20"/>
                <w:szCs w:val="20"/>
                <w:color w:val="auto"/>
              </w:rPr>
            </w:pPr>
            <w:r>
              <w:rPr>
                <w:rFonts w:ascii="Arial" w:cs="Arial" w:eastAsia="Arial" w:hAnsi="Arial"/>
                <w:sz w:val="16"/>
                <w:szCs w:val="16"/>
                <w:b w:val="1"/>
                <w:bCs w:val="1"/>
                <w:color w:val="auto"/>
              </w:rPr>
              <w:t>Total</w:t>
            </w:r>
          </w:p>
        </w:tc>
      </w:tr>
      <w:tr>
        <w:trPr>
          <w:trHeight w:val="33"/>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4,305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3,783</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6,768</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4,860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4,860</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69,814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28,953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2,984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102,584</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89,367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28,953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2,984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996</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122,300</w:t>
            </w:r>
          </w:p>
        </w:tc>
      </w:tr>
      <w:tr>
        <w:trPr>
          <w:trHeight w:val="21"/>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based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33"/>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6,312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3,334</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9,169</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3,873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3,873</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76,945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31,621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1,411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111,097</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99,201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31,621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1,411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1,552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133,785</w:t>
            </w:r>
          </w:p>
        </w:tc>
      </w:tr>
      <w:tr>
        <w:trPr>
          <w:trHeight w:val="21"/>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9120" w:firstLine="8"/>
        <w:spacing w:after="0" w:line="378" w:lineRule="auto"/>
        <w:tabs>
          <w:tab w:leader="none" w:pos="27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 Restricted Stock Awards</w:t>
      </w:r>
    </w:p>
    <w:p>
      <w:pPr>
        <w:ind w:right="200" w:firstLine="486"/>
        <w:spacing w:after="0" w:line="297" w:lineRule="auto"/>
        <w:rPr>
          <w:sz w:val="20"/>
          <w:szCs w:val="20"/>
          <w:color w:val="auto"/>
        </w:rPr>
      </w:pPr>
      <w:r>
        <w:rPr>
          <w:rFonts w:ascii="Arial" w:cs="Arial" w:eastAsia="Arial" w:hAnsi="Arial"/>
          <w:sz w:val="16"/>
          <w:szCs w:val="16"/>
          <w:color w:val="auto"/>
        </w:rPr>
        <w:t>We have issued restricted shares to our employees and non-employee directors. The Plan reserves shares of Westwood common stock for issuance to eligible employees, directors and consultants of Westwood or its subsidiaries in the form of restricted stock and stock options. In April 2019, stockholders approved an additional 200,000 shares to be authorized under the Plan, increasing the total number of shares issuable under the Plan (including predecessor plans to the Plan) to 5,048,100 shares. In the event of a change in control of Westwood, the Plan contains provisions providing for the acceleration of the vesting of restricted stock. At December 31, 2019, approximately 527,000 shares remain available for issuance under the Plan.</w:t>
      </w:r>
    </w:p>
    <w:p>
      <w:pPr>
        <w:spacing w:after="0" w:line="5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and the total income tax benefit recognized for stock-based compensation arrangements for the years indicated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7"/>
          </w:tcPr>
          <w:p>
            <w:pPr>
              <w:jc w:val="right"/>
              <w:ind w:right="615"/>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condition restricted stock expense</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7,240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9,941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10,334</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Performance-based restricted stock expense</w:t>
            </w:r>
          </w:p>
        </w:tc>
        <w:tc>
          <w:tcPr>
            <w:tcW w:w="260" w:type="dxa"/>
            <w:vAlign w:val="bottom"/>
          </w:tcPr>
          <w:p>
            <w:pPr>
              <w:spacing w:after="0"/>
              <w:rPr>
                <w:sz w:val="21"/>
                <w:szCs w:val="21"/>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2,388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4,760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5,387</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expense under the Plan</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9,628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14,701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15,721</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Canadian Plan restricted stock expense</w:t>
            </w:r>
          </w:p>
        </w:tc>
        <w:tc>
          <w:tcPr>
            <w:tcW w:w="260" w:type="dxa"/>
            <w:vAlign w:val="bottom"/>
          </w:tcPr>
          <w:p>
            <w:pPr>
              <w:spacing w:after="0"/>
              <w:rPr>
                <w:sz w:val="21"/>
                <w:szCs w:val="21"/>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677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10,305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15,283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16,430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income tax benefit recognized related to stock-based compensation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80" w:type="dxa"/>
            <w:vAlign w:val="bottom"/>
            <w:vMerge w:val="continue"/>
          </w:tcPr>
          <w:p>
            <w:pPr>
              <w:spacing w:after="0"/>
              <w:rPr>
                <w:sz w:val="17"/>
                <w:szCs w:val="17"/>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1,932</w:t>
            </w:r>
          </w:p>
        </w:tc>
        <w:tc>
          <w:tcPr>
            <w:tcW w:w="10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3,592</w:t>
            </w:r>
          </w:p>
        </w:tc>
        <w:tc>
          <w:tcPr>
            <w:tcW w:w="10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6,168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Under the Plan, we have granted to employees and non-employee directors restricted stock subject to service conditions and to certain key employees restricted stock subject to both service and performance conditions. We accrue dividends on unvested restricted stock, which are due and payable upon vesting of restricted stock. Accrued dividends coming due within the next twelve months are included in “Dividends payable” on the Consolidated Balance Sheets, with the remaining noncurrent portion of accrued dividends included in “Accrued dividends” on the Consolidated Balance Sheets. At December 31, 2019, we had recorded $7.4 million and $1.3 million in Dividends payable and Accrued dividends, respectively. At December 31, 2018, we had recorded $7.7 million and $1.6 million in Dividends payable and Accrued dividends, respectively.</w:t>
      </w:r>
    </w:p>
    <w:p>
      <w:pPr>
        <w:spacing w:after="0" w:line="70"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As of December 31, 2019, there was approximately $13.4 million of unrecognized compensation cost for restricted stock grants under the Plan, which we expect to recognize over a weighted-average period of 2.1 years. In order to satisfy tax liabilities that employees will owe on their shares that vest, we may withhold a sufficient number of vested shares from employees on the date vesting occurs to cover minimum tax withholding requirements. We withheld 62,036 shares in 2019 for this purpose. Our two types of restricted stock grants under the Plan are discussed below.</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For the years ended December 31, 2019, 2018 and 2017, we granted restricted stock to employees and non-employee directors. Employee shares generally vest over four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that are subject only to a service condition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6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1"/>
                <w:szCs w:val="11"/>
                <w:color w:val="auto"/>
              </w:rPr>
            </w:pPr>
          </w:p>
        </w:tc>
        <w:tc>
          <w:tcPr>
            <w:tcW w:w="13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85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2"/>
        </w:trPr>
        <w:tc>
          <w:tcPr>
            <w:tcW w:w="8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2019</w:t>
            </w:r>
          </w:p>
        </w:tc>
        <w:tc>
          <w:tcPr>
            <w:tcW w:w="12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440,073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56.40</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57"/>
              <w:spacing w:after="0"/>
              <w:rPr>
                <w:sz w:val="20"/>
                <w:szCs w:val="20"/>
                <w:color w:val="auto"/>
              </w:rPr>
            </w:pPr>
            <w:r>
              <w:rPr>
                <w:rFonts w:ascii="Arial" w:cs="Arial" w:eastAsia="Arial" w:hAnsi="Arial"/>
                <w:sz w:val="17"/>
                <w:szCs w:val="17"/>
                <w:color w:val="auto"/>
              </w:rPr>
              <w:t>198,295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80"/>
              <w:spacing w:after="0"/>
              <w:rPr>
                <w:sz w:val="20"/>
                <w:szCs w:val="20"/>
                <w:color w:val="auto"/>
              </w:rPr>
            </w:pPr>
            <w:r>
              <w:rPr>
                <w:rFonts w:ascii="Arial" w:cs="Arial" w:eastAsia="Arial" w:hAnsi="Arial"/>
                <w:sz w:val="17"/>
                <w:szCs w:val="17"/>
                <w:color w:val="auto"/>
              </w:rPr>
              <w:t>38.64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(162,287)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57.14</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(79,483)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80"/>
              <w:spacing w:after="0"/>
              <w:rPr>
                <w:sz w:val="20"/>
                <w:szCs w:val="20"/>
                <w:color w:val="auto"/>
              </w:rPr>
            </w:pPr>
            <w:r>
              <w:rPr>
                <w:rFonts w:ascii="Arial" w:cs="Arial" w:eastAsia="Arial" w:hAnsi="Arial"/>
                <w:sz w:val="17"/>
                <w:szCs w:val="17"/>
                <w:color w:val="auto"/>
              </w:rPr>
              <w:t>50.92</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2019</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396,598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7"/>
                <w:szCs w:val="17"/>
                <w:color w:val="auto"/>
              </w:rPr>
              <w:t>48.31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following table shows the weighted-average grant date fair value for shares granted and the total fair value of shares vested during the years indicated: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6"/>
          </w:tcPr>
          <w:p>
            <w:pPr>
              <w:jc w:val="right"/>
              <w:ind w:right="15"/>
              <w:spacing w:after="0"/>
              <w:rPr>
                <w:sz w:val="20"/>
                <w:szCs w:val="20"/>
                <w:color w:val="auto"/>
              </w:rPr>
            </w:pPr>
            <w:r>
              <w:rPr>
                <w:rFonts w:ascii="Arial" w:cs="Arial" w:eastAsia="Arial" w:hAnsi="Arial"/>
                <w:sz w:val="16"/>
                <w:szCs w:val="16"/>
                <w:b w:val="1"/>
                <w:bCs w:val="1"/>
                <w:color w:val="auto"/>
              </w:rPr>
              <w:t>Years ended December 31,</w:t>
            </w:r>
          </w:p>
        </w:tc>
        <w:tc>
          <w:tcPr>
            <w:tcW w:w="860" w:type="dxa"/>
            <w:vAlign w:val="bottom"/>
          </w:tcPr>
          <w:p>
            <w:pPr>
              <w:spacing w:after="0"/>
              <w:rPr>
                <w:sz w:val="18"/>
                <w:szCs w:val="18"/>
                <w:color w:val="auto"/>
              </w:rPr>
            </w:pPr>
          </w:p>
        </w:tc>
      </w:tr>
      <w:tr>
        <w:trPr>
          <w:trHeight w:val="3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36"/>
              <w:spacing w:after="0"/>
              <w:rPr>
                <w:sz w:val="20"/>
                <w:szCs w:val="20"/>
                <w:color w:val="auto"/>
              </w:rPr>
            </w:pPr>
            <w:r>
              <w:rPr>
                <w:rFonts w:ascii="Arial" w:cs="Arial" w:eastAsia="Arial" w:hAnsi="Arial"/>
                <w:sz w:val="16"/>
                <w:szCs w:val="16"/>
                <w:b w:val="1"/>
                <w:bCs w:val="1"/>
                <w:color w:val="auto"/>
              </w:rPr>
              <w:t>2017</w:t>
            </w: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38.64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55.92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61.20</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Fair value of shares vested (in thousands)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7"/>
              <w:spacing w:after="0"/>
              <w:rPr>
                <w:sz w:val="20"/>
                <w:szCs w:val="20"/>
                <w:color w:val="auto"/>
              </w:rPr>
            </w:pPr>
            <w:r>
              <w:rPr>
                <w:rFonts w:ascii="Arial" w:cs="Arial" w:eastAsia="Arial" w:hAnsi="Arial"/>
                <w:sz w:val="17"/>
                <w:szCs w:val="17"/>
                <w:color w:val="auto"/>
              </w:rPr>
              <w:t>9,273</w:t>
            </w:r>
          </w:p>
        </w:tc>
        <w:tc>
          <w:tcPr>
            <w:tcW w:w="10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11,189</w:t>
            </w:r>
          </w:p>
        </w:tc>
        <w:tc>
          <w:tcPr>
            <w:tcW w:w="10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76"/>
              <w:spacing w:after="0"/>
              <w:rPr>
                <w:sz w:val="20"/>
                <w:szCs w:val="20"/>
                <w:color w:val="auto"/>
              </w:rPr>
            </w:pPr>
            <w:r>
              <w:rPr>
                <w:rFonts w:ascii="Arial" w:cs="Arial" w:eastAsia="Arial" w:hAnsi="Arial"/>
                <w:sz w:val="17"/>
                <w:szCs w:val="17"/>
                <w:color w:val="auto"/>
              </w:rPr>
              <w:t>10,764</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17"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59" w:lineRule="exact"/>
        <w:rPr>
          <w:sz w:val="20"/>
          <w:szCs w:val="20"/>
          <w:color w:val="auto"/>
        </w:rPr>
      </w:pPr>
    </w:p>
    <w:p>
      <w:pPr>
        <w:jc w:val="both"/>
        <w:ind w:right="600" w:firstLine="486"/>
        <w:spacing w:after="0" w:line="264" w:lineRule="auto"/>
        <w:rPr>
          <w:sz w:val="20"/>
          <w:szCs w:val="20"/>
          <w:color w:val="auto"/>
        </w:rPr>
      </w:pPr>
      <w:r>
        <w:rPr>
          <w:rFonts w:ascii="Arial" w:cs="Arial" w:eastAsia="Arial" w:hAnsi="Arial"/>
          <w:sz w:val="18"/>
          <w:szCs w:val="18"/>
          <w:color w:val="auto"/>
        </w:rPr>
        <w:t>In March 2019, the Compensation Committee established the 2019 goals based on various departmental and company-wide performance goals. Throughout 2019, we recorded expense related to the applicable percentage of the performance-based restricted shares expected to meet or exceed the performance goals needed to earn the shares.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subject to service and performance conditions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0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1"/>
                <w:szCs w:val="11"/>
                <w:color w:val="auto"/>
              </w:rPr>
            </w:pPr>
          </w:p>
        </w:tc>
        <w:tc>
          <w:tcPr>
            <w:tcW w:w="13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85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2"/>
        </w:trPr>
        <w:tc>
          <w:tcPr>
            <w:tcW w:w="8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2019</w:t>
            </w:r>
          </w:p>
        </w:tc>
        <w:tc>
          <w:tcPr>
            <w:tcW w:w="124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156,293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55.66</w:t>
            </w:r>
          </w:p>
        </w:tc>
        <w:tc>
          <w:tcPr>
            <w:tcW w:w="0" w:type="dxa"/>
            <w:vAlign w:val="bottom"/>
          </w:tcPr>
          <w:p>
            <w:pPr>
              <w:spacing w:after="0"/>
              <w:rPr>
                <w:sz w:val="1"/>
                <w:szCs w:val="1"/>
                <w:color w:val="auto"/>
              </w:rPr>
            </w:pPr>
          </w:p>
        </w:tc>
      </w:tr>
      <w:tr>
        <w:trPr>
          <w:trHeight w:val="243"/>
        </w:trPr>
        <w:tc>
          <w:tcPr>
            <w:tcW w:w="85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77"/>
              <w:spacing w:after="0"/>
              <w:rPr>
                <w:sz w:val="20"/>
                <w:szCs w:val="20"/>
                <w:color w:val="auto"/>
              </w:rPr>
            </w:pPr>
            <w:r>
              <w:rPr>
                <w:rFonts w:ascii="Arial" w:cs="Arial" w:eastAsia="Arial" w:hAnsi="Arial"/>
                <w:sz w:val="17"/>
                <w:szCs w:val="17"/>
                <w:color w:val="auto"/>
              </w:rPr>
              <w:t>24,670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60"/>
              <w:spacing w:after="0"/>
              <w:rPr>
                <w:sz w:val="20"/>
                <w:szCs w:val="20"/>
                <w:color w:val="auto"/>
              </w:rPr>
            </w:pPr>
            <w:r>
              <w:rPr>
                <w:rFonts w:ascii="Arial" w:cs="Arial" w:eastAsia="Arial" w:hAnsi="Arial"/>
                <w:sz w:val="17"/>
                <w:szCs w:val="17"/>
                <w:color w:val="auto"/>
              </w:rPr>
              <w:t>37.90</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(80,493)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56.09</w:t>
            </w:r>
          </w:p>
        </w:tc>
        <w:tc>
          <w:tcPr>
            <w:tcW w:w="0" w:type="dxa"/>
            <w:vAlign w:val="bottom"/>
          </w:tcPr>
          <w:p>
            <w:pPr>
              <w:spacing w:after="0"/>
              <w:rPr>
                <w:sz w:val="1"/>
                <w:szCs w:val="1"/>
                <w:color w:val="auto"/>
              </w:rPr>
            </w:pPr>
          </w:p>
        </w:tc>
      </w:tr>
      <w:tr>
        <w:trPr>
          <w:trHeight w:val="243"/>
        </w:trPr>
        <w:tc>
          <w:tcPr>
            <w:tcW w:w="850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(19,495)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60"/>
              <w:spacing w:after="0"/>
              <w:rPr>
                <w:sz w:val="20"/>
                <w:szCs w:val="20"/>
                <w:color w:val="auto"/>
              </w:rPr>
            </w:pPr>
            <w:r>
              <w:rPr>
                <w:rFonts w:ascii="Arial" w:cs="Arial" w:eastAsia="Arial" w:hAnsi="Arial"/>
                <w:sz w:val="17"/>
                <w:szCs w:val="17"/>
                <w:color w:val="auto"/>
              </w:rPr>
              <w:t>55.18</w:t>
            </w:r>
          </w:p>
        </w:tc>
        <w:tc>
          <w:tcPr>
            <w:tcW w:w="0" w:type="dxa"/>
            <w:vAlign w:val="bottom"/>
          </w:tcPr>
          <w:p>
            <w:pPr>
              <w:spacing w:after="0"/>
              <w:rPr>
                <w:sz w:val="1"/>
                <w:szCs w:val="1"/>
                <w:color w:val="auto"/>
              </w:rPr>
            </w:pPr>
          </w:p>
        </w:tc>
      </w:tr>
      <w:tr>
        <w:trPr>
          <w:trHeight w:val="27"/>
        </w:trPr>
        <w:tc>
          <w:tcPr>
            <w:tcW w:w="85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2019</w:t>
            </w:r>
          </w:p>
        </w:tc>
        <w:tc>
          <w:tcPr>
            <w:tcW w:w="1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80,975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49.73</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following table shows the weighted-average grant date fair value for shares granted and the total fair value of shares vested during the years indicated: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6"/>
          </w:tcPr>
          <w:p>
            <w:pPr>
              <w:jc w:val="right"/>
              <w:ind w:right="35"/>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7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56"/>
              <w:spacing w:after="0"/>
              <w:rPr>
                <w:sz w:val="20"/>
                <w:szCs w:val="20"/>
                <w:color w:val="auto"/>
              </w:rPr>
            </w:pPr>
            <w:r>
              <w:rPr>
                <w:rFonts w:ascii="Arial" w:cs="Arial" w:eastAsia="Arial" w:hAnsi="Arial"/>
                <w:sz w:val="16"/>
                <w:szCs w:val="16"/>
                <w:b w:val="1"/>
                <w:bCs w:val="1"/>
                <w:color w:val="auto"/>
              </w:rPr>
              <w:t>2017</w:t>
            </w:r>
          </w:p>
        </w:tc>
      </w:tr>
      <w:tr>
        <w:trPr>
          <w:trHeight w:val="33"/>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37.90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51.85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54.86</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Fair value of shares vested (in thousands)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4,515</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5,485</w:t>
            </w:r>
          </w:p>
        </w:tc>
        <w:tc>
          <w:tcPr>
            <w:tcW w:w="10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5,792</w:t>
            </w: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Canadian Plan</w:t>
      </w:r>
    </w:p>
    <w:p>
      <w:pPr>
        <w:spacing w:after="0" w:line="12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As discussed in Note 2, the Canadian Plan provides compensation in the form of common stock for services performed by employees of Westwood International Advisors. Under the Canadian Plan, no more than $10.0 million CDN (or $7.7 million in U.S. Dollars using the exchange rate on December 31, 2019) may be funded to the Plan Trustee to fund purchases of common stock with respect to awards granted under the Canadian Plan. At December 31, 2019, approximately $1.7 million remains available for issuance under the Canadian Plan, or approximately 59,000 shares based on the closing share price of our stock of $29.62 as of the last business day of 2019. During 2019, the trust formed pursuant to the Canadian Plan purchased in the open market 25,047 Westwood common shares for approximately $1.0 million. On December 3, 2019, 24,840 shares vested at a total fair value of approximately $0.8 million. As of December 31, 2019, the trust holds 36,238 shares of Westwood common stock. As of December 31, 2019, unrecognized compensation cost related to restricted stock grants under the Canadian Plan totaled $0.7 million, which we expect to recognize over a weighted-average period of 1.7 years.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21"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We may grant mutual fund incentive awards, which are bonus awards based on our mutual funds achieving specific performance goals, annually to specific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Unvested mutual fund awards are included under "Investments, at fair value" on our Consolidated Balance Sheets.</w:t>
      </w:r>
    </w:p>
    <w:p>
      <w:pPr>
        <w:spacing w:after="0" w:line="8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Awards vest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year ended December 31, 2019, mutual fund share incentive award activity was insignificant. For the years ended December 31, 2018, and 2017, we recorded expense of $0.3 million and $1.2 million, respectively, related to mutual fund share incentive awards. As of December 31, 2019 and 2018, we had an accrued liability of $0.1 million and $0.6 million, respectively, related to mutual fund incentive awards.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Share Units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have a deferred share unit (“DSU”) plan for employees of Westwood International Advisors. A DSU is an award linked to the value of Westwood’s common stock and is represented by a notional credit to a participant account. The value of a DSU is initially equal to the value of a share of our common stock. Beginning in 2018, DSUs vest 50%, 25% and 25% after two, three and four years of service, respectively, and become fully vested after four years of service. For awards granted prior to 2018, DSUs vest 20%, 40%, 60%, and 80% after two, three, four and five years of service, respectively, and become fully vested after six years of service. The liability for these units is settled in cash upon termination of the participant’s service. We record expense for DSUs based on the number of units vested on a straight line basis, which may increase or decrease based on changes in the price of our common shares, and will increase for additional units received from dividends declared on our shares. As of December 31, 2019, we had an accrued liability of $0.5 million for 17,401 deferred share units related to the 2012 to 2017 awards issued from 2013 to 2018, which is based on the $29.62 per share closing price of our common stock on the last trading day of the year ended December 31, 2019. As of December 31, 2018, we had an accrued liability of $0.4 million for 13,544 deferred share units related to the 2012 to 2017 awards issued from 2013 to 2018, which was based on the $34.00 per share closing price of our common stock on the last trading day of the year ended December 31, 2018.</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12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Westwood has a defined contribution and profit-sharing plan that was adopted in July 2002 and covers substantially all of our employees. Beginning with the 2017 contribution, discretionary employer profit-sharing contributions become fully vested after four years of service by the participant. For U.S. employees, Westwood provides a 401(k) match of up to 6% of eligible compensation. For Westwood International Advisors employees, Westwood provides a Registered Retirement Savings Plan match of up to 6% of eligible compensation. These retirement plan matching contributions vest immediately.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our profit-sharing and retirement plan contributions for the periods presented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80" w:type="dxa"/>
            <w:vAlign w:val="bottom"/>
          </w:tcPr>
          <w:p>
            <w:pPr>
              <w:spacing w:after="0"/>
              <w:rPr>
                <w:sz w:val="18"/>
                <w:szCs w:val="18"/>
                <w:color w:val="auto"/>
              </w:rPr>
            </w:pPr>
          </w:p>
        </w:tc>
      </w:tr>
      <w:tr>
        <w:trPr>
          <w:trHeight w:val="33"/>
        </w:trPr>
        <w:tc>
          <w:tcPr>
            <w:tcW w:w="7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7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Profit-sharing contributions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926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1,613</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Retirement plan matching contributions</w:t>
            </w:r>
          </w:p>
        </w:tc>
        <w:tc>
          <w:tcPr>
            <w:tcW w:w="24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1,597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1,604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7"/>
                <w:szCs w:val="17"/>
                <w:color w:val="auto"/>
              </w:rPr>
              <w:t>1,602</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Basic earnings per common share (“EPS”) is computed by dividing net income available to common stockholders by the weighted average number of shares outstanding. Diluted EPS is computed based on the weighted average shares of common stock outstanding plus the effect of any dilutive shares of restricted stock granted to employees and non-employee directors. There were approximately 76,000, 7,300 and 6,614 anti-dilutive restricted shares as of December 31, 2019, 2018 and 2017, respectively.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right"/>
              <w:ind w:right="1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26,751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19,989</w:t>
            </w:r>
          </w:p>
        </w:tc>
      </w:tr>
      <w:tr>
        <w:trPr>
          <w:trHeight w:val="216"/>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8,408,017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8,365,360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8,147,742</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Dilutive potential shares from unvested restricted shares</w:t>
            </w:r>
          </w:p>
        </w:tc>
        <w:tc>
          <w:tcPr>
            <w:tcW w:w="26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182,010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252,280</w:t>
            </w: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8,463,239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8,547,370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8,400,022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2.45</w:t>
            </w:r>
          </w:p>
        </w:tc>
      </w:tr>
      <w:tr>
        <w:trPr>
          <w:trHeight w:val="243"/>
        </w:trPr>
        <w:tc>
          <w:tcPr>
            <w:tcW w:w="74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12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As discussed in Note 2 “Summary of Significant Accounting Policies,” the CTFs and Private Funds (together the “Westwood VIEs”) are considered VIEs, and the Westwood Funds®, UCITS Fund and the Private Equity are considered VOEs (together the “Westwood VOEs”). We receive fees for managing assets in these entities commensurate with market rates. As of December 31, 2019 and 2018, we evaluated all of the Westwood VIEs and Westwood VOEs to determine whether or not we should consolidate the entities into our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For the Westwood VOEs, we evaluated whether or not we own a controlling financial interest in the entities. Based on our analyses, we have not consolidated the Westwood VIEs or Westwood VOEs into our Consolidated Financial Statements for the years ended December 31, 2019 or 2018.</w:t>
      </w:r>
    </w:p>
    <w:p>
      <w:pPr>
        <w:spacing w:after="0" w:line="5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As of December 31, 2019 and 2018, the Company had seed investments totaling $6.4 million and $6.1 million, respectively, in the Westwood Funds®. These seed investments were provided for the sole purpose of showing economic substance needed to establish the funds or sub-funds. The Company's seed investments in these funds are included in “Investments, at fair value” on our Consolidated Balance Sheets.</w:t>
      </w:r>
    </w:p>
    <w:p>
      <w:pPr>
        <w:spacing w:after="0" w:line="57"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3 “Investments.” We recognized fee revenue from the Westwood VIEs and Westwood VOEs of approximately $31.0 million, $46.1 million and $51.9 million for the twelve months ended December 31, 2019, 2018 and 2017, respectively.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the AUM, the amount of our seed investments that are included in “Investments” and “Investments, at fair value”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and the financial risk of loss in each vehicle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As of December 31, 2019</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4"/>
              </w:rPr>
              <w:t>Corporate</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Under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93"/>
              </w:rPr>
              <w:t>Amount at Risk</w:t>
            </w:r>
          </w:p>
        </w:tc>
        <w:tc>
          <w:tcPr>
            <w:tcW w:w="0" w:type="dxa"/>
            <w:vAlign w:val="bottom"/>
          </w:tcPr>
          <w:p>
            <w:pPr>
              <w:spacing w:after="0"/>
              <w:rPr>
                <w:sz w:val="1"/>
                <w:szCs w:val="1"/>
                <w:color w:val="auto"/>
              </w:rPr>
            </w:pPr>
          </w:p>
        </w:tc>
      </w:tr>
      <w:tr>
        <w:trPr>
          <w:trHeight w:val="213"/>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Management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Investment</w:t>
            </w: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VIEs/VOEs: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Westwood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Trust Funds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UCITS Fund</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Private Funds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All other assets: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Wealth Management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Institutional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AUM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Some of our directors, executive officers and their affiliates invest personal funds directly in trust accounts that we manage. At both December 31, 2019 and 2018 there was approximately $0.1 million in fees due from these accounts. For each of the years ended December 31, 2019, 2018 and 2017, we recorded trust fees from these accounts of $0.4 million.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Company engages in transactions with its affiliates as part of its operations. Westwood International Advisors and Westwood Management provide investment advisory services to the UCITS Fund and the Westwood Funds®. Certain members of our management serve on the board of directors of the UCITS Fund, and we have capital invested in three of the Westwood Funds®. Under the terms of the investment advisory agreements, the Company earns fees paid by either clients of the fund or directly by the funds. The fees are based on negotiated fee schedules applied to AUM. For the years ended December 31, 2019, 2018 and 2017, we recorded fees from the affiliated Funds of $2.8 million, $4.2 million and $4.0 million, respectively, which are included in “Asset-based advisory fees” on our Consolidated Statement of Comprehensive Income. As of December 31, 2019 and 2018, $0.2 million and $0.3 million of these fees were unpaid and included in “Accounts receivable” on our Consolidated Balance Sheets, respectively</w:t>
      </w:r>
      <w:r>
        <w:rPr>
          <w:rFonts w:ascii="Arial" w:cs="Arial" w:eastAsia="Arial" w:hAnsi="Arial"/>
          <w:sz w:val="16"/>
          <w:szCs w:val="16"/>
          <w:color w:val="222222"/>
        </w:rPr>
        <w: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Payments due in: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Less than 1 year</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1-3 years</w:t>
            </w: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4-5 years</w:t>
            </w:r>
          </w:p>
        </w:tc>
        <w:tc>
          <w:tcPr>
            <w:tcW w:w="240" w:type="dxa"/>
            <w:vAlign w:val="bottom"/>
          </w:tcPr>
          <w:p>
            <w:pPr>
              <w:spacing w:after="0"/>
              <w:rPr>
                <w:sz w:val="18"/>
                <w:szCs w:val="18"/>
                <w:color w:val="auto"/>
              </w:rPr>
            </w:pPr>
          </w:p>
        </w:tc>
        <w:tc>
          <w:tcPr>
            <w:tcW w:w="1280" w:type="dxa"/>
            <w:vAlign w:val="bottom"/>
          </w:tcPr>
          <w:p>
            <w:pPr>
              <w:jc w:val="right"/>
              <w:ind w:right="314"/>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3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11,018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4,394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524</w:t>
            </w:r>
          </w:p>
        </w:tc>
      </w:tr>
      <w:tr>
        <w:trPr>
          <w:trHeight w:val="27"/>
        </w:trPr>
        <w:tc>
          <w:tcPr>
            <w:tcW w:w="3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August 3, 2012, AGF Management Limited and AGF Investments Inc. (together “AGF”) filed a lawsuit in the Ontario Superior Court of Justice against Westwood, certain Westwood employees and the executive recruiting firm of Warren International, LLC (“Warren”). The action related to the hiring of certain members of Westwood’s emerging markets investment team previously employed by AGF. On November 5, 2012, Westwood responded to AGF’s lawsuit with a counterclaim against AGF, and on November 6, 2012, AGF filed a second lawsuit against Westwood, Westwood Management and an employee of a Westwood subsidiary.</w:t>
      </w:r>
    </w:p>
    <w:p>
      <w:pPr>
        <w:spacing w:after="0" w:line="80" w:lineRule="exact"/>
        <w:rPr>
          <w:sz w:val="20"/>
          <w:szCs w:val="20"/>
          <w:color w:val="auto"/>
        </w:rPr>
      </w:pPr>
    </w:p>
    <w:p>
      <w:pPr>
        <w:ind w:right="240" w:firstLine="486"/>
        <w:spacing w:after="0" w:line="297" w:lineRule="auto"/>
        <w:rPr>
          <w:sz w:val="20"/>
          <w:szCs w:val="20"/>
          <w:color w:val="auto"/>
        </w:rPr>
      </w:pPr>
      <w:r>
        <w:rPr>
          <w:rFonts w:ascii="Arial" w:cs="Arial" w:eastAsia="Arial" w:hAnsi="Arial"/>
          <w:sz w:val="16"/>
          <w:szCs w:val="16"/>
          <w:color w:val="auto"/>
        </w:rPr>
        <w:t>On October 13, 2017, we reached a settlement with AGF that provided for the dismissal of all claims, with prejudice and without any admission of liability. We agreed to pay AGF a one-time payment of $10 million CDN, half of which was covered by our insurance. We recorded a net $4.0 million ($5 million CDN) charge related to the settlement and associated insurance coverage, with a $4.0 million ($5 million CDN) receivable from our insurance provider included in “Other current assets” on our Consolidated Balance Sheets at December 31, 2017. We received the insurance proceeds of $4.0 million during 2018 and had no receivable related to the settlement on our Consolidated Balance Sheets as of December 31, 2019 and 2018.</w:t>
      </w:r>
    </w:p>
    <w:p>
      <w:pPr>
        <w:spacing w:after="0" w:line="50" w:lineRule="exact"/>
        <w:rPr>
          <w:sz w:val="20"/>
          <w:szCs w:val="20"/>
          <w:color w:val="auto"/>
        </w:rPr>
      </w:pPr>
    </w:p>
    <w:p>
      <w:pPr>
        <w:ind w:right="200" w:firstLine="486"/>
        <w:spacing w:after="0" w:line="312" w:lineRule="auto"/>
        <w:rPr>
          <w:sz w:val="20"/>
          <w:szCs w:val="20"/>
          <w:color w:val="auto"/>
        </w:rPr>
      </w:pPr>
      <w:r>
        <w:rPr>
          <w:rFonts w:ascii="Arial" w:cs="Arial" w:eastAsia="Arial" w:hAnsi="Arial"/>
          <w:sz w:val="16"/>
          <w:szCs w:val="16"/>
          <w:color w:val="auto"/>
        </w:rPr>
        <w:t>Our policy is to not accrue legal fees and directly related costs as part of potential loss contingencies. Our Directors &amp; Officers insurance provider covered 50% of the defense costs related to both AGF claims, excluding Westwood’s counterclaim against AGF. We expense legal fees and directly-related costs as incurred. We received insurance proceeds of $0.2 million and $0.3 million during 2018 and 2017, respectively, and had no receivable at year-end.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have operating leases for corporate offices and certain office equipment. The lease terms of our corporate offices vary and have remaining lease terms ranging from one to seven years. The corporate office lease payments are fixed and are based upon contractual monthly rates. The majority of our corporate office leases do not include options to extend or terminate the leases. We lease office equipment for a period of two years. We analyzed our weighted average discount rate during the calculation of our lease liability and reviewed the corporate debt environment in 2019 to determine a collateralized discount rate of 5%. We have not entered into any new operating leases since the determination to use a 5% discount rate. In June 2019, we entered into a sublease agreement for a portion of our corporate office. The sublease agreement has a term of seven years, and the sublease income is included in "Other income" on our Consolidated Statements of Comprehensive Income.</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components of lease costs related to our leases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6"/>
          </w:tcPr>
          <w:p>
            <w:pPr>
              <w:jc w:val="right"/>
              <w:ind w:right="10"/>
              <w:spacing w:after="0"/>
              <w:rPr>
                <w:sz w:val="20"/>
                <w:szCs w:val="20"/>
                <w:color w:val="auto"/>
              </w:rPr>
            </w:pPr>
            <w:r>
              <w:rPr>
                <w:rFonts w:ascii="Arial" w:cs="Arial" w:eastAsia="Arial" w:hAnsi="Arial"/>
                <w:sz w:val="16"/>
                <w:szCs w:val="16"/>
                <w:b w:val="1"/>
                <w:bCs w:val="1"/>
                <w:color w:val="auto"/>
              </w:rPr>
              <w:t>Years Ended December 31,</w:t>
            </w:r>
          </w:p>
        </w:tc>
        <w:tc>
          <w:tcPr>
            <w:tcW w:w="860" w:type="dxa"/>
            <w:vAlign w:val="bottom"/>
          </w:tcPr>
          <w:p>
            <w:pPr>
              <w:spacing w:after="0"/>
              <w:rPr>
                <w:sz w:val="18"/>
                <w:szCs w:val="18"/>
                <w:color w:val="auto"/>
              </w:rPr>
            </w:pPr>
          </w:p>
        </w:tc>
      </w:tr>
      <w:tr>
        <w:trPr>
          <w:trHeight w:val="33"/>
        </w:trPr>
        <w:tc>
          <w:tcPr>
            <w:tcW w:w="7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7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r>
      <w:tr>
        <w:trPr>
          <w:trHeight w:val="33"/>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1,583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8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supplemental cash flow information related to our leases (amounts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10"/>
              <w:spacing w:after="0"/>
              <w:rPr>
                <w:sz w:val="20"/>
                <w:szCs w:val="20"/>
                <w:color w:val="auto"/>
              </w:rPr>
            </w:pPr>
            <w:r>
              <w:rPr>
                <w:rFonts w:ascii="Arial" w:cs="Arial" w:eastAsia="Arial" w:hAnsi="Arial"/>
                <w:sz w:val="16"/>
                <w:szCs w:val="16"/>
                <w:b w:val="1"/>
                <w:bCs w:val="1"/>
                <w:color w:val="auto"/>
              </w:rPr>
              <w:t>Years Ended December 31,</w:t>
            </w:r>
          </w:p>
        </w:tc>
        <w:tc>
          <w:tcPr>
            <w:tcW w:w="86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1,860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Operating lease costs are included in "General and administrative" expense on our Consolidated Statements of Comprehensive Income. We lease our offices under non-cancelable operating lease agreements with expiration dates that run through 2026.</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regarding our operating leases (in thousands, except years and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33"/>
        </w:trPr>
        <w:tc>
          <w:tcPr>
            <w:tcW w:w="8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91"/>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7,562</w:t>
            </w:r>
          </w:p>
        </w:tc>
        <w:tc>
          <w:tcPr>
            <w:tcW w:w="7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8,698</w:t>
            </w:r>
          </w:p>
        </w:tc>
      </w:tr>
      <w:tr>
        <w:trPr>
          <w:trHeight w:val="270"/>
        </w:trPr>
        <w:tc>
          <w:tcPr>
            <w:tcW w:w="8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w:t>
            </w:r>
          </w:p>
        </w:tc>
        <w:tc>
          <w:tcPr>
            <w:tcW w:w="7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1,432</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Non-current lease liabilities</w:t>
            </w:r>
          </w:p>
        </w:tc>
        <w:tc>
          <w:tcPr>
            <w:tcW w:w="2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7,762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9,331</w:t>
            </w:r>
          </w:p>
        </w:tc>
      </w:tr>
      <w:tr>
        <w:trPr>
          <w:trHeight w:val="27"/>
        </w:trPr>
        <w:tc>
          <w:tcPr>
            <w:tcW w:w="8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9,346</w:t>
            </w:r>
          </w:p>
        </w:tc>
        <w:tc>
          <w:tcPr>
            <w:tcW w:w="7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10,763</w:t>
            </w:r>
          </w:p>
        </w:tc>
      </w:tr>
      <w:tr>
        <w:trPr>
          <w:trHeight w:val="270"/>
        </w:trPr>
        <w:tc>
          <w:tcPr>
            <w:tcW w:w="8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702"/>
        </w:trPr>
        <w:tc>
          <w:tcPr>
            <w:tcW w:w="8760" w:type="dxa"/>
            <w:vAlign w:val="bottom"/>
          </w:tcPr>
          <w:p>
            <w:pPr>
              <w:ind w:left="500"/>
              <w:spacing w:after="0"/>
              <w:rPr>
                <w:sz w:val="20"/>
                <w:szCs w:val="20"/>
                <w:color w:val="auto"/>
              </w:rPr>
            </w:pPr>
            <w:r>
              <w:rPr>
                <w:rFonts w:ascii="Arial" w:cs="Arial" w:eastAsia="Arial" w:hAnsi="Arial"/>
                <w:sz w:val="18"/>
                <w:szCs w:val="18"/>
                <w:color w:val="auto"/>
              </w:rPr>
              <w:t>The maturities of lease liabilities are as follows (in thousands):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29"/>
        </w:trPr>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3"/>
              </w:rPr>
              <w:t>Operating Leases</w:t>
            </w:r>
          </w:p>
        </w:tc>
      </w:tr>
      <w:tr>
        <w:trPr>
          <w:trHeight w:val="27"/>
        </w:trPr>
        <w:tc>
          <w:tcPr>
            <w:tcW w:w="8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2,117</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2,081</w:t>
            </w: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1,717</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1,719</w:t>
            </w: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1,550</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1,853</w:t>
            </w:r>
          </w:p>
        </w:tc>
      </w:tr>
      <w:tr>
        <w:trPr>
          <w:trHeight w:val="27"/>
        </w:trPr>
        <w:tc>
          <w:tcPr>
            <w:tcW w:w="8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undiscounted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11,037</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Less: discount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(1,691)</w:t>
            </w:r>
          </w:p>
        </w:tc>
      </w:tr>
      <w:tr>
        <w:trPr>
          <w:trHeight w:val="27"/>
        </w:trPr>
        <w:tc>
          <w:tcPr>
            <w:tcW w:w="8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4"/>
        </w:trPr>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2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9,346</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121"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Advisory segment provides investment advisory services to corporate retirement plans, public retirement plans, endowments, foundations, individuals, the Westwood Funds®, and the UCITS Fund, as well as investment subadvisory services to mutual funds and our Trust segment. Westwood Management Corp. and Westwood International Advisors, which provide investment advisory services to clients of similar type, are included in our Advisory segment, along with Westwood Advisors, L.L.C.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Westwood Trust provides trust and custodial services and participation in common trust funds that it sponsors to institutions and high net worth individuals. Westwood Trust is included in our Trust segment.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Advisory</w:t>
            </w: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Trust</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Westwood</w:t>
            </w:r>
          </w:p>
        </w:tc>
        <w:tc>
          <w:tcPr>
            <w:tcW w:w="16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8"/>
        </w:trPr>
        <w:tc>
          <w:tcPr>
            <w:tcW w:w="4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Holdings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fee revenues from external sources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57,797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83,280</w:t>
            </w:r>
          </w:p>
        </w:tc>
        <w:tc>
          <w:tcPr>
            <w:tcW w:w="0" w:type="dxa"/>
            <w:vAlign w:val="bottom"/>
          </w:tcPr>
          <w:p>
            <w:pPr>
              <w:spacing w:after="0"/>
              <w:rPr>
                <w:sz w:val="1"/>
                <w:szCs w:val="1"/>
                <w:color w:val="auto"/>
              </w:rPr>
            </w:pPr>
          </w:p>
        </w:tc>
      </w:tr>
      <w:tr>
        <w:trPr>
          <w:trHeight w:val="224"/>
        </w:trPr>
        <w:tc>
          <w:tcPr>
            <w:tcW w:w="4920" w:type="dxa"/>
            <w:vAlign w:val="bottom"/>
          </w:tcPr>
          <w:p>
            <w:pPr>
              <w:ind w:left="340"/>
              <w:spacing w:after="0"/>
              <w:rPr>
                <w:sz w:val="20"/>
                <w:szCs w:val="20"/>
                <w:color w:val="auto"/>
              </w:rPr>
            </w:pPr>
            <w:r>
              <w:rPr>
                <w:rFonts w:ascii="Arial" w:cs="Arial" w:eastAsia="Arial" w:hAnsi="Arial"/>
                <w:sz w:val="16"/>
                <w:szCs w:val="16"/>
                <w:color w:val="auto"/>
              </w:rPr>
              <w:t>Net intersegment revenues</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interest and dividend revenue</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24"/>
        </w:trPr>
        <w:tc>
          <w:tcPr>
            <w:tcW w:w="4920" w:type="dxa"/>
            <w:vAlign w:val="bottom"/>
          </w:tcPr>
          <w:p>
            <w:pPr>
              <w:ind w:left="340"/>
              <w:spacing w:after="0"/>
              <w:rPr>
                <w:sz w:val="20"/>
                <w:szCs w:val="20"/>
                <w:color w:val="auto"/>
              </w:rPr>
            </w:pPr>
            <w:r>
              <w:rPr>
                <w:rFonts w:ascii="Arial" w:cs="Arial" w:eastAsia="Arial" w:hAnsi="Arial"/>
                <w:sz w:val="16"/>
                <w:szCs w:val="16"/>
                <w:color w:val="auto"/>
              </w:rPr>
              <w:t>Other revenue</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62,053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84,079</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224"/>
        </w:trPr>
        <w:tc>
          <w:tcPr>
            <w:tcW w:w="4920" w:type="dxa"/>
            <w:vAlign w:val="bottom"/>
          </w:tcPr>
          <w:p>
            <w:pPr>
              <w:ind w:left="34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46,235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14,597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76,811</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46,546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79,435</w:t>
            </w:r>
          </w:p>
        </w:tc>
        <w:tc>
          <w:tcPr>
            <w:tcW w:w="0" w:type="dxa"/>
            <w:vAlign w:val="bottom"/>
          </w:tcPr>
          <w:p>
            <w:pPr>
              <w:spacing w:after="0"/>
              <w:rPr>
                <w:sz w:val="1"/>
                <w:szCs w:val="1"/>
                <w:color w:val="auto"/>
              </w:rPr>
            </w:pPr>
          </w:p>
        </w:tc>
      </w:tr>
      <w:tr>
        <w:trPr>
          <w:trHeight w:val="224"/>
        </w:trPr>
        <w:tc>
          <w:tcPr>
            <w:tcW w:w="4920" w:type="dxa"/>
            <w:vAlign w:val="bottom"/>
          </w:tcPr>
          <w:p>
            <w:pPr>
              <w:ind w:left="340"/>
              <w:spacing w:after="0"/>
              <w:rPr>
                <w:sz w:val="20"/>
                <w:szCs w:val="20"/>
                <w:color w:val="auto"/>
              </w:rPr>
            </w:pPr>
            <w:r>
              <w:rPr>
                <w:rFonts w:ascii="Arial" w:cs="Arial" w:eastAsia="Arial" w:hAnsi="Arial"/>
                <w:sz w:val="16"/>
                <w:szCs w:val="16"/>
                <w:color w:val="auto"/>
              </w:rPr>
              <w:t>Unrealized gains on private investments</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3,296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Investment income</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24"/>
        </w:trPr>
        <w:tc>
          <w:tcPr>
            <w:tcW w:w="4920" w:type="dxa"/>
            <w:vAlign w:val="bottom"/>
          </w:tcPr>
          <w:p>
            <w:pPr>
              <w:ind w:left="34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9,402</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4,308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5,911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Add: Stock-based compensation expense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20" w:type="dxa"/>
            <w:vAlign w:val="bottom"/>
            <w:vMerge w:val="continue"/>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5,362</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3,356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10,305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Intangible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24"/>
        </w:trPr>
        <w:tc>
          <w:tcPr>
            <w:tcW w:w="4920" w:type="dxa"/>
            <w:vAlign w:val="bottom"/>
          </w:tcPr>
          <w:p>
            <w:pPr>
              <w:ind w:left="460"/>
              <w:spacing w:after="0"/>
              <w:rPr>
                <w:sz w:val="20"/>
                <w:szCs w:val="20"/>
                <w:color w:val="auto"/>
              </w:rPr>
            </w:pPr>
            <w:r>
              <w:rPr>
                <w:rFonts w:ascii="Arial" w:cs="Arial" w:eastAsia="Arial" w:hAnsi="Arial"/>
                <w:sz w:val="16"/>
                <w:szCs w:val="16"/>
                <w:color w:val="auto"/>
              </w:rPr>
              <w:t>Deferred taxes on goodwill</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Economic Earnings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18,179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242,854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51,274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(140,153)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178,707</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Segment 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16,401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Expenditures for long-lived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2018</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fee revenues from external sources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92,351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28,953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121,304</w:t>
            </w:r>
          </w:p>
        </w:tc>
        <w:tc>
          <w:tcPr>
            <w:tcW w:w="0" w:type="dxa"/>
            <w:vAlign w:val="bottom"/>
          </w:tcPr>
          <w:p>
            <w:pPr>
              <w:spacing w:after="0"/>
              <w:rPr>
                <w:sz w:val="1"/>
                <w:szCs w:val="1"/>
                <w:color w:val="auto"/>
              </w:rPr>
            </w:pPr>
          </w:p>
        </w:tc>
      </w:tr>
      <w:tr>
        <w:trPr>
          <w:trHeight w:val="224"/>
        </w:trPr>
        <w:tc>
          <w:tcPr>
            <w:tcW w:w="4920" w:type="dxa"/>
            <w:vAlign w:val="bottom"/>
          </w:tcPr>
          <w:p>
            <w:pPr>
              <w:ind w:left="340"/>
              <w:spacing w:after="0"/>
              <w:rPr>
                <w:sz w:val="20"/>
                <w:szCs w:val="20"/>
                <w:color w:val="auto"/>
              </w:rPr>
            </w:pPr>
            <w:r>
              <w:rPr>
                <w:rFonts w:ascii="Arial" w:cs="Arial" w:eastAsia="Arial" w:hAnsi="Arial"/>
                <w:sz w:val="16"/>
                <w:szCs w:val="16"/>
                <w:color w:val="auto"/>
              </w:rPr>
              <w:t>Net intersegment revenues</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6,973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interest and dividend revenue</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24"/>
        </w:trPr>
        <w:tc>
          <w:tcPr>
            <w:tcW w:w="4920" w:type="dxa"/>
            <w:vAlign w:val="bottom"/>
          </w:tcPr>
          <w:p>
            <w:pPr>
              <w:ind w:left="340"/>
              <w:spacing w:after="0"/>
              <w:rPr>
                <w:sz w:val="20"/>
                <w:szCs w:val="20"/>
                <w:color w:val="auto"/>
              </w:rPr>
            </w:pPr>
            <w:r>
              <w:rPr>
                <w:rFonts w:ascii="Arial" w:cs="Arial" w:eastAsia="Arial" w:hAnsi="Arial"/>
                <w:sz w:val="16"/>
                <w:szCs w:val="16"/>
                <w:color w:val="auto"/>
              </w:rPr>
              <w:t>Other revenue</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29,426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122,300</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224"/>
        </w:trPr>
        <w:tc>
          <w:tcPr>
            <w:tcW w:w="4920" w:type="dxa"/>
            <w:vAlign w:val="bottom"/>
          </w:tcPr>
          <w:p>
            <w:pPr>
              <w:ind w:left="34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48,970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16,597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83,823</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49,246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86,362</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6"/>
                <w:szCs w:val="16"/>
                <w:color w:val="auto"/>
              </w:rPr>
              <w:t>Gain (loss) on sale of operations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Advisory</w:t>
            </w: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Trust</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Westwood</w:t>
            </w:r>
          </w:p>
        </w:tc>
        <w:tc>
          <w:tcPr>
            <w:tcW w:w="16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8"/>
        </w:trPr>
        <w:tc>
          <w:tcPr>
            <w:tcW w:w="4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Holdings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50,838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36,462</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12,032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(2,893)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9,711</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26,751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Add: Stock-based compensation expense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20" w:type="dxa"/>
            <w:vAlign w:val="bottom"/>
            <w:vMerge w:val="continue"/>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8,673</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2,356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4,254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15,283</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Intangible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24"/>
        </w:trPr>
        <w:tc>
          <w:tcPr>
            <w:tcW w:w="4920" w:type="dxa"/>
            <w:vAlign w:val="bottom"/>
          </w:tcPr>
          <w:p>
            <w:pPr>
              <w:ind w:left="460"/>
              <w:spacing w:after="0"/>
              <w:rPr>
                <w:sz w:val="20"/>
                <w:szCs w:val="20"/>
                <w:color w:val="auto"/>
              </w:rPr>
            </w:pPr>
            <w:r>
              <w:rPr>
                <w:rFonts w:ascii="Arial" w:cs="Arial" w:eastAsia="Arial" w:hAnsi="Arial"/>
                <w:sz w:val="16"/>
                <w:szCs w:val="16"/>
                <w:color w:val="auto"/>
              </w:rPr>
              <w:t>Deferred taxes on goodwill</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Economic Earnings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47,574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43,943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230,565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64,196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19,240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199,183</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Segment goodwill</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Expenditures for long-lived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fee revenues from external sources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100,612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31,621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132,233</w:t>
            </w:r>
          </w:p>
        </w:tc>
        <w:tc>
          <w:tcPr>
            <w:tcW w:w="0" w:type="dxa"/>
            <w:vAlign w:val="bottom"/>
          </w:tcPr>
          <w:p>
            <w:pPr>
              <w:spacing w:after="0"/>
              <w:rPr>
                <w:sz w:val="1"/>
                <w:szCs w:val="1"/>
                <w:color w:val="auto"/>
              </w:rPr>
            </w:pPr>
          </w:p>
        </w:tc>
      </w:tr>
      <w:tr>
        <w:trPr>
          <w:trHeight w:val="224"/>
        </w:trPr>
        <w:tc>
          <w:tcPr>
            <w:tcW w:w="4920" w:type="dxa"/>
            <w:vAlign w:val="bottom"/>
          </w:tcPr>
          <w:p>
            <w:pPr>
              <w:ind w:left="220"/>
              <w:spacing w:after="0"/>
              <w:rPr>
                <w:sz w:val="20"/>
                <w:szCs w:val="20"/>
                <w:color w:val="auto"/>
              </w:rPr>
            </w:pPr>
            <w:r>
              <w:rPr>
                <w:rFonts w:ascii="Arial" w:cs="Arial" w:eastAsia="Arial" w:hAnsi="Arial"/>
                <w:sz w:val="16"/>
                <w:szCs w:val="16"/>
                <w:color w:val="auto"/>
              </w:rPr>
              <w:t>Net intersegment revenues</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interest and dividend revenue</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24"/>
        </w:trPr>
        <w:tc>
          <w:tcPr>
            <w:tcW w:w="4920" w:type="dxa"/>
            <w:vAlign w:val="bottom"/>
          </w:tcPr>
          <w:p>
            <w:pPr>
              <w:ind w:left="220"/>
              <w:spacing w:after="0"/>
              <w:rPr>
                <w:sz w:val="20"/>
                <w:szCs w:val="20"/>
                <w:color w:val="auto"/>
              </w:rPr>
            </w:pPr>
            <w:r>
              <w:rPr>
                <w:rFonts w:ascii="Arial" w:cs="Arial" w:eastAsia="Arial" w:hAnsi="Arial"/>
                <w:sz w:val="16"/>
                <w:szCs w:val="16"/>
                <w:color w:val="auto"/>
              </w:rPr>
              <w:t>Other revenue</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110,189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31,934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133,785</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24"/>
        </w:trPr>
        <w:tc>
          <w:tcPr>
            <w:tcW w:w="492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58,950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28,580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17,784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96,976</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99,892</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50,691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1,454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33,893</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13,904</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33,571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(15,083)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19,989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Stock-based compensation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16,430</w:t>
            </w:r>
          </w:p>
        </w:tc>
        <w:tc>
          <w:tcPr>
            <w:tcW w:w="0" w:type="dxa"/>
            <w:vAlign w:val="bottom"/>
          </w:tcPr>
          <w:p>
            <w:pPr>
              <w:spacing w:after="0"/>
              <w:rPr>
                <w:sz w:val="1"/>
                <w:szCs w:val="1"/>
                <w:color w:val="auto"/>
              </w:rPr>
            </w:pPr>
          </w:p>
        </w:tc>
      </w:tr>
      <w:tr>
        <w:trPr>
          <w:trHeight w:val="224"/>
        </w:trPr>
        <w:tc>
          <w:tcPr>
            <w:tcW w:w="4920" w:type="dxa"/>
            <w:vAlign w:val="bottom"/>
          </w:tcPr>
          <w:p>
            <w:pPr>
              <w:ind w:left="460"/>
              <w:spacing w:after="0"/>
              <w:rPr>
                <w:sz w:val="20"/>
                <w:szCs w:val="20"/>
                <w:color w:val="auto"/>
              </w:rPr>
            </w:pPr>
            <w:r>
              <w:rPr>
                <w:rFonts w:ascii="Arial" w:cs="Arial" w:eastAsia="Arial" w:hAnsi="Arial"/>
                <w:sz w:val="16"/>
                <w:szCs w:val="16"/>
                <w:color w:val="auto"/>
              </w:rPr>
              <w:t>Intangible amortization</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taxes on goodwill</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6"/>
                <w:szCs w:val="16"/>
                <w:color w:val="auto"/>
              </w:rPr>
              <w:t>Economic Earnings (Loss)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42,887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6,464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(10,434)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38,917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Segment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207,792</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69,174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18,437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(102,744)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192,659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goodwill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21,925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Expenditures for long-lived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provide a performance measure that we refer to as Economic Earnings. Our management and Board of Directors review Economic Earnings to evaluate our ongoing performance, allocate resources and determine our dividend policy. We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reconciliation of Net income to Economic Earnings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780" w:type="dxa"/>
            <w:vAlign w:val="bottom"/>
          </w:tcPr>
          <w:p>
            <w:pPr>
              <w:spacing w:after="0"/>
              <w:rPr>
                <w:sz w:val="18"/>
                <w:szCs w:val="18"/>
                <w:color w:val="auto"/>
              </w:rPr>
            </w:pPr>
          </w:p>
        </w:tc>
      </w:tr>
      <w:tr>
        <w:trPr>
          <w:trHeight w:val="47"/>
        </w:trPr>
        <w:tc>
          <w:tcPr>
            <w:tcW w:w="74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17"/>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75"/>
              <w:spacing w:after="0"/>
              <w:rPr>
                <w:sz w:val="20"/>
                <w:szCs w:val="20"/>
                <w:color w:val="auto"/>
              </w:rPr>
            </w:pPr>
            <w:r>
              <w:rPr>
                <w:rFonts w:ascii="Arial" w:cs="Arial" w:eastAsia="Arial" w:hAnsi="Arial"/>
                <w:sz w:val="16"/>
                <w:szCs w:val="16"/>
                <w:b w:val="1"/>
                <w:bCs w:val="1"/>
                <w:color w:val="auto"/>
                <w:w w:val="84"/>
              </w:rPr>
              <w:t>2017</w:t>
            </w:r>
          </w:p>
        </w:tc>
      </w:tr>
      <w:tr>
        <w:trPr>
          <w:trHeight w:val="33"/>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5,911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26,751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19,989</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10,305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15,283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16,430</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1,872</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28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237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626</w:t>
            </w:r>
          </w:p>
        </w:tc>
      </w:tr>
      <w:tr>
        <w:trPr>
          <w:trHeight w:val="27"/>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18,179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43,943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38,917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“Revenue” for our revenue disaggregated by our clients' geographical location.</w:t>
      </w:r>
    </w:p>
    <w:p>
      <w:pPr>
        <w:spacing w:after="0" w:line="77"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37465</wp:posOffset>
            </wp:positionV>
            <wp:extent cx="15608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Arial" w:cs="Arial" w:eastAsia="Arial" w:hAnsi="Arial"/>
                <w:sz w:val="16"/>
                <w:szCs w:val="16"/>
                <w:b w:val="1"/>
                <w:bCs w:val="1"/>
                <w:color w:val="auto"/>
              </w:rPr>
              <w:t>2018</w:t>
            </w:r>
          </w:p>
        </w:tc>
      </w:tr>
      <w:tr>
        <w:trPr>
          <w:trHeight w:val="33"/>
        </w:trPr>
        <w:tc>
          <w:tcPr>
            <w:tcW w:w="8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equipment, net, by geographic area: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960" w:type="dxa"/>
            <w:vAlign w:val="bottom"/>
          </w:tcPr>
          <w:p>
            <w:pPr>
              <w:ind w:left="460"/>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4,095</w:t>
            </w:r>
          </w:p>
        </w:tc>
        <w:tc>
          <w:tcPr>
            <w:tcW w:w="10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4,381</w:t>
            </w:r>
          </w:p>
        </w:tc>
      </w:tr>
      <w:tr>
        <w:trPr>
          <w:trHeight w:val="27"/>
        </w:trPr>
        <w:tc>
          <w:tcPr>
            <w:tcW w:w="8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73</w:t>
            </w:r>
          </w:p>
        </w:tc>
      </w:tr>
      <w:tr>
        <w:trPr>
          <w:trHeight w:val="244"/>
        </w:trPr>
        <w:tc>
          <w:tcPr>
            <w:tcW w:w="896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4,152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4,454</w:t>
            </w:r>
          </w:p>
        </w:tc>
      </w:tr>
      <w:tr>
        <w:trPr>
          <w:trHeight w:val="27"/>
        </w:trPr>
        <w:tc>
          <w:tcPr>
            <w:tcW w:w="8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CONCENTRATION:</w:t>
      </w:r>
    </w:p>
    <w:p>
      <w:pPr>
        <w:spacing w:after="0" w:line="12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For each of the years ended December 31, 2019, 2018 and 2017, our ten largest clients accounted for approximately 20% of our fee revenue. No single customer accounted for 10% or more of our fee revenues in any of these years. The following table presents advisory fee revenue received from our single largest client in each year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Years ended December 31,</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Advisory fees from our largest client: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40"/>
              <w:spacing w:after="0"/>
              <w:rPr>
                <w:sz w:val="20"/>
                <w:szCs w:val="20"/>
                <w:color w:val="auto"/>
              </w:rPr>
            </w:pPr>
            <w:r>
              <w:rPr>
                <w:rFonts w:ascii="Arial" w:cs="Arial" w:eastAsia="Arial" w:hAnsi="Arial"/>
                <w:sz w:val="18"/>
                <w:szCs w:val="18"/>
                <w:color w:val="auto"/>
              </w:rPr>
              <w:t>Asset-based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1,863</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1,868</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6,312</w:t>
            </w:r>
          </w:p>
        </w:tc>
        <w:tc>
          <w:tcPr>
            <w:tcW w:w="2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Performance-based fees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40"/>
              <w:spacing w:after="0"/>
              <w:rPr>
                <w:sz w:val="20"/>
                <w:szCs w:val="20"/>
                <w:color w:val="auto"/>
              </w:rPr>
            </w:pPr>
            <w:r>
              <w:rPr>
                <w:rFonts w:ascii="Arial" w:cs="Arial" w:eastAsia="Arial" w:hAnsi="Arial"/>
                <w:sz w:val="18"/>
                <w:szCs w:val="18"/>
                <w:color w:val="auto"/>
              </w:rPr>
              <w:t>Percent of fee revenue</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Declared</w:t>
      </w:r>
    </w:p>
    <w:p>
      <w:pPr>
        <w:spacing w:after="0" w:line="11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On February 5, 2020, the Board of Directors declared a quarterly cash dividend of $0.43 per share on common stock payable on April 1, 2020 to stockholders of record on March 6,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February 5, 2020, the Board of Directors authorized an additional $10.0 million of share repurchases under our share repurchase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117"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On February 21, 2020, we expect to issue approximately $6.7 million of restricted stock to employees, or approximately 242,000 shares based on the closing price of our stock on February 20, 2020. The shares are subject to vesting conditions described in Note 10 “Employee Benefits” of our Consolidated Financial Statements in this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12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is a summary of unaudited quarterly results of operations for the years ended December 31, 2019 and 2018 (in thousands, except per share amounts):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Quarter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w:t>
            </w:r>
          </w:p>
        </w:tc>
        <w:tc>
          <w:tcPr>
            <w:tcW w:w="2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Third</w:t>
            </w:r>
          </w:p>
        </w:tc>
        <w:tc>
          <w:tcPr>
            <w:tcW w:w="20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6"/>
                <w:szCs w:val="16"/>
                <w:b w:val="1"/>
                <w:bCs w:val="1"/>
                <w:color w:val="auto"/>
              </w:rPr>
              <w:t>Fourth</w:t>
            </w:r>
          </w:p>
        </w:tc>
      </w:tr>
      <w:tr>
        <w:trPr>
          <w:trHeight w:val="33"/>
        </w:trPr>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77"/>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7"/>
              <w:spacing w:after="0"/>
              <w:rPr>
                <w:sz w:val="20"/>
                <w:szCs w:val="20"/>
                <w:color w:val="auto"/>
              </w:rPr>
            </w:pPr>
            <w:r>
              <w:rPr>
                <w:rFonts w:ascii="Arial" w:cs="Arial" w:eastAsia="Arial" w:hAnsi="Arial"/>
                <w:sz w:val="16"/>
                <w:szCs w:val="16"/>
                <w:color w:val="auto"/>
              </w:rPr>
              <w:t>23,862</w:t>
            </w:r>
          </w:p>
        </w:tc>
        <w:tc>
          <w:tcPr>
            <w:tcW w:w="100" w:type="dxa"/>
            <w:vAlign w:val="bottom"/>
          </w:tcPr>
          <w:p>
            <w:pPr>
              <w:spacing w:after="0"/>
              <w:rPr>
                <w:sz w:val="21"/>
                <w:szCs w:val="21"/>
                <w:color w:val="auto"/>
              </w:rPr>
            </w:pPr>
          </w:p>
        </w:tc>
        <w:tc>
          <w:tcPr>
            <w:tcW w:w="200" w:type="dxa"/>
            <w:vAlign w:val="bottom"/>
          </w:tcPr>
          <w:p>
            <w:pPr>
              <w:jc w:val="right"/>
              <w:ind w:right="17"/>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7"/>
              <w:spacing w:after="0"/>
              <w:rPr>
                <w:sz w:val="20"/>
                <w:szCs w:val="20"/>
                <w:color w:val="auto"/>
              </w:rPr>
            </w:pPr>
            <w:r>
              <w:rPr>
                <w:rFonts w:ascii="Arial" w:cs="Arial" w:eastAsia="Arial" w:hAnsi="Arial"/>
                <w:sz w:val="16"/>
                <w:szCs w:val="16"/>
                <w:color w:val="auto"/>
              </w:rPr>
              <w:t>21,709</w:t>
            </w:r>
          </w:p>
        </w:tc>
        <w:tc>
          <w:tcPr>
            <w:tcW w:w="120" w:type="dxa"/>
            <w:vAlign w:val="bottom"/>
          </w:tcPr>
          <w:p>
            <w:pPr>
              <w:spacing w:after="0"/>
              <w:rPr>
                <w:sz w:val="21"/>
                <w:szCs w:val="21"/>
                <w:color w:val="auto"/>
              </w:rPr>
            </w:pPr>
          </w:p>
        </w:tc>
        <w:tc>
          <w:tcPr>
            <w:tcW w:w="280" w:type="dxa"/>
            <w:vAlign w:val="bottom"/>
          </w:tcPr>
          <w:p>
            <w:pPr>
              <w:jc w:val="right"/>
              <w:ind w:right="97"/>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7"/>
              <w:spacing w:after="0"/>
              <w:rPr>
                <w:sz w:val="20"/>
                <w:szCs w:val="20"/>
                <w:color w:val="auto"/>
              </w:rPr>
            </w:pPr>
            <w:r>
              <w:rPr>
                <w:rFonts w:ascii="Arial" w:cs="Arial" w:eastAsia="Arial" w:hAnsi="Arial"/>
                <w:sz w:val="16"/>
                <w:szCs w:val="16"/>
                <w:color w:val="auto"/>
              </w:rPr>
              <w:t>19,892</w:t>
            </w:r>
          </w:p>
        </w:tc>
        <w:tc>
          <w:tcPr>
            <w:tcW w:w="120" w:type="dxa"/>
            <w:vAlign w:val="bottom"/>
          </w:tcPr>
          <w:p>
            <w:pPr>
              <w:spacing w:after="0"/>
              <w:rPr>
                <w:sz w:val="21"/>
                <w:szCs w:val="21"/>
                <w:color w:val="auto"/>
              </w:rPr>
            </w:pPr>
          </w:p>
        </w:tc>
        <w:tc>
          <w:tcPr>
            <w:tcW w:w="200" w:type="dxa"/>
            <w:vAlign w:val="bottom"/>
          </w:tcPr>
          <w:p>
            <w:pPr>
              <w:jc w:val="right"/>
              <w:ind w:right="17"/>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7"/>
              <w:spacing w:after="0"/>
              <w:rPr>
                <w:sz w:val="20"/>
                <w:szCs w:val="20"/>
                <w:color w:val="auto"/>
              </w:rPr>
            </w:pPr>
            <w:r>
              <w:rPr>
                <w:rFonts w:ascii="Arial" w:cs="Arial" w:eastAsia="Arial" w:hAnsi="Arial"/>
                <w:sz w:val="16"/>
                <w:szCs w:val="16"/>
                <w:color w:val="auto"/>
              </w:rPr>
              <w:t>18,616</w:t>
            </w: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2,656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1,559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3,691</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860" w:type="dxa"/>
            <w:vAlign w:val="bottom"/>
          </w:tcPr>
          <w:p>
            <w:pPr>
              <w:jc w:val="right"/>
              <w:ind w:right="77"/>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6"/>
                <w:szCs w:val="16"/>
                <w:color w:val="auto"/>
              </w:rPr>
              <w:t>1,861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6"/>
                <w:szCs w:val="16"/>
                <w:color w:val="auto"/>
              </w:rPr>
              <w:t>2,541</w:t>
            </w: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0.30</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spacing w:after="0"/>
              <w:rPr>
                <w:sz w:val="21"/>
                <w:szCs w:val="21"/>
                <w:color w:val="auto"/>
              </w:rPr>
            </w:pPr>
          </w:p>
        </w:tc>
        <w:tc>
          <w:tcPr>
            <w:tcW w:w="860" w:type="dxa"/>
            <w:vAlign w:val="bottom"/>
          </w:tcPr>
          <w:p>
            <w:pPr>
              <w:jc w:val="right"/>
              <w:ind w:right="77"/>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6"/>
                <w:szCs w:val="16"/>
                <w:color w:val="auto"/>
              </w:rPr>
              <w:t>0.30</w:t>
            </w: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6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33,567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32,760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29,854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26,119</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860" w:type="dxa"/>
            <w:vAlign w:val="bottom"/>
          </w:tcPr>
          <w:p>
            <w:pPr>
              <w:jc w:val="right"/>
              <w:ind w:right="77"/>
              <w:spacing w:after="0"/>
              <w:rPr>
                <w:sz w:val="20"/>
                <w:szCs w:val="20"/>
                <w:color w:val="auto"/>
              </w:rPr>
            </w:pPr>
            <w:r>
              <w:rPr>
                <w:rFonts w:ascii="Arial" w:cs="Arial" w:eastAsia="Arial" w:hAnsi="Arial"/>
                <w:sz w:val="17"/>
                <w:szCs w:val="17"/>
                <w:color w:val="auto"/>
              </w:rPr>
              <w:t>10,487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7"/>
                <w:szCs w:val="17"/>
                <w:color w:val="auto"/>
              </w:rPr>
              <w:t>10,936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7,151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7"/>
              <w:spacing w:after="0"/>
              <w:rPr>
                <w:sz w:val="20"/>
                <w:szCs w:val="20"/>
                <w:color w:val="auto"/>
              </w:rPr>
            </w:pPr>
            <w:r>
              <w:rPr>
                <w:rFonts w:ascii="Arial" w:cs="Arial" w:eastAsia="Arial" w:hAnsi="Arial"/>
                <w:sz w:val="17"/>
                <w:szCs w:val="17"/>
                <w:color w:val="auto"/>
              </w:rPr>
              <w:t>7,888</w:t>
            </w: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7,978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7,992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5,368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5,413</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spacing w:after="0"/>
              <w:rPr>
                <w:sz w:val="21"/>
                <w:szCs w:val="21"/>
                <w:color w:val="auto"/>
              </w:rPr>
            </w:pPr>
          </w:p>
        </w:tc>
        <w:tc>
          <w:tcPr>
            <w:tcW w:w="860" w:type="dxa"/>
            <w:vAlign w:val="bottom"/>
          </w:tcPr>
          <w:p>
            <w:pPr>
              <w:jc w:val="right"/>
              <w:ind w:right="77"/>
              <w:spacing w:after="0"/>
              <w:rPr>
                <w:sz w:val="20"/>
                <w:szCs w:val="20"/>
                <w:color w:val="auto"/>
              </w:rPr>
            </w:pPr>
            <w:r>
              <w:rPr>
                <w:rFonts w:ascii="Arial" w:cs="Arial" w:eastAsia="Arial" w:hAnsi="Arial"/>
                <w:sz w:val="17"/>
                <w:szCs w:val="17"/>
                <w:color w:val="auto"/>
              </w:rPr>
              <w:t>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7"/>
                <w:szCs w:val="17"/>
                <w:color w:val="auto"/>
              </w:rPr>
              <w:t>0.95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0.64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7"/>
              <w:spacing w:after="0"/>
              <w:rPr>
                <w:sz w:val="20"/>
                <w:szCs w:val="20"/>
                <w:color w:val="auto"/>
              </w:rPr>
            </w:pPr>
            <w:r>
              <w:rPr>
                <w:rFonts w:ascii="Arial" w:cs="Arial" w:eastAsia="Arial" w:hAnsi="Arial"/>
                <w:sz w:val="17"/>
                <w:szCs w:val="17"/>
                <w:color w:val="auto"/>
              </w:rPr>
              <w:t>0.65</w:t>
            </w: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0.94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0.64</w:t>
            </w:r>
          </w:p>
        </w:tc>
      </w:tr>
      <w:tr>
        <w:trPr>
          <w:trHeight w:val="27"/>
        </w:trPr>
        <w:tc>
          <w:tcPr>
            <w:tcW w:w="6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line="35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46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46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Arial" w:cs="Arial" w:eastAsia="Arial" w:hAnsi="Arial"/>
          <w:sz w:val="18"/>
          <w:szCs w:val="18"/>
          <w:b w:val="1"/>
          <w:bCs w:val="1"/>
          <w:color w:val="auto"/>
        </w:rPr>
        <w:t>INDEX TO EXHIBITS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62687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0" w:lineRule="exact"/>
        <w:rPr>
          <w:sz w:val="20"/>
          <w:szCs w:val="20"/>
          <w:color w:val="auto"/>
        </w:rPr>
      </w:pPr>
    </w:p>
    <w:p>
      <w:pPr>
        <w:spacing w:after="0" w:line="264" w:lineRule="auto"/>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Securities Purchase Agreement by and among Westwood Holdings Group, Inc., McCarthy Group Advisors, LLC, MGA Holdings, LLC,</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and The Members of MGA Holdings, LLC (incorporated by reference from the Form 10-K filed with the SEC on February 28, 2013)</w:t>
        </w:r>
      </w:hyperlink>
    </w:p>
    <w:p>
      <w:pPr>
        <w:spacing w:after="0" w:line="1" w:lineRule="exact"/>
        <w:rPr>
          <w:sz w:val="20"/>
          <w:szCs w:val="20"/>
          <w:color w:val="auto"/>
        </w:rPr>
      </w:pPr>
    </w:p>
    <w:p>
      <w:pPr>
        <w:jc w:val="both"/>
        <w:ind w:right="60"/>
        <w:spacing w:after="0" w:line="237" w:lineRule="auto"/>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Reorganization Agreement and Agreement and Plan of Merger dated as of January 15, 2015 by and among Westwood Holdings Group,</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Inc., Westwood Trust, Woodway Financial Advisors, A Trust Company and the Shareholders of Woodway Financial Advisors, A Trust</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Company (incorporated by reference from the Form 8-K filed with the SEC on January 16, 2015)</w:t>
        </w:r>
      </w:hyperlink>
    </w:p>
    <w:p>
      <w:pPr>
        <w:spacing w:after="0" w:line="2" w:lineRule="exact"/>
        <w:rPr>
          <w:rFonts w:ascii="Arial" w:cs="Arial" w:eastAsia="Arial" w:hAnsi="Arial"/>
          <w:sz w:val="17"/>
          <w:szCs w:val="17"/>
          <w:u w:val="single" w:color="auto"/>
          <w:color w:val="0000FF"/>
        </w:rPr>
      </w:pPr>
    </w:p>
    <w:p>
      <w:pPr>
        <w:ind w:right="280"/>
        <w:spacing w:after="0" w:line="234"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Amended and Restated Certificate of Incorporation of Westwood Holdings Group, Inc. (incorporated by reference from Amendment</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No. 2 to Registration Statement on Form 10/A filed with the SEC on April 30, 2002)</w:t>
        </w:r>
      </w:hyperlink>
    </w:p>
    <w:p>
      <w:pPr>
        <w:spacing w:after="0" w:line="2" w:lineRule="exact"/>
        <w:rPr>
          <w:sz w:val="20"/>
          <w:szCs w:val="20"/>
          <w:color w:val="auto"/>
        </w:rPr>
      </w:pPr>
    </w:p>
    <w:p>
      <w:pPr>
        <w:ind w:right="60" w:firstLine="45"/>
        <w:spacing w:after="0" w:line="234"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First Amendment to Amended and Restated Certificate of Incorporation of Westwood Holdings Group, Inc. (incorporated by reference</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from the Form 8-K filed with the SEC on May 7, 2008)</w:t>
        </w:r>
      </w:hyperlink>
    </w:p>
    <w:p>
      <w:pPr>
        <w:spacing w:after="0" w:line="2" w:lineRule="exact"/>
        <w:rPr>
          <w:sz w:val="20"/>
          <w:szCs w:val="20"/>
          <w:color w:val="auto"/>
        </w:rPr>
      </w:pPr>
    </w:p>
    <w:p>
      <w:pPr>
        <w:ind w:right="620"/>
        <w:spacing w:after="0" w:line="234"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Second Amendment to Amended and Restated Certificate of Incorporation of Westwood Holdings Group, Inc. (incorporated by</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reference from the Schedule 14A filed with the SEC on March 20, 2017)</w:t>
        </w:r>
      </w:hyperlink>
    </w:p>
    <w:p>
      <w:pPr>
        <w:spacing w:after="0" w:line="2" w:lineRule="exact"/>
        <w:rPr>
          <w:sz w:val="20"/>
          <w:szCs w:val="20"/>
          <w:color w:val="auto"/>
        </w:rPr>
      </w:pPr>
    </w:p>
    <w:p>
      <w:pPr>
        <w:ind w:right="40"/>
        <w:spacing w:after="0" w:line="234"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Third Amendment to Amended and Restated Certificate of Incorporation of Westwood Holdings Group, Inc. (incorporated by reference</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from the Schedule 14A filed with the SEC on March 19, 2019).</w:t>
        </w:r>
      </w:hyperlink>
    </w:p>
    <w:p>
      <w:pPr>
        <w:spacing w:after="0" w:line="2" w:lineRule="exact"/>
        <w:rPr>
          <w:sz w:val="20"/>
          <w:szCs w:val="20"/>
          <w:color w:val="auto"/>
        </w:rPr>
      </w:pPr>
    </w:p>
    <w:p>
      <w:pPr>
        <w:ind w:right="20"/>
        <w:spacing w:after="0" w:line="234"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Amended and Restated Bylaws of Westwood Holdings Group, Inc. (incorporated by reference from the Form 8-K filed with the SEC on</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April 25, 2012)</w:t>
        </w:r>
      </w:hyperlink>
    </w:p>
    <w:p>
      <w:pPr>
        <w:spacing w:after="0" w:line="2" w:lineRule="exact"/>
        <w:rPr>
          <w:sz w:val="20"/>
          <w:szCs w:val="20"/>
          <w:color w:val="auto"/>
        </w:rPr>
      </w:pPr>
    </w:p>
    <w:p>
      <w:pPr>
        <w:ind w:right="200"/>
        <w:spacing w:after="0" w:line="234"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Amendment to Amended and Restated Bylaws of Westwood Holdings Group, Inc. (incorporated by reference from the Schedule 14A</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filed with the SEC on March 20, 2017)</w:t>
        </w:r>
      </w:hyperlink>
    </w:p>
    <w:p>
      <w:pPr>
        <w:spacing w:after="0" w:line="2" w:lineRule="exact"/>
        <w:rPr>
          <w:sz w:val="20"/>
          <w:szCs w:val="20"/>
          <w:color w:val="auto"/>
        </w:rPr>
      </w:pPr>
    </w:p>
    <w:p>
      <w:pPr>
        <w:ind w:right="680"/>
        <w:spacing w:after="0" w:line="234"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Second Amendment to Amended and Restated Bylaws of Westwood Holdings Group, Inc. (incorporated by reference from the</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Schedule 14A filed with the SEC on March 19, 2019)</w:t>
        </w:r>
      </w:hyperlink>
    </w:p>
    <w:p>
      <w:pPr>
        <w:spacing w:after="0" w:line="2" w:lineRule="exact"/>
        <w:rPr>
          <w:sz w:val="20"/>
          <w:szCs w:val="20"/>
          <w:color w:val="auto"/>
        </w:rPr>
      </w:pPr>
    </w:p>
    <w:p>
      <w:pPr>
        <w:ind w:right="740" w:firstLine="45"/>
        <w:spacing w:after="0" w:line="234"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Form of Common Stock Certificate of Westwood Holdings Group, Inc. (incorporated by reference from Amendment No. 2 to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Registration Statement on Form 10/A filed with the SEC on April 30, 2002)</w:t>
        </w:r>
      </w:hyperlink>
    </w:p>
    <w:p>
      <w:pPr>
        <w:spacing w:after="0" w:line="2" w:lineRule="exact"/>
        <w:rPr>
          <w:sz w:val="20"/>
          <w:szCs w:val="20"/>
          <w:color w:val="auto"/>
        </w:rPr>
      </w:pPr>
    </w:p>
    <w:p>
      <w:pPr>
        <w:ind w:right="140"/>
        <w:spacing w:after="0" w:line="234"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Sixth Amended and Restated Westwood Holdings Group, Inc. Stock Incentive Plan (incorporated by reference from the Schedule 14A</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filed with the SEC on March 19, 2019)</w:t>
        </w:r>
      </w:hyperlink>
    </w:p>
    <w:p>
      <w:pPr>
        <w:spacing w:after="0" w:line="2" w:lineRule="exact"/>
        <w:rPr>
          <w:sz w:val="20"/>
          <w:szCs w:val="20"/>
          <w:color w:val="auto"/>
        </w:rPr>
      </w:pPr>
    </w:p>
    <w:p>
      <w:pPr>
        <w:spacing w:after="0" w:line="234"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Tax Separation Agreement between SWS Group, Inc. and Westwood Holdings Group, Inc. (incorporated by reference from Amendment</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No. 5 to Registration Statement on Form 10/A filed with the SEC on June 6, 2002)</w:t>
        </w:r>
      </w:hyperlink>
    </w:p>
    <w:p>
      <w:pPr>
        <w:spacing w:after="0" w:line="2" w:lineRule="exact"/>
        <w:rPr>
          <w:sz w:val="20"/>
          <w:szCs w:val="20"/>
          <w:color w:val="auto"/>
        </w:rPr>
      </w:pPr>
    </w:p>
    <w:p>
      <w:pPr>
        <w:ind w:right="300"/>
        <w:spacing w:after="0" w:line="264" w:lineRule="auto"/>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Office Lease between Westwood Management Corp. and Crescent Real Estate Funding I, L.P., dated as of April 4, 1990, and</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amendment thereto (incorporated by reference from the Registration Statement on Form 10 filed with the SEC on February 8, 2002)</w:t>
        </w:r>
      </w:hyperlink>
    </w:p>
    <w:p>
      <w:pPr>
        <w:ind w:right="120"/>
        <w:spacing w:after="0" w:line="234"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Ninth Modification of Office Lease between Westwood Management Corp. and Crescent Real Estate Funding I, dated as of November</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25, 2003 (incorporated by reference from the Form 10-K filed with the SEC on February 27, 2004)</w:t>
        </w:r>
      </w:hyperlink>
    </w:p>
    <w:p>
      <w:pPr>
        <w:spacing w:after="0" w:line="2" w:lineRule="exact"/>
        <w:rPr>
          <w:sz w:val="20"/>
          <w:szCs w:val="20"/>
          <w:color w:val="auto"/>
        </w:rPr>
      </w:pPr>
    </w:p>
    <w:p>
      <w:pPr>
        <w:ind w:right="240"/>
        <w:spacing w:after="0" w:line="234"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Tenth Modification of Office Lease between Westwood Management Corp. and Crescent Real Estate Funding I, dated as of February</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23, 2004 (incorporated by reference from the Form 10-K filed with the SEC on February 27, 2004)</w:t>
        </w:r>
      </w:hyperlink>
    </w:p>
    <w:p>
      <w:pPr>
        <w:spacing w:after="0" w:line="2" w:lineRule="exact"/>
        <w:rPr>
          <w:sz w:val="20"/>
          <w:szCs w:val="20"/>
          <w:color w:val="auto"/>
        </w:rPr>
      </w:pPr>
    </w:p>
    <w:p>
      <w:pPr>
        <w:ind w:right="700"/>
        <w:spacing w:after="0" w:line="248" w:lineRule="auto"/>
        <w:rPr>
          <w:rFonts w:ascii="Arial" w:cs="Arial" w:eastAsia="Arial" w:hAnsi="Arial"/>
          <w:sz w:val="17"/>
          <w:szCs w:val="17"/>
          <w:u w:val="single" w:color="auto"/>
          <w:color w:val="0000FF"/>
        </w:rPr>
      </w:pPr>
      <w:hyperlink r:id="rId127">
        <w:r>
          <w:rPr>
            <w:rFonts w:ascii="Arial" w:cs="Arial" w:eastAsia="Arial" w:hAnsi="Arial"/>
            <w:sz w:val="17"/>
            <w:szCs w:val="17"/>
            <w:u w:val="single" w:color="auto"/>
            <w:color w:val="0000FF"/>
          </w:rPr>
          <w:t>Eleventh Modification of Office Lease between Westwood Management Corp. and Crescent Real Estate Funding I, dated as of</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December 9, 2010 (incorporated by reference from the Form 10-K filed with the SEC on February 25, 2011)</w:t>
        </w:r>
      </w:hyperlink>
    </w:p>
    <w:p>
      <w:pPr>
        <w:spacing w:after="0" w:line="1" w:lineRule="exact"/>
        <w:rPr>
          <w:sz w:val="20"/>
          <w:szCs w:val="20"/>
          <w:color w:val="auto"/>
        </w:rPr>
      </w:pPr>
    </w:p>
    <w:p>
      <w:pPr>
        <w:ind w:right="340"/>
        <w:spacing w:after="0" w:line="234" w:lineRule="auto"/>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Twelfth Modification of Office Lease between Westwood Management Corp. and Crescent TC Investors LP, dated as of August 17,</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2012 (incorporated by reference from the Form 10-K filed with the SEC on February 28, 2013)</w:t>
        </w:r>
      </w:hyperlink>
    </w:p>
    <w:p>
      <w:pPr>
        <w:spacing w:after="0" w:line="2" w:lineRule="exact"/>
        <w:rPr>
          <w:sz w:val="20"/>
          <w:szCs w:val="20"/>
          <w:color w:val="auto"/>
        </w:rPr>
      </w:pPr>
    </w:p>
    <w:p>
      <w:pPr>
        <w:ind w:right="180"/>
        <w:spacing w:after="0" w:line="234" w:lineRule="auto"/>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Thirteenth Modification of Office Lease between Westwood Management Corp. and Crescent TC Investors LP, dated as of October 9,</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2014 (incorporated by reference from the Form 10-K filed with the SEC on February 25,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1270</wp:posOffset>
            </wp:positionV>
            <wp:extent cx="62687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840" w:space="680"/>
            <w:col w:w="9820"/>
          </w:cols>
          <w:pgMar w:left="260" w:top="891" w:right="299" w:bottom="1440" w:gutter="0" w:footer="0" w:header="0"/>
        </w:sectPr>
      </w:pPr>
    </w:p>
    <w:bookmarkStart w:id="77" w:name="page78"/>
    <w:bookmarkEnd w:id="77"/>
    <w:p>
      <w:pPr>
        <w:ind w:left="340"/>
        <w:spacing w:after="0"/>
        <w:rPr>
          <w:sz w:val="20"/>
          <w:szCs w:val="20"/>
          <w:color w:val="auto"/>
        </w:rPr>
      </w:pPr>
      <w:r>
        <w:rPr>
          <w:rFonts w:ascii="Arial" w:cs="Arial" w:eastAsia="Arial" w:hAnsi="Arial"/>
          <w:sz w:val="14"/>
          <w:szCs w:val="14"/>
          <w:b w:val="1"/>
          <w:bCs w:val="1"/>
          <w:color w:val="auto"/>
        </w:rPr>
        <w:t>Exhibit</w:t>
      </w: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46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461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62687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0"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Fourteenth Modification of Office Lease between Westwood Management Corp. and Crescent TC Investors LP, dated as of February 5,</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2015 (incorporated by reference from the Form 10-K filed with the SEC on February 25, 2016)</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Fifteenth Modification of Office Lease between Westwood Management Corp. and Crescent TC Investors LP, dated as of July 30, 2015</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(incorporated by reference from the Form 10-K filed with the SEC on February 25, 2016)</w:t>
        </w:r>
      </w:hyperlink>
    </w:p>
    <w:p>
      <w:pPr>
        <w:spacing w:after="0" w:line="2" w:lineRule="exact"/>
        <w:rPr>
          <w:sz w:val="20"/>
          <w:szCs w:val="20"/>
          <w:color w:val="auto"/>
        </w:rPr>
      </w:pPr>
    </w:p>
    <w:p>
      <w:pPr>
        <w:ind w:right="120"/>
        <w:spacing w:after="0" w:line="234"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Sixteenth Modification of Office Lease between Westwood Management Corp. and Crescent TC Investors LP, dated as of July 5, 2018</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(incorporated by reference from the Form 10-Q filed with the SEC on October 24, 2018)</w:t>
        </w:r>
      </w:hyperlink>
    </w:p>
    <w:p>
      <w:pPr>
        <w:spacing w:after="0" w:line="2" w:lineRule="exact"/>
        <w:rPr>
          <w:sz w:val="20"/>
          <w:szCs w:val="20"/>
          <w:color w:val="auto"/>
        </w:rPr>
      </w:pPr>
    </w:p>
    <w:p>
      <w:pPr>
        <w:ind w:right="60"/>
        <w:spacing w:after="0" w:line="264" w:lineRule="auto"/>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Software License and Support Agreement between Advent Software, Inc. and Westwood Management Corp., dated as of December 30,</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1996 (incorporated by reference from the Registration Statement on Form 10 filed with the SEC on February 8, 2002)</w:t>
        </w:r>
      </w:hyperlink>
    </w:p>
    <w:p>
      <w:pPr>
        <w:ind w:right="340"/>
        <w:spacing w:after="0" w:line="234" w:lineRule="auto"/>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Investment Sub-advisory Agreement between Teton Advisers, LLC and Westwood Management Corp., dated as of October 6, 1994</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(incorporated by reference from the Form 10-K filed with the SEC on February 28, 2013)</w:t>
        </w:r>
      </w:hyperlink>
    </w:p>
    <w:p>
      <w:pPr>
        <w:spacing w:after="0" w:line="2" w:lineRule="exact"/>
        <w:rPr>
          <w:sz w:val="20"/>
          <w:szCs w:val="20"/>
          <w:color w:val="auto"/>
        </w:rPr>
      </w:pPr>
    </w:p>
    <w:p>
      <w:pPr>
        <w:ind w:right="100"/>
        <w:spacing w:after="0" w:line="234" w:lineRule="auto"/>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Form of Indemnification Agreement for Westwood Holdings Group, Inc. (incorporated by reference from the Form 10-K filed with the</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SEC on February 27, 2004)</w:t>
        </w:r>
      </w:hyperlink>
    </w:p>
    <w:p>
      <w:pPr>
        <w:spacing w:after="0" w:line="2" w:lineRule="exact"/>
        <w:rPr>
          <w:sz w:val="20"/>
          <w:szCs w:val="20"/>
          <w:color w:val="auto"/>
        </w:rPr>
      </w:pPr>
    </w:p>
    <w:p>
      <w:pPr>
        <w:ind w:right="240"/>
        <w:spacing w:after="0" w:line="234"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Form of Indemnification Agreement for Westwood Management Corp. (incorporated by reference from the Form 10-K filed with the</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SEC on February 27, 2004)</w:t>
        </w:r>
      </w:hyperlink>
    </w:p>
    <w:p>
      <w:pPr>
        <w:spacing w:after="0" w:line="2" w:lineRule="exact"/>
        <w:rPr>
          <w:sz w:val="20"/>
          <w:szCs w:val="20"/>
          <w:color w:val="auto"/>
        </w:rPr>
      </w:pPr>
    </w:p>
    <w:p>
      <w:pPr>
        <w:ind w:right="660"/>
        <w:spacing w:after="0" w:line="234"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Form of Indemnification Agreement for Westwood Trust (incorporated by reference from the Form 10-K filed with the SEC on</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February 27, 2004)</w:t>
        </w:r>
      </w:hyperlink>
    </w:p>
    <w:p>
      <w:pPr>
        <w:spacing w:after="0" w:line="2" w:lineRule="exact"/>
        <w:rPr>
          <w:sz w:val="20"/>
          <w:szCs w:val="20"/>
          <w:color w:val="auto"/>
        </w:rPr>
      </w:pPr>
    </w:p>
    <w:p>
      <w:pPr>
        <w:ind w:right="200"/>
        <w:spacing w:after="0" w:line="234" w:lineRule="auto"/>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Executive Employment Agreement between Westwood Holdings Group, Inc. and Brian O. Casey (incorporated by reference from the</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Form 8-K filed with the SEC on December 18, 2015)</w:t>
        </w:r>
      </w:hyperlink>
    </w:p>
    <w:p>
      <w:pPr>
        <w:spacing w:after="0" w:line="2" w:lineRule="exact"/>
        <w:rPr>
          <w:sz w:val="20"/>
          <w:szCs w:val="20"/>
          <w:color w:val="auto"/>
        </w:rPr>
      </w:pPr>
    </w:p>
    <w:p>
      <w:pPr>
        <w:ind w:right="140"/>
        <w:spacing w:after="0" w:line="234"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Form of Performance Share Agreement between Westwood Holdings Group, Inc. and Brian O. Casey (incorporated by reference from</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the Form 8-K filed with the SEC on March 14, 2016)</w:t>
        </w:r>
      </w:hyperlink>
    </w:p>
    <w:p>
      <w:pPr>
        <w:spacing w:after="0" w:line="2" w:lineRule="exact"/>
        <w:rPr>
          <w:sz w:val="20"/>
          <w:szCs w:val="20"/>
          <w:color w:val="auto"/>
        </w:rPr>
      </w:pPr>
    </w:p>
    <w:p>
      <w:pPr>
        <w:ind w:right="240"/>
        <w:spacing w:after="0" w:line="234" w:lineRule="auto"/>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One-Time Performance Share Agreement, dated as of March 10, 2016, between Westwood Holdings Group, Inc. and Brian O. Casey</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(incorporated by reference from the Form 8-K filed with the SEC on March 14, 2016)</w:t>
        </w:r>
      </w:hyperlink>
    </w:p>
    <w:p>
      <w:pPr>
        <w:spacing w:after="0" w:line="2" w:lineRule="exact"/>
        <w:rPr>
          <w:sz w:val="20"/>
          <w:szCs w:val="20"/>
          <w:color w:val="auto"/>
        </w:rPr>
      </w:pPr>
    </w:p>
    <w:p>
      <w:pPr>
        <w:ind w:right="540"/>
        <w:spacing w:after="0" w:line="234" w:lineRule="auto"/>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Waiver of Certain Performance Shares Under the Performance Share Agreement, dated as of February 22, 2017 (incorporated by</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reference from the Form 8-K filed with the SEC on February 28, 2017)</w:t>
        </w:r>
      </w:hyperlink>
    </w:p>
    <w:p>
      <w:pPr>
        <w:spacing w:after="0" w:line="2" w:lineRule="exact"/>
        <w:rPr>
          <w:sz w:val="20"/>
          <w:szCs w:val="20"/>
          <w:color w:val="auto"/>
        </w:rPr>
      </w:pPr>
    </w:p>
    <w:p>
      <w:pPr>
        <w:ind w:right="240"/>
        <w:spacing w:after="0" w:line="234" w:lineRule="auto"/>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Executive Employment Agreement between Westwood Holdings Group, Inc. and Mark Freeman (incorporated by reference from the</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Form 8-K filed with the SEC on November 14, 2016)</w:t>
        </w:r>
      </w:hyperlink>
    </w:p>
    <w:p>
      <w:pPr>
        <w:spacing w:after="0" w:line="2" w:lineRule="exact"/>
        <w:rPr>
          <w:sz w:val="20"/>
          <w:szCs w:val="20"/>
          <w:color w:val="auto"/>
        </w:rPr>
      </w:pPr>
    </w:p>
    <w:p>
      <w:pPr>
        <w:spacing w:after="0" w:line="234"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Form of Mutual Fund Share Incentive Agreement, by and between Mark Freeman and Westwood Holdings Group, Inc. (incorporated by</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reference from the Form 8-K filed with the SEC on March 29, 2017)</w:t>
        </w:r>
      </w:hyperlink>
    </w:p>
    <w:p>
      <w:pPr>
        <w:spacing w:after="0" w:line="14" w:lineRule="exact"/>
        <w:rPr>
          <w:sz w:val="20"/>
          <w:szCs w:val="20"/>
          <w:color w:val="auto"/>
        </w:rPr>
      </w:pPr>
    </w:p>
    <w:p>
      <w:pPr>
        <w:spacing w:after="0"/>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Form of Performance Share Agreement (incorporated by reference from the Form 8-K filed with the SEC on March 10, 2017)</w:t>
        </w:r>
      </w:hyperlink>
    </w:p>
    <w:p>
      <w:pPr>
        <w:spacing w:after="0" w:line="61"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One-Time Performance Share Agreement, dated as of March 9, 2017, between Westwood Holdings Group, Inc. and Mark R. Freeman</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(incorporated by reference from the Form 8-K filed with the SEC on March 10, 2017)</w:t>
        </w:r>
      </w:hyperlink>
    </w:p>
    <w:p>
      <w:pPr>
        <w:spacing w:after="0" w:line="1" w:lineRule="exact"/>
        <w:rPr>
          <w:sz w:val="20"/>
          <w:szCs w:val="20"/>
          <w:color w:val="auto"/>
        </w:rPr>
      </w:pPr>
    </w:p>
    <w:p>
      <w:pPr>
        <w:ind w:right="380"/>
        <w:spacing w:after="0" w:line="234" w:lineRule="auto"/>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Share Award Plan of Westwood Holdings Group, Inc. for Service Provided in Canada to its Subsidiaries (incorporated by reference</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from the Registration Statement on Form S-8 filed with the SEC on April 18, 2013)</w:t>
        </w:r>
      </w:hyperlink>
    </w:p>
    <w:p>
      <w:pPr>
        <w:spacing w:after="0" w:line="2" w:lineRule="exact"/>
        <w:rPr>
          <w:sz w:val="20"/>
          <w:szCs w:val="20"/>
          <w:color w:val="auto"/>
        </w:rPr>
      </w:pPr>
    </w:p>
    <w:p>
      <w:pPr>
        <w:ind w:right="560"/>
        <w:spacing w:after="0" w:line="234" w:lineRule="auto"/>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Consulting Agreement, dated as of March 17, 2015, between Westwood Holdings Group, Inc. and Susan Byrne (incorporated by</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reference from the Form 10-Q filed with the SEC on July 29, 2015)</w:t>
        </w:r>
      </w:hyperlink>
    </w:p>
    <w:p>
      <w:pPr>
        <w:spacing w:after="0" w:line="2" w:lineRule="exact"/>
        <w:rPr>
          <w:sz w:val="20"/>
          <w:szCs w:val="20"/>
          <w:color w:val="auto"/>
        </w:rPr>
      </w:pPr>
    </w:p>
    <w:p>
      <w:pPr>
        <w:ind w:right="380"/>
        <w:spacing w:after="0" w:line="234" w:lineRule="auto"/>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Severance Agreement, dated as of February 9, 2018, between Westwood Holdings Group, Inc. and Fabian Gomez (incorporated by</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reference from the Form 8-K filed with the SEC on February 3, 2018)</w:t>
        </w:r>
      </w:hyperlink>
    </w:p>
    <w:p>
      <w:pPr>
        <w:spacing w:after="0" w:line="2" w:lineRule="exact"/>
        <w:rPr>
          <w:sz w:val="20"/>
          <w:szCs w:val="20"/>
          <w:color w:val="auto"/>
        </w:rPr>
      </w:pPr>
    </w:p>
    <w:p>
      <w:pPr>
        <w:ind w:right="220"/>
        <w:spacing w:after="0" w:line="234" w:lineRule="auto"/>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Exit Letter, dated June 27, 2018, between Westwood Holdings Group, Inc. and Mark R. Freeman (incorporated by reference from the</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Form 10-Q filed with the SEC on July 25,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1270</wp:posOffset>
            </wp:positionV>
            <wp:extent cx="62687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840" w:space="680"/>
            <w:col w:w="9820"/>
          </w:cols>
          <w:pgMar w:left="260" w:top="1025" w:right="299" w:bottom="1440" w:gutter="0" w:footer="0" w:header="0"/>
        </w:sectPr>
      </w:pPr>
    </w:p>
    <w:bookmarkStart w:id="78" w:name="page79"/>
    <w:bookmarkEnd w:id="78"/>
    <w:p>
      <w:pPr>
        <w:ind w:left="340"/>
        <w:spacing w:after="0"/>
        <w:rPr>
          <w:sz w:val="20"/>
          <w:szCs w:val="20"/>
          <w:color w:val="auto"/>
        </w:rPr>
      </w:pPr>
      <w:r>
        <w:rPr>
          <w:rFonts w:ascii="Arial" w:cs="Arial" w:eastAsia="Arial" w:hAnsi="Arial"/>
          <w:sz w:val="14"/>
          <w:szCs w:val="14"/>
          <w:b w:val="1"/>
          <w:bCs w:val="1"/>
          <w:color w:val="auto"/>
        </w:rPr>
        <w:t>Exhibit</w:t>
      </w:r>
    </w:p>
    <w:p>
      <w:pPr>
        <w:ind w:left="3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46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374" w:lineRule="exact"/>
        <w:rPr>
          <w:sz w:val="20"/>
          <w:szCs w:val="20"/>
          <w:color w:val="auto"/>
        </w:rPr>
      </w:pPr>
    </w:p>
    <w:p>
      <w:pPr>
        <w:jc w:val="center"/>
        <w:ind w:left="160"/>
        <w:spacing w:after="0"/>
        <w:rPr>
          <w:sz w:val="20"/>
          <w:szCs w:val="20"/>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62687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30" w:lineRule="exact"/>
        <w:rPr>
          <w:sz w:val="20"/>
          <w:szCs w:val="20"/>
          <w:color w:val="auto"/>
        </w:rPr>
      </w:pPr>
    </w:p>
    <w:p>
      <w:pPr>
        <w:ind w:right="280"/>
        <w:spacing w:after="0" w:line="257" w:lineRule="auto"/>
        <w:rPr>
          <w:rFonts w:ascii="Arial" w:cs="Arial" w:eastAsia="Arial" w:hAnsi="Arial"/>
          <w:sz w:val="17"/>
          <w:szCs w:val="17"/>
          <w:u w:val="single" w:color="auto"/>
          <w:color w:val="0000FF"/>
        </w:rPr>
      </w:pPr>
      <w:hyperlink r:id="rId159">
        <w:r>
          <w:rPr>
            <w:rFonts w:ascii="Arial" w:cs="Arial" w:eastAsia="Arial" w:hAnsi="Arial"/>
            <w:sz w:val="17"/>
            <w:szCs w:val="17"/>
            <w:u w:val="single" w:color="auto"/>
            <w:color w:val="0000FF"/>
          </w:rPr>
          <w:t>Employee Confidentiality and Non-compete Agreement, effective November 1, 2018, between Westwood Holdings Group, Inc. and</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Murray "Terry" Forbes III (incorporated by reference from the Form 8-K/A filed with the SEC on October 29, 2018)</w:t>
        </w:r>
      </w:hyperlink>
    </w:p>
    <w:p>
      <w:pPr>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Subsidiaries (incorporated by reference from the Form 10-K filed with the SEC on February 28, 2013)</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Consent of Deloitte &amp; Touche LLP</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Power of Attorney (included on first signature page)</w:t>
        </w:r>
      </w:hyperlink>
    </w:p>
    <w:p>
      <w:pPr>
        <w:spacing w:after="0" w:line="63" w:lineRule="exact"/>
        <w:rPr>
          <w:sz w:val="20"/>
          <w:szCs w:val="20"/>
          <w:color w:val="auto"/>
        </w:rPr>
      </w:pPr>
    </w:p>
    <w:p>
      <w:pPr>
        <w:ind w:right="1340"/>
        <w:spacing w:after="0" w:line="343" w:lineRule="auto"/>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Certification of the Chief Executive Officer of Westwood required by Section 302 of the Sarbanes-Oxley Act of 2002</w:t>
        </w:r>
      </w:hyperlink>
      <w:r>
        <w:rPr>
          <w:rFonts w:ascii="Arial" w:cs="Arial" w:eastAsia="Arial" w:hAnsi="Arial"/>
          <w:sz w:val="16"/>
          <w:szCs w:val="16"/>
          <w:u w:val="single" w:color="auto"/>
          <w:color w:val="0000FF"/>
        </w:rPr>
        <w:t xml:space="preserve"> </w:t>
      </w:r>
      <w:hyperlink w:anchor="page82">
        <w:r>
          <w:rPr>
            <w:rFonts w:ascii="Arial" w:cs="Arial" w:eastAsia="Arial" w:hAnsi="Arial"/>
            <w:sz w:val="16"/>
            <w:szCs w:val="16"/>
            <w:u w:val="single" w:color="auto"/>
            <w:color w:val="0000FF"/>
          </w:rPr>
          <w:t>Certification of the Chief Financial Officer of Westwood required by Section 302 of the Sarbanes-Oxley Act of 2002</w:t>
        </w:r>
      </w:hyperlink>
    </w:p>
    <w:p>
      <w:pPr>
        <w:spacing w:after="0" w:line="1" w:lineRule="exact"/>
        <w:rPr>
          <w:sz w:val="20"/>
          <w:szCs w:val="20"/>
          <w:color w:val="auto"/>
        </w:rPr>
      </w:pPr>
    </w:p>
    <w:p>
      <w:pPr>
        <w:spacing w:after="0" w:line="235" w:lineRule="auto"/>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Certification of Chief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83">
        <w:r>
          <w:rPr>
            <w:rFonts w:ascii="Arial" w:cs="Arial" w:eastAsia="Arial" w:hAnsi="Arial"/>
            <w:sz w:val="18"/>
            <w:szCs w:val="18"/>
            <w:u w:val="single" w:color="auto"/>
            <w:color w:val="0000FF"/>
          </w:rPr>
          <w:t>Act of 2002</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Certification of Chief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84">
        <w:r>
          <w:rPr>
            <w:rFonts w:ascii="Arial" w:cs="Arial" w:eastAsia="Arial" w:hAnsi="Arial"/>
            <w:sz w:val="18"/>
            <w:szCs w:val="18"/>
            <w:u w:val="single" w:color="auto"/>
            <w:color w:val="0000FF"/>
          </w:rPr>
          <w:t>Act of 2002</w:t>
        </w:r>
      </w:hyperlink>
    </w:p>
    <w:p>
      <w:pPr>
        <w:spacing w:after="0" w:line="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financial information from Westwood Holdings Group, Inc.'s Annual Report on Form 10-K for the year ended December 31, 2019, formatted in Inline eXtensible Business Reporting Language (iXBRL): (i) Consolidated Balance Sheets as of December 31, 2019 and 2018; (ii) Consolidated Statements of Comprehensive Income for the years ended December 31, 2019, 2018 and 2017; (iii) Consolidated Statements of Stockholders' Equity for the years ended December 31, 2019, 2018 and 2018; (iv) Consolidated Statements of Cash Flows for the years ended December 31, 2019, 2018 and 2017; and (v) Notes to the Condensed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p>
      <w:pPr>
        <w:spacing w:after="0" w:line="698" w:lineRule="exact"/>
        <w:rPr>
          <w:sz w:val="20"/>
          <w:szCs w:val="20"/>
          <w:color w:val="auto"/>
        </w:rPr>
      </w:pPr>
    </w:p>
    <w:p>
      <w:pPr>
        <w:sectPr>
          <w:pgSz w:w="11900" w:h="16838" w:orient="portrait"/>
          <w:cols w:equalWidth="0" w:num="2">
            <w:col w:w="1380" w:space="140"/>
            <w:col w:w="9800"/>
          </w:cols>
          <w:pgMar w:left="260" w:top="1025" w:right="319" w:bottom="1440" w:gutter="0" w:footer="0" w:header="0"/>
        </w:sectPr>
      </w:pPr>
    </w:p>
    <w:p>
      <w:pPr>
        <w:ind w:left="160"/>
        <w:spacing w:after="0"/>
        <w:rPr>
          <w:sz w:val="20"/>
          <w:szCs w:val="20"/>
          <w:color w:val="auto"/>
        </w:rPr>
      </w:pPr>
      <w:r>
        <w:rPr>
          <w:rFonts w:ascii="Arial" w:cs="Arial" w:eastAsia="Arial" w:hAnsi="Arial"/>
          <w:sz w:val="18"/>
          <w:szCs w:val="18"/>
          <w:color w:val="auto"/>
        </w:rPr>
        <w:t>+ Indicates management contract or compensation plan, contract or arrangement.</w:t>
      </w:r>
    </w:p>
    <w:p>
      <w:pPr>
        <w:spacing w:after="0" w:line="117" w:lineRule="exact"/>
        <w:rPr>
          <w:sz w:val="20"/>
          <w:szCs w:val="20"/>
          <w:color w:val="auto"/>
        </w:rPr>
      </w:pPr>
    </w:p>
    <w:p>
      <w:pPr>
        <w:ind w:left="5600" w:right="2780" w:hanging="5450"/>
        <w:spacing w:after="0" w:line="919" w:lineRule="auto"/>
        <w:tabs>
          <w:tab w:leader="none" w:pos="2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Pursuant to Item 601(b)(32) of SEC Regulation S-K, these exhibits are furnished rather than filed with this Report. 34</w:t>
      </w:r>
    </w:p>
    <w:p>
      <w:pPr>
        <w:sectPr>
          <w:pgSz w:w="11900" w:h="16838" w:orient="portrait"/>
          <w:cols w:equalWidth="0" w:num="1">
            <w:col w:w="11320"/>
          </w:cols>
          <w:pgMar w:left="260" w:top="1025" w:right="31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333-232595, 333-224886, 333-228335, 333-98841, 333-133963, 333-160377, 333-175696, 333-187998, 333-188002, 333-203728, and 333-218080 on Form S-8 of our reports dated February 20, 2020, relating to the financial statements of Westwood Holdings Group, Inc. and the effectiveness of Westwood Holdings Group, Inc.’s internal control over financial reporting, appearing in the Annual Report on Form 10-K for the year ended December 31, 2019.</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February 20, 2019</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3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Westwood Holdings Group, Inc.;</w:t>
      </w:r>
    </w:p>
    <w:p>
      <w:pPr>
        <w:spacing w:after="0" w:line="23"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100" w:hanging="320"/>
        <w:spacing w:after="0" w:line="250"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0"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40" w:hanging="320"/>
        <w:spacing w:after="0" w:line="281"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320"/>
        <w:spacing w:after="0" w:line="261"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5934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Murray Forbes III, certify that:</w:t>
      </w:r>
    </w:p>
    <w:p>
      <w:pPr>
        <w:spacing w:after="0" w:line="2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Westwood Holdings Group, Inc.;</w:t>
      </w:r>
    </w:p>
    <w:p>
      <w:pPr>
        <w:spacing w:after="0" w:line="9"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100" w:hanging="320"/>
        <w:spacing w:after="0" w:line="250"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0"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40" w:hanging="320"/>
        <w:spacing w:after="0" w:line="281"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320"/>
        <w:spacing w:after="0" w:line="261"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5934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320"/>
        <w:spacing w:after="0" w:line="305" w:lineRule="auto"/>
        <w:rPr>
          <w:sz w:val="20"/>
          <w:szCs w:val="20"/>
          <w:color w:val="auto"/>
        </w:rPr>
      </w:pPr>
      <w:r>
        <w:rPr>
          <w:rFonts w:ascii="Arial" w:cs="Arial" w:eastAsia="Arial" w:hAnsi="Arial"/>
          <w:sz w:val="16"/>
          <w:szCs w:val="16"/>
          <w:color w:val="auto"/>
        </w:rPr>
        <w:t>In connection with the Annual Report of Westwood Holdings Group, Inc. (the “Company”) on Form 10-K for the year ended December 31, 2019,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1"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86" w:lineRule="exact"/>
        <w:rPr>
          <w:rFonts w:ascii="Arial" w:cs="Arial" w:eastAsia="Arial" w:hAnsi="Arial"/>
          <w:sz w:val="16"/>
          <w:szCs w:val="16"/>
          <w:color w:val="auto"/>
        </w:rPr>
      </w:pPr>
    </w:p>
    <w:p>
      <w:pPr>
        <w:ind w:left="900" w:hanging="244"/>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5934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&amp; Chief Executive Officer</w:t>
      </w:r>
    </w:p>
    <w:p>
      <w:pPr>
        <w:spacing w:after="0" w:line="3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Westwood Holdings Group, Inc. (the “Company”) on Form 10-K for the year ended December 31, 2019,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3" w:lineRule="exact"/>
        <w:rPr>
          <w:sz w:val="20"/>
          <w:szCs w:val="20"/>
          <w:color w:val="auto"/>
        </w:rPr>
      </w:pPr>
    </w:p>
    <w:p>
      <w:pPr>
        <w:ind w:left="900" w:hanging="244"/>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86" w:lineRule="exact"/>
        <w:rPr>
          <w:rFonts w:ascii="Arial" w:cs="Arial" w:eastAsia="Arial" w:hAnsi="Arial"/>
          <w:sz w:val="16"/>
          <w:szCs w:val="16"/>
          <w:color w:val="auto"/>
        </w:rPr>
      </w:pPr>
    </w:p>
    <w:p>
      <w:pPr>
        <w:ind w:left="900" w:hanging="244"/>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2020</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5934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5"/>
    </w:lvl>
  </w:abstractNum>
  <w:abstractNum w:abstractNumId="18">
    <w:nsid w:val="2443A858"/>
    <w:multiLevelType w:val="hybridMultilevel"/>
    <w:lvl w:ilvl="0">
      <w:lvlJc w:val="left"/>
      <w:lvlText w:val="%1."/>
      <w:numFmt w:val="decimal"/>
      <w:start w:val="6"/>
    </w:lvl>
  </w:abstractNum>
  <w:abstractNum w:abstractNumId="19">
    <w:nsid w:val="2D1D5AE9"/>
    <w:multiLevelType w:val="hybridMultilevel"/>
    <w:lvl w:ilvl="0">
      <w:lvlJc w:val="left"/>
      <w:lvlText w:val="%1."/>
      <w:numFmt w:val="decimal"/>
      <w:start w:val="9"/>
    </w:lvl>
  </w:abstractNum>
  <w:abstractNum w:abstractNumId="20">
    <w:nsid w:val="6763845E"/>
    <w:multiLevelType w:val="hybridMultilevel"/>
    <w:lvl w:ilvl="0">
      <w:lvlJc w:val="left"/>
      <w:lvlText w:val="%1."/>
      <w:numFmt w:val="decimal"/>
      <w:start w:val="10"/>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14" Type="http://schemas.openxmlformats.org/officeDocument/2006/relationships/hyperlink" Target="http://www.sec.gov/Archives/edgar/data/1165002/000119312513084081/d444159dex21.htm" TargetMode="External"/><Relationship Id="rId115" Type="http://schemas.openxmlformats.org/officeDocument/2006/relationships/hyperlink" Target="http://www.sec.gov/Archives/edgar/data/1165002/000119312515012458/d853486dex21.htm" TargetMode="External"/><Relationship Id="rId116" Type="http://schemas.openxmlformats.org/officeDocument/2006/relationships/hyperlink" Target="http://www.sec.gov/Archives/edgar/data/1165002/000093066102001393/dex31.txt" TargetMode="External"/><Relationship Id="rId117" Type="http://schemas.openxmlformats.org/officeDocument/2006/relationships/hyperlink" Target="http://www.sec.gov/Archives/edgar/data/1165002/000115752308003859/a5679024ex3_1.txt" TargetMode="External"/><Relationship Id="rId118" Type="http://schemas.openxmlformats.org/officeDocument/2006/relationships/hyperlink" Target="http://www.sec.gov/Archives/edgar/data/1165002/000116500217000037/definitiveproxy2017.htm" TargetMode="External"/><Relationship Id="rId119" Type="http://schemas.openxmlformats.org/officeDocument/2006/relationships/hyperlink" Target="http://www.sec.gov/Archives/edgar/data/1165002/000116500219000029/proxy2019.htm" TargetMode="External"/><Relationship Id="rId120" Type="http://schemas.openxmlformats.org/officeDocument/2006/relationships/hyperlink" Target="http://www.sec.gov/Archives/edgar/data/1165002/000119312512182024/d339295dex31.htm" TargetMode="External"/><Relationship Id="rId121" Type="http://schemas.openxmlformats.org/officeDocument/2006/relationships/hyperlink" Target="http://www.sec.gov/Archives/edgar/data/1165002/000093066102001393/dex41.txt" TargetMode="External"/><Relationship Id="rId122" Type="http://schemas.openxmlformats.org/officeDocument/2006/relationships/hyperlink" Target="http://www.sec.gov/Archives/edgar/data/1165002/000116500218000018/proxy2018.htm#s8B85E9B5FE234848FB3A72CEFC6C1542" TargetMode="External"/><Relationship Id="rId123" Type="http://schemas.openxmlformats.org/officeDocument/2006/relationships/hyperlink" Target="http://www.sec.gov/Archives/edgar/data/1165002/000093066102001944/dex103.txt" TargetMode="External"/><Relationship Id="rId124" Type="http://schemas.openxmlformats.org/officeDocument/2006/relationships/hyperlink" Target="http://www.sec.gov/Archives/edgar/data/1165002/000093066102000359/dex1010.txt" TargetMode="External"/><Relationship Id="rId125" Type="http://schemas.openxmlformats.org/officeDocument/2006/relationships/hyperlink" Target="http://www.sec.gov/Archives/edgar/data/1165002/000119312504031244/dex106.htm" TargetMode="External"/><Relationship Id="rId126" Type="http://schemas.openxmlformats.org/officeDocument/2006/relationships/hyperlink" Target="http://www.sec.gov/Archives/edgar/data/1165002/000119312504031244/dex107.htm" TargetMode="External"/><Relationship Id="rId127" Type="http://schemas.openxmlformats.org/officeDocument/2006/relationships/hyperlink" Target="http://www.sec.gov/Archives/edgar/data/1165002/000119312511047683/dex107.htm" TargetMode="External"/><Relationship Id="rId128" Type="http://schemas.openxmlformats.org/officeDocument/2006/relationships/hyperlink" Target="http://www.sec.gov/Archives/edgar/data/1165002/000119312513084081/d444159dex108.htm" TargetMode="External"/><Relationship Id="rId129" Type="http://schemas.openxmlformats.org/officeDocument/2006/relationships/hyperlink" Target="http://www.sec.gov/Archives/edgar/data/1165002/000116500216000034/exhibit1035.htm" TargetMode="External"/><Relationship Id="rId135" Type="http://schemas.openxmlformats.org/officeDocument/2006/relationships/hyperlink" Target="http://www.sec.gov/Archives/edgar/data/1165002/000116500216000034/exhibit1036.htm" TargetMode="External"/><Relationship Id="rId136" Type="http://schemas.openxmlformats.org/officeDocument/2006/relationships/hyperlink" Target="http://www.sec.gov/Archives/edgar/data/1165002/000116500216000034/exhibit1037.htm" TargetMode="External"/><Relationship Id="rId137" Type="http://schemas.openxmlformats.org/officeDocument/2006/relationships/hyperlink" Target="http://www.sec.gov/Archives/edgar/data/1165002/000116500218000064/exhibit10crescentamendment.htm" TargetMode="External"/><Relationship Id="rId138" Type="http://schemas.openxmlformats.org/officeDocument/2006/relationships/hyperlink" Target="http://www.sec.gov/Archives/edgar/data/1165002/000093066102000359/dex1012.txt" TargetMode="External"/><Relationship Id="rId139" Type="http://schemas.openxmlformats.org/officeDocument/2006/relationships/hyperlink" Target="http://www.sec.gov/Archives/edgar/data/1165002/000119312513084081/d444159dex1011.htm" TargetMode="External"/><Relationship Id="rId140" Type="http://schemas.openxmlformats.org/officeDocument/2006/relationships/hyperlink" Target="http://www.sec.gov/Archives/edgar/data/1165002/000119312504031244/dex1011.htm" TargetMode="External"/><Relationship Id="rId141" Type="http://schemas.openxmlformats.org/officeDocument/2006/relationships/hyperlink" Target="http://www.sec.gov/Archives/edgar/data/1165002/000119312504031244/dex1012.htm" TargetMode="External"/><Relationship Id="rId142" Type="http://schemas.openxmlformats.org/officeDocument/2006/relationships/hyperlink" Target="http://www.sec.gov/Archives/edgar/data/1165002/000119312504031244/dex1013.htm" TargetMode="External"/><Relationship Id="rId143" Type="http://schemas.openxmlformats.org/officeDocument/2006/relationships/hyperlink" Target="http://www.sec.gov/Archives/edgar/data/1165002/000116500215000026/bocemploymentagreementfinal.htm" TargetMode="External"/><Relationship Id="rId144" Type="http://schemas.openxmlformats.org/officeDocument/2006/relationships/hyperlink" Target="http://www.sec.gov/Archives/edgar/data/1165002/000116500216000041/perfornanceshareagreement.htm" TargetMode="External"/><Relationship Id="rId145" Type="http://schemas.openxmlformats.org/officeDocument/2006/relationships/hyperlink" Target="http://www.sec.gov/Archives/edgar/data/1165002/000116500216000041/performanceshareagreementc.htm" TargetMode="External"/><Relationship Id="rId146" Type="http://schemas.openxmlformats.org/officeDocument/2006/relationships/hyperlink" Target="http://www.sec.gov/Archives/edgar/data/1165002/000116500217000027/exhibit101.htm" TargetMode="External"/><Relationship Id="rId147" Type="http://schemas.openxmlformats.org/officeDocument/2006/relationships/hyperlink" Target="http://www.sec.gov/Archives/edgar/data/1165002/000116500216000074/executiveemploymentagreeme.htm" TargetMode="External"/><Relationship Id="rId148" Type="http://schemas.openxmlformats.org/officeDocument/2006/relationships/hyperlink" Target="http://www.sec.gov/Archives/edgar/data/1165002/000116500217000040/formofmutualfundaward.htm" TargetMode="External"/><Relationship Id="rId149" Type="http://schemas.openxmlformats.org/officeDocument/2006/relationships/hyperlink" Target="http://www.sec.gov/Archives/edgar/data/1165002/000116500217000033/formofperfornanceshareagre.htm" TargetMode="External"/><Relationship Id="rId150" Type="http://schemas.openxmlformats.org/officeDocument/2006/relationships/hyperlink" Target="http://www.sec.gov/Archives/edgar/data/1165002/000116500217000033/performanceshareagreementf.htm" TargetMode="External"/><Relationship Id="rId151" Type="http://schemas.openxmlformats.org/officeDocument/2006/relationships/hyperlink" Target="http://www.sec.gov/Archives/edgar/data/1165002/000119312513161059/d525354dex44.htm" TargetMode="External"/><Relationship Id="rId152" Type="http://schemas.openxmlformats.org/officeDocument/2006/relationships/hyperlink" Target="http://www.sec.gov/Archives/edgar/data/1165002/000116500215000006/exhibit101.htm" TargetMode="External"/><Relationship Id="rId153" Type="http://schemas.openxmlformats.org/officeDocument/2006/relationships/hyperlink" Target="http://www.sec.gov/Archives/edgar/data/1165002/000116500218000006/final8kexhibitcoo.htm" TargetMode="External"/><Relationship Id="rId154" Type="http://schemas.openxmlformats.org/officeDocument/2006/relationships/hyperlink" Target="http://www.sec.gov/Archives/edgar/data/1165002/000116500218000049/exhibit101cioexitletter.htm" TargetMode="External"/><Relationship Id="rId159" Type="http://schemas.openxmlformats.org/officeDocument/2006/relationships/hyperlink" Target="http://www.sec.gov/Archives/edgar/data/1165002/000116500218000067/cfoconfidentialityandnon-c.htm" TargetMode="External"/><Relationship Id="rId160" Type="http://schemas.openxmlformats.org/officeDocument/2006/relationships/hyperlink" Target="http://www.sec.gov/Archives/edgar/data/1165002/000119312513084081/d4441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2020-02-20T16:35:23Z</dcterms:created>
  <dcterms:modified xsi:type="dcterms:W3CDTF">2020-02-20T16:35:23Z</dcterms:modified>
</cp:coreProperties>
</file>