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6" w:lineRule="exact"/>
        <w:rPr>
          <w:sz w:val="24"/>
          <w:szCs w:val="24"/>
          <w:color w:val="auto"/>
        </w:rPr>
      </w:pPr>
    </w:p>
    <w:p>
      <w:pPr>
        <w:ind w:left="480" w:hanging="344"/>
        <w:spacing w:after="0"/>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92" w:lineRule="exact"/>
        <w:rPr>
          <w:sz w:val="24"/>
          <w:szCs w:val="24"/>
          <w:color w:val="auto"/>
        </w:rPr>
      </w:pPr>
    </w:p>
    <w:tbl>
      <w:tblPr>
        <w:tblLayout w:type="fixed"/>
        <w:tblInd w:w="37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w:t>
            </w:r>
          </w:p>
        </w:tc>
      </w:tr>
      <w:tr>
        <w:trPr>
          <w:trHeight w:val="345"/>
        </w:trPr>
        <w:tc>
          <w:tcPr>
            <w:tcW w:w="314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Commission file number 1-31234</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6"/>
          <w:szCs w:val="36"/>
          <w:b w:val="1"/>
          <w:bCs w:val="1"/>
          <w:color w:val="auto"/>
        </w:rPr>
        <w:t>WESTWOOD HOLDINGS GROUP, INC.</w:t>
      </w:r>
    </w:p>
    <w:p>
      <w:pPr>
        <w:spacing w:after="0" w:line="5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27" w:lineRule="exact"/>
        <w:rPr>
          <w:sz w:val="24"/>
          <w:szCs w:val="24"/>
          <w:color w:val="auto"/>
        </w:rPr>
      </w:pPr>
    </w:p>
    <w:tbl>
      <w:tblPr>
        <w:tblLayout w:type="fixed"/>
        <w:tblInd w:w="420" w:type="dxa"/>
        <w:tblCellMar>
          <w:top w:w="0" w:type="dxa"/>
          <w:left w:w="0" w:type="dxa"/>
          <w:bottom w:w="0" w:type="dxa"/>
          <w:right w:w="0" w:type="dxa"/>
        </w:tblCellMar>
      </w:tblPr>
      <w:tr>
        <w:trPr>
          <w:trHeight w:val="229"/>
        </w:trPr>
        <w:tc>
          <w:tcPr>
            <w:tcW w:w="356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10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75-2969997</w:t>
            </w:r>
          </w:p>
        </w:tc>
      </w:tr>
      <w:tr>
        <w:trPr>
          <w:trHeight w:val="188"/>
        </w:trPr>
        <w:tc>
          <w:tcPr>
            <w:tcW w:w="35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6100" w:type="dxa"/>
            <w:vAlign w:val="bottom"/>
          </w:tcPr>
          <w:p>
            <w:pPr>
              <w:jc w:val="center"/>
              <w:ind w:left="401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47"/>
        </w:trPr>
        <w:tc>
          <w:tcPr>
            <w:tcW w:w="356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w w:val="99"/>
              </w:rPr>
              <w:t>200 CRESCENT COURT, SUITE 1200</w:t>
            </w:r>
          </w:p>
        </w:tc>
        <w:tc>
          <w:tcPr>
            <w:tcW w:w="6100" w:type="dxa"/>
            <w:vAlign w:val="bottom"/>
          </w:tcPr>
          <w:p>
            <w:pPr>
              <w:spacing w:after="0"/>
              <w:rPr>
                <w:sz w:val="24"/>
                <w:szCs w:val="24"/>
                <w:color w:val="auto"/>
              </w:rPr>
            </w:pPr>
          </w:p>
        </w:tc>
      </w:tr>
      <w:tr>
        <w:trPr>
          <w:trHeight w:val="229"/>
        </w:trPr>
        <w:tc>
          <w:tcPr>
            <w:tcW w:w="35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DALLAS, Texas</w:t>
            </w:r>
          </w:p>
        </w:tc>
        <w:tc>
          <w:tcPr>
            <w:tcW w:w="6100" w:type="dxa"/>
            <w:vAlign w:val="bottom"/>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88"/>
        </w:trPr>
        <w:tc>
          <w:tcPr>
            <w:tcW w:w="3560" w:type="dxa"/>
            <w:vAlign w:val="bottom"/>
          </w:tcPr>
          <w:p>
            <w:pPr>
              <w:jc w:val="center"/>
              <w:ind w:right="17"/>
              <w:spacing w:after="0"/>
              <w:rPr>
                <w:sz w:val="20"/>
                <w:szCs w:val="20"/>
                <w:color w:val="auto"/>
              </w:rPr>
            </w:pPr>
            <w:r>
              <w:rPr>
                <w:rFonts w:ascii="Times New Roman" w:cs="Times New Roman" w:eastAsia="Times New Roman" w:hAnsi="Times New Roman"/>
                <w:sz w:val="14"/>
                <w:szCs w:val="14"/>
                <w:color w:val="auto"/>
              </w:rPr>
              <w:t>(Address of principal executive office)</w:t>
            </w:r>
          </w:p>
        </w:tc>
        <w:tc>
          <w:tcPr>
            <w:tcW w:w="6100" w:type="dxa"/>
            <w:vAlign w:val="bottom"/>
          </w:tcPr>
          <w:p>
            <w:pPr>
              <w:jc w:val="center"/>
              <w:ind w:left="4019"/>
              <w:spacing w:after="0"/>
              <w:rPr>
                <w:sz w:val="20"/>
                <w:szCs w:val="20"/>
                <w:color w:val="auto"/>
              </w:rPr>
            </w:pPr>
            <w:r>
              <w:rPr>
                <w:rFonts w:ascii="Times New Roman" w:cs="Times New Roman" w:eastAsia="Times New Roman" w:hAnsi="Times New Roman"/>
                <w:sz w:val="14"/>
                <w:szCs w:val="14"/>
                <w:color w:val="auto"/>
              </w:rPr>
              <w:t>(Zip Code)</w:t>
            </w:r>
          </w:p>
        </w:tc>
      </w:tr>
      <w:tr>
        <w:trPr>
          <w:trHeight w:val="365"/>
        </w:trPr>
        <w:tc>
          <w:tcPr>
            <w:tcW w:w="3560" w:type="dxa"/>
            <w:vAlign w:val="bottom"/>
          </w:tcPr>
          <w:p>
            <w:pPr>
              <w:spacing w:after="0"/>
              <w:rPr>
                <w:sz w:val="24"/>
                <w:szCs w:val="24"/>
                <w:color w:val="auto"/>
              </w:rPr>
            </w:pPr>
          </w:p>
        </w:tc>
        <w:tc>
          <w:tcPr>
            <w:tcW w:w="6100" w:type="dxa"/>
            <w:vAlign w:val="bottom"/>
          </w:tcPr>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(214) 756-6900</w:t>
            </w:r>
          </w:p>
        </w:tc>
      </w:tr>
      <w:tr>
        <w:trPr>
          <w:trHeight w:val="188"/>
        </w:trPr>
        <w:tc>
          <w:tcPr>
            <w:tcW w:w="3560" w:type="dxa"/>
            <w:vAlign w:val="bottom"/>
          </w:tcPr>
          <w:p>
            <w:pPr>
              <w:spacing w:after="0"/>
              <w:rPr>
                <w:sz w:val="16"/>
                <w:szCs w:val="16"/>
                <w:color w:val="auto"/>
              </w:rPr>
            </w:pPr>
          </w:p>
        </w:tc>
        <w:tc>
          <w:tcPr>
            <w:tcW w:w="6100" w:type="dxa"/>
            <w:vAlign w:val="bottom"/>
          </w:tcPr>
          <w:p>
            <w:pPr>
              <w:jc w:val="center"/>
              <w:ind w:right="27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57" w:lineRule="exact"/>
        <w:rPr>
          <w:sz w:val="24"/>
          <w:szCs w:val="24"/>
          <w:color w:val="auto"/>
        </w:rPr>
      </w:pPr>
    </w:p>
    <w:tbl>
      <w:tblPr>
        <w:tblLayout w:type="fixed"/>
        <w:tblInd w:w="86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85"/>
        </w:trPr>
        <w:tc>
          <w:tcPr>
            <w:tcW w:w="6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3"/>
        </w:trPr>
        <w:tc>
          <w:tcPr>
            <w:tcW w:w="27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520" w:type="dxa"/>
            <w:vAlign w:val="bottom"/>
          </w:tcPr>
          <w:p>
            <w:pPr>
              <w:spacing w:after="0"/>
              <w:rPr>
                <w:sz w:val="18"/>
                <w:szCs w:val="18"/>
                <w:color w:val="auto"/>
              </w:rPr>
            </w:pPr>
          </w:p>
        </w:tc>
        <w:tc>
          <w:tcPr>
            <w:tcW w:w="24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WHG</w:t>
            </w:r>
          </w:p>
        </w:tc>
        <w:tc>
          <w:tcPr>
            <w:tcW w:w="2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49" w:lineRule="exact"/>
        <w:rPr>
          <w:sz w:val="24"/>
          <w:szCs w:val="24"/>
          <w:color w:val="auto"/>
        </w:rPr>
      </w:pPr>
    </w:p>
    <w:p>
      <w:pPr>
        <w:ind w:right="1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60"/>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18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9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8" w:lineRule="exact"/>
        <w:rPr>
          <w:sz w:val="24"/>
          <w:szCs w:val="24"/>
          <w:color w:val="auto"/>
        </w:rPr>
      </w:pPr>
    </w:p>
    <w:p>
      <w:pPr>
        <w:ind w:right="420"/>
        <w:spacing w:after="0" w:line="19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36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Shares of common stock, par value $0.01 per share, outstanding as of July 20, 2022: 8,460,050.</w:t>
      </w:r>
    </w:p>
    <w:p>
      <w:pPr>
        <w:spacing w:after="0" w:line="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802640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8"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PART I</w:t>
            </w:r>
          </w:p>
        </w:tc>
        <w:tc>
          <w:tcPr>
            <w:tcW w:w="88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FINANCIAL INFORMATION</w:t>
            </w:r>
          </w:p>
        </w:tc>
        <w:tc>
          <w:tcPr>
            <w:tcW w:w="12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PAGE</w:t>
            </w:r>
          </w:p>
        </w:tc>
      </w:tr>
      <w:tr>
        <w:trPr>
          <w:trHeight w:val="324"/>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Item 1.</w:t>
            </w:r>
          </w:p>
        </w:tc>
        <w:tc>
          <w:tcPr>
            <w:tcW w:w="88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Financial Statements</w:t>
            </w:r>
          </w:p>
        </w:tc>
        <w:tc>
          <w:tcPr>
            <w:tcW w:w="1220" w:type="dxa"/>
            <w:vAlign w:val="bottom"/>
          </w:tcPr>
          <w:p>
            <w:pPr>
              <w:spacing w:after="0"/>
              <w:rPr>
                <w:sz w:val="24"/>
                <w:szCs w:val="24"/>
                <w:color w:val="auto"/>
              </w:rPr>
            </w:pPr>
          </w:p>
        </w:tc>
      </w:tr>
      <w:tr>
        <w:trPr>
          <w:trHeight w:val="289"/>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Condensed Consolidated Balance Sheets as of June 30, 2022 and December 31, 2021</w:t>
            </w: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1</w:t>
            </w:r>
          </w:p>
        </w:tc>
      </w:tr>
      <w:tr>
        <w:trPr>
          <w:trHeight w:val="20"/>
        </w:trPr>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5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Condensed Consolidated Statements of Comprehensive Income (Loss) for the Three and Six Months Ended June 30, 2022 and 2021</w:t>
            </w:r>
          </w:p>
        </w:tc>
        <w:tc>
          <w:tcPr>
            <w:tcW w:w="280" w:type="dxa"/>
            <w:vAlign w:val="bottom"/>
          </w:tcPr>
          <w:p>
            <w:pPr>
              <w:spacing w:after="0"/>
              <w:rPr>
                <w:sz w:val="21"/>
                <w:szCs w:val="21"/>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2</w:t>
            </w:r>
          </w:p>
        </w:tc>
      </w:tr>
      <w:tr>
        <w:trPr>
          <w:trHeight w:val="250"/>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Condensed Consolidated Statement of Stockholders’ Equity for the Three and Six Months Ended June 30, 2022 and 2021</w:t>
            </w: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3</w:t>
            </w:r>
          </w:p>
        </w:tc>
      </w:tr>
      <w:tr>
        <w:trPr>
          <w:trHeight w:val="250"/>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for the Six Months Ended June 30, 2022 and 2021</w:t>
            </w:r>
          </w:p>
        </w:tc>
        <w:tc>
          <w:tcPr>
            <w:tcW w:w="980" w:type="dxa"/>
            <w:vAlign w:val="bottom"/>
            <w:gridSpan w:val="2"/>
          </w:tcPr>
          <w:p>
            <w:pPr>
              <w:spacing w:after="0"/>
              <w:rPr>
                <w:sz w:val="21"/>
                <w:szCs w:val="21"/>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5</w:t>
            </w:r>
          </w:p>
        </w:tc>
      </w:tr>
      <w:tr>
        <w:trPr>
          <w:trHeight w:val="250"/>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Notes to Condensed Consolidated Financial Statements</w:t>
            </w:r>
          </w:p>
        </w:tc>
        <w:tc>
          <w:tcPr>
            <w:tcW w:w="3040" w:type="dxa"/>
            <w:vAlign w:val="bottom"/>
            <w:tcBorders>
              <w:top w:val="single" w:sz="8" w:color="0000FF"/>
            </w:tcBorders>
            <w:gridSpan w:val="5"/>
          </w:tcPr>
          <w:p>
            <w:pPr>
              <w:spacing w:after="0"/>
              <w:rPr>
                <w:sz w:val="21"/>
                <w:szCs w:val="21"/>
                <w:color w:val="auto"/>
              </w:rPr>
            </w:pPr>
          </w:p>
        </w:tc>
        <w:tc>
          <w:tcPr>
            <w:tcW w:w="2220" w:type="dxa"/>
            <w:vAlign w:val="bottom"/>
            <w:gridSpan w:val="3"/>
          </w:tcPr>
          <w:p>
            <w:pPr>
              <w:spacing w:after="0"/>
              <w:rPr>
                <w:sz w:val="21"/>
                <w:szCs w:val="21"/>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6</w:t>
            </w:r>
          </w:p>
        </w:tc>
      </w:tr>
      <w:tr>
        <w:trPr>
          <w:trHeight w:val="25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Item 2.</w:t>
            </w:r>
          </w:p>
        </w:tc>
        <w:tc>
          <w:tcPr>
            <w:tcW w:w="5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040" w:type="dxa"/>
            <w:vAlign w:val="bottom"/>
            <w:gridSpan w:val="4"/>
          </w:tcPr>
          <w:p>
            <w:pPr>
              <w:spacing w:after="0"/>
              <w:rPr>
                <w:sz w:val="21"/>
                <w:szCs w:val="21"/>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15</w:t>
            </w:r>
          </w:p>
        </w:tc>
      </w:tr>
      <w:tr>
        <w:trPr>
          <w:trHeight w:val="25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Item 3.</w:t>
            </w:r>
          </w:p>
        </w:tc>
        <w:tc>
          <w:tcPr>
            <w:tcW w:w="3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4920" w:type="dxa"/>
            <w:vAlign w:val="bottom"/>
            <w:gridSpan w:val="6"/>
          </w:tcPr>
          <w:p>
            <w:pPr>
              <w:spacing w:after="0"/>
              <w:rPr>
                <w:sz w:val="21"/>
                <w:szCs w:val="21"/>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22</w:t>
            </w:r>
          </w:p>
        </w:tc>
      </w:tr>
      <w:tr>
        <w:trPr>
          <w:trHeight w:val="25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260" w:type="dxa"/>
            <w:vAlign w:val="bottom"/>
            <w:gridSpan w:val="10"/>
          </w:tcPr>
          <w:p>
            <w:pPr>
              <w:spacing w:after="0"/>
              <w:rPr>
                <w:sz w:val="21"/>
                <w:szCs w:val="21"/>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22</w:t>
            </w:r>
          </w:p>
        </w:tc>
      </w:tr>
      <w:tr>
        <w:trPr>
          <w:trHeight w:val="25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PART II</w:t>
            </w:r>
          </w:p>
        </w:tc>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7160" w:type="dxa"/>
            <w:vAlign w:val="bottom"/>
            <w:gridSpan w:val="9"/>
          </w:tcPr>
          <w:p>
            <w:pPr>
              <w:spacing w:after="0"/>
              <w:rPr>
                <w:sz w:val="21"/>
                <w:szCs w:val="21"/>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24</w:t>
            </w:r>
          </w:p>
        </w:tc>
      </w:tr>
      <w:tr>
        <w:trPr>
          <w:trHeight w:val="25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Item 1.</w:t>
            </w:r>
          </w:p>
        </w:tc>
        <w:tc>
          <w:tcPr>
            <w:tcW w:w="88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24</w:t>
            </w:r>
          </w:p>
        </w:tc>
      </w:tr>
      <w:tr>
        <w:trPr>
          <w:trHeight w:val="25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Item 1A.</w:t>
            </w:r>
          </w:p>
        </w:tc>
        <w:tc>
          <w:tcPr>
            <w:tcW w:w="8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9"/>
              </w:rPr>
              <w:t>Risk Factors</w:t>
            </w:r>
          </w:p>
        </w:tc>
        <w:tc>
          <w:tcPr>
            <w:tcW w:w="380" w:type="dxa"/>
            <w:vAlign w:val="bottom"/>
            <w:tcBorders>
              <w:top w:val="single" w:sz="8" w:color="0000FF"/>
            </w:tcBorders>
          </w:tcPr>
          <w:p>
            <w:pPr>
              <w:spacing w:after="0"/>
              <w:rPr>
                <w:sz w:val="21"/>
                <w:szCs w:val="21"/>
                <w:color w:val="auto"/>
              </w:rPr>
            </w:pPr>
          </w:p>
        </w:tc>
        <w:tc>
          <w:tcPr>
            <w:tcW w:w="7660" w:type="dxa"/>
            <w:vAlign w:val="bottom"/>
            <w:gridSpan w:val="11"/>
          </w:tcPr>
          <w:p>
            <w:pPr>
              <w:spacing w:after="0"/>
              <w:rPr>
                <w:sz w:val="21"/>
                <w:szCs w:val="21"/>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24</w:t>
            </w:r>
          </w:p>
        </w:tc>
      </w:tr>
      <w:tr>
        <w:trPr>
          <w:trHeight w:val="25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Item 2.</w:t>
            </w:r>
          </w:p>
        </w:tc>
        <w:tc>
          <w:tcPr>
            <w:tcW w:w="39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4940" w:type="dxa"/>
            <w:vAlign w:val="bottom"/>
            <w:gridSpan w:val="7"/>
          </w:tcPr>
          <w:p>
            <w:pPr>
              <w:spacing w:after="0"/>
              <w:rPr>
                <w:sz w:val="21"/>
                <w:szCs w:val="21"/>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24</w:t>
            </w:r>
          </w:p>
        </w:tc>
      </w:tr>
      <w:tr>
        <w:trPr>
          <w:trHeight w:val="25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Item 6.</w:t>
            </w:r>
          </w:p>
        </w:tc>
        <w:tc>
          <w:tcPr>
            <w:tcW w:w="88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Exhibits</w:t>
            </w: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25</w:t>
            </w:r>
          </w:p>
        </w:tc>
      </w:tr>
      <w:tr>
        <w:trPr>
          <w:trHeight w:val="25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rPr>
              <w:t>Signatures</w:t>
            </w:r>
          </w:p>
        </w:tc>
        <w:tc>
          <w:tcPr>
            <w:tcW w:w="54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26</w:t>
            </w:r>
          </w:p>
        </w:tc>
      </w:tr>
      <w:tr>
        <w:trPr>
          <w:trHeight w:val="2795"/>
        </w:trPr>
        <w:tc>
          <w:tcPr>
            <w:tcW w:w="120" w:type="dxa"/>
            <w:vAlign w:val="bottom"/>
            <w:tcBorders>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8100" w:type="dxa"/>
            <w:vAlign w:val="bottom"/>
            <w:shd w:val="clear" w:color="auto" w:fill="CCEEFF"/>
          </w:tcPr>
          <w:p>
            <w:pPr>
              <w:ind w:left="37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15,206</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11,152</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65,024</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income taxes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0" w:type="dxa"/>
            <w:vAlign w:val="bottom"/>
          </w:tcPr>
          <w:p>
            <w:pPr>
              <w:spacing w:after="0"/>
              <w:rPr>
                <w:sz w:val="1"/>
                <w:szCs w:val="1"/>
                <w:color w:val="auto"/>
              </w:rPr>
            </w:pPr>
          </w:p>
        </w:tc>
      </w:tr>
      <w:tr>
        <w:trPr>
          <w:trHeight w:val="207"/>
        </w:trPr>
        <w:tc>
          <w:tcPr>
            <w:tcW w:w="8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93,861</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investments at fair value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4,868</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11,911</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$8,976 and $8,637</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35"/>
        </w:trPr>
        <w:tc>
          <w:tcPr>
            <w:tcW w:w="81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139,605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3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Dividends payable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Compensation and benefits payable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12"/>
        </w:trPr>
        <w:tc>
          <w:tcPr>
            <w:tcW w:w="81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15,842</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dividends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w:t>
            </w:r>
          </w:p>
        </w:tc>
        <w:tc>
          <w:tcPr>
            <w:tcW w:w="0" w:type="dxa"/>
            <w:vAlign w:val="bottom"/>
          </w:tcPr>
          <w:p>
            <w:pPr>
              <w:spacing w:after="0"/>
              <w:rPr>
                <w:sz w:val="1"/>
                <w:szCs w:val="1"/>
                <w:color w:val="auto"/>
              </w:rPr>
            </w:pPr>
          </w:p>
        </w:tc>
      </w:tr>
      <w:tr>
        <w:trPr>
          <w:trHeight w:val="207"/>
        </w:trPr>
        <w:tc>
          <w:tcPr>
            <w:tcW w:w="8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5,857</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21,699</w:t>
            </w:r>
          </w:p>
        </w:tc>
        <w:tc>
          <w:tcPr>
            <w:tcW w:w="0" w:type="dxa"/>
            <w:vAlign w:val="bottom"/>
          </w:tcPr>
          <w:p>
            <w:pPr>
              <w:spacing w:after="0"/>
              <w:rPr>
                <w:sz w:val="1"/>
                <w:szCs w:val="1"/>
                <w:color w:val="auto"/>
              </w:rPr>
            </w:pPr>
          </w:p>
        </w:tc>
      </w:tr>
      <w:tr>
        <w:trPr>
          <w:trHeight w:val="19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10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Common stock, $0.01 par value, authorized 25,000,000 shares, issued 11,059,848 and outstanding 8,511,014 shares</w:t>
            </w:r>
          </w:p>
        </w:tc>
        <w:tc>
          <w:tcPr>
            <w:tcW w:w="3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3"/>
        </w:trPr>
        <w:tc>
          <w:tcPr>
            <w:tcW w:w="81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at June 30, 2022; issued 10,658,644 and outstanding 8,253,491 shares at December 31, 2021</w:t>
            </w:r>
          </w:p>
        </w:tc>
        <w:tc>
          <w:tcPr>
            <w:tcW w:w="3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195,187</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Treasury stock, at cost - 2,548,834 shares at June 30, 2022; 2,405,154 shares at December 31, 2021</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(81,750)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w:t>
            </w:r>
          </w:p>
        </w:tc>
        <w:tc>
          <w:tcPr>
            <w:tcW w:w="0" w:type="dxa"/>
            <w:vAlign w:val="bottom"/>
          </w:tcPr>
          <w:p>
            <w:pPr>
              <w:spacing w:after="0"/>
              <w:rPr>
                <w:sz w:val="1"/>
                <w:szCs w:val="1"/>
                <w:color w:val="auto"/>
              </w:rPr>
            </w:pPr>
          </w:p>
        </w:tc>
      </w:tr>
      <w:tr>
        <w:trPr>
          <w:trHeight w:val="207"/>
        </w:trPr>
        <w:tc>
          <w:tcPr>
            <w:tcW w:w="810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117,906</w:t>
            </w:r>
          </w:p>
        </w:tc>
        <w:tc>
          <w:tcPr>
            <w:tcW w:w="0" w:type="dxa"/>
            <w:vAlign w:val="bottom"/>
          </w:tcPr>
          <w:p>
            <w:pPr>
              <w:spacing w:after="0"/>
              <w:rPr>
                <w:sz w:val="1"/>
                <w:szCs w:val="1"/>
                <w:color w:val="auto"/>
              </w:rPr>
            </w:pPr>
          </w:p>
        </w:tc>
      </w:tr>
      <w:tr>
        <w:trPr>
          <w:trHeight w:val="235"/>
        </w:trPr>
        <w:tc>
          <w:tcPr>
            <w:tcW w:w="81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139,605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CONDENSED CONSOLIDATED STATEMENTS OF COMPREHENSIVE INCOME (LOSS) (In thousands, except per share data and share amounts) (Unaudited)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0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Advisory fees: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Asset-based</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11,385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22,770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21,835</w:t>
            </w:r>
          </w:p>
        </w:tc>
        <w:tc>
          <w:tcPr>
            <w:tcW w:w="0" w:type="dxa"/>
            <w:vAlign w:val="bottom"/>
          </w:tcPr>
          <w:p>
            <w:pPr>
              <w:spacing w:after="0"/>
              <w:rPr>
                <w:sz w:val="1"/>
                <w:szCs w:val="1"/>
                <w:color w:val="auto"/>
              </w:rPr>
            </w:pPr>
          </w:p>
        </w:tc>
      </w:tr>
      <w:tr>
        <w:trPr>
          <w:trHeight w:val="200"/>
        </w:trPr>
        <w:tc>
          <w:tcPr>
            <w:tcW w:w="50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Performance-based</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1,959</w:t>
            </w: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Trust fees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11,080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12,281</w:t>
            </w:r>
          </w:p>
        </w:tc>
        <w:tc>
          <w:tcPr>
            <w:tcW w:w="0" w:type="dxa"/>
            <w:vAlign w:val="bottom"/>
          </w:tcPr>
          <w:p>
            <w:pPr>
              <w:spacing w:after="0"/>
              <w:rPr>
                <w:sz w:val="1"/>
                <w:szCs w:val="1"/>
                <w:color w:val="auto"/>
              </w:rPr>
            </w:pPr>
          </w:p>
        </w:tc>
      </w:tr>
      <w:tr>
        <w:trPr>
          <w:trHeight w:val="200"/>
        </w:trPr>
        <w:tc>
          <w:tcPr>
            <w:tcW w:w="5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Other, net</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(272)</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Total revenues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15,603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17,484</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32,819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35,803</w:t>
            </w:r>
          </w:p>
        </w:tc>
        <w:tc>
          <w:tcPr>
            <w:tcW w:w="0" w:type="dxa"/>
            <w:vAlign w:val="bottom"/>
          </w:tcPr>
          <w:p>
            <w:pPr>
              <w:spacing w:after="0"/>
              <w:rPr>
                <w:sz w:val="1"/>
                <w:szCs w:val="1"/>
                <w:color w:val="auto"/>
              </w:rPr>
            </w:pPr>
          </w:p>
        </w:tc>
      </w:tr>
      <w:tr>
        <w:trPr>
          <w:trHeight w:val="182"/>
        </w:trPr>
        <w:tc>
          <w:tcPr>
            <w:tcW w:w="50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Employee compensation and benefits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10,237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19,467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21,785</w:t>
            </w:r>
          </w:p>
        </w:tc>
        <w:tc>
          <w:tcPr>
            <w:tcW w:w="0" w:type="dxa"/>
            <w:vAlign w:val="bottom"/>
          </w:tcPr>
          <w:p>
            <w:pPr>
              <w:spacing w:after="0"/>
              <w:rPr>
                <w:sz w:val="1"/>
                <w:szCs w:val="1"/>
                <w:color w:val="auto"/>
              </w:rPr>
            </w:pPr>
          </w:p>
        </w:tc>
      </w:tr>
      <w:tr>
        <w:trPr>
          <w:trHeight w:val="200"/>
        </w:trPr>
        <w:tc>
          <w:tcPr>
            <w:tcW w:w="50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Sales and marketing</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w:t>
            </w: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Westwood mutual funds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1,197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759</w:t>
            </w:r>
          </w:p>
        </w:tc>
        <w:tc>
          <w:tcPr>
            <w:tcW w:w="0" w:type="dxa"/>
            <w:vAlign w:val="bottom"/>
          </w:tcPr>
          <w:p>
            <w:pPr>
              <w:spacing w:after="0"/>
              <w:rPr>
                <w:sz w:val="1"/>
                <w:szCs w:val="1"/>
                <w:color w:val="auto"/>
              </w:rPr>
            </w:pPr>
          </w:p>
        </w:tc>
      </w:tr>
      <w:tr>
        <w:trPr>
          <w:trHeight w:val="200"/>
        </w:trPr>
        <w:tc>
          <w:tcPr>
            <w:tcW w:w="50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Information technology</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4,253</w:t>
            </w: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Professional services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2,745</w:t>
            </w:r>
          </w:p>
        </w:tc>
        <w:tc>
          <w:tcPr>
            <w:tcW w:w="0" w:type="dxa"/>
            <w:vAlign w:val="bottom"/>
          </w:tcPr>
          <w:p>
            <w:pPr>
              <w:spacing w:after="0"/>
              <w:rPr>
                <w:sz w:val="1"/>
                <w:szCs w:val="1"/>
                <w:color w:val="auto"/>
              </w:rPr>
            </w:pPr>
          </w:p>
        </w:tc>
      </w:tr>
      <w:tr>
        <w:trPr>
          <w:trHeight w:val="200"/>
        </w:trPr>
        <w:tc>
          <w:tcPr>
            <w:tcW w:w="5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2,348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4,388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4,114</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Total expenses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16,001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16,706</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32,802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34,256</w:t>
            </w:r>
          </w:p>
        </w:tc>
        <w:tc>
          <w:tcPr>
            <w:tcW w:w="0" w:type="dxa"/>
            <w:vAlign w:val="bottom"/>
          </w:tcPr>
          <w:p>
            <w:pPr>
              <w:spacing w:after="0"/>
              <w:rPr>
                <w:sz w:val="1"/>
                <w:szCs w:val="1"/>
                <w:color w:val="auto"/>
              </w:rPr>
            </w:pPr>
          </w:p>
        </w:tc>
      </w:tr>
      <w:tr>
        <w:trPr>
          <w:trHeight w:val="194"/>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operating income (loss)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1,547</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Realized gains on private investments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8,371</w:t>
            </w:r>
          </w:p>
        </w:tc>
        <w:tc>
          <w:tcPr>
            <w:tcW w:w="0" w:type="dxa"/>
            <w:vAlign w:val="bottom"/>
          </w:tcPr>
          <w:p>
            <w:pPr>
              <w:spacing w:after="0"/>
              <w:rPr>
                <w:sz w:val="1"/>
                <w:szCs w:val="1"/>
                <w:color w:val="auto"/>
              </w:rPr>
            </w:pPr>
          </w:p>
        </w:tc>
      </w:tr>
      <w:tr>
        <w:trPr>
          <w:trHeight w:val="200"/>
        </w:trPr>
        <w:tc>
          <w:tcPr>
            <w:tcW w:w="50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Net change in unrealized appreciation (depreciation) on private investments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(2,111)</w:t>
            </w: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investment income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w:t>
            </w:r>
          </w:p>
        </w:tc>
        <w:tc>
          <w:tcPr>
            <w:tcW w:w="0" w:type="dxa"/>
            <w:vAlign w:val="bottom"/>
          </w:tcPr>
          <w:p>
            <w:pPr>
              <w:spacing w:after="0"/>
              <w:rPr>
                <w:sz w:val="1"/>
                <w:szCs w:val="1"/>
                <w:color w:val="auto"/>
              </w:rPr>
            </w:pPr>
          </w:p>
        </w:tc>
      </w:tr>
      <w:tr>
        <w:trPr>
          <w:trHeight w:val="200"/>
        </w:trPr>
        <w:tc>
          <w:tcPr>
            <w:tcW w:w="5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Other income</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392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(loss) before income taxes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1,416</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8,430</w:t>
            </w:r>
          </w:p>
        </w:tc>
        <w:tc>
          <w:tcPr>
            <w:tcW w:w="0" w:type="dxa"/>
            <w:vAlign w:val="bottom"/>
          </w:tcPr>
          <w:p>
            <w:pPr>
              <w:spacing w:after="0"/>
              <w:rPr>
                <w:sz w:val="1"/>
                <w:szCs w:val="1"/>
                <w:color w:val="auto"/>
              </w:rPr>
            </w:pPr>
          </w:p>
        </w:tc>
      </w:tr>
      <w:tr>
        <w:trPr>
          <w:trHeight w:val="194"/>
        </w:trPr>
        <w:tc>
          <w:tcPr>
            <w:tcW w:w="5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Income tax provision</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464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3,359</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b w:val="1"/>
                <w:bCs w:val="1"/>
                <w:color w:val="auto"/>
              </w:rPr>
              <w:t>Net income (loss)</w:t>
            </w:r>
          </w:p>
        </w:tc>
        <w:tc>
          <w:tcPr>
            <w:tcW w:w="340" w:type="dxa"/>
            <w:vAlign w:val="bottom"/>
            <w:tcBorders>
              <w:bottom w:val="single" w:sz="8" w:color="auto"/>
            </w:tcBorders>
            <w:shd w:val="clear" w:color="auto" w:fill="CCEEFF"/>
          </w:tcPr>
          <w:p>
            <w:pPr>
              <w:jc w:val="right"/>
              <w:ind w:right="164"/>
              <w:spacing w:after="0" w:line="172"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(378)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4"/>
              <w:spacing w:after="0" w:line="172"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970</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4"/>
              <w:spacing w:after="0" w:line="172"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(328)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4"/>
              <w:spacing w:after="0" w:line="172"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5,071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comprehensive income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080" w:type="dxa"/>
            <w:vAlign w:val="bottom"/>
            <w:vMerge w:val="continue"/>
          </w:tcPr>
          <w:p>
            <w:pPr>
              <w:spacing w:after="0"/>
              <w:rPr>
                <w:sz w:val="15"/>
                <w:szCs w:val="15"/>
                <w:color w:val="auto"/>
              </w:rPr>
            </w:pP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(378)</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970</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(328)</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5,071</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5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Earnings (loss) per share: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Basic</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0.64</w:t>
            </w:r>
          </w:p>
        </w:tc>
        <w:tc>
          <w:tcPr>
            <w:tcW w:w="0" w:type="dxa"/>
            <w:vAlign w:val="bottom"/>
          </w:tcPr>
          <w:p>
            <w:pPr>
              <w:spacing w:after="0"/>
              <w:rPr>
                <w:sz w:val="1"/>
                <w:szCs w:val="1"/>
                <w:color w:val="auto"/>
              </w:rPr>
            </w:pPr>
          </w:p>
        </w:tc>
      </w:tr>
      <w:tr>
        <w:trPr>
          <w:trHeight w:val="200"/>
        </w:trPr>
        <w:tc>
          <w:tcPr>
            <w:tcW w:w="50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Diluted</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0.12</w:t>
            </w:r>
          </w:p>
        </w:tc>
        <w:tc>
          <w:tcPr>
            <w:tcW w:w="12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0.64</w:t>
            </w: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shares outstanding:</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Basic</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7,944,212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7,884,771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7,904,911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7,885,901</w:t>
            </w: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Diluted</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7,944,212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7,928,106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7,904,911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7,922,742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gridSpan w:val="8"/>
          </w:tcPr>
          <w:p>
            <w:pPr>
              <w:ind w:left="36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43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3"/>
          </w:tcPr>
          <w:p>
            <w:pPr>
              <w:ind w:left="2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20" w:type="dxa"/>
            <w:vAlign w:val="bottom"/>
          </w:tcPr>
          <w:p>
            <w:pPr>
              <w:spacing w:after="0"/>
              <w:rPr>
                <w:sz w:val="17"/>
                <w:szCs w:val="17"/>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200" w:type="dxa"/>
            <w:vAlign w:val="bottom"/>
          </w:tcPr>
          <w:p>
            <w:pPr>
              <w:spacing w:after="0"/>
              <w:rPr>
                <w:sz w:val="17"/>
                <w:szCs w:val="17"/>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10"/>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2022</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8,575,451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196,564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117,260</w:t>
            </w: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stock, net of forfeitures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($0.15 per share)</w:t>
            </w:r>
          </w:p>
        </w:tc>
        <w:tc>
          <w:tcPr>
            <w:tcW w:w="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w:t>
            </w: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w:t>
            </w: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(93,875)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w:t>
            </w:r>
          </w:p>
        </w:tc>
      </w:tr>
      <w:tr>
        <w:trPr>
          <w:trHeight w:val="234"/>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2022</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8,511,014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198,084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(83,970)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115,718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773"/>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8"/>
          </w:tcPr>
          <w:p>
            <w:pPr>
              <w:ind w:left="36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Treasury</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20" w:type="dxa"/>
            <w:vAlign w:val="bottom"/>
          </w:tcPr>
          <w:p>
            <w:pPr>
              <w:spacing w:after="0"/>
              <w:rPr>
                <w:sz w:val="17"/>
                <w:szCs w:val="17"/>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200" w:type="dxa"/>
            <w:vAlign w:val="bottom"/>
          </w:tcPr>
          <w:p>
            <w:pPr>
              <w:spacing w:after="0"/>
              <w:rPr>
                <w:sz w:val="17"/>
                <w:szCs w:val="17"/>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10"/>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2021</w:t>
            </w: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8,313,003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211,988</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(80,255)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133,445</w:t>
            </w: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stock, net of forfeitures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($0.10 per share)</w:t>
            </w:r>
          </w:p>
        </w:tc>
        <w:tc>
          <w:tcPr>
            <w:tcW w:w="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35"/>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8,324,702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213,362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(80,551)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134,676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8"/>
          </w:tcPr>
          <w:p>
            <w:pPr>
              <w:ind w:left="38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140" w:type="dxa"/>
            <w:vAlign w:val="bottom"/>
          </w:tcPr>
          <w:p>
            <w:pPr>
              <w:spacing w:after="0"/>
              <w:rPr>
                <w:sz w:val="18"/>
                <w:szCs w:val="18"/>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8"/>
                <w:szCs w:val="18"/>
                <w:color w:val="auto"/>
              </w:rPr>
            </w:pPr>
          </w:p>
        </w:tc>
        <w:tc>
          <w:tcPr>
            <w:tcW w:w="920" w:type="dxa"/>
            <w:vAlign w:val="bottom"/>
            <w:gridSpan w:val="4"/>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4"/>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40" w:type="dxa"/>
            <w:vAlign w:val="bottom"/>
          </w:tcPr>
          <w:p>
            <w:pPr>
              <w:spacing w:after="0"/>
              <w:rPr>
                <w:sz w:val="17"/>
                <w:szCs w:val="17"/>
                <w:color w:val="auto"/>
              </w:rPr>
            </w:pPr>
          </w:p>
        </w:tc>
        <w:tc>
          <w:tcPr>
            <w:tcW w:w="920" w:type="dxa"/>
            <w:vAlign w:val="bottom"/>
            <w:gridSpan w:val="4"/>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200" w:type="dxa"/>
            <w:vAlign w:val="bottom"/>
          </w:tcPr>
          <w:p>
            <w:pPr>
              <w:spacing w:after="0"/>
              <w:rPr>
                <w:sz w:val="17"/>
                <w:szCs w:val="17"/>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8,253,491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195,187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(81,750)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117,906</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stock, net of forfeitures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 declared ($0.30 per share)</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returned for payment of taxes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207"/>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2022</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8,511,014</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198,084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(83,970)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115,718</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8"/>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140" w:type="dxa"/>
            <w:vAlign w:val="bottom"/>
          </w:tcPr>
          <w:p>
            <w:pPr>
              <w:spacing w:after="0"/>
              <w:rPr>
                <w:sz w:val="24"/>
                <w:szCs w:val="24"/>
                <w:color w:val="auto"/>
              </w:rPr>
            </w:pPr>
          </w:p>
        </w:tc>
        <w:tc>
          <w:tcPr>
            <w:tcW w:w="10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24"/>
                <w:szCs w:val="24"/>
                <w:color w:val="auto"/>
              </w:rPr>
            </w:pPr>
          </w:p>
        </w:tc>
        <w:tc>
          <w:tcPr>
            <w:tcW w:w="92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8"/>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gridSpan w:val="3"/>
          </w:tcPr>
          <w:p>
            <w:pPr>
              <w:spacing w:after="0"/>
              <w:rPr>
                <w:sz w:val="17"/>
                <w:szCs w:val="17"/>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40" w:type="dxa"/>
            <w:vAlign w:val="bottom"/>
          </w:tcPr>
          <w:p>
            <w:pPr>
              <w:spacing w:after="0"/>
              <w:rPr>
                <w:sz w:val="17"/>
                <w:szCs w:val="17"/>
                <w:color w:val="auto"/>
              </w:rPr>
            </w:pPr>
          </w:p>
        </w:tc>
        <w:tc>
          <w:tcPr>
            <w:tcW w:w="920" w:type="dxa"/>
            <w:vAlign w:val="bottom"/>
            <w:gridSpan w:val="4"/>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00" w:type="dxa"/>
            <w:vAlign w:val="bottom"/>
          </w:tcPr>
          <w:p>
            <w:pPr>
              <w:spacing w:after="0"/>
              <w:rPr>
                <w:sz w:val="17"/>
                <w:szCs w:val="17"/>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2020</w:t>
            </w:r>
          </w:p>
        </w:tc>
        <w:tc>
          <w:tcPr>
            <w:tcW w:w="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8,326,948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210,268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130,711</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5,071</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stock, net of forfeitures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 declared ($0.20 per share)</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returned for payment of taxes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207"/>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2021</w:t>
            </w:r>
          </w:p>
        </w:tc>
        <w:tc>
          <w:tcPr>
            <w:tcW w:w="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8,324,702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213,362</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(80,551)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134,676</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146"/>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540" w:type="dxa"/>
            <w:vAlign w:val="bottom"/>
            <w:tcBorders>
              <w:bottom w:val="single" w:sz="8" w:color="auto"/>
            </w:tcBorders>
          </w:tcPr>
          <w:p>
            <w:pPr>
              <w:spacing w:after="0"/>
              <w:rPr>
                <w:sz w:val="17"/>
                <w:szCs w:val="17"/>
                <w:color w:val="auto"/>
              </w:rPr>
            </w:pPr>
          </w:p>
        </w:tc>
      </w:tr>
      <w:tr>
        <w:trPr>
          <w:trHeight w:val="200"/>
        </w:trPr>
        <w:tc>
          <w:tcPr>
            <w:tcW w:w="79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2021</w:t>
            </w:r>
          </w:p>
        </w:tc>
        <w:tc>
          <w:tcPr>
            <w:tcW w:w="540" w:type="dxa"/>
            <w:vAlign w:val="bottom"/>
            <w:tcBorders>
              <w:bottom w:val="single" w:sz="8" w:color="auto"/>
            </w:tcBorders>
          </w:tcPr>
          <w:p>
            <w:pPr>
              <w:spacing w:after="0"/>
              <w:rPr>
                <w:sz w:val="17"/>
                <w:szCs w:val="17"/>
                <w:color w:val="auto"/>
              </w:rPr>
            </w:pPr>
          </w:p>
        </w:tc>
      </w:tr>
      <w:tr>
        <w:trPr>
          <w:trHeight w:val="18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95"/>
        </w:trPr>
        <w:tc>
          <w:tcPr>
            <w:tcW w:w="7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 (loss)</w:t>
            </w:r>
          </w:p>
        </w:tc>
        <w:tc>
          <w:tcPr>
            <w:tcW w:w="1040" w:type="dxa"/>
            <w:vAlign w:val="bottom"/>
          </w:tcPr>
          <w:p>
            <w:pPr>
              <w:jc w:val="right"/>
              <w:ind w:right="865"/>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1060" w:type="dxa"/>
            <w:vAlign w:val="bottom"/>
          </w:tcPr>
          <w:p>
            <w:pPr>
              <w:jc w:val="right"/>
              <w:ind w:right="886"/>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5,071</w:t>
            </w: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95"/>
        </w:trPr>
        <w:tc>
          <w:tcPr>
            <w:tcW w:w="79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Depreciation</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r>
      <w:tr>
        <w:trPr>
          <w:trHeight w:val="195"/>
        </w:trPr>
        <w:tc>
          <w:tcPr>
            <w:tcW w:w="79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change in unrealized depreciation on investments</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w:t>
            </w: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Realized gains on private investments</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(8,371)</w:t>
            </w:r>
          </w:p>
        </w:tc>
      </w:tr>
      <w:tr>
        <w:trPr>
          <w:trHeight w:val="195"/>
        </w:trPr>
        <w:tc>
          <w:tcPr>
            <w:tcW w:w="79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w:t>
            </w: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Deferred income taxes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5"/>
        </w:trPr>
        <w:tc>
          <w:tcPr>
            <w:tcW w:w="79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Non-cash lease expense</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Gain on asset disposition</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r>
      <w:tr>
        <w:trPr>
          <w:trHeight w:val="195"/>
        </w:trPr>
        <w:tc>
          <w:tcPr>
            <w:tcW w:w="7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sales (purchases) of trading securities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(5,642)</w:t>
            </w:r>
          </w:p>
        </w:tc>
      </w:tr>
      <w:tr>
        <w:trPr>
          <w:trHeight w:val="195"/>
        </w:trPr>
        <w:tc>
          <w:tcPr>
            <w:tcW w:w="79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current assets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r>
      <w:tr>
        <w:trPr>
          <w:trHeight w:val="195"/>
        </w:trPr>
        <w:tc>
          <w:tcPr>
            <w:tcW w:w="79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Compensation and benefits payable</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w:t>
            </w:r>
          </w:p>
        </w:tc>
      </w:tr>
      <w:tr>
        <w:trPr>
          <w:trHeight w:val="195"/>
        </w:trPr>
        <w:tc>
          <w:tcPr>
            <w:tcW w:w="79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Income taxes payable</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2,899</w:t>
            </w: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liabilities</w:t>
            </w:r>
          </w:p>
        </w:tc>
        <w:tc>
          <w:tcPr>
            <w:tcW w:w="10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r>
      <w:tr>
        <w:trPr>
          <w:trHeight w:val="190"/>
        </w:trPr>
        <w:tc>
          <w:tcPr>
            <w:tcW w:w="7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12,141</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w:t>
            </w:r>
          </w:p>
        </w:tc>
      </w:tr>
      <w:tr>
        <w:trPr>
          <w:trHeight w:val="18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95"/>
        </w:trPr>
        <w:tc>
          <w:tcPr>
            <w:tcW w:w="7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 of investments</w:t>
            </w:r>
          </w:p>
        </w:tc>
        <w:tc>
          <w:tcPr>
            <w:tcW w:w="10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9,258</w:t>
            </w: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Sale of property and equipment</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r>
      <w:tr>
        <w:trPr>
          <w:trHeight w:val="195"/>
        </w:trPr>
        <w:tc>
          <w:tcPr>
            <w:tcW w:w="7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 of investments</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0"/>
        </w:trPr>
        <w:tc>
          <w:tcPr>
            <w:tcW w:w="7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0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9,651</w:t>
            </w:r>
          </w:p>
        </w:tc>
      </w:tr>
      <w:tr>
        <w:trPr>
          <w:trHeight w:val="18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240"/>
          </w:cols>
          <w:pgMar w:left="320" w:top="1251" w:right="339" w:bottom="1440" w:gutter="0" w:footer="0" w:header="0"/>
        </w:sectPr>
      </w:pPr>
    </w:p>
    <w:p>
      <w:pPr>
        <w:ind w:left="360"/>
        <w:spacing w:after="0"/>
        <w:rPr>
          <w:sz w:val="20"/>
          <w:szCs w:val="20"/>
          <w:color w:val="auto"/>
        </w:rPr>
      </w:pPr>
      <w:r>
        <w:rPr>
          <w:rFonts w:ascii="Times New Roman" w:cs="Times New Roman" w:eastAsia="Times New Roman" w:hAnsi="Times New Roman"/>
          <w:sz w:val="14"/>
          <w:szCs w:val="14"/>
          <w:color w:val="auto"/>
        </w:rPr>
        <w:t>Purchases of treasury stock</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Restricted stock returned for payment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Cash dividends paid</w:t>
      </w:r>
    </w:p>
    <w:p>
      <w:pPr>
        <w:spacing w:after="0" w:line="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Effect of currency rate changes on cash</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r>
      <w:tr>
        <w:trPr>
          <w:trHeight w:val="193"/>
        </w:trPr>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r>
      <w:tr>
        <w:trPr>
          <w:trHeight w:val="203"/>
        </w:trPr>
        <w:tc>
          <w:tcPr>
            <w:tcW w:w="6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w:t>
            </w:r>
          </w:p>
        </w:tc>
      </w:tr>
      <w:tr>
        <w:trPr>
          <w:trHeight w:val="23"/>
        </w:trPr>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(5,294)</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(4,203)</w:t>
            </w:r>
          </w:p>
        </w:tc>
      </w:tr>
      <w:tr>
        <w:trPr>
          <w:trHeight w:val="196"/>
        </w:trPr>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6"/>
        </w:trPr>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6,769</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4,231</w:t>
            </w:r>
          </w:p>
        </w:tc>
      </w:tr>
      <w:tr>
        <w:trPr>
          <w:trHeight w:val="196"/>
        </w:trPr>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15,206</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13,016</w:t>
            </w:r>
          </w:p>
        </w:tc>
      </w:tr>
      <w:tr>
        <w:trPr>
          <w:trHeight w:val="176"/>
        </w:trPr>
        <w:tc>
          <w:tcPr>
            <w:tcW w:w="6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21,975</w:t>
            </w: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17,247</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7220" w:space="720"/>
            <w:col w:w="3300"/>
          </w:cols>
          <w:pgMar w:left="320" w:top="1251"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during the period for income taxes</w:t>
            </w:r>
          </w:p>
        </w:tc>
        <w:tc>
          <w:tcPr>
            <w:tcW w:w="3140" w:type="dxa"/>
            <w:vAlign w:val="bottom"/>
            <w:shd w:val="clear" w:color="auto" w:fill="CCEEFF"/>
          </w:tcPr>
          <w:p>
            <w:pPr>
              <w:jc w:val="right"/>
              <w:ind w:right="487"/>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1,791</w:t>
            </w:r>
          </w:p>
        </w:tc>
        <w:tc>
          <w:tcPr>
            <w:tcW w:w="720" w:type="dxa"/>
            <w:vAlign w:val="bottom"/>
            <w:shd w:val="clear" w:color="auto" w:fill="CCEEFF"/>
          </w:tcPr>
          <w:p>
            <w:pPr>
              <w:jc w:val="right"/>
              <w:ind w:right="487"/>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r>
      <w:tr>
        <w:trPr>
          <w:trHeight w:val="195"/>
        </w:trPr>
        <w:tc>
          <w:tcPr>
            <w:tcW w:w="5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dividends</w:t>
            </w:r>
          </w:p>
        </w:tc>
        <w:tc>
          <w:tcPr>
            <w:tcW w:w="3140" w:type="dxa"/>
            <w:vAlign w:val="bottom"/>
          </w:tcPr>
          <w:p>
            <w:pPr>
              <w:jc w:val="right"/>
              <w:ind w:right="487"/>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2,214</w:t>
            </w:r>
          </w:p>
        </w:tc>
        <w:tc>
          <w:tcPr>
            <w:tcW w:w="720" w:type="dxa"/>
            <w:vAlign w:val="bottom"/>
          </w:tcPr>
          <w:p>
            <w:pPr>
              <w:jc w:val="right"/>
              <w:ind w:right="487"/>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r>
      <w:tr>
        <w:trPr>
          <w:trHeight w:val="210"/>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Accrued purchases of treasury stock</w:t>
            </w:r>
          </w:p>
        </w:tc>
        <w:tc>
          <w:tcPr>
            <w:tcW w:w="3140" w:type="dxa"/>
            <w:vAlign w:val="bottom"/>
            <w:shd w:val="clear" w:color="auto" w:fill="CCEEFF"/>
          </w:tcPr>
          <w:p>
            <w:pPr>
              <w:jc w:val="right"/>
              <w:ind w:right="487"/>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190</w:t>
            </w:r>
          </w:p>
        </w:tc>
        <w:tc>
          <w:tcPr>
            <w:tcW w:w="720" w:type="dxa"/>
            <w:vAlign w:val="bottom"/>
            <w:shd w:val="clear" w:color="auto" w:fill="CCEEFF"/>
          </w:tcPr>
          <w:p>
            <w:pPr>
              <w:jc w:val="right"/>
              <w:ind w:right="487"/>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7" w:name="page8"/>
    <w:bookmarkEnd w:id="7"/>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and Westwood Advisors, L.L.C. (referred to hereinafter together as “Westwood Management”) and Westwood Trust.</w:t>
      </w:r>
    </w:p>
    <w:p>
      <w:pPr>
        <w:spacing w:after="0" w:line="68"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auto"/>
        </w:rPr>
        <w:t>Westwood Management provides investment advisory services to institutional clients, a family of mutual funds called the Westwood Funds®, other mutual funds,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Accordingly, fluctuations in financial markets and in the composition of AUM impact our revenues and results of operations.</w:t>
      </w:r>
    </w:p>
    <w:p>
      <w:pPr>
        <w:spacing w:after="0" w:line="56"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Westwood Management is registered with the Securities and Exchange Commission ("SEC") as an investment advisor ("RIA") under the Investment Advisers Act of 1940. Westwood Trust is chartered and regulated by the Texas Department of Banking.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Acquisition</w:t>
      </w:r>
    </w:p>
    <w:p>
      <w:pPr>
        <w:spacing w:after="0" w:line="12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On May 26, 2022, we announced our acquisition of Salient Partners' ("Salient") asset management business for an upfront payment of $35.0 million on closing, with deferred payments of up to $25.0 million over several years, subject to satisfaction of certain revenue retention and growth targets. The transaction is subject to customary closing conditions, including fund shareholder and other client approvals.</w:t>
      </w:r>
    </w:p>
    <w:p>
      <w:pPr>
        <w:spacing w:after="0" w:line="68"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Salient is a real asset and alternative investment firm that offers a suite of strategies focused on energy and infrastructure, real estate and tactical alternative investments.</w:t>
      </w:r>
    </w:p>
    <w:p>
      <w:pPr>
        <w:spacing w:after="0" w:line="50" w:lineRule="exact"/>
        <w:rPr>
          <w:sz w:val="20"/>
          <w:szCs w:val="20"/>
          <w:color w:val="auto"/>
        </w:rPr>
      </w:pPr>
    </w:p>
    <w:p>
      <w:pPr>
        <w:ind w:left="40" w:right="6340" w:hanging="32"/>
        <w:spacing w:after="0" w:line="378" w:lineRule="auto"/>
        <w:tabs>
          <w:tab w:leader="none" w:pos="1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w:t>
      </w:r>
    </w:p>
    <w:p>
      <w:pPr>
        <w:spacing w:after="0" w:line="79"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2021.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pacing w:after="0" w:line="71" w:lineRule="exact"/>
        <w:rPr>
          <w:sz w:val="20"/>
          <w:szCs w:val="20"/>
          <w:color w:val="auto"/>
        </w:rPr>
      </w:pPr>
    </w:p>
    <w:p>
      <w:pPr>
        <w:ind w:right="9580" w:firstLine="8"/>
        <w:spacing w:after="0" w:line="37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Revenue Recognition</w:t>
      </w:r>
    </w:p>
    <w:p>
      <w:pPr>
        <w:ind w:firstLine="486"/>
        <w:spacing w:after="0" w:line="256" w:lineRule="auto"/>
        <w:rPr>
          <w:sz w:val="20"/>
          <w:szCs w:val="20"/>
          <w:color w:val="auto"/>
        </w:rPr>
      </w:pPr>
      <w:r>
        <w:rPr>
          <w:rFonts w:ascii="Times New Roman" w:cs="Times New Roman" w:eastAsia="Times New Roman" w:hAnsi="Times New Roman"/>
          <w:sz w:val="18"/>
          <w:szCs w:val="18"/>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such as gains and losses from our seed money investments into new investment strategies, which are included in “Other, net” revenues on our Condensed Consolidated Statements of Comprehensive Income (Loss). Advisory and trust fees are calculated based on a percentage of AUM and the performance obligation is realized over the current calendar quarter. Once clients receive our investment advisory services we have an enforceable right to payment.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Fee Revenues</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advisory fees are generated by Westwood Management which manages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81"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spacing w:after="0" w:line="72" w:lineRule="exact"/>
        <w:rPr>
          <w:sz w:val="20"/>
          <w:szCs w:val="20"/>
          <w:color w:val="auto"/>
        </w:rPr>
      </w:pPr>
    </w:p>
    <w:p>
      <w:pPr>
        <w:jc w:val="both"/>
        <w:ind w:right="640" w:firstLine="486"/>
        <w:spacing w:after="0" w:line="312" w:lineRule="auto"/>
        <w:rPr>
          <w:sz w:val="20"/>
          <w:szCs w:val="20"/>
          <w:color w:val="auto"/>
        </w:rPr>
      </w:pPr>
      <w:r>
        <w:rPr>
          <w:rFonts w:ascii="Times New Roman" w:cs="Times New Roman" w:eastAsia="Times New Roman" w:hAnsi="Times New Roman"/>
          <w:sz w:val="17"/>
          <w:szCs w:val="17"/>
          <w:color w:val="auto"/>
        </w:rPr>
        <w:t>Mutual funds include the Westwood Funds®, a family of mutual funds for which Westwood Management serves as advisor. These funds are available to individual investors, as well as offered as part of our investment strategies for institutional investors and wealth management accounts.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Performance-Based Obligations</w:t>
      </w:r>
    </w:p>
    <w:p>
      <w:pPr>
        <w:spacing w:after="0" w:line="121"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w:t>
      </w:r>
    </w:p>
    <w:p>
      <w:pPr>
        <w:spacing w:after="0" w:line="6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revenue is based on future market performance and is subject to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Fee Revenues</w:t>
      </w:r>
    </w:p>
    <w:p>
      <w:pPr>
        <w:spacing w:after="0" w:line="12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Condensed Consolidated Financial Statements contain no deferred advisory fee revenues.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Disaggregated</w:t>
      </w:r>
    </w:p>
    <w:p>
      <w:pPr>
        <w:spacing w:after="0" w:line="121" w:lineRule="exact"/>
        <w:rPr>
          <w:sz w:val="20"/>
          <w:szCs w:val="20"/>
          <w:color w:val="auto"/>
        </w:rPr>
      </w:pPr>
    </w:p>
    <w:p>
      <w:pPr>
        <w:ind w:right="160" w:firstLine="486"/>
        <w:spacing w:after="0" w:line="275" w:lineRule="auto"/>
        <w:rPr>
          <w:sz w:val="20"/>
          <w:szCs w:val="20"/>
          <w:color w:val="auto"/>
        </w:rPr>
      </w:pPr>
      <w:r>
        <w:rPr>
          <w:rFonts w:ascii="Times New Roman" w:cs="Times New Roman" w:eastAsia="Times New Roman" w:hAnsi="Times New Roman"/>
          <w:sz w:val="18"/>
          <w:szCs w:val="18"/>
          <w:color w:val="auto"/>
        </w:rPr>
        <w:t>Sales taxes are excluded from revenues. The following table presents our revenue disaggregated by account type (in thousands). In 2021, we recast certain prior year revenues related to performance-based fees.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0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Fees: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Institutional</w:t>
            </w:r>
          </w:p>
        </w:tc>
        <w:tc>
          <w:tcPr>
            <w:tcW w:w="108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100" w:type="dxa"/>
            <w:vAlign w:val="bottom"/>
          </w:tcPr>
          <w:p>
            <w:pPr>
              <w:spacing w:after="0"/>
              <w:rPr>
                <w:sz w:val="19"/>
                <w:szCs w:val="19"/>
                <w:color w:val="auto"/>
              </w:rPr>
            </w:pP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16,083</w:t>
            </w:r>
          </w:p>
        </w:tc>
      </w:tr>
      <w:tr>
        <w:trPr>
          <w:trHeight w:val="230"/>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r>
      <w:tr>
        <w:trPr>
          <w:trHeight w:val="229"/>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Fees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w:t>
            </w:r>
          </w:p>
        </w:tc>
      </w:tr>
      <w:tr>
        <w:trPr>
          <w:trHeight w:val="23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48"/>
        </w:trPr>
        <w:tc>
          <w:tcPr>
            <w:tcW w:w="4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We serve clients primarily in the United States, as well as in certain international locations. The following table presents our revenue disaggregated by our clients' geographical locations (in thousands):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18"/>
                <w:szCs w:val="18"/>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29"/>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10,677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15,300</w:t>
            </w: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2021</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24"/>
                <w:szCs w:val="24"/>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11,088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17,187</w:t>
            </w: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754"/>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24"/>
                <w:szCs w:val="24"/>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3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22,176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32,225</w:t>
            </w: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22,770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32,819</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2021</w:t>
            </w:r>
          </w:p>
        </w:tc>
        <w:tc>
          <w:tcPr>
            <w:tcW w:w="20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1200" w:type="dxa"/>
            <w:vAlign w:val="bottom"/>
            <w:gridSpan w:val="3"/>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Trust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Performance-based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34,330</w:t>
            </w: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35,803</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REPORTING</w:t>
      </w:r>
    </w:p>
    <w:p>
      <w:pPr>
        <w:spacing w:after="0" w:line="175"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The Company’s chief operating decision maker, our Chief Executive Officer, evaluates the performance of our segments based primarily on fee revenues and Economic Earnings.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w:t>
      </w:r>
    </w:p>
    <w:p>
      <w:pPr>
        <w:spacing w:after="0" w:line="121" w:lineRule="exact"/>
        <w:rPr>
          <w:sz w:val="20"/>
          <w:szCs w:val="20"/>
          <w:color w:val="auto"/>
        </w:rPr>
      </w:pPr>
    </w:p>
    <w:p>
      <w:pPr>
        <w:ind w:right="80" w:firstLine="486"/>
        <w:spacing w:after="0" w:line="281" w:lineRule="auto"/>
        <w:rPr>
          <w:sz w:val="20"/>
          <w:szCs w:val="20"/>
          <w:color w:val="auto"/>
        </w:rPr>
      </w:pPr>
      <w:r>
        <w:rPr>
          <w:rFonts w:ascii="Times New Roman" w:cs="Times New Roman" w:eastAsia="Times New Roman" w:hAnsi="Times New Roman"/>
          <w:sz w:val="17"/>
          <w:szCs w:val="17"/>
          <w:color w:val="auto"/>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collective investment trusts. Westwood Management provides investment advisory services to similar clients, and is included in our Advisory segment.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Trust provides trust and custodial services and participation in common trust funds that it sponsors to institutions and high net worth individuals.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Westwood Trust is included in our Trust segment.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20" w:type="dxa"/>
            <w:vAlign w:val="bottom"/>
          </w:tcPr>
          <w:p>
            <w:pPr>
              <w:spacing w:after="0"/>
              <w:rPr>
                <w:sz w:val="16"/>
                <w:szCs w:val="16"/>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Westwood</w:t>
            </w:r>
          </w:p>
        </w:tc>
        <w:tc>
          <w:tcPr>
            <w:tcW w:w="160" w:type="dxa"/>
            <w:vAlign w:val="bottom"/>
          </w:tcPr>
          <w:p>
            <w:pPr>
              <w:spacing w:after="0"/>
              <w:rPr>
                <w:sz w:val="16"/>
                <w:szCs w:val="16"/>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6"/>
                <w:szCs w:val="16"/>
                <w:color w:val="auto"/>
              </w:rPr>
            </w:pPr>
          </w:p>
        </w:tc>
        <w:tc>
          <w:tcPr>
            <w:tcW w:w="114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5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Holdings</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16,345</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129,925</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goodwill</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17,601</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211,651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152,264</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goodwill</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0" w:type="dxa"/>
            <w:vAlign w:val="bottom"/>
          </w:tcPr>
          <w:p>
            <w:pPr>
              <w:spacing w:after="0"/>
              <w:rPr>
                <w:sz w:val="1"/>
                <w:szCs w:val="1"/>
                <w:color w:val="auto"/>
              </w:rPr>
            </w:pPr>
          </w:p>
        </w:tc>
      </w:tr>
      <w:tr>
        <w:trPr>
          <w:trHeight w:val="770"/>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20" w:type="dxa"/>
            <w:vAlign w:val="bottom"/>
          </w:tcPr>
          <w:p>
            <w:pPr>
              <w:spacing w:after="0"/>
              <w:rPr>
                <w:sz w:val="24"/>
                <w:szCs w:val="24"/>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4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Westwood</w:t>
            </w:r>
          </w:p>
        </w:tc>
        <w:tc>
          <w:tcPr>
            <w:tcW w:w="16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24"/>
                <w:szCs w:val="24"/>
                <w:color w:val="auto"/>
              </w:rPr>
            </w:pPr>
          </w:p>
        </w:tc>
        <w:tc>
          <w:tcPr>
            <w:tcW w:w="114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5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Holdings</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33,850</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36,075</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During 2018, we made a $5.4 million strategic investment in InvestCloud, a digital financial services provider ("InvestCloud"), which is included in “Investments” on our Condensed Consolidated Balance Sheets. This investment represents an equity interest in a private company without a readily determinable fair value. The Company has elected to apply the measurement alternative of cost minus impairment, if any, plus or minus changes resulting from observable price changes.</w:t>
      </w:r>
    </w:p>
    <w:p>
      <w:pPr>
        <w:spacing w:after="0" w:line="72" w:lineRule="exact"/>
        <w:rPr>
          <w:sz w:val="20"/>
          <w:szCs w:val="20"/>
          <w:color w:val="auto"/>
        </w:rPr>
      </w:pPr>
    </w:p>
    <w:p>
      <w:pPr>
        <w:ind w:right="520" w:firstLine="486"/>
        <w:spacing w:after="0" w:line="266" w:lineRule="auto"/>
        <w:rPr>
          <w:sz w:val="20"/>
          <w:szCs w:val="20"/>
          <w:color w:val="auto"/>
        </w:rPr>
      </w:pPr>
      <w:r>
        <w:rPr>
          <w:rFonts w:ascii="Times New Roman" w:cs="Times New Roman" w:eastAsia="Times New Roman" w:hAnsi="Times New Roman"/>
          <w:sz w:val="18"/>
          <w:szCs w:val="18"/>
          <w:color w:val="auto"/>
        </w:rPr>
        <w:t>Following observable price changes for this investment in the year ended December 31, 2019, we recorded an unrealized gain of $2.8 million. Following InvestCloud's recapitalization in the first quarter of 2021, we recorded a realized gain of approximately $8.3 million when our originally purchased shares were redeemed. Following this redemption we re-invested $4.4 million of our proceeds into newly issued shares of InvestCloud.</w:t>
      </w:r>
    </w:p>
    <w:p>
      <w:pPr>
        <w:spacing w:after="0" w:line="68"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Our investment in Charis, the parent company of Westwood Private Bank ("Charis"), is included in “Noncurrent investments at fair value” on our Condensed Consolidated Balance Sheets and is measured at fair value on a recurring basis.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each of the three and six months ended June 30, 2022, we reported unrealized losses of approximately $0.3 million following fair value decreases from market transactions. In the three and six months ended June 30, 2021, we reported unrealized gains of approximately $0.2 million and $0.7 million, respectively, following fair value increases from market transactions.</w:t>
      </w:r>
    </w:p>
    <w:p>
      <w:pPr>
        <w:spacing w:after="0" w:line="68"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In 2019 we made a $0.3 million investment in Westwood Hospitality Fund I, LLC, a private investment fund. Our investment is included in “Noncurrent investments at fair value” on our Condensed Consolidated Balance Sheets and is measured at fair value on a recurring basis using net asset value (“NAV”) as a practical expedient.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other investments are carried at fair value on a recurring basis and are accounted for as trading securities.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Investments carried at fair value are presented in the table below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6"/>
                <w:szCs w:val="16"/>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60" w:type="dxa"/>
            <w:vAlign w:val="bottom"/>
          </w:tcPr>
          <w:p>
            <w:pPr>
              <w:spacing w:after="0"/>
              <w:rPr>
                <w:sz w:val="14"/>
                <w:szCs w:val="14"/>
                <w:color w:val="auto"/>
              </w:rPr>
            </w:pPr>
          </w:p>
        </w:tc>
        <w:tc>
          <w:tcPr>
            <w:tcW w:w="960" w:type="dxa"/>
            <w:vAlign w:val="bottom"/>
          </w:tcPr>
          <w:p>
            <w:pPr>
              <w:jc w:val="center"/>
              <w:ind w:right="71"/>
              <w:spacing w:after="0" w:line="162"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214"/>
        </w:trPr>
        <w:tc>
          <w:tcPr>
            <w:tcW w:w="6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Pr>
          <w:p>
            <w:pPr>
              <w:spacing w:after="0"/>
              <w:rPr>
                <w:sz w:val="18"/>
                <w:szCs w:val="18"/>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40,004</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Exchange-traded bond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51,606</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0" w:type="dxa"/>
            <w:vAlign w:val="bottom"/>
          </w:tcPr>
          <w:p>
            <w:pPr>
              <w:spacing w:after="0"/>
              <w:rPr>
                <w:sz w:val="1"/>
                <w:szCs w:val="1"/>
                <w:color w:val="auto"/>
              </w:rPr>
            </w:pP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56,473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55,855</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39,435</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19,661</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Exchange-traded bond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65,158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65,024</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2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54" w:lineRule="exact"/>
        <w:rPr>
          <w:sz w:val="20"/>
          <w:szCs w:val="20"/>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market prices in active markets for identical assets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directly or indirectly observable</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unobservable inputs where there is little or no market activity</w:t>
      </w:r>
    </w:p>
    <w:p>
      <w:pPr>
        <w:spacing w:after="0" w:line="117"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Our strategic investment in InvestCloud, discussed in Note 5 “Investments,” is excluded from the recurring fair value table shown below because we have elected to apply the measurement alternative for this investment.</w:t>
      </w:r>
    </w:p>
    <w:p>
      <w:pPr>
        <w:spacing w:after="0" w:line="54"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values of our investments measured at fair value on a recurring basis within the fair value hierarchy as of the dates indicated (in thousands):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Measured at</w:t>
            </w:r>
          </w:p>
        </w:tc>
        <w:tc>
          <w:tcPr>
            <w:tcW w:w="240" w:type="dxa"/>
            <w:vAlign w:val="bottom"/>
          </w:tcPr>
          <w:p>
            <w:pPr>
              <w:spacing w:after="0"/>
              <w:rPr>
                <w:sz w:val="14"/>
                <w:szCs w:val="14"/>
                <w:color w:val="auto"/>
              </w:rPr>
            </w:pPr>
          </w:p>
        </w:tc>
        <w:tc>
          <w:tcPr>
            <w:tcW w:w="88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6"/>
                <w:szCs w:val="16"/>
                <w:b w:val="1"/>
                <w:bCs w:val="1"/>
                <w:color w:val="auto"/>
                <w:w w:val="87"/>
              </w:rPr>
              <w:t xml:space="preserve">NAV </w:t>
            </w:r>
            <w:r>
              <w:rPr>
                <w:rFonts w:ascii="Times New Roman" w:cs="Times New Roman" w:eastAsia="Times New Roman" w:hAnsi="Times New Roman"/>
                <w:sz w:val="21"/>
                <w:szCs w:val="21"/>
                <w:color w:val="auto"/>
                <w:w w:val="87"/>
                <w:vertAlign w:val="superscript"/>
              </w:rPr>
              <w:t>(1)</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51,606</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51,606</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4,024</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55,855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65,024</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65,024</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4,369</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69,537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20" w:right="620" w:firstLine="6"/>
        <w:spacing w:after="0" w:line="261" w:lineRule="auto"/>
        <w:tabs>
          <w:tab w:leader="none" w:pos="22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certain investments measured at fair value using net asset value ("NAV") as a practical expedient. The fair value amounts presented in this table are intended to permit reconciliation of the fair value hierarchy to the amounts presented on our Condensed Consolidated Balance Sheets.</w:t>
      </w:r>
    </w:p>
    <w:p>
      <w:pPr>
        <w:spacing w:after="0" w:line="31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investment in Charis is included within Level 3 of the fair value hierarchy as we value that investment utilizing inputs not observable in the market. Our investment is measured at fair value on a recurring basis using a market approach based on a price to tangible book value multiple range that is determined to be reasonable in the current environment, or on market transactions. Management believes this valuation methodology is consistent with the banking industry and we will reevaluate our methodology and inputs on a quarterly basis.</w:t>
      </w:r>
    </w:p>
    <w:p>
      <w:pPr>
        <w:spacing w:after="0" w:line="72" w:lineRule="exact"/>
        <w:rPr>
          <w:sz w:val="20"/>
          <w:szCs w:val="20"/>
          <w:color w:val="auto"/>
        </w:rPr>
      </w:pPr>
    </w:p>
    <w:p>
      <w:pPr>
        <w:ind w:right="680" w:firstLine="486"/>
        <w:spacing w:after="0" w:line="272" w:lineRule="auto"/>
        <w:rPr>
          <w:sz w:val="20"/>
          <w:szCs w:val="20"/>
          <w:color w:val="auto"/>
        </w:rPr>
      </w:pPr>
      <w:r>
        <w:rPr>
          <w:rFonts w:ascii="Times New Roman" w:cs="Times New Roman" w:eastAsia="Times New Roman" w:hAnsi="Times New Roman"/>
          <w:sz w:val="18"/>
          <w:szCs w:val="18"/>
          <w:color w:val="auto"/>
        </w:rPr>
        <w:t>The following table summarizes the changes in Level 3 investments measured at fair value on a recurring basis for the periods presented (in thousands):</w:t>
      </w:r>
    </w:p>
    <w:tbl>
      <w:tblPr>
        <w:tblLayout w:type="fixed"/>
        <w:tblInd w:w="0" w:type="dxa"/>
        <w:tblCellMar>
          <w:top w:w="0" w:type="dxa"/>
          <w:left w:w="0" w:type="dxa"/>
          <w:bottom w:w="0" w:type="dxa"/>
          <w:right w:w="0" w:type="dxa"/>
        </w:tblCellMar>
      </w:tblPr>
      <w:tr>
        <w:trPr>
          <w:trHeight w:val="206"/>
        </w:trPr>
        <w:tc>
          <w:tcPr>
            <w:tcW w:w="44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gridSpan w:val="9"/>
          </w:tcPr>
          <w:p>
            <w:pPr>
              <w:jc w:val="right"/>
              <w:ind w:right="155"/>
              <w:spacing w:after="0"/>
              <w:rPr>
                <w:sz w:val="20"/>
                <w:szCs w:val="20"/>
                <w:color w:val="auto"/>
              </w:rPr>
            </w:pPr>
            <w:r>
              <w:rPr>
                <w:rFonts w:ascii="Times New Roman" w:cs="Times New Roman" w:eastAsia="Times New Roman" w:hAnsi="Times New Roman"/>
                <w:sz w:val="15"/>
                <w:szCs w:val="15"/>
                <w:b w:val="1"/>
                <w:bCs w:val="1"/>
                <w:color w:val="auto"/>
              </w:rPr>
              <w:t>Fair Value using Significant Unobservable Inputs (Level 3)</w:t>
            </w:r>
          </w:p>
        </w:tc>
        <w:tc>
          <w:tcPr>
            <w:tcW w:w="1220" w:type="dxa"/>
            <w:vAlign w:val="bottom"/>
            <w:tcBorders>
              <w:bottom w:val="single" w:sz="8" w:color="auto"/>
            </w:tcBorders>
          </w:tcPr>
          <w:p>
            <w:pPr>
              <w:spacing w:after="0"/>
              <w:rPr>
                <w:sz w:val="17"/>
                <w:szCs w:val="17"/>
                <w:color w:val="auto"/>
              </w:rPr>
            </w:pPr>
          </w:p>
        </w:tc>
      </w:tr>
      <w:tr>
        <w:trPr>
          <w:trHeight w:val="200"/>
        </w:trPr>
        <w:tc>
          <w:tcPr>
            <w:tcW w:w="448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695"/>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221"/>
        </w:trPr>
        <w:tc>
          <w:tcPr>
            <w:tcW w:w="44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25"/>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06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3,431</w:t>
            </w:r>
          </w:p>
        </w:tc>
      </w:tr>
      <w:tr>
        <w:trPr>
          <w:trHeight w:val="226"/>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Unrealized gains (losses) on private investments</w:t>
            </w: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060" w:type="dxa"/>
            <w:vAlign w:val="bottom"/>
            <w:tcBorders>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4,087</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June 30, 2022 private investment fair value of $4.0 million was valued using a market approach based on a price to tangible book value multiple, with unobservable book value multiples ranging from $1.37 to $1.86 per share, with a weighted average of $1.46 per share. Significant increases (decreases) in book value multiples in isolation would have resulted in a significantly higher (lower) fair value measurement.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7. INCOME TAXES</w:t>
      </w:r>
    </w:p>
    <w:p>
      <w:pPr>
        <w:spacing w:after="0" w:line="12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Our effective income tax rate differed from the 21% statutory rate for the first and second quarters of 2022 and 2021 due to permanent differences between book and tax restricted stock expense based on a decrease in our stock price between the restricted stock grant and vesting 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(LOSS) PER SHARE</w:t>
      </w:r>
    </w:p>
    <w:p>
      <w:pPr>
        <w:spacing w:after="0" w:line="121"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Basic earnings (loss) per common share is computed by dividing net income (loss) available to common stockholders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There were approximately 89,000 and 139,000 anti-dilutive restricted shares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outstanding for the three months ended June 30, 2022 and June 30, 2021, respectively. There were approximately 87,000 and 186,000 anti-dilutive restricted shares outstanding for the six months ended June 30, 2022 and June 30, 2021, respectively.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and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500" w:type="dxa"/>
            <w:vAlign w:val="bottom"/>
            <w:gridSpan w:val="4"/>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3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r>
      <w:tr>
        <w:trPr>
          <w:trHeight w:val="148"/>
        </w:trPr>
        <w:tc>
          <w:tcPr>
            <w:tcW w:w="5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7,944,212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7,884,771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7,904,911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7,885,901</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potential shares from unvested restricted shares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36,841</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7,944,212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7,928,106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7,904,911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7,922,742</w:t>
            </w:r>
          </w:p>
        </w:tc>
      </w:tr>
      <w:tr>
        <w:trPr>
          <w:trHeight w:val="148"/>
        </w:trPr>
        <w:tc>
          <w:tcPr>
            <w:tcW w:w="5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OTHER INTANGIBLE ASSETS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cost of acquired assets over the fair value of the underlying identifiable assets at the date of acquisition. Goodwill is not amortized but is tested for impairment at least annually. We completed our most recent annual goodwill impairment assessment during the third quarter of 2021, and determined that no goodwill impairment related to the Trust segment was required. There was no goodwill impairment in the Trust segment during the three months ended June 30, 2022 or June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intangible asset impairments were recorded during the three and six months ended June 30, 2022 or June 30,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10. LEASES</w:t>
      </w:r>
    </w:p>
    <w:p>
      <w:pPr>
        <w:spacing w:after="0" w:line="121"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As of June 30, 2022 there have been no material changes outside the ordinary course of business to our leases since December 31, 2021. For information regarding our leases, refer to Note 11 “Leases” in Part IV, Item 15. “Exhibits, Financial Statement Schedules” in our Annual Report on Form 10-K for the fiscal year ended December 31, 2021.</w:t>
      </w:r>
    </w:p>
    <w:p>
      <w:pPr>
        <w:spacing w:after="0" w:line="200" w:lineRule="exact"/>
        <w:rPr>
          <w:sz w:val="20"/>
          <w:szCs w:val="20"/>
          <w:color w:val="auto"/>
        </w:rPr>
      </w:pPr>
    </w:p>
    <w:p>
      <w:pPr>
        <w:spacing w:after="0" w:line="215" w:lineRule="exact"/>
        <w:rPr>
          <w:sz w:val="20"/>
          <w:szCs w:val="20"/>
          <w:color w:val="auto"/>
        </w:rPr>
      </w:pPr>
    </w:p>
    <w:p>
      <w:pPr>
        <w:ind w:right="8660" w:firstLine="8"/>
        <w:spacing w:after="0" w:line="378" w:lineRule="auto"/>
        <w:tabs>
          <w:tab w:leader="none" w:pos="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Share Repurchase Program</w:t>
      </w:r>
    </w:p>
    <w:p>
      <w:pPr>
        <w:ind w:left="500"/>
        <w:spacing w:after="0"/>
        <w:rPr>
          <w:sz w:val="20"/>
          <w:szCs w:val="20"/>
          <w:color w:val="auto"/>
        </w:rPr>
      </w:pPr>
      <w:r>
        <w:rPr>
          <w:rFonts w:ascii="Times New Roman" w:cs="Times New Roman" w:eastAsia="Times New Roman" w:hAnsi="Times New Roman"/>
          <w:sz w:val="18"/>
          <w:szCs w:val="18"/>
          <w:color w:val="auto"/>
        </w:rPr>
        <w:t>As of June 30, 2022, we have $3.2 million of shares that may yet be repurchased under our plan.</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2022, the Company repurchased 57,984 shares of our common stock at an average price of $14.29 per share, including commissions, for an aggregate purchase price of $0.8 million under our share repurchase plan. During the three months ended June 30, 2021, the Company repurchased 18,866 shares of our common stock at an average price of $15.63 per share, including commissions, for an aggregate purchase price of $0.3 million under our share repurchase plan.</w:t>
      </w:r>
    </w:p>
    <w:p>
      <w:pPr>
        <w:spacing w:after="0" w:line="72"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Company repurchased 70,186 shares of our common stock at an average price of $14.65 per share, including commissions, for an aggregate purchase price of $1.0 million under our share repurchase plan. During the six months ended June 30, 2021, the Company repurchased 111,357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840"/>
        <w:spacing w:after="0" w:line="375" w:lineRule="auto"/>
        <w:rPr>
          <w:sz w:val="20"/>
          <w:szCs w:val="20"/>
          <w:color w:val="auto"/>
        </w:rPr>
      </w:pPr>
      <w:r>
        <w:rPr>
          <w:rFonts w:ascii="Times New Roman" w:cs="Times New Roman" w:eastAsia="Times New Roman" w:hAnsi="Times New Roman"/>
          <w:sz w:val="18"/>
          <w:szCs w:val="18"/>
          <w:color w:val="auto"/>
        </w:rPr>
        <w:t xml:space="preserve">at an average price of $15.27 per share, including commissions, for an aggregate purchase price of $1.7 million under our share repurchase plan. </w:t>
      </w:r>
      <w:r>
        <w:rPr>
          <w:rFonts w:ascii="Times New Roman" w:cs="Times New Roman" w:eastAsia="Times New Roman" w:hAnsi="Times New Roman"/>
          <w:sz w:val="18"/>
          <w:szCs w:val="18"/>
          <w:b w:val="1"/>
          <w:bCs w:val="1"/>
          <w:color w:val="auto"/>
        </w:rPr>
        <w:t>Open Market Repurchases</w:t>
      </w:r>
    </w:p>
    <w:p>
      <w:pPr>
        <w:spacing w:after="0" w:line="1"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repurchased 35,891 shares of our common stock on the open market at an average price of $15.75 per share, including commissions, for an aggregate purchase price of $0.6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VARIABLE INTEREST ENTITIES</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evaluated (i) our relationship as sponsor of the Common Trust Funds (“CTFs”) and managing member of the private equity funds Westwood Hospitality Fund I, LLC and Westwood Technology Opportunities Fund I, LP (collectively the “Private Funds”), (ii) our advisory relationships with the Westwood Funds®, and (iii) our investments in InvestCloud and Charis discussed in Note 5 “Investments” (“Private Equity”) to determine whether each of these entities is a variable interest entity (“VIE”) or voting ownership entity (“VOE”).</w:t>
      </w:r>
    </w:p>
    <w:p>
      <w:pPr>
        <w:spacing w:after="0" w:line="7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Based on our analyses, we determined that the CTFs and Private Funds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w:t>
      </w:r>
    </w:p>
    <w:p>
      <w:pPr>
        <w:spacing w:after="0" w:line="68"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Based on our analyses, we determined the Westwood Funds® and Private Equity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w:t>
      </w:r>
    </w:p>
    <w:p>
      <w:pPr>
        <w:spacing w:after="0" w:line="68"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Based on our analyses of our investments in these entities for the periods ended June 30, 2022 and December 31, 2021, we have not consolidated the CTFs or Private Funds under the VIE method or the Westwood Funds® or Private Equity under the VOE method.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recognized fee revenue from the Westwood VIEs and Westwood VOEs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3860" w:type="dxa"/>
            <w:vAlign w:val="bottom"/>
            <w:gridSpan w:val="4"/>
          </w:tcPr>
          <w:p>
            <w:pPr>
              <w:jc w:val="right"/>
              <w:ind w:right="1375"/>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30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3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June 30, 2021</w:t>
            </w:r>
          </w:p>
        </w:tc>
      </w:tr>
      <w:tr>
        <w:trPr>
          <w:trHeight w:val="225"/>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Fee Revenues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bl>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the AUM and the risk of loss in each vehicle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Under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3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 at Risk</w:t>
            </w:r>
          </w:p>
        </w:tc>
        <w:tc>
          <w:tcPr>
            <w:tcW w:w="0" w:type="dxa"/>
            <w:vAlign w:val="bottom"/>
          </w:tcPr>
          <w:p>
            <w:pPr>
              <w:spacing w:after="0"/>
              <w:rPr>
                <w:sz w:val="1"/>
                <w:szCs w:val="1"/>
                <w:color w:val="auto"/>
              </w:rPr>
            </w:pPr>
          </w:p>
        </w:tc>
      </w:tr>
      <w:tr>
        <w:trPr>
          <w:trHeight w:val="214"/>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VIEs/VOEs:</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Westwood Funds®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Trust Funds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Funds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assets: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Institutional</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Under Management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13. RELATED PARTY TRANSACTIONS</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Company engages in transactions with its affiliates in the ordinary course of business. Westwood Management provides investment advisory services to the Westwood Funds®. Under the terms of the investment advisory agreements, the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ind w:left="480" w:right="1920"/>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Company earns quarterly fees paid by clients of the fund or by the funds directly. The fees are based on negotiated fee schedules applied to AUM. For the three and six months ended June 30, 2022 and June 30, 2021, the Company earned immaterial fees from the affiliated funds.</w:t>
      </w:r>
    </w:p>
    <w:p>
      <w:pPr>
        <w:spacing w:after="0" w:line="54"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One of our directors serves as a consultant to the Company under a consulting agreement. We recorded immaterial expenses related to this agreement for both the three and six months ended June 30, 2022 and June 30, 2021.</w:t>
      </w:r>
    </w:p>
    <w:p>
      <w:pPr>
        <w:spacing w:after="0" w:line="212" w:lineRule="exact"/>
        <w:rPr>
          <w:sz w:val="20"/>
          <w:szCs w:val="20"/>
          <w:color w:val="auto"/>
        </w:rPr>
      </w:pPr>
    </w:p>
    <w:p>
      <w:pPr>
        <w:ind w:left="500" w:right="8820" w:hanging="492"/>
        <w:spacing w:after="0" w:line="377" w:lineRule="auto"/>
        <w:tabs>
          <w:tab w:leader="none" w:pos="28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i w:val="1"/>
          <w:iCs w:val="1"/>
          <w:color w:val="auto"/>
        </w:rPr>
        <w:t>Dividends Declared</w:t>
      </w:r>
    </w:p>
    <w:p>
      <w:pPr>
        <w:spacing w:after="0" w:line="2"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On July 27, 2022, the Board of Directors declared a quarterly cash dividend of $0.15 per share of common stock payable on October 1, 2022 to stockholders of record on September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16" w:name="page17"/>
    <w:bookmarkEnd w:id="16"/>
    <w:p>
      <w:pPr>
        <w:ind w:right="90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Forward-Looking Statements</w:t>
      </w:r>
    </w:p>
    <w:p>
      <w:pPr>
        <w:spacing w:after="0" w:line="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2021 and those risks set forth below:</w:t>
      </w:r>
    </w:p>
    <w:p>
      <w:pPr>
        <w:spacing w:after="0" w:line="81"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and market value of our AUM;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fee structure in light of competitive fee pressures;</w:t>
      </w:r>
    </w:p>
    <w:p>
      <w:pPr>
        <w:spacing w:after="0" w:line="117"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 rights agreement may make it more difficult for others to obtain control over us, even if it would be beneficial to our stockholders;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actions of activist stockholders;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common stockholders have included and may in the future include a return of capital;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foreign company investments in our AUM;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adversely affecting the financial services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cyber security;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investment strategies successfully;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our relationships with current and potential customers;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perform operational tasks;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 and oversee third-party vendors;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operations and funds of our subsidiaries;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information systems;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misuse of assets and information in the possession of our employees and third-party vendors, which could damage our reputation and result in costly litigation and liability for our clients and us;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is thinly traded and may be subject to volatility;</w:t>
      </w:r>
    </w:p>
    <w:p>
      <w:pPr>
        <w:spacing w:after="0" w:line="117"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stockholder rights agreement, our organizational documents contain provisions that may prevent or deter another group from paying a premium over the market price to our stockholders to acquire our stock;</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investment management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termination of client agreements and the related investment redemptions;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concentration of our revenues in a small number of customers;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investment consulting firms;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recent COVID-19 pandemic;</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execute on our strategic initiatives;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declare and pay dividends;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9" w:right="539" w:bottom="1440" w:gutter="0" w:footer="0" w:header="0"/>
        </w:sectPr>
      </w:pPr>
    </w:p>
    <w:bookmarkStart w:id="17" w:name="page18"/>
    <w:bookmarkEnd w:id="17"/>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future capital requirements on favorable terms;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address conflicts of interest;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coverage;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117"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manage investment assets and provide services for our clients through our subsidiaries, Westwood Management Corp. and Westwood Advisors, L.L.C. (each of which is an SEC-registered investment advisor and referred to hereinafter together as “Westwood Management”) and Westwood Trust. Westwood Management provides investment advisory services to institutional investors, a family of mutual funds called the Westwood Funds®, other mutual funds, individuals and clients of Westwood Trust. Westwood Trust provides trust and custodial services and participation in common trust funds to institutions and high net worth individuals. Our revenues are generally derived from fees based on a percentage of AUM.</w:t>
      </w:r>
    </w:p>
    <w:p>
      <w:pPr>
        <w:spacing w:after="0" w:line="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continue to closely monitor the impact of the COVID-19 pandemic on all aspects of our business, particularly its impact on global stock markets. Beginning in 2020, we have taken a number of precautionary measures designed to help minimize the risk of spreading the virus to our employees, including enabling our employees to work remotely. The investments we have made in technology over the past several years, particularly our significant investments in cloud-based systems and business continuity planning, have allowed our team to serve our clients seamlessly from their homes or our offices. While our ability to meet with clients declined at the beginning of the pandemic, subsequently we were able to restore our communications to pre-pandemic levels as our clients embraced digital interactions.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Acquisition</w:t>
      </w:r>
    </w:p>
    <w:p>
      <w:pPr>
        <w:spacing w:after="0" w:line="119"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On May 26, 2022, we announced our acquisition of Salient's asset management business for an upfront payment of $35.0 million on closing, with deferred payments of up to $25.0 million over several years, subject to satisfaction of certain revenue retention and growth targets. The transaction is subject to customary closing conditions, including fund shareholder and other client approvals, and we currently expect to close the transaction in the second half of 2022.</w:t>
      </w:r>
    </w:p>
    <w:p>
      <w:pPr>
        <w:spacing w:after="0" w:line="72"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Salient is a real asset and alternative investment firm that offers a suite of strategies focused on energy and infrastructure, real estate and tactical alternative investments. The acquisition would add complementary, highly-differentiated investment capabilities to us, and expand and enhance our multi-asset program, and we also foresee many opportunities to collaborate on new strategies.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derive our revenues from investment advisory fees, trust fees and other revenues. Our advisory fees are generated by Westwood Management which manages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80"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Condensed Consolidated Financial Statements contain no deferred advisory fee revenues.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ind w:left="500"/>
        <w:spacing w:after="0"/>
        <w:rPr>
          <w:sz w:val="20"/>
          <w:szCs w:val="20"/>
          <w:color w:val="auto"/>
        </w:rPr>
      </w:pPr>
      <w:r>
        <w:rPr>
          <w:rFonts w:ascii="Times New Roman" w:cs="Times New Roman" w:eastAsia="Times New Roman" w:hAnsi="Times New Roman"/>
          <w:sz w:val="18"/>
          <w:szCs w:val="18"/>
          <w:color w:val="auto"/>
        </w:rPr>
        <w:t>Our other revenues primarily consist of investment gains and losses from our seed money investments into new investment strategies.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Employee compensation and benefits expenses generally consist of salaries, incentive compensation, equity-based compensation and benefits.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Sales and marketing expenses relate to our marketing efforts, including travel and entertainment, direct marketing and advertising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Westwood mutual funds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Westwood mutual funds expenses relate to our marketing, distribution and administration of the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technology</w:t>
      </w:r>
    </w:p>
    <w:p>
      <w:pPr>
        <w:spacing w:after="0" w:line="11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Professional services expenses generally consist of costs associated with subadvisory fees, audit, tax, legal and other professional services.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generally consist of costs associated with the lease of office space, amortization, depreciation, insurance, custody expense, Board of Directors' fees, investor relations, licenses and fees, office supplies and other miscellaneous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gains on private investments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Realized gains on private investments includes amounts by which the net proceeds from the sale or redemption of our private investments exceeded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change in unrealized appreciation (depreciation) on private investments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change in unrealized appreciation (depreciation) on private investments includes changes in the value of our private equity investments.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investment income primarily includes interest and dividend income on fixed income securities and money market funds.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income primarily consists of income from the sublease of a portion of our corporate offices.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Under Management</w:t>
      </w:r>
    </w:p>
    <w:p>
      <w:pPr>
        <w:spacing w:after="0" w:line="175"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AUM decreased $2.3 billion to $12.1 billion at June 30, 2022 compared with $14.4 billion at June 30, 2021. The average of beginning and ending AUM for the second quarter of 2022 was $13.0 billion compared to $14.5 billion for the second quarter of 2021.</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AUM as of June 30, 2022 and 2021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1"/>
        </w:trPr>
        <w:tc>
          <w:tcPr>
            <w:tcW w:w="7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5"/>
        </w:trPr>
        <w:tc>
          <w:tcPr>
            <w:tcW w:w="74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Institutional</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98"/>
              </w:rPr>
              <w:t>(17)%</w:t>
            </w:r>
          </w:p>
        </w:tc>
      </w:tr>
      <w:tr>
        <w:trPr>
          <w:trHeight w:val="230"/>
        </w:trPr>
        <w:tc>
          <w:tcPr>
            <w:tcW w:w="7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Wealth Management</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(17)</w:t>
            </w:r>
          </w:p>
        </w:tc>
      </w:tr>
      <w:tr>
        <w:trPr>
          <w:trHeight w:val="230"/>
        </w:trPr>
        <w:tc>
          <w:tcPr>
            <w:tcW w:w="7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(10)</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AUM</w:t>
            </w:r>
            <w:r>
              <w:rPr>
                <w:rFonts w:ascii="Times New Roman" w:cs="Times New Roman" w:eastAsia="Times New Roman" w:hAnsi="Times New Roman"/>
                <w:sz w:val="9"/>
                <w:szCs w:val="9"/>
                <w:b w:val="1"/>
                <w:bCs w:val="1"/>
                <w:color w:val="auto"/>
              </w:rPr>
              <w:t>(4)</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w w:val="98"/>
              </w:rPr>
              <w:t>(16)%</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jc w:val="both"/>
        <w:ind w:left="340" w:hanging="332"/>
        <w:spacing w:after="0" w:line="262"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60"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and external unaffiliated subadvisors. For certain assets in this category Westwood Trust currently provides limited custodial services for a minimal or no fee, viewing these assets as potentially converting to fee-generating managed assets in the future.</w:t>
      </w:r>
    </w:p>
    <w:p>
      <w:pPr>
        <w:spacing w:after="0" w:line="1" w:lineRule="exact"/>
        <w:rPr>
          <w:rFonts w:ascii="Times New Roman" w:cs="Times New Roman" w:eastAsia="Times New Roman" w:hAnsi="Times New Roman"/>
          <w:sz w:val="14"/>
          <w:szCs w:val="14"/>
          <w:color w:val="auto"/>
        </w:rPr>
      </w:pPr>
    </w:p>
    <w:p>
      <w:pPr>
        <w:ind w:left="340" w:hanging="332"/>
        <w:spacing w:after="0" w:line="251"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Mutual Funds include the Westwood Funds®, a family of mutual funds for which Westwood Management serves as advisor. These funds are available to individual investors, institutional investors and wealth management accounts.</w:t>
      </w:r>
    </w:p>
    <w:p>
      <w:pPr>
        <w:ind w:left="340" w:hanging="332"/>
        <w:spacing w:after="0" w:line="283"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AUM excludes $246 million and $280 million of assets under advisement (“AUA”) as of June 30, 2022 and 2021, respectively, related to our model portfolios for which we provided consulting advice but for which we did not have direct discretionary investment authority.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Roll-Forward of Assets Under Management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56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2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8"/>
              </w:rPr>
              <w:t>Institutional</w:t>
            </w:r>
          </w:p>
        </w:tc>
        <w:tc>
          <w:tcPr>
            <w:tcW w:w="4260" w:type="dxa"/>
            <w:vAlign w:val="bottom"/>
            <w:tcBorders>
              <w:bottom w:val="single" w:sz="8" w:color="CCEEFF"/>
            </w:tcBorders>
            <w:gridSpan w:val="3"/>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52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7,569</w:t>
            </w:r>
          </w:p>
        </w:tc>
        <w:tc>
          <w:tcPr>
            <w:tcW w:w="1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6,567</w:t>
            </w:r>
          </w:p>
        </w:tc>
      </w:tr>
      <w:tr>
        <w:trPr>
          <w:trHeight w:val="219"/>
        </w:trPr>
        <w:tc>
          <w:tcPr>
            <w:tcW w:w="20" w:type="dxa"/>
            <w:vAlign w:val="bottom"/>
            <w:shd w:val="clear" w:color="auto" w:fill="CCEEFF"/>
          </w:tcPr>
          <w:p>
            <w:pPr>
              <w:spacing w:after="0"/>
              <w:rPr>
                <w:sz w:val="19"/>
                <w:szCs w:val="19"/>
                <w:color w:val="auto"/>
              </w:rPr>
            </w:pPr>
          </w:p>
        </w:tc>
        <w:tc>
          <w:tcPr>
            <w:tcW w:w="52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w:t>
            </w:r>
          </w:p>
        </w:tc>
      </w:tr>
      <w:tr>
        <w:trPr>
          <w:trHeight w:val="213"/>
        </w:trPr>
        <w:tc>
          <w:tcPr>
            <w:tcW w:w="2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12"/>
        </w:trPr>
        <w:tc>
          <w:tcPr>
            <w:tcW w:w="20" w:type="dxa"/>
            <w:vAlign w:val="bottom"/>
            <w:shd w:val="clear" w:color="auto" w:fill="CCEEFF"/>
          </w:tcPr>
          <w:p>
            <w:pPr>
              <w:spacing w:after="0"/>
              <w:rPr>
                <w:sz w:val="18"/>
                <w:szCs w:val="18"/>
                <w:color w:val="auto"/>
              </w:rPr>
            </w:pPr>
          </w:p>
        </w:tc>
        <w:tc>
          <w:tcPr>
            <w:tcW w:w="5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r>
      <w:tr>
        <w:trPr>
          <w:trHeight w:val="213"/>
        </w:trPr>
        <w:tc>
          <w:tcPr>
            <w:tcW w:w="20" w:type="dxa"/>
            <w:vAlign w:val="bottom"/>
          </w:tcPr>
          <w:p>
            <w:pPr>
              <w:spacing w:after="0"/>
              <w:rPr>
                <w:sz w:val="18"/>
                <w:szCs w:val="18"/>
                <w:color w:val="auto"/>
              </w:rPr>
            </w:pPr>
          </w:p>
        </w:tc>
        <w:tc>
          <w:tcPr>
            <w:tcW w:w="522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Global Convertibles transition</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r>
      <w:tr>
        <w:trPr>
          <w:trHeight w:val="219"/>
        </w:trPr>
        <w:tc>
          <w:tcPr>
            <w:tcW w:w="20" w:type="dxa"/>
            <w:vAlign w:val="bottom"/>
            <w:shd w:val="clear" w:color="auto" w:fill="CCEEFF"/>
          </w:tcPr>
          <w:p>
            <w:pPr>
              <w:spacing w:after="0"/>
              <w:rPr>
                <w:sz w:val="19"/>
                <w:szCs w:val="19"/>
                <w:color w:val="auto"/>
              </w:rPr>
            </w:pPr>
          </w:p>
        </w:tc>
        <w:tc>
          <w:tcPr>
            <w:tcW w:w="52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r>
      <w:tr>
        <w:trPr>
          <w:trHeight w:val="207"/>
        </w:trPr>
        <w:tc>
          <w:tcPr>
            <w:tcW w:w="20" w:type="dxa"/>
            <w:vAlign w:val="bottom"/>
            <w:tcBorders>
              <w:bottom w:val="single" w:sz="8" w:color="CCEEFF"/>
            </w:tcBorders>
          </w:tcPr>
          <w:p>
            <w:pPr>
              <w:spacing w:after="0"/>
              <w:rPr>
                <w:sz w:val="17"/>
                <w:szCs w:val="17"/>
                <w:color w:val="auto"/>
              </w:rPr>
            </w:pPr>
          </w:p>
        </w:tc>
        <w:tc>
          <w:tcPr>
            <w:tcW w:w="52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Net change</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7,123</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189"/>
        </w:trPr>
        <w:tc>
          <w:tcPr>
            <w:tcW w:w="20" w:type="dxa"/>
            <w:vAlign w:val="bottom"/>
            <w:shd w:val="clear" w:color="auto" w:fill="CCEEFF"/>
          </w:tcPr>
          <w:p>
            <w:pPr>
              <w:spacing w:after="0"/>
              <w:rPr>
                <w:sz w:val="16"/>
                <w:szCs w:val="16"/>
                <w:color w:val="auto"/>
              </w:rPr>
            </w:pPr>
          </w:p>
        </w:tc>
        <w:tc>
          <w:tcPr>
            <w:tcW w:w="5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Wealth Management</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w:t>
            </w:r>
          </w:p>
        </w:tc>
        <w:tc>
          <w:tcPr>
            <w:tcW w:w="1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w:t>
            </w:r>
          </w:p>
        </w:tc>
      </w:tr>
      <w:tr>
        <w:trPr>
          <w:trHeight w:val="219"/>
        </w:trPr>
        <w:tc>
          <w:tcPr>
            <w:tcW w:w="20" w:type="dxa"/>
            <w:vAlign w:val="bottom"/>
            <w:shd w:val="clear" w:color="auto" w:fill="CCEEFF"/>
          </w:tcPr>
          <w:p>
            <w:pPr>
              <w:spacing w:after="0"/>
              <w:rPr>
                <w:sz w:val="19"/>
                <w:szCs w:val="19"/>
                <w:color w:val="auto"/>
              </w:rPr>
            </w:pPr>
          </w:p>
        </w:tc>
        <w:tc>
          <w:tcPr>
            <w:tcW w:w="52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3"/>
        </w:trPr>
        <w:tc>
          <w:tcPr>
            <w:tcW w:w="2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212"/>
        </w:trPr>
        <w:tc>
          <w:tcPr>
            <w:tcW w:w="20" w:type="dxa"/>
            <w:vAlign w:val="bottom"/>
            <w:shd w:val="clear" w:color="auto" w:fill="CCEEFF"/>
          </w:tcPr>
          <w:p>
            <w:pPr>
              <w:spacing w:after="0"/>
              <w:rPr>
                <w:sz w:val="18"/>
                <w:szCs w:val="18"/>
                <w:color w:val="auto"/>
              </w:rPr>
            </w:pPr>
          </w:p>
        </w:tc>
        <w:tc>
          <w:tcPr>
            <w:tcW w:w="5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3"/>
        </w:trPr>
        <w:tc>
          <w:tcPr>
            <w:tcW w:w="2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10"/>
        </w:trPr>
        <w:tc>
          <w:tcPr>
            <w:tcW w:w="20" w:type="dxa"/>
            <w:vAlign w:val="bottom"/>
            <w:shd w:val="clear" w:color="auto" w:fill="CCEEFF"/>
          </w:tcPr>
          <w:p>
            <w:pPr>
              <w:spacing w:after="0"/>
              <w:rPr>
                <w:sz w:val="18"/>
                <w:szCs w:val="18"/>
                <w:color w:val="auto"/>
              </w:rPr>
            </w:pPr>
          </w:p>
        </w:tc>
        <w:tc>
          <w:tcPr>
            <w:tcW w:w="5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2"/>
        </w:trPr>
        <w:tc>
          <w:tcPr>
            <w:tcW w:w="20" w:type="dxa"/>
            <w:vAlign w:val="bottom"/>
          </w:tcPr>
          <w:p>
            <w:pPr>
              <w:spacing w:after="0"/>
              <w:rPr>
                <w:sz w:val="18"/>
                <w:szCs w:val="18"/>
                <w:color w:val="auto"/>
              </w:rPr>
            </w:pPr>
          </w:p>
        </w:tc>
        <w:tc>
          <w:tcPr>
            <w:tcW w:w="52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5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Mutual Funds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r>
      <w:tr>
        <w:trPr>
          <w:trHeight w:val="213"/>
        </w:trPr>
        <w:tc>
          <w:tcPr>
            <w:tcW w:w="20" w:type="dxa"/>
            <w:vAlign w:val="bottom"/>
          </w:tcPr>
          <w:p>
            <w:pPr>
              <w:spacing w:after="0"/>
              <w:rPr>
                <w:sz w:val="18"/>
                <w:szCs w:val="18"/>
                <w:color w:val="auto"/>
              </w:rPr>
            </w:pPr>
          </w:p>
        </w:tc>
        <w:tc>
          <w:tcPr>
            <w:tcW w:w="522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r>
      <w:tr>
        <w:trPr>
          <w:trHeight w:val="219"/>
        </w:trPr>
        <w:tc>
          <w:tcPr>
            <w:tcW w:w="20" w:type="dxa"/>
            <w:vAlign w:val="bottom"/>
            <w:shd w:val="clear" w:color="auto" w:fill="CCEEFF"/>
          </w:tcPr>
          <w:p>
            <w:pPr>
              <w:spacing w:after="0"/>
              <w:rPr>
                <w:sz w:val="19"/>
                <w:szCs w:val="19"/>
                <w:color w:val="auto"/>
              </w:rPr>
            </w:pPr>
          </w:p>
        </w:tc>
        <w:tc>
          <w:tcPr>
            <w:tcW w:w="52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07"/>
        </w:trPr>
        <w:tc>
          <w:tcPr>
            <w:tcW w:w="20" w:type="dxa"/>
            <w:vAlign w:val="bottom"/>
          </w:tcPr>
          <w:p>
            <w:pPr>
              <w:spacing w:after="0"/>
              <w:rPr>
                <w:sz w:val="17"/>
                <w:szCs w:val="17"/>
                <w:color w:val="auto"/>
              </w:rPr>
            </w:pPr>
          </w:p>
        </w:tc>
        <w:tc>
          <w:tcPr>
            <w:tcW w:w="52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19"/>
        </w:trPr>
        <w:tc>
          <w:tcPr>
            <w:tcW w:w="20" w:type="dxa"/>
            <w:vAlign w:val="bottom"/>
            <w:shd w:val="clear" w:color="auto" w:fill="CCEEFF"/>
          </w:tcPr>
          <w:p>
            <w:pPr>
              <w:spacing w:after="0"/>
              <w:rPr>
                <w:sz w:val="19"/>
                <w:szCs w:val="19"/>
                <w:color w:val="auto"/>
              </w:rPr>
            </w:pPr>
          </w:p>
        </w:tc>
        <w:tc>
          <w:tcPr>
            <w:tcW w:w="52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07"/>
        </w:trPr>
        <w:tc>
          <w:tcPr>
            <w:tcW w:w="20" w:type="dxa"/>
            <w:vAlign w:val="bottom"/>
            <w:tcBorders>
              <w:bottom w:val="single" w:sz="8" w:color="CCEEFF"/>
            </w:tcBorders>
          </w:tcPr>
          <w:p>
            <w:pPr>
              <w:spacing w:after="0"/>
              <w:rPr>
                <w:sz w:val="17"/>
                <w:szCs w:val="17"/>
                <w:color w:val="auto"/>
              </w:rPr>
            </w:pPr>
          </w:p>
        </w:tc>
        <w:tc>
          <w:tcPr>
            <w:tcW w:w="52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Net change</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7"/>
              </w:rPr>
              <w:t>Total AUM</w:t>
            </w:r>
          </w:p>
        </w:tc>
        <w:tc>
          <w:tcPr>
            <w:tcW w:w="4340" w:type="dxa"/>
            <w:vAlign w:val="bottom"/>
            <w:tcBorders>
              <w:bottom w:val="single" w:sz="8" w:color="CCEEFF"/>
            </w:tcBorders>
            <w:gridSpan w:val="4"/>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2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14,493</w:t>
            </w:r>
          </w:p>
        </w:tc>
        <w:tc>
          <w:tcPr>
            <w:tcW w:w="1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13,045</w:t>
            </w:r>
          </w:p>
        </w:tc>
      </w:tr>
      <w:tr>
        <w:trPr>
          <w:trHeight w:val="219"/>
        </w:trPr>
        <w:tc>
          <w:tcPr>
            <w:tcW w:w="20" w:type="dxa"/>
            <w:vAlign w:val="bottom"/>
            <w:shd w:val="clear" w:color="auto" w:fill="CCEEFF"/>
          </w:tcPr>
          <w:p>
            <w:pPr>
              <w:spacing w:after="0"/>
              <w:rPr>
                <w:sz w:val="19"/>
                <w:szCs w:val="19"/>
                <w:color w:val="auto"/>
              </w:rPr>
            </w:pPr>
          </w:p>
        </w:tc>
        <w:tc>
          <w:tcPr>
            <w:tcW w:w="52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w:t>
            </w:r>
          </w:p>
        </w:tc>
      </w:tr>
      <w:tr>
        <w:trPr>
          <w:trHeight w:val="213"/>
        </w:trPr>
        <w:tc>
          <w:tcPr>
            <w:tcW w:w="2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w:t>
            </w:r>
          </w:p>
        </w:tc>
      </w:tr>
      <w:tr>
        <w:trPr>
          <w:trHeight w:val="212"/>
        </w:trPr>
        <w:tc>
          <w:tcPr>
            <w:tcW w:w="20" w:type="dxa"/>
            <w:vAlign w:val="bottom"/>
            <w:shd w:val="clear" w:color="auto" w:fill="CCEEFF"/>
          </w:tcPr>
          <w:p>
            <w:pPr>
              <w:spacing w:after="0"/>
              <w:rPr>
                <w:sz w:val="18"/>
                <w:szCs w:val="18"/>
                <w:color w:val="auto"/>
              </w:rPr>
            </w:pPr>
          </w:p>
        </w:tc>
        <w:tc>
          <w:tcPr>
            <w:tcW w:w="5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r>
      <w:tr>
        <w:trPr>
          <w:trHeight w:val="213"/>
        </w:trPr>
        <w:tc>
          <w:tcPr>
            <w:tcW w:w="20" w:type="dxa"/>
            <w:vAlign w:val="bottom"/>
          </w:tcPr>
          <w:p>
            <w:pPr>
              <w:spacing w:after="0"/>
              <w:rPr>
                <w:sz w:val="18"/>
                <w:szCs w:val="18"/>
                <w:color w:val="auto"/>
              </w:rPr>
            </w:pPr>
          </w:p>
        </w:tc>
        <w:tc>
          <w:tcPr>
            <w:tcW w:w="522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Global Convertibles transition</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r>
      <w:tr>
        <w:trPr>
          <w:trHeight w:val="219"/>
        </w:trPr>
        <w:tc>
          <w:tcPr>
            <w:tcW w:w="20" w:type="dxa"/>
            <w:vAlign w:val="bottom"/>
            <w:shd w:val="clear" w:color="auto" w:fill="CCEEFF"/>
          </w:tcPr>
          <w:p>
            <w:pPr>
              <w:spacing w:after="0"/>
              <w:rPr>
                <w:sz w:val="19"/>
                <w:szCs w:val="19"/>
                <w:color w:val="auto"/>
              </w:rPr>
            </w:pPr>
          </w:p>
        </w:tc>
        <w:tc>
          <w:tcPr>
            <w:tcW w:w="52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r>
      <w:tr>
        <w:trPr>
          <w:trHeight w:val="207"/>
        </w:trPr>
        <w:tc>
          <w:tcPr>
            <w:tcW w:w="20" w:type="dxa"/>
            <w:vAlign w:val="bottom"/>
            <w:tcBorders>
              <w:bottom w:val="single" w:sz="8" w:color="CCEEFF"/>
            </w:tcBorders>
          </w:tcPr>
          <w:p>
            <w:pPr>
              <w:spacing w:after="0"/>
              <w:rPr>
                <w:sz w:val="17"/>
                <w:szCs w:val="17"/>
                <w:color w:val="auto"/>
              </w:rPr>
            </w:pPr>
          </w:p>
        </w:tc>
        <w:tc>
          <w:tcPr>
            <w:tcW w:w="52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Net change</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14,407</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compared to the three months ended June 30, 2021</w:t>
      </w:r>
    </w:p>
    <w:p>
      <w:pPr>
        <w:spacing w:after="0" w:line="121"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$1.7 billion decrease in AUM for the three months ended June 30, 2022 was due to market depreciation of $1.5 billion and net outflows of $0.2 billion. Net outflows were primarily related to our SmallCap strategy.</w:t>
      </w:r>
    </w:p>
    <w:p>
      <w:pPr>
        <w:spacing w:after="0" w:line="5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$0.1 billion decrease in AUM for the three months ended June 30, 2021 was due to net outflows of $0.7 billion offset by market appreciation of $0.6 billion. In the fourth quarter of 2020, we made the decision to exit the stand-alone convertibles business and our Global Convertibles team transitioned back to Aviva Investors, the firm from which they previously joined Westwood. As a result, $1.6 billion in two sub-advised Global Convertibles mandates returned to Aviva as of April 1,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the six months ended June 30, 2021</w:t>
      </w:r>
    </w:p>
    <w:p>
      <w:pPr>
        <w:spacing w:after="0" w:line="12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$2.4 billion decrease in AUM for the six months ended June 30, 2022 was due to market depreciation of $2.1 billion and net outflows of $0.2 billion. Net outflows were primarily related to our SmallCap and Enhanced Balance strategies.</w:t>
      </w:r>
    </w:p>
    <w:p>
      <w:pPr>
        <w:spacing w:after="0" w:line="54"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$1.4 billion increase in AUM for the six months ended June 30, 2021 was due to market appreciation of $1.5 billion and net outflows of $0.1 billion.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ind w:right="80" w:firstLine="486"/>
        <w:spacing w:after="0" w:line="264" w:lineRule="auto"/>
        <w:rPr>
          <w:sz w:val="20"/>
          <w:szCs w:val="20"/>
          <w:color w:val="auto"/>
        </w:rPr>
      </w:pPr>
      <w:r>
        <w:rPr>
          <w:rFonts w:ascii="Times New Roman" w:cs="Times New Roman" w:eastAsia="Times New Roman" w:hAnsi="Times New Roman"/>
          <w:sz w:val="18"/>
          <w:szCs w:val="18"/>
          <w:color w:val="auto"/>
        </w:rPr>
        <w:t>The following table (dollars in thousands) and discussion of our results of operations are based upon data derived from the Condensed Consolidated Statements of Comprehensive Income contained in our Condensed Consolidated Financial Statements and should be read in conjunction with those statements included elsewhere in this report.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4"/>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4"/>
          </w:tcPr>
          <w:p>
            <w:pPr>
              <w:jc w:val="right"/>
              <w:ind w:right="379"/>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8"/>
                <w:szCs w:val="18"/>
                <w:color w:val="auto"/>
              </w:rPr>
            </w:pPr>
          </w:p>
        </w:tc>
        <w:tc>
          <w:tcPr>
            <w:tcW w:w="100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Advisory fees: asset-based</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Advisory fees: performance-based</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1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Trust fees: asset-based</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6,216</w:t>
            </w:r>
          </w:p>
        </w:tc>
        <w:tc>
          <w:tcPr>
            <w:tcW w:w="1120" w:type="dxa"/>
            <w:vAlign w:val="bottom"/>
            <w:gridSpan w:val="2"/>
          </w:tcPr>
          <w:p>
            <w:pPr>
              <w:jc w:val="right"/>
              <w:ind w:right="95"/>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12,281</w:t>
            </w:r>
          </w:p>
        </w:tc>
        <w:tc>
          <w:tcPr>
            <w:tcW w:w="110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1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rPr>
              <w:t>534</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1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07"/>
        </w:trPr>
        <w:tc>
          <w:tcPr>
            <w:tcW w:w="4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17,484</w:t>
            </w:r>
          </w:p>
        </w:tc>
        <w:tc>
          <w:tcPr>
            <w:tcW w:w="1120" w:type="dxa"/>
            <w:vAlign w:val="bottom"/>
            <w:gridSpan w:val="2"/>
          </w:tcPr>
          <w:p>
            <w:pPr>
              <w:jc w:val="right"/>
              <w:ind w:right="95"/>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35,803</w:t>
            </w:r>
          </w:p>
        </w:tc>
        <w:tc>
          <w:tcPr>
            <w:tcW w:w="110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10,237</w:t>
            </w:r>
          </w:p>
        </w:tc>
        <w:tc>
          <w:tcPr>
            <w:tcW w:w="1120" w:type="dxa"/>
            <w:vAlign w:val="bottom"/>
            <w:gridSpan w:val="2"/>
          </w:tcPr>
          <w:p>
            <w:pPr>
              <w:jc w:val="right"/>
              <w:ind w:right="95"/>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21,785</w:t>
            </w:r>
          </w:p>
        </w:tc>
        <w:tc>
          <w:tcPr>
            <w:tcW w:w="110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1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rPr>
              <w:t>38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1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3"/>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Westwood mutual funds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120" w:type="dxa"/>
            <w:vAlign w:val="bottom"/>
            <w:gridSpan w:val="2"/>
          </w:tcPr>
          <w:p>
            <w:pPr>
              <w:jc w:val="right"/>
              <w:ind w:right="135"/>
              <w:spacing w:after="0"/>
              <w:rPr>
                <w:sz w:val="20"/>
                <w:szCs w:val="20"/>
                <w:color w:val="auto"/>
              </w:rPr>
            </w:pPr>
            <w:r>
              <w:rPr>
                <w:rFonts w:ascii="Times New Roman" w:cs="Times New Roman" w:eastAsia="Times New Roman" w:hAnsi="Times New Roman"/>
                <w:sz w:val="16"/>
                <w:szCs w:val="16"/>
                <w:color w:val="auto"/>
              </w:rPr>
              <w:t>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1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Information technology</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1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11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Professional services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120" w:type="dxa"/>
            <w:vAlign w:val="bottom"/>
            <w:gridSpan w:val="2"/>
          </w:tcPr>
          <w:p>
            <w:pPr>
              <w:jc w:val="right"/>
              <w:ind w:right="135"/>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11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1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11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16,706</w:t>
            </w:r>
          </w:p>
        </w:tc>
        <w:tc>
          <w:tcPr>
            <w:tcW w:w="1120" w:type="dxa"/>
            <w:vAlign w:val="bottom"/>
            <w:tcBorders>
              <w:bottom w:val="single" w:sz="8" w:color="CCEEFF"/>
            </w:tcBorders>
            <w:gridSpan w:val="2"/>
          </w:tcPr>
          <w:p>
            <w:pPr>
              <w:jc w:val="right"/>
              <w:ind w:right="95"/>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32,802</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34,256</w:t>
            </w:r>
          </w:p>
        </w:tc>
        <w:tc>
          <w:tcPr>
            <w:tcW w:w="1100" w:type="dxa"/>
            <w:vAlign w:val="bottom"/>
            <w:tcBorders>
              <w:bottom w:val="single" w:sz="8" w:color="CCEEFF"/>
            </w:tcBorders>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income (loss)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Realized gains on private investments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120" w:type="dxa"/>
            <w:vAlign w:val="bottom"/>
            <w:gridSpan w:val="2"/>
          </w:tcPr>
          <w:p>
            <w:pPr>
              <w:jc w:val="right"/>
              <w:ind w:right="95"/>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8,371</w:t>
            </w:r>
          </w:p>
        </w:tc>
        <w:tc>
          <w:tcPr>
            <w:tcW w:w="110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62"/>
        </w:trPr>
        <w:tc>
          <w:tcPr>
            <w:tcW w:w="454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Net change in unrealized appreciation (depreciation) on private</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120" w:type="dxa"/>
            <w:vAlign w:val="bottom"/>
            <w:gridSpan w:val="2"/>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6"/>
                <w:szCs w:val="16"/>
                <w:color w:val="auto"/>
              </w:rPr>
              <w:t>(239)</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1100" w:type="dxa"/>
            <w:vAlign w:val="bottom"/>
            <w:gridSpan w:val="2"/>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investments</w:t>
            </w: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investment income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120" w:type="dxa"/>
            <w:vAlign w:val="bottom"/>
            <w:gridSpan w:val="2"/>
          </w:tcPr>
          <w:p>
            <w:pPr>
              <w:jc w:val="right"/>
              <w:ind w:right="95"/>
              <w:spacing w:after="0"/>
              <w:rPr>
                <w:sz w:val="20"/>
                <w:szCs w:val="20"/>
                <w:color w:val="auto"/>
              </w:rPr>
            </w:pPr>
            <w:r>
              <w:rPr>
                <w:rFonts w:ascii="Times New Roman" w:cs="Times New Roman" w:eastAsia="Times New Roman" w:hAnsi="Times New Roman"/>
                <w:sz w:val="16"/>
                <w:szCs w:val="16"/>
                <w:color w:val="auto"/>
              </w:rPr>
              <w:t>(98)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10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1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1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1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6"/>
                <w:szCs w:val="16"/>
                <w:color w:val="auto"/>
              </w:rPr>
              <w:t>(118)</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11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55" w:lineRule="exact"/>
        <w:rPr>
          <w:sz w:val="20"/>
          <w:szCs w:val="20"/>
          <w:color w:val="auto"/>
        </w:rPr>
      </w:pPr>
    </w:p>
    <w:p>
      <w:pPr>
        <w:ind w:left="180"/>
        <w:spacing w:after="0"/>
        <w:tabs>
          <w:tab w:leader="none" w:pos="520" w:val="left"/>
        </w:tabs>
        <w:rPr>
          <w:sz w:val="20"/>
          <w:szCs w:val="20"/>
          <w:color w:val="auto"/>
        </w:rPr>
      </w:pPr>
      <w:r>
        <w:rPr>
          <w:rFonts w:ascii="Times New Roman" w:cs="Times New Roman" w:eastAsia="Times New Roman" w:hAnsi="Times New Roman"/>
          <w:sz w:val="14"/>
          <w:szCs w:val="14"/>
          <w:color w:val="auto"/>
        </w:rPr>
        <w:t>NM</w:t>
        <w:tab/>
        <w:t>Not meaningful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compared to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ind w:right="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Total revenues decreased $1.9 million, or 11%, to $15.6 million for the three months ended June 30, 2022 compared with $17.5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2021. Asset-based advisory fees decreased $0.4 million, or 4%, and Trust fees decreased $0.8 million, or 14%.</w:t>
      </w:r>
    </w:p>
    <w:p>
      <w:pPr>
        <w:spacing w:after="0" w:line="50" w:lineRule="exact"/>
        <w:rPr>
          <w:sz w:val="20"/>
          <w:szCs w:val="20"/>
          <w:color w:val="auto"/>
        </w:rPr>
      </w:pPr>
    </w:p>
    <w:p>
      <w:pPr>
        <w:ind w:right="1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Employee compensation and benefits decreased $1.1 million to $9.1 million compared with $10.2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due to lower commissions and incentive compensation.</w:t>
      </w:r>
    </w:p>
    <w:p>
      <w:pPr>
        <w:spacing w:after="0" w:line="50" w:lineRule="exact"/>
        <w:rPr>
          <w:sz w:val="20"/>
          <w:szCs w:val="20"/>
          <w:color w:val="auto"/>
        </w:rPr>
      </w:pPr>
    </w:p>
    <w:p>
      <w:pPr>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Information technology</w:t>
      </w:r>
      <w:r>
        <w:rPr>
          <w:rFonts w:ascii="Times New Roman" w:cs="Times New Roman" w:eastAsia="Times New Roman" w:hAnsi="Times New Roman"/>
          <w:sz w:val="18"/>
          <w:szCs w:val="18"/>
          <w:color w:val="auto"/>
        </w:rPr>
        <w:t>. Information technology costs decreased 14% to $1.9 million compared with $2.3 million for 2021 due to lower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license costs.</w:t>
      </w:r>
    </w:p>
    <w:p>
      <w:pPr>
        <w:spacing w:after="0" w:line="50" w:lineRule="exact"/>
        <w:rPr>
          <w:sz w:val="20"/>
          <w:szCs w:val="20"/>
          <w:color w:val="auto"/>
        </w:rPr>
      </w:pPr>
    </w:p>
    <w:p>
      <w:pPr>
        <w:ind w:right="4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change in unrealized appreciation (depreciation) on private investments. </w:t>
      </w:r>
      <w:r>
        <w:rPr>
          <w:rFonts w:ascii="Times New Roman" w:cs="Times New Roman" w:eastAsia="Times New Roman" w:hAnsi="Times New Roman"/>
          <w:sz w:val="18"/>
          <w:szCs w:val="18"/>
          <w:color w:val="auto"/>
        </w:rPr>
        <w:t>We recorded unrealized losses of approximately $0.3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gains of approximately $0.2 million in the second quarters of 2022 and 2021, respectively, both related to our investment in Charis.</w:t>
      </w:r>
    </w:p>
    <w:p>
      <w:pPr>
        <w:spacing w:after="0" w:line="50" w:lineRule="exact"/>
        <w:rPr>
          <w:sz w:val="20"/>
          <w:szCs w:val="20"/>
          <w:color w:val="auto"/>
        </w:rPr>
      </w:pPr>
    </w:p>
    <w:p>
      <w:pPr>
        <w:ind w:right="500" w:firstLine="486"/>
        <w:spacing w:after="0" w:line="315" w:lineRule="auto"/>
        <w:rPr>
          <w:sz w:val="20"/>
          <w:szCs w:val="20"/>
          <w:color w:val="auto"/>
        </w:rPr>
      </w:pPr>
      <w:r>
        <w:rPr>
          <w:rFonts w:ascii="Times New Roman" w:cs="Times New Roman" w:eastAsia="Times New Roman" w:hAnsi="Times New Roman"/>
          <w:sz w:val="17"/>
          <w:szCs w:val="17"/>
          <w:i w:val="1"/>
          <w:iCs w:val="1"/>
          <w:color w:val="auto"/>
        </w:rPr>
        <w:t>Income tax provision</w:t>
      </w:r>
      <w:r>
        <w:rPr>
          <w:rFonts w:ascii="Times New Roman" w:cs="Times New Roman" w:eastAsia="Times New Roman" w:hAnsi="Times New Roman"/>
          <w:sz w:val="17"/>
          <w:szCs w:val="17"/>
          <w:color w:val="auto"/>
        </w:rPr>
        <w:t>. Our effective tax rate differed from the 21% statutory rate for the second quarter of 2022 primarily due to permanent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differences between book and tax restricted stock expense based on a decrease in our stock price between the restricted stock grant and vesting dates.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six months ended June 30, 2021</w:t>
      </w:r>
    </w:p>
    <w:p>
      <w:pPr>
        <w:spacing w:after="0" w:line="119" w:lineRule="exact"/>
        <w:rPr>
          <w:sz w:val="20"/>
          <w:szCs w:val="20"/>
          <w:color w:val="auto"/>
        </w:rPr>
      </w:pPr>
    </w:p>
    <w:p>
      <w:pPr>
        <w:ind w:right="1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Total revenues decreased $3.0 million, or 8%, to $32.8 million for the six months ended June 30, 2022 compared with $35.8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six months ended June 30, 2021. Asset-based advisory fees increased $1.0 million, or 4% and Trust fees decreased $1.2 million, or 10%. Performance-based advisory fees decreased $2.0 million due to reflecting lower performance fees in the six months ended June 30, 2022.</w:t>
      </w:r>
    </w:p>
    <w:p>
      <w:pPr>
        <w:spacing w:after="0" w:line="65" w:lineRule="exact"/>
        <w:rPr>
          <w:sz w:val="20"/>
          <w:szCs w:val="20"/>
          <w:color w:val="auto"/>
        </w:rPr>
      </w:pPr>
    </w:p>
    <w:p>
      <w:pPr>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Employee compensation and benefits decreased $2.3 million to $19.5 million compared with $21.8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due to lower commissions and incentive compensation.</w:t>
      </w:r>
    </w:p>
    <w:p>
      <w:pPr>
        <w:spacing w:after="0" w:line="50" w:lineRule="exact"/>
        <w:rPr>
          <w:sz w:val="20"/>
          <w:szCs w:val="20"/>
          <w:color w:val="auto"/>
        </w:rPr>
      </w:pPr>
    </w:p>
    <w:p>
      <w:pPr>
        <w:ind w:right="4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$0.4 million, or 65%, to $1.0 million compared with $0.6 million for 2021 as in-person sales activities returned to pre-COVID-19 levels.</w:t>
      </w:r>
    </w:p>
    <w:p>
      <w:pPr>
        <w:spacing w:after="0" w:line="50" w:lineRule="exact"/>
        <w:rPr>
          <w:sz w:val="20"/>
          <w:szCs w:val="20"/>
          <w:color w:val="auto"/>
        </w:rPr>
      </w:pPr>
    </w:p>
    <w:p>
      <w:pPr>
        <w:ind w:right="2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Westwood mutual funds</w:t>
      </w:r>
      <w:r>
        <w:rPr>
          <w:rFonts w:ascii="Times New Roman" w:cs="Times New Roman" w:eastAsia="Times New Roman" w:hAnsi="Times New Roman"/>
          <w:sz w:val="18"/>
          <w:szCs w:val="18"/>
          <w:color w:val="auto"/>
        </w:rPr>
        <w:t>. Mutual fund expenses increased $0.4 million to $1.2 million compared with $0.8 million for 2021 following increases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optimization costs.</w:t>
      </w:r>
    </w:p>
    <w:p>
      <w:pPr>
        <w:spacing w:after="0" w:line="50" w:lineRule="exact"/>
        <w:rPr>
          <w:sz w:val="20"/>
          <w:szCs w:val="20"/>
          <w:color w:val="auto"/>
        </w:rPr>
      </w:pPr>
    </w:p>
    <w:p>
      <w:pPr>
        <w:ind w:right="4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Information technology</w:t>
      </w:r>
      <w:r>
        <w:rPr>
          <w:rFonts w:ascii="Times New Roman" w:cs="Times New Roman" w:eastAsia="Times New Roman" w:hAnsi="Times New Roman"/>
          <w:sz w:val="18"/>
          <w:szCs w:val="18"/>
          <w:color w:val="auto"/>
        </w:rPr>
        <w:t>. Information technology costs decreased $0.5 million to $3.8 million compared with $4.3 million for 2021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license costs.</w:t>
      </w:r>
    </w:p>
    <w:p>
      <w:pPr>
        <w:spacing w:after="0" w:line="50" w:lineRule="exact"/>
        <w:rPr>
          <w:sz w:val="20"/>
          <w:szCs w:val="20"/>
          <w:color w:val="auto"/>
        </w:rPr>
      </w:pPr>
    </w:p>
    <w:p>
      <w:pPr>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Realized gains on private investments. </w:t>
      </w:r>
      <w:r>
        <w:rPr>
          <w:rFonts w:ascii="Times New Roman" w:cs="Times New Roman" w:eastAsia="Times New Roman" w:hAnsi="Times New Roman"/>
          <w:sz w:val="18"/>
          <w:szCs w:val="18"/>
          <w:color w:val="auto"/>
        </w:rPr>
        <w:t>We recorded a realized gain of approximately $8.4 million following InvestCloud's recapitalization in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2021.</w:t>
      </w:r>
    </w:p>
    <w:p>
      <w:pPr>
        <w:spacing w:after="0" w:line="50" w:lineRule="exact"/>
        <w:rPr>
          <w:sz w:val="20"/>
          <w:szCs w:val="20"/>
          <w:color w:val="auto"/>
        </w:rPr>
      </w:pPr>
    </w:p>
    <w:p>
      <w:pPr>
        <w:ind w:right="1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change in unrealized appreciation (depreciation) on private investments. </w:t>
      </w:r>
      <w:r>
        <w:rPr>
          <w:rFonts w:ascii="Times New Roman" w:cs="Times New Roman" w:eastAsia="Times New Roman" w:hAnsi="Times New Roman"/>
          <w:sz w:val="18"/>
          <w:szCs w:val="18"/>
          <w:color w:val="auto"/>
        </w:rPr>
        <w:t>We recorded a $2.8 million net change in unrealized depreciation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recognition of previously recorded unrealized gains in connection with InvestCloud's recapitalization in the first quarter of 2021, partially offset by $0.7 million of fair value increases related to our investment in Charis.</w:t>
      </w:r>
    </w:p>
    <w:p>
      <w:pPr>
        <w:spacing w:after="0" w:line="65" w:lineRule="exact"/>
        <w:rPr>
          <w:sz w:val="20"/>
          <w:szCs w:val="20"/>
          <w:color w:val="auto"/>
        </w:rPr>
      </w:pPr>
    </w:p>
    <w:p>
      <w:pPr>
        <w:jc w:val="both"/>
        <w:ind w:right="1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Income tax provision</w:t>
      </w:r>
      <w:r>
        <w:rPr>
          <w:rFonts w:ascii="Times New Roman" w:cs="Times New Roman" w:eastAsia="Times New Roman" w:hAnsi="Times New Roman"/>
          <w:sz w:val="18"/>
          <w:szCs w:val="18"/>
          <w:color w:val="auto"/>
        </w:rPr>
        <w:t>. The effective tax rate for the six months ended June 30, 2022 differed from the 21% statutory rate for 2022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permanent differences between book and tax restricted stock expense based on a decrease in our stock price between the restricted stock grant and vesting 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Financial Information</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supplemental information, we are providing non-GAAP performance measures that we refer to as Economic Earnings and Economic EPS. We provide these measures in addition to, not as a substitute for, net income (loss) and earnings (loss)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net income (loss)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7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define Economic Earnings as net income (loss)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2" w:name="page23"/>
    <w:bookmarkEnd w:id="22"/>
    <w:p>
      <w:pPr>
        <w:ind w:right="360"/>
        <w:spacing w:after="0" w:line="282" w:lineRule="auto"/>
        <w:rPr>
          <w:sz w:val="20"/>
          <w:szCs w:val="20"/>
          <w:color w:val="auto"/>
        </w:rPr>
      </w:pPr>
      <w:r>
        <w:rPr>
          <w:rFonts w:ascii="Times New Roman" w:cs="Times New Roman" w:eastAsia="Times New Roman" w:hAnsi="Times New Roman"/>
          <w:sz w:val="18"/>
          <w:szCs w:val="18"/>
          <w:color w:val="auto"/>
        </w:rPr>
        <w:t>tax deductions related to restricted stock expense or amortization of intangible assets. Economic EPS represents Economic Earnings divided by diluted weighted average shares outstanding.</w:t>
      </w:r>
    </w:p>
    <w:p>
      <w:pPr>
        <w:spacing w:after="0" w:line="54"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provide a reconciliation of net income (loss) to Economic Earnings and Economic Earnings by segment (in thousands, except share and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4"/>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vMerge w:val="restart"/>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Borders>
              <w:bottom w:val="single" w:sz="8" w:color="auto"/>
            </w:tcBorders>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0"/>
                <w:szCs w:val="20"/>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6"/>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2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amortization</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Tax benefit from goodwill amortization</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amortization</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Tax benefit from goodwill amortization</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7,944,212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7,928,106</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7,904,911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7,922,742</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Earnings by Segment: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Advisory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2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2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Westwood Holdings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2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2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75"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fund our operations and cash requirements with cash generated from operating activities. We may also use cash from operations to pay dividends to our stockholders. We reinstated a dividend in the first quarter of 2021, following a suspension in the second quarter of 2020 as we preserved capital and additional financial flexibility amid the uncertainties created by the COVID-19 pandemic.</w:t>
      </w:r>
    </w:p>
    <w:p>
      <w:pPr>
        <w:spacing w:after="0" w:line="68"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Our announced acquisition of Salient's asset management business will require an upfront cash payment of $35.0 million upon closing, and subsequently deferred cash payments of up to $25.0 million over several years, upon satisfaction of certain revenue retention and growth targets.</w:t>
      </w:r>
    </w:p>
    <w:p>
      <w:pPr>
        <w:spacing w:after="0" w:line="10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 of June 30, 2022 and December 31, 2021, we had no debt.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7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cash flow provided by operating activities was $12.1 million, which included net sales of $12.4 million of current investments and a $1.9 million change in accounts receivable, partially offset by a reduction in compensation and benefits payable of $5.6 million. During the six months ended June 30, 2021, cash flow used in operating activities was $1.2 million, which included net purchases of $5.6 million of current investments, a reduction in compensation and benefits payable of $2.9 million, a $0.4 million change in accounts receivable and adjustments to net income (loss), partially offset by income taxes payable, accounts payable and accrued liabilities.</w:t>
      </w:r>
    </w:p>
    <w:p>
      <w:pPr>
        <w:spacing w:after="0" w:line="75"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Cash flow used in investing activities during the six months ended June 30, 2022 was related to purchases of property and equipment. Cash flow provided by investing activities during the six months ended June 30, 2021 was related to realized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gains on private investments and the sale of property and equipment following the sublease of a portion of our Dallas, Texas corporate office space.</w:t>
      </w:r>
    </w:p>
    <w:p>
      <w:pPr>
        <w:spacing w:after="0" w:line="11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Cash flows used in financing activities of $5.3 million for the six months ended June 30, 2022 reflected the payment of dividends, treasury stock repurchases and restricted stock returned for the payment of taxes. Cash flows used in financing activities of $4.2 million for the six months ended June 30, 2021 reflected treasury stock repurchases, the payment of dividends and restricted stock returned for the payment of taxes.</w:t>
      </w:r>
    </w:p>
    <w:p>
      <w:pPr>
        <w:spacing w:after="0" w:line="68"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We had cash and short-term investments of $73.6 million as of June 30, 2022 and $80.2 million as of December 31, 2021. At June 30, 2022 and December 31, 2021, working capital aggregated $75.7 million and $78.0 million, respectively.</w:t>
      </w:r>
    </w:p>
    <w:p>
      <w:pPr>
        <w:spacing w:after="0" w:line="54"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Westwood Trust is required to maintain cash and investments in an amount equal to the minimum restricted capital of $4.0 million, as required by the Texas Finance Code. Restricted capital is included in Investments in the accompanying Condensed Consolidated Balance Sheets. At June 30, 2022, Westwood Trust had approximately $19.4 million in excess of its minimum capital requirement.</w:t>
      </w:r>
    </w:p>
    <w:p>
      <w:pPr>
        <w:spacing w:after="0" w:line="6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2021.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Contractual Obligations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2022, there have been no material changes outside of the ordinary course of business to our contractual obligations since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For information regarding our contractual obligations, refer to “Contractual Obligations” in Part II, Item 7. “Management's Discussion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Analysis of Financial Condition and Results of Operations” in our Annual Report on Form 10-K for the fiscal year ended December 31, 2021.</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and Significant Accounting Policies and Estimates</w:t>
      </w:r>
    </w:p>
    <w:p>
      <w:pPr>
        <w:spacing w:after="0" w:line="121"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significant changes in our critical or significant accounting policies and estimates since December 31, 2021.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2021.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Accounting Developments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2 “Summary of Significant Accounting Policies” in our Condensed Consolidated Financial Statements included in Part I, Item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of this Quarterly Report on Form 10-Q for a description of recently issued accounting guidance.</w:t>
      </w:r>
    </w:p>
    <w:p>
      <w:pPr>
        <w:spacing w:after="0" w:line="31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Quantitative and Qualitative Disclosures about Market Risk from those previously reported in our Annual Report on Form 10-K for the year ended December 31, 2021.</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4" w:name="page25"/>
    <w:bookmarkEnd w:id="24"/>
    <w:p>
      <w:pPr>
        <w:spacing w:after="0" w:line="273" w:lineRule="auto"/>
        <w:rPr>
          <w:sz w:val="20"/>
          <w:szCs w:val="20"/>
          <w:color w:val="auto"/>
        </w:rPr>
      </w:pPr>
      <w:r>
        <w:rPr>
          <w:rFonts w:ascii="Times New Roman" w:cs="Times New Roman" w:eastAsia="Times New Roman" w:hAnsi="Times New Roman"/>
          <w:sz w:val="17"/>
          <w:szCs w:val="17"/>
          <w:color w:val="auto"/>
        </w:rPr>
        <w:t>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2022, there were no changes in our internal controls over financial reporting (as defined in Rule 13a-15(f) under the Exchange Act) that materially affected, or are reasonably likely to materially affect, our internal control over financial reporting. Due to our significant investments in cloud-based systems, the impact of our employees working remotely did not hinder the execution of our internal control processes and procedures.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2021 and the risks set forth below.</w:t>
      </w:r>
    </w:p>
    <w:p>
      <w:pPr>
        <w:spacing w:after="0" w:line="7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the Form 10-K. You should carefully consider the following risks and the risks included in the Company’s Annual Report on Form 10-K,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spacing w:after="0" w:line="2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Our share repurchase program has no expiration date and may be discontinued at any time by the Board of Directors. Between April 1, 2022 and June 30, 2022, under the share repurchase program, the Company repurchased 57,984 shares of our common stock at an average price of $14.29 per share, including commissions, for an aggregate purchase price of $0.8 million. Between April 1, 2022 and June 30, 2022, the Company repurchased, on the open market, 35,891 shares of our common stock at an average price of $15.75 per share, including commissions, for an aggregate purchase price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 million.</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information with respect to the treasury shares we purchased during the three months ended June 30,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160" w:type="dxa"/>
            <w:vAlign w:val="bottom"/>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Maximum number (or</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920" w:type="dxa"/>
            <w:vAlign w:val="bottom"/>
            <w:gridSpan w:val="3"/>
          </w:tcPr>
          <w:p>
            <w:pPr>
              <w:jc w:val="center"/>
              <w:ind w:right="210"/>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2160" w:type="dxa"/>
            <w:vAlign w:val="bottom"/>
          </w:tcPr>
          <w:p>
            <w:pPr>
              <w:jc w:val="center"/>
              <w:ind w:right="118"/>
              <w:spacing w:after="0" w:line="162" w:lineRule="exact"/>
              <w:rPr>
                <w:sz w:val="20"/>
                <w:szCs w:val="20"/>
                <w:color w:val="auto"/>
              </w:rPr>
            </w:pPr>
            <w:r>
              <w:rPr>
                <w:rFonts w:ascii="Times New Roman" w:cs="Times New Roman" w:eastAsia="Times New Roman" w:hAnsi="Times New Roman"/>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4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920" w:type="dxa"/>
            <w:vAlign w:val="bottom"/>
            <w:gridSpan w:val="3"/>
          </w:tcPr>
          <w:p>
            <w:pPr>
              <w:jc w:val="center"/>
              <w:ind w:right="210"/>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2160" w:type="dxa"/>
            <w:vAlign w:val="bottom"/>
          </w:tcPr>
          <w:p>
            <w:pPr>
              <w:jc w:val="center"/>
              <w:ind w:right="118"/>
              <w:spacing w:after="0" w:line="162" w:lineRule="exact"/>
              <w:rPr>
                <w:sz w:val="20"/>
                <w:szCs w:val="20"/>
                <w:color w:val="auto"/>
              </w:rPr>
            </w:pPr>
            <w:r>
              <w:rPr>
                <w:rFonts w:ascii="Times New Roman" w:cs="Times New Roman" w:eastAsia="Times New Roman" w:hAnsi="Times New Roman"/>
                <w:sz w:val="16"/>
                <w:szCs w:val="16"/>
                <w:b w:val="1"/>
                <w:bCs w:val="1"/>
                <w:color w:val="auto"/>
              </w:rPr>
              <w:t>of shares that may yet be</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4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price paid</w:t>
            </w:r>
          </w:p>
        </w:tc>
        <w:tc>
          <w:tcPr>
            <w:tcW w:w="1920" w:type="dxa"/>
            <w:vAlign w:val="bottom"/>
            <w:gridSpan w:val="3"/>
          </w:tcPr>
          <w:p>
            <w:pPr>
              <w:jc w:val="center"/>
              <w:ind w:right="190"/>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2160" w:type="dxa"/>
            <w:vAlign w:val="bottom"/>
          </w:tcPr>
          <w:p>
            <w:pPr>
              <w:jc w:val="center"/>
              <w:ind w:right="98"/>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920" w:type="dxa"/>
            <w:vAlign w:val="bottom"/>
            <w:gridSpan w:val="3"/>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8"/>
              </w:rPr>
              <w:t>programs</w:t>
            </w:r>
          </w:p>
        </w:tc>
        <w:tc>
          <w:tcPr>
            <w:tcW w:w="2160" w:type="dxa"/>
            <w:vAlign w:val="bottom"/>
          </w:tcPr>
          <w:p>
            <w:pPr>
              <w:jc w:val="center"/>
              <w:ind w:right="118"/>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plans or programs </w:t>
            </w:r>
            <w:r>
              <w:rPr>
                <w:rFonts w:ascii="Times New Roman" w:cs="Times New Roman" w:eastAsia="Times New Roman" w:hAnsi="Times New Roman"/>
                <w:sz w:val="21"/>
                <w:szCs w:val="21"/>
                <w:b w:val="1"/>
                <w:bCs w:val="1"/>
                <w:color w:val="auto"/>
                <w:w w:val="98"/>
                <w:vertAlign w:val="superscript"/>
              </w:rPr>
              <w:t>(1)</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Repurchase program </w:t>
            </w:r>
            <w:r>
              <w:rPr>
                <w:rFonts w:ascii="Times New Roman" w:cs="Times New Roman" w:eastAsia="Times New Roman" w:hAnsi="Times New Roman"/>
                <w:sz w:val="23"/>
                <w:szCs w:val="23"/>
                <w:color w:val="auto"/>
                <w:vertAlign w:val="superscript"/>
              </w:rPr>
              <w:t>(1)</w:t>
            </w: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3,200,000</w:t>
            </w:r>
          </w:p>
        </w:tc>
        <w:tc>
          <w:tcPr>
            <w:tcW w:w="0" w:type="dxa"/>
            <w:vAlign w:val="bottom"/>
          </w:tcPr>
          <w:p>
            <w:pPr>
              <w:spacing w:after="0"/>
              <w:rPr>
                <w:sz w:val="1"/>
                <w:szCs w:val="1"/>
                <w:color w:val="auto"/>
              </w:rPr>
            </w:pPr>
          </w:p>
        </w:tc>
      </w:tr>
      <w:tr>
        <w:trPr>
          <w:trHeight w:val="234"/>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June 2022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93,875</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purchases relate to the share repurchase program and were authorized in April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64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80" w:type="dxa"/>
            <w:vAlign w:val="bottom"/>
          </w:tcPr>
          <w:p>
            <w:pPr>
              <w:spacing w:after="0"/>
              <w:rPr>
                <w:sz w:val="24"/>
                <w:szCs w:val="24"/>
                <w:color w:val="auto"/>
              </w:rPr>
            </w:pPr>
          </w:p>
        </w:tc>
        <w:tc>
          <w:tcPr>
            <w:tcW w:w="6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Securities Exchange Act Rule 13a-14(a)</w:t>
            </w:r>
          </w:p>
        </w:tc>
        <w:tc>
          <w:tcPr>
            <w:tcW w:w="1480" w:type="dxa"/>
            <w:vAlign w:val="bottom"/>
            <w:gridSpan w:val="3"/>
          </w:tcPr>
          <w:p>
            <w:pPr>
              <w:spacing w:after="0"/>
              <w:rPr>
                <w:sz w:val="24"/>
                <w:szCs w:val="24"/>
                <w:color w:val="auto"/>
              </w:rPr>
            </w:pPr>
          </w:p>
        </w:tc>
      </w:tr>
      <w:tr>
        <w:trPr>
          <w:trHeight w:val="426"/>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 13a-14(a)</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w:t>
            </w:r>
          </w:p>
        </w:tc>
      </w:tr>
      <w:tr>
        <w:trPr>
          <w:trHeight w:val="155"/>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56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439"/>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w:t>
            </w:r>
          </w:p>
        </w:tc>
      </w:tr>
      <w:tr>
        <w:trPr>
          <w:trHeight w:val="156"/>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5580" w:type="dxa"/>
            <w:vAlign w:val="bottom"/>
            <w:tcBorders>
              <w:top w:val="single" w:sz="8" w:color="0000FF"/>
            </w:tcBorders>
            <w:gridSpan w:val="3"/>
          </w:tcPr>
          <w:p>
            <w:pPr>
              <w:spacing w:after="0"/>
              <w:rPr>
                <w:sz w:val="13"/>
                <w:szCs w:val="13"/>
                <w:color w:val="auto"/>
              </w:rPr>
            </w:pPr>
          </w:p>
        </w:tc>
        <w:tc>
          <w:tcPr>
            <w:tcW w:w="60" w:type="dxa"/>
            <w:vAlign w:val="bottom"/>
            <w:gridSpan w:val="2"/>
          </w:tcPr>
          <w:p>
            <w:pPr>
              <w:spacing w:after="0"/>
              <w:rPr>
                <w:sz w:val="13"/>
                <w:szCs w:val="13"/>
                <w:color w:val="auto"/>
              </w:rPr>
            </w:pPr>
          </w:p>
        </w:tc>
      </w:tr>
      <w:tr>
        <w:trPr>
          <w:trHeight w:val="425"/>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financial information from Westwood Holdings Group, Inc.'s Quarterly Report on Form 10-Q for</w:t>
            </w:r>
          </w:p>
        </w:tc>
      </w:tr>
      <w:tr>
        <w:trPr>
          <w:trHeight w:val="184"/>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16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the period ended June 30, 2022, formatted in Inline eXtensible Business Reporting Language (iXBRL): (i)</w:t>
            </w:r>
          </w:p>
        </w:tc>
      </w:tr>
      <w:tr>
        <w:trPr>
          <w:trHeight w:val="180"/>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16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Condensed Consolidated Balance Sheets as of June 30, 2022 and December 31, 2021; (ii) Condensed</w:t>
            </w:r>
          </w:p>
        </w:tc>
      </w:tr>
      <w:tr>
        <w:trPr>
          <w:trHeight w:val="175"/>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1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Consolidated Statements of Comprehensive Income (Loss) for the three and six months ended June 30, 2022 and</w:t>
            </w:r>
          </w:p>
        </w:tc>
      </w:tr>
      <w:tr>
        <w:trPr>
          <w:trHeight w:val="184"/>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16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w w:val="99"/>
              </w:rPr>
              <w:t>2021; (iii) Condensed Consolidated Statements of Stockholders' Equity; (iv) Condensed Consolidated Statements</w:t>
            </w:r>
          </w:p>
        </w:tc>
      </w:tr>
      <w:tr>
        <w:trPr>
          <w:trHeight w:val="180"/>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16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of Cash Flows for the three and six months ended June 30, 2022 and 2021; and (v) Notes to the Condensed</w:t>
            </w:r>
          </w:p>
        </w:tc>
      </w:t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441"/>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iXBRL and contained in Exhibit 101)</w:t>
            </w:r>
          </w:p>
        </w:tc>
      </w:tr>
    </w:tbl>
    <w:p>
      <w:pPr>
        <w:spacing w:after="0" w:line="29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27" w:name="page28"/>
    <w:bookmarkEnd w:id="27"/>
    <w:p>
      <w:pPr>
        <w:jc w:val="center"/>
        <w:ind w:right="-47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Dated:   July 27, 2022</w:t>
            </w:r>
          </w:p>
        </w:tc>
        <w:tc>
          <w:tcPr>
            <w:tcW w:w="60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WESTWOOD HOLDINGS GROUP, INC.</w:t>
            </w:r>
          </w:p>
        </w:tc>
      </w:tr>
      <w:tr>
        <w:trPr>
          <w:trHeight w:val="486"/>
        </w:trPr>
        <w:tc>
          <w:tcPr>
            <w:tcW w:w="3320" w:type="dxa"/>
            <w:vAlign w:val="bottom"/>
          </w:tcPr>
          <w:p>
            <w:pPr>
              <w:spacing w:after="0"/>
              <w:rPr>
                <w:sz w:val="24"/>
                <w:szCs w:val="24"/>
                <w:color w:val="auto"/>
              </w:rPr>
            </w:pPr>
          </w:p>
        </w:tc>
        <w:tc>
          <w:tcPr>
            <w:tcW w:w="22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O. Casey</w:t>
            </w:r>
          </w:p>
        </w:tc>
      </w:tr>
      <w:tr>
        <w:trPr>
          <w:trHeight w:val="218"/>
        </w:trPr>
        <w:tc>
          <w:tcPr>
            <w:tcW w:w="3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O. Casey</w:t>
            </w:r>
          </w:p>
        </w:tc>
      </w:tr>
      <w:tr>
        <w:trPr>
          <w:trHeight w:val="234"/>
        </w:trPr>
        <w:tc>
          <w:tcPr>
            <w:tcW w:w="3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45"/>
        </w:trPr>
        <w:tc>
          <w:tcPr>
            <w:tcW w:w="3320" w:type="dxa"/>
            <w:vAlign w:val="bottom"/>
          </w:tcPr>
          <w:p>
            <w:pPr>
              <w:spacing w:after="0"/>
              <w:rPr>
                <w:sz w:val="24"/>
                <w:szCs w:val="24"/>
                <w:color w:val="auto"/>
              </w:rPr>
            </w:pPr>
          </w:p>
        </w:tc>
        <w:tc>
          <w:tcPr>
            <w:tcW w:w="22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Murray Forbes III</w:t>
            </w:r>
          </w:p>
        </w:tc>
      </w:tr>
      <w:tr>
        <w:trPr>
          <w:trHeight w:val="218"/>
        </w:trPr>
        <w:tc>
          <w:tcPr>
            <w:tcW w:w="3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Murray Forbes III</w:t>
            </w:r>
          </w:p>
        </w:tc>
      </w:tr>
      <w:tr>
        <w:trPr>
          <w:trHeight w:val="234"/>
        </w:trPr>
        <w:tc>
          <w:tcPr>
            <w:tcW w:w="3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60"/>
          </w:cols>
          <w:pgMar w:left="320" w:top="1093" w:right="819" w:bottom="1440" w:gutter="0" w:footer="0" w:header="0"/>
        </w:sectPr>
      </w:pPr>
    </w:p>
    <w:bookmarkStart w:id="28" w:name="page29"/>
    <w:bookmarkEnd w:id="28"/>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5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7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RULES 13a-14(a)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Brian O. Casey, certify that:</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10-Q of Westwood Holdings Group, Inc.;</w:t>
      </w:r>
    </w:p>
    <w:p>
      <w:pPr>
        <w:spacing w:after="0" w:line="113"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6"/>
          <w:szCs w:val="16"/>
          <w:color w:val="auto"/>
        </w:rPr>
      </w:pPr>
    </w:p>
    <w:p>
      <w:pPr>
        <w:ind w:left="660" w:right="520" w:hanging="328"/>
        <w:spacing w:after="0" w:line="298"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6"/>
          <w:szCs w:val="16"/>
          <w:color w:val="auto"/>
        </w:rPr>
      </w:pPr>
    </w:p>
    <w:p>
      <w:pPr>
        <w:ind w:left="660" w:right="200" w:hanging="328"/>
        <w:spacing w:after="0" w:line="272"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6"/>
          <w:szCs w:val="16"/>
          <w:color w:val="auto"/>
        </w:rPr>
      </w:pPr>
    </w:p>
    <w:p>
      <w:pPr>
        <w:ind w:left="1300" w:right="300" w:hanging="320"/>
        <w:spacing w:after="0" w:line="272" w:lineRule="auto"/>
        <w:tabs>
          <w:tab w:leader="none" w:pos="1291"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1300" w:right="100" w:hanging="320"/>
        <w:spacing w:after="0" w:line="272" w:lineRule="auto"/>
        <w:tabs>
          <w:tab w:leader="none" w:pos="13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300" w:right="160" w:hanging="320"/>
        <w:spacing w:after="0" w:line="298" w:lineRule="auto"/>
        <w:tabs>
          <w:tab w:leader="none" w:pos="1291"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6"/>
          <w:szCs w:val="16"/>
          <w:color w:val="auto"/>
        </w:rPr>
      </w:pPr>
    </w:p>
    <w:p>
      <w:pPr>
        <w:ind w:left="1300" w:right="180" w:hanging="320"/>
        <w:spacing w:after="0" w:line="272" w:lineRule="auto"/>
        <w:tabs>
          <w:tab w:leader="none" w:pos="13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660" w:right="120" w:hanging="328"/>
        <w:spacing w:after="0" w:line="298"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6"/>
          <w:szCs w:val="16"/>
          <w:color w:val="auto"/>
        </w:rPr>
      </w:pPr>
    </w:p>
    <w:p>
      <w:pPr>
        <w:ind w:left="1300" w:right="140" w:hanging="320"/>
        <w:spacing w:after="0" w:line="298" w:lineRule="auto"/>
        <w:tabs>
          <w:tab w:leader="none" w:pos="1241"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251"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July 27, 2022</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0429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Brian O. Casey</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1240"/>
          </w:cols>
          <w:pgMar w:left="320" w:top="1440" w:right="339" w:bottom="1440" w:gutter="0" w:footer="0" w:header="0"/>
        </w:sectPr>
      </w:pPr>
    </w:p>
    <w:bookmarkStart w:id="29" w:name="page30"/>
    <w:bookmarkEnd w:id="29"/>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5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7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RULES 13a-14(a)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Murray Forbes III, certify that:</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10-Q of Westwood Holdings Group, Inc.;</w:t>
      </w:r>
    </w:p>
    <w:p>
      <w:pPr>
        <w:spacing w:after="0" w:line="113"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6"/>
          <w:szCs w:val="16"/>
          <w:color w:val="auto"/>
        </w:rPr>
      </w:pPr>
    </w:p>
    <w:p>
      <w:pPr>
        <w:ind w:left="660" w:right="520" w:hanging="328"/>
        <w:spacing w:after="0" w:line="298"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6"/>
          <w:szCs w:val="16"/>
          <w:color w:val="auto"/>
        </w:rPr>
      </w:pPr>
    </w:p>
    <w:p>
      <w:pPr>
        <w:ind w:left="660" w:right="200" w:hanging="328"/>
        <w:spacing w:after="0" w:line="272"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6"/>
          <w:szCs w:val="16"/>
          <w:color w:val="auto"/>
        </w:rPr>
      </w:pPr>
    </w:p>
    <w:p>
      <w:pPr>
        <w:ind w:left="1300" w:right="300" w:hanging="320"/>
        <w:spacing w:after="0" w:line="272" w:lineRule="auto"/>
        <w:tabs>
          <w:tab w:leader="none" w:pos="129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1300" w:right="100" w:hanging="320"/>
        <w:spacing w:after="0" w:line="272" w:lineRule="auto"/>
        <w:tabs>
          <w:tab w:leader="none" w:pos="13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300" w:right="160" w:hanging="320"/>
        <w:spacing w:after="0" w:line="298" w:lineRule="auto"/>
        <w:tabs>
          <w:tab w:leader="none" w:pos="129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6"/>
          <w:szCs w:val="16"/>
          <w:color w:val="auto"/>
        </w:rPr>
      </w:pPr>
    </w:p>
    <w:p>
      <w:pPr>
        <w:ind w:left="1300" w:right="180" w:hanging="320"/>
        <w:spacing w:after="0" w:line="272" w:lineRule="auto"/>
        <w:tabs>
          <w:tab w:leader="none" w:pos="13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660" w:right="180" w:hanging="328"/>
        <w:spacing w:after="0" w:line="298" w:lineRule="auto"/>
        <w:tabs>
          <w:tab w:leader="none" w:pos="61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6"/>
          <w:szCs w:val="16"/>
          <w:color w:val="auto"/>
        </w:rPr>
      </w:pPr>
    </w:p>
    <w:p>
      <w:pPr>
        <w:ind w:left="1300" w:right="140" w:hanging="320"/>
        <w:spacing w:after="0" w:line="298" w:lineRule="auto"/>
        <w:tabs>
          <w:tab w:leader="none" w:pos="124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25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July 27, 2022</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0429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Murray Forbes III</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Financial Officer and Treasurer</w:t>
      </w:r>
    </w:p>
    <w:p>
      <w:pPr>
        <w:sectPr>
          <w:pgSz w:w="11900" w:h="16838" w:orient="portrait"/>
          <w:cols w:equalWidth="0" w:num="1">
            <w:col w:w="11240"/>
          </w:cols>
          <w:pgMar w:left="320" w:top="144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Westwood Holdings Group, Inc. (the “Company”) on Form 10-Q for the period ended June 30, 2022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63" w:lineRule="exact"/>
        <w:rPr>
          <w:sz w:val="20"/>
          <w:szCs w:val="20"/>
          <w:color w:val="auto"/>
        </w:rPr>
      </w:pPr>
    </w:p>
    <w:p>
      <w:pPr>
        <w:ind w:left="720" w:hanging="226"/>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(15 U.S.C.78m or 78o(d)); and</w:t>
      </w:r>
    </w:p>
    <w:p>
      <w:pPr>
        <w:spacing w:after="0" w:line="126" w:lineRule="exact"/>
        <w:rPr>
          <w:rFonts w:ascii="Times New Roman" w:cs="Times New Roman" w:eastAsia="Times New Roman" w:hAnsi="Times New Roman"/>
          <w:sz w:val="16"/>
          <w:szCs w:val="16"/>
          <w:color w:val="auto"/>
        </w:rPr>
      </w:pPr>
    </w:p>
    <w:p>
      <w:pPr>
        <w:ind w:left="60" w:right="1120" w:firstLine="434"/>
        <w:spacing w:after="0" w:line="333" w:lineRule="auto"/>
        <w:tabs>
          <w:tab w:leader="none" w:pos="71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Dated: July 27, 2022</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0429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Brian O. Casey</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9" w:lineRule="exact"/>
        <w:rPr>
          <w:sz w:val="20"/>
          <w:szCs w:val="20"/>
          <w:color w:val="auto"/>
        </w:rPr>
      </w:pPr>
    </w:p>
    <w:p>
      <w:pPr>
        <w:ind w:right="20" w:firstLine="486"/>
        <w:spacing w:after="0" w:line="272"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420" w:right="339" w:bottom="1440" w:gutter="0" w:footer="0" w:header="0"/>
        </w:sectPr>
      </w:pPr>
    </w:p>
    <w:bookmarkStart w:id="31" w:name="page32"/>
    <w:bookmarkEnd w:id="31"/>
    <w:p>
      <w:pPr>
        <w:ind w:left="10400"/>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Westwood Holdings Group, Inc. (the “Company”) on Form 10-Q for the period ended June 30, 2022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63" w:lineRule="exact"/>
        <w:rPr>
          <w:sz w:val="20"/>
          <w:szCs w:val="20"/>
          <w:color w:val="auto"/>
        </w:rPr>
      </w:pPr>
    </w:p>
    <w:p>
      <w:pPr>
        <w:ind w:left="720" w:hanging="226"/>
        <w:spacing w:after="0"/>
        <w:tabs>
          <w:tab w:leader="none" w:pos="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(15 U.S.C. 78m or 78o(d)); and</w:t>
      </w:r>
    </w:p>
    <w:p>
      <w:pPr>
        <w:spacing w:after="0" w:line="126" w:lineRule="exact"/>
        <w:rPr>
          <w:rFonts w:ascii="Times New Roman" w:cs="Times New Roman" w:eastAsia="Times New Roman" w:hAnsi="Times New Roman"/>
          <w:sz w:val="16"/>
          <w:szCs w:val="16"/>
          <w:color w:val="auto"/>
        </w:rPr>
      </w:pPr>
    </w:p>
    <w:p>
      <w:pPr>
        <w:ind w:left="60" w:right="1120" w:firstLine="434"/>
        <w:spacing w:after="0" w:line="333" w:lineRule="auto"/>
        <w:tabs>
          <w:tab w:leader="none" w:pos="71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Dated: July 27, 2022</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0429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Murray Forbes III</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Financial Officer and Treasurer</w:t>
      </w:r>
    </w:p>
    <w:p>
      <w:pPr>
        <w:spacing w:after="0" w:line="329" w:lineRule="exact"/>
        <w:rPr>
          <w:sz w:val="20"/>
          <w:szCs w:val="20"/>
          <w:color w:val="auto"/>
        </w:rPr>
      </w:pPr>
    </w:p>
    <w:p>
      <w:pPr>
        <w:ind w:right="20" w:firstLine="486"/>
        <w:spacing w:after="0" w:line="272"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1."/>
      <w:numFmt w:val="decimal"/>
      <w:start w:val="14"/>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2022-07-27T16:45:19Z</dcterms:created>
  <dcterms:modified xsi:type="dcterms:W3CDTF">2022-07-27T16:45:19Z</dcterms:modified>
</cp:coreProperties>
</file>