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tbl>
      <w:tblPr>
        <w:tblLayout w:type="fixed"/>
        <w:tblInd w:w="80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000" w:type="dxa"/>
            <w:vAlign w:val="bottom"/>
          </w:tcPr>
          <w:p>
            <w:pPr>
              <w:spacing w:after="0"/>
              <w:rPr>
                <w:sz w:val="20"/>
                <w:szCs w:val="20"/>
                <w:color w:val="auto"/>
              </w:rPr>
            </w:pPr>
          </w:p>
        </w:tc>
      </w:tr>
      <w:tr>
        <w:trPr>
          <w:trHeight w:val="675"/>
        </w:trPr>
        <w:tc>
          <w:tcPr>
            <w:tcW w:w="22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000" w:type="dxa"/>
            <w:vAlign w:val="bottom"/>
          </w:tcPr>
          <w:p>
            <w:pPr>
              <w:spacing w:after="0"/>
              <w:rPr>
                <w:sz w:val="24"/>
                <w:szCs w:val="24"/>
                <w:color w:val="auto"/>
              </w:rPr>
            </w:pPr>
          </w:p>
        </w:tc>
      </w:tr>
      <w:tr>
        <w:trPr>
          <w:trHeight w:val="419"/>
        </w:trPr>
        <w:tc>
          <w:tcPr>
            <w:tcW w:w="2260" w:type="dxa"/>
            <w:vAlign w:val="bottom"/>
          </w:tcPr>
          <w:p>
            <w:pPr>
              <w:spacing w:after="0"/>
              <w:rPr>
                <w:sz w:val="24"/>
                <w:szCs w:val="24"/>
                <w:color w:val="auto"/>
              </w:rPr>
            </w:pPr>
          </w:p>
        </w:tc>
        <w:tc>
          <w:tcPr>
            <w:tcW w:w="5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2000" w:type="dxa"/>
            <w:vAlign w:val="bottom"/>
          </w:tcPr>
          <w:p>
            <w:pPr>
              <w:spacing w:after="0"/>
              <w:rPr>
                <w:sz w:val="24"/>
                <w:szCs w:val="24"/>
                <w:color w:val="auto"/>
              </w:rPr>
            </w:pPr>
          </w:p>
        </w:tc>
      </w:tr>
      <w:tr>
        <w:trPr>
          <w:trHeight w:val="257"/>
        </w:trPr>
        <w:tc>
          <w:tcPr>
            <w:tcW w:w="2260" w:type="dxa"/>
            <w:vAlign w:val="bottom"/>
          </w:tcPr>
          <w:p>
            <w:pPr>
              <w:spacing w:after="0"/>
              <w:rPr>
                <w:sz w:val="22"/>
                <w:szCs w:val="22"/>
                <w:color w:val="auto"/>
              </w:rPr>
            </w:pPr>
          </w:p>
        </w:tc>
        <w:tc>
          <w:tcPr>
            <w:tcW w:w="5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2000" w:type="dxa"/>
            <w:vAlign w:val="bottom"/>
          </w:tcPr>
          <w:p>
            <w:pPr>
              <w:spacing w:after="0"/>
              <w:rPr>
                <w:sz w:val="22"/>
                <w:szCs w:val="22"/>
                <w:color w:val="auto"/>
              </w:rPr>
            </w:pPr>
          </w:p>
        </w:tc>
      </w:tr>
      <w:tr>
        <w:trPr>
          <w:trHeight w:val="419"/>
        </w:trPr>
        <w:tc>
          <w:tcPr>
            <w:tcW w:w="22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October 13, 2017</w:t>
            </w:r>
          </w:p>
        </w:tc>
        <w:tc>
          <w:tcPr>
            <w:tcW w:w="2000" w:type="dxa"/>
            <w:vAlign w:val="bottom"/>
          </w:tcPr>
          <w:p>
            <w:pPr>
              <w:spacing w:after="0"/>
              <w:rPr>
                <w:sz w:val="24"/>
                <w:szCs w:val="24"/>
                <w:color w:val="auto"/>
              </w:rPr>
            </w:pPr>
          </w:p>
        </w:tc>
      </w:tr>
      <w:tr>
        <w:trPr>
          <w:trHeight w:val="675"/>
        </w:trPr>
        <w:tc>
          <w:tcPr>
            <w:tcW w:w="2260" w:type="dxa"/>
            <w:vAlign w:val="bottom"/>
          </w:tcPr>
          <w:p>
            <w:pPr>
              <w:spacing w:after="0"/>
              <w:rPr>
                <w:sz w:val="24"/>
                <w:szCs w:val="24"/>
                <w:color w:val="auto"/>
              </w:rPr>
            </w:pPr>
          </w:p>
        </w:tc>
        <w:tc>
          <w:tcPr>
            <w:tcW w:w="5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WESTWOOD HOLDINGS GROUP, INC.</w:t>
            </w:r>
          </w:p>
        </w:tc>
        <w:tc>
          <w:tcPr>
            <w:tcW w:w="2000" w:type="dxa"/>
            <w:vAlign w:val="bottom"/>
          </w:tcPr>
          <w:p>
            <w:pPr>
              <w:spacing w:after="0"/>
              <w:rPr>
                <w:sz w:val="24"/>
                <w:szCs w:val="24"/>
                <w:color w:val="auto"/>
              </w:rPr>
            </w:pPr>
          </w:p>
        </w:tc>
      </w:tr>
      <w:tr>
        <w:trPr>
          <w:trHeight w:val="257"/>
        </w:trPr>
        <w:tc>
          <w:tcPr>
            <w:tcW w:w="2260" w:type="dxa"/>
            <w:vAlign w:val="bottom"/>
          </w:tcPr>
          <w:p>
            <w:pPr>
              <w:spacing w:after="0"/>
              <w:rPr>
                <w:sz w:val="22"/>
                <w:szCs w:val="22"/>
                <w:color w:val="auto"/>
              </w:rPr>
            </w:pPr>
          </w:p>
        </w:tc>
        <w:tc>
          <w:tcPr>
            <w:tcW w:w="5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000" w:type="dxa"/>
            <w:vAlign w:val="bottom"/>
          </w:tcPr>
          <w:p>
            <w:pPr>
              <w:spacing w:after="0"/>
              <w:rPr>
                <w:sz w:val="22"/>
                <w:szCs w:val="22"/>
                <w:color w:val="auto"/>
              </w:rPr>
            </w:pPr>
          </w:p>
        </w:tc>
      </w:tr>
      <w:tr>
        <w:trPr>
          <w:trHeight w:val="918"/>
        </w:trPr>
        <w:tc>
          <w:tcPr>
            <w:tcW w:w="2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001-31234</w:t>
            </w:r>
          </w:p>
        </w:tc>
        <w:tc>
          <w:tcPr>
            <w:tcW w:w="20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75-2969997</w:t>
            </w:r>
          </w:p>
        </w:tc>
      </w:tr>
      <w:tr>
        <w:trPr>
          <w:trHeight w:val="302"/>
        </w:trPr>
        <w:tc>
          <w:tcPr>
            <w:tcW w:w="2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0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824"/>
        </w:trPr>
        <w:tc>
          <w:tcPr>
            <w:tcW w:w="2260" w:type="dxa"/>
            <w:vAlign w:val="bottom"/>
          </w:tcPr>
          <w:p>
            <w:pPr>
              <w:spacing w:after="0"/>
              <w:rPr>
                <w:sz w:val="24"/>
                <w:szCs w:val="24"/>
                <w:color w:val="auto"/>
              </w:rPr>
            </w:pPr>
          </w:p>
        </w:tc>
        <w:tc>
          <w:tcPr>
            <w:tcW w:w="5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200 Crescent Court, Suite 1200</w:t>
            </w:r>
          </w:p>
        </w:tc>
        <w:tc>
          <w:tcPr>
            <w:tcW w:w="2000" w:type="dxa"/>
            <w:vAlign w:val="bottom"/>
          </w:tcPr>
          <w:p>
            <w:pPr>
              <w:spacing w:after="0"/>
              <w:rPr>
                <w:sz w:val="24"/>
                <w:szCs w:val="24"/>
                <w:color w:val="auto"/>
              </w:rPr>
            </w:pPr>
          </w:p>
        </w:tc>
      </w:tr>
      <w:tr>
        <w:trPr>
          <w:trHeight w:val="257"/>
        </w:trPr>
        <w:tc>
          <w:tcPr>
            <w:tcW w:w="2260" w:type="dxa"/>
            <w:vAlign w:val="bottom"/>
          </w:tcPr>
          <w:p>
            <w:pPr>
              <w:spacing w:after="0"/>
              <w:rPr>
                <w:sz w:val="22"/>
                <w:szCs w:val="22"/>
                <w:color w:val="auto"/>
              </w:rPr>
            </w:pPr>
          </w:p>
        </w:tc>
        <w:tc>
          <w:tcPr>
            <w:tcW w:w="5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Dallas, Texas 75201</w:t>
            </w:r>
          </w:p>
        </w:tc>
        <w:tc>
          <w:tcPr>
            <w:tcW w:w="2000" w:type="dxa"/>
            <w:vAlign w:val="bottom"/>
          </w:tcPr>
          <w:p>
            <w:pPr>
              <w:spacing w:after="0"/>
              <w:rPr>
                <w:sz w:val="22"/>
                <w:szCs w:val="22"/>
                <w:color w:val="auto"/>
              </w:rPr>
            </w:pPr>
          </w:p>
        </w:tc>
      </w:tr>
      <w:tr>
        <w:trPr>
          <w:trHeight w:val="257"/>
        </w:trPr>
        <w:tc>
          <w:tcPr>
            <w:tcW w:w="2260" w:type="dxa"/>
            <w:vAlign w:val="bottom"/>
          </w:tcPr>
          <w:p>
            <w:pPr>
              <w:spacing w:after="0"/>
              <w:rPr>
                <w:sz w:val="22"/>
                <w:szCs w:val="22"/>
                <w:color w:val="auto"/>
              </w:rPr>
            </w:pPr>
          </w:p>
        </w:tc>
        <w:tc>
          <w:tcPr>
            <w:tcW w:w="5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000" w:type="dxa"/>
            <w:vAlign w:val="bottom"/>
          </w:tcPr>
          <w:p>
            <w:pPr>
              <w:spacing w:after="0"/>
              <w:rPr>
                <w:sz w:val="22"/>
                <w:szCs w:val="22"/>
                <w:color w:val="auto"/>
              </w:rPr>
            </w:pPr>
          </w:p>
        </w:tc>
      </w:tr>
      <w:tr>
        <w:trPr>
          <w:trHeight w:val="419"/>
        </w:trPr>
        <w:tc>
          <w:tcPr>
            <w:tcW w:w="22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(214) 756-6900</w:t>
            </w:r>
          </w:p>
        </w:tc>
        <w:tc>
          <w:tcPr>
            <w:tcW w:w="2000" w:type="dxa"/>
            <w:vAlign w:val="bottom"/>
          </w:tcPr>
          <w:p>
            <w:pPr>
              <w:spacing w:after="0"/>
              <w:rPr>
                <w:sz w:val="24"/>
                <w:szCs w:val="24"/>
                <w:color w:val="auto"/>
              </w:rPr>
            </w:pPr>
          </w:p>
        </w:tc>
      </w:tr>
      <w:tr>
        <w:trPr>
          <w:trHeight w:val="257"/>
        </w:trPr>
        <w:tc>
          <w:tcPr>
            <w:tcW w:w="2260" w:type="dxa"/>
            <w:vAlign w:val="bottom"/>
          </w:tcPr>
          <w:p>
            <w:pPr>
              <w:spacing w:after="0"/>
              <w:rPr>
                <w:sz w:val="22"/>
                <w:szCs w:val="22"/>
                <w:color w:val="auto"/>
              </w:rPr>
            </w:pPr>
          </w:p>
        </w:tc>
        <w:tc>
          <w:tcPr>
            <w:tcW w:w="5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000" w:type="dxa"/>
            <w:vAlign w:val="bottom"/>
          </w:tcPr>
          <w:p>
            <w:pPr>
              <w:spacing w:after="0"/>
              <w:rPr>
                <w:sz w:val="22"/>
                <w:szCs w:val="22"/>
                <w:color w:val="auto"/>
              </w:rPr>
            </w:pPr>
          </w:p>
        </w:tc>
      </w:tr>
      <w:tr>
        <w:trPr>
          <w:trHeight w:val="419"/>
        </w:trPr>
        <w:tc>
          <w:tcPr>
            <w:tcW w:w="22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000" w:type="dxa"/>
            <w:vAlign w:val="bottom"/>
          </w:tcPr>
          <w:p>
            <w:pPr>
              <w:spacing w:after="0"/>
              <w:rPr>
                <w:sz w:val="24"/>
                <w:szCs w:val="24"/>
                <w:color w:val="auto"/>
              </w:rPr>
            </w:pPr>
          </w:p>
        </w:tc>
      </w:tr>
      <w:tr>
        <w:trPr>
          <w:trHeight w:val="257"/>
        </w:trPr>
        <w:tc>
          <w:tcPr>
            <w:tcW w:w="2260" w:type="dxa"/>
            <w:vAlign w:val="bottom"/>
          </w:tcPr>
          <w:p>
            <w:pPr>
              <w:spacing w:after="0"/>
              <w:rPr>
                <w:sz w:val="22"/>
                <w:szCs w:val="22"/>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000" w:type="dxa"/>
            <w:vAlign w:val="bottom"/>
          </w:tcPr>
          <w:p>
            <w:pPr>
              <w:spacing w:after="0"/>
              <w:rPr>
                <w:sz w:val="22"/>
                <w:szCs w:val="22"/>
                <w:color w:val="auto"/>
              </w:rPr>
            </w:pPr>
          </w:p>
        </w:tc>
      </w:tr>
    </w:tbl>
    <w:p>
      <w:pPr>
        <w:spacing w:after="0" w:line="200" w:lineRule="exact"/>
        <w:rPr>
          <w:sz w:val="24"/>
          <w:szCs w:val="24"/>
          <w:color w:val="auto"/>
        </w:rPr>
      </w:pPr>
    </w:p>
    <w:p>
      <w:pPr>
        <w:spacing w:after="0" w:line="241" w:lineRule="exact"/>
        <w:rPr>
          <w:sz w:val="24"/>
          <w:szCs w:val="24"/>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00" w:lineRule="exact"/>
        <w:rPr>
          <w:sz w:val="24"/>
          <w:szCs w:val="24"/>
          <w:color w:val="auto"/>
        </w:rPr>
      </w:pPr>
    </w:p>
    <w:p>
      <w:pPr>
        <w:spacing w:after="0" w:line="218"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380"/>
          </w:cols>
          <w:pgMar w:left="240" w:top="752" w:right="27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13, 2017, Westwood Holdings Group, Inc. (“Westwood”) and AGF Investments Inc. (“AGF”) entered into a settlement relating to the previously disclosed litigation between the parties. Westwood has agreed to make a one-time payment to AGF of $10 million Canadian before any recovery of insurance proceeds. The settlement provides for the dismissal of all claims, with prejudice and without any admission of liability. Pursuant to the settlement, the parties released a joint public statement on October 19, 2017, which is attached as Exhibit 99.1.</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(d)</w:t>
        <w:tab/>
        <w:t>Exhibits</w:t>
      </w:r>
    </w:p>
    <w:p>
      <w:pPr>
        <w:spacing w:after="0" w:line="26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Westwood Holdings Group, Inc. Settles Lawsuit</w:t>
      </w:r>
    </w:p>
    <w:p>
      <w:pPr>
        <w:sectPr>
          <w:pgSz w:w="11900" w:h="16838" w:orient="portrait"/>
          <w:cols w:equalWidth="0" w:num="1">
            <w:col w:w="11360"/>
          </w:cols>
          <w:pgMar w:left="240" w:top="644" w:right="299" w:bottom="1440" w:gutter="0" w:footer="0" w:header="0"/>
        </w:sectPr>
      </w:pPr>
    </w:p>
    <w:bookmarkStart w:id="2" w:name="page3"/>
    <w:bookmarkEnd w:id="2"/>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05"/>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90" w:lineRule="exact"/>
        <w:rPr>
          <w:sz w:val="20"/>
          <w:szCs w:val="20"/>
          <w:color w:val="auto"/>
        </w:rPr>
      </w:pPr>
    </w:p>
    <w:p>
      <w:pPr>
        <w:ind w:left="1020"/>
        <w:spacing w:after="0"/>
        <w:tabs>
          <w:tab w:leader="none" w:pos="1840" w:val="left"/>
          <w:tab w:leader="none" w:pos="6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19, 2017</w:t>
      </w:r>
      <w:r>
        <w:rPr>
          <w:sz w:val="20"/>
          <w:szCs w:val="20"/>
          <w:color w:val="auto"/>
        </w:rPr>
        <w:tab/>
      </w: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51435</wp:posOffset>
            </wp:positionV>
            <wp:extent cx="27870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8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Brian O. Casey</w:t>
      </w:r>
    </w:p>
    <w:p>
      <w:pPr>
        <w:spacing w:after="0" w:line="9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0700"/>
          </w:cols>
          <w:pgMar w:left="240" w:top="833" w:right="959" w:bottom="1440" w:gutter="0" w:footer="0" w:header="0"/>
        </w:sectPr>
      </w:pPr>
    </w:p>
    <w:bookmarkStart w:id="3" w:name="page4"/>
    <w:bookmarkEnd w:id="3"/>
    <w:p>
      <w:pPr>
        <w:jc w:val="right"/>
        <w:ind w:right="37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00" w:lineRule="exact"/>
        <w:rPr>
          <w:sz w:val="20"/>
          <w:szCs w:val="20"/>
          <w:color w:val="auto"/>
        </w:rPr>
      </w:pPr>
    </w:p>
    <w:p>
      <w:pPr>
        <w:spacing w:after="0" w:line="322" w:lineRule="exact"/>
        <w:rPr>
          <w:sz w:val="20"/>
          <w:szCs w:val="20"/>
          <w:color w:val="auto"/>
        </w:rPr>
      </w:pPr>
    </w:p>
    <w:p>
      <w:pPr>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7"/>
            <w:szCs w:val="17"/>
            <w:u w:val="single" w:color="auto"/>
            <w:color w:val="0000FF"/>
          </w:rPr>
          <w:t>Westwood Holdings Group, Inc. Settles Lawsuit</w:t>
        </w:r>
      </w:hyperlink>
    </w:p>
    <w:p>
      <w:pPr>
        <w:sectPr>
          <w:pgSz w:w="11900" w:h="16838" w:orient="portrait"/>
          <w:cols w:equalWidth="0" w:num="1">
            <w:col w:w="10219"/>
          </w:cols>
          <w:pgMar w:left="240" w:top="644" w:right="1440" w:bottom="1440" w:gutter="0" w:footer="0" w:header="0"/>
        </w:sectPr>
      </w:pPr>
    </w:p>
    <w:bookmarkStart w:id="4" w:name="page5"/>
    <w:bookmarkEnd w:id="4"/>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208915</wp:posOffset>
            </wp:positionH>
            <wp:positionV relativeFrom="page">
              <wp:posOffset>243205</wp:posOffset>
            </wp:positionV>
            <wp:extent cx="1938020"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38020" cy="728980"/>
                    </a:xfrm>
                    <a:prstGeom prst="rect">
                      <a:avLst/>
                    </a:prstGeom>
                    <a:noFill/>
                  </pic:spPr>
                </pic:pic>
              </a:graphicData>
            </a:graphic>
          </wp:anchor>
        </w:drawing>
      </w:r>
    </w:p>
    <w:p>
      <w:pPr>
        <w:ind w:left="80"/>
        <w:spacing w:after="0"/>
        <w:rPr>
          <w:sz w:val="20"/>
          <w:szCs w:val="20"/>
          <w:color w:val="auto"/>
        </w:rPr>
      </w:pPr>
      <w:r>
        <w:rPr>
          <w:rFonts w:ascii="Arial" w:cs="Arial" w:eastAsia="Arial" w:hAnsi="Arial"/>
          <w:sz w:val="22"/>
          <w:szCs w:val="22"/>
          <w:b w:val="1"/>
          <w:bCs w:val="1"/>
          <w:color w:val="auto"/>
        </w:rPr>
        <w:t>Westwood Holdings Group, Inc. Settles Lawsuit</w:t>
      </w:r>
    </w:p>
    <w:p>
      <w:pPr>
        <w:spacing w:after="0" w:line="265" w:lineRule="exact"/>
        <w:rPr>
          <w:sz w:val="20"/>
          <w:szCs w:val="20"/>
          <w:color w:val="auto"/>
        </w:rPr>
      </w:pPr>
    </w:p>
    <w:p>
      <w:pPr>
        <w:jc w:val="both"/>
        <w:ind w:left="80"/>
        <w:spacing w:after="0" w:line="263" w:lineRule="auto"/>
        <w:rPr>
          <w:sz w:val="20"/>
          <w:szCs w:val="20"/>
          <w:color w:val="auto"/>
        </w:rPr>
      </w:pPr>
      <w:r>
        <w:rPr>
          <w:rFonts w:ascii="Arial" w:cs="Arial" w:eastAsia="Arial" w:hAnsi="Arial"/>
          <w:sz w:val="17"/>
          <w:szCs w:val="17"/>
          <w:color w:val="auto"/>
        </w:rPr>
        <w:t>DALLAS, October 19, 2017 (GLOBE NEWSWIRE) – AGF, Westwood, Patricia Perez-Coutts and a number of related parties wish to announce that they have resolved the AGF and Westwood actions arising from the simultaneous resignations of Ms. Perez-Coutts and four other employees of AGF in 2012, who left to join Westwood. Westwood has made a substantial payment to AGF in order to resolve these matters. Neither party admitted liability, nor any of the allegations in any of the actions.</w:t>
      </w:r>
    </w:p>
    <w:p>
      <w:pPr>
        <w:spacing w:after="0" w:line="156"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Blake Goldring, CEO of AGF, and Brian Casey, CEO of Westwood, both believe the resolution is fair and reasonable and in the best interests of their companies and shareholders. They are pleased to put these matters behind them. The settlement does not materially impact the operations of either party and is not anticipated to affect their clients.</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About Westwood</w:t>
      </w:r>
    </w:p>
    <w:p>
      <w:pPr>
        <w:spacing w:after="0" w:line="31" w:lineRule="exact"/>
        <w:rPr>
          <w:sz w:val="20"/>
          <w:szCs w:val="20"/>
          <w:color w:val="auto"/>
        </w:rPr>
      </w:pPr>
    </w:p>
    <w:p>
      <w:pPr>
        <w:ind w:left="80" w:right="220"/>
        <w:spacing w:after="0" w:line="251" w:lineRule="auto"/>
        <w:rPr>
          <w:sz w:val="20"/>
          <w:szCs w:val="20"/>
          <w:color w:val="auto"/>
        </w:rPr>
      </w:pPr>
      <w:r>
        <w:rPr>
          <w:rFonts w:ascii="Arial" w:cs="Arial" w:eastAsia="Arial" w:hAnsi="Arial"/>
          <w:sz w:val="17"/>
          <w:szCs w:val="17"/>
          <w:color w:val="auto"/>
        </w:rPr>
        <w:t>Westwood Holdings Group, Inc. provides investment management services to institutional investors, private wealth clients and financial intermediaries. With $22.6 billion in assets under management (as of June 30, 2017), the firm offers a range of investment strategies including U.S. equities, Master Limited Partnerships (MLPs), Multi-Asset, Global and Emerging Markets equities, and Global Convertible securities portfolios. Access to these strategies is available through separate accounts, the Westwood Funds family of mutual funds, UCITS funds and other pooled vehicles. Westwood benefits from significant, broad-based employee ownership and trades on the New York Stock Exchange under the symbol “WHG.” Based in Dallas, Westwood also maintains offices in Toronto, Boston, Omaha and Houston.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on Westwood, please visit </w:t>
      </w:r>
      <w:r>
        <w:rPr>
          <w:rFonts w:ascii="Arial" w:cs="Arial" w:eastAsia="Arial" w:hAnsi="Arial"/>
          <w:sz w:val="17"/>
          <w:szCs w:val="17"/>
          <w:color w:val="333333"/>
        </w:rPr>
        <w:t>www.westwoodgroup.com.</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333333"/>
        </w:rPr>
        <w:t>For more information on the Westwood Funds®, please visit www.westwoodfunds.com.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333333"/>
        </w:rPr>
        <w:t>(WHG-G)</w:t>
      </w:r>
    </w:p>
    <w:p>
      <w:pPr>
        <w:spacing w:after="0" w:line="200" w:lineRule="exact"/>
        <w:rPr>
          <w:sz w:val="20"/>
          <w:szCs w:val="20"/>
          <w:color w:val="auto"/>
        </w:rPr>
      </w:pPr>
    </w:p>
    <w:p>
      <w:pPr>
        <w:spacing w:after="0" w:line="226" w:lineRule="exact"/>
        <w:rPr>
          <w:sz w:val="20"/>
          <w:szCs w:val="20"/>
          <w:color w:val="auto"/>
        </w:rPr>
      </w:pPr>
    </w:p>
    <w:p>
      <w:pPr>
        <w:ind w:left="80"/>
        <w:spacing w:after="0"/>
        <w:rPr>
          <w:sz w:val="20"/>
          <w:szCs w:val="20"/>
          <w:color w:val="auto"/>
        </w:rPr>
      </w:pPr>
      <w:r>
        <w:rPr>
          <w:rFonts w:ascii="Arial" w:cs="Arial" w:eastAsia="Arial" w:hAnsi="Arial"/>
          <w:sz w:val="17"/>
          <w:szCs w:val="17"/>
          <w:color w:val="auto"/>
        </w:rPr>
        <w:t>Contact: Julie Gerron</w:t>
      </w:r>
    </w:p>
    <w:p>
      <w:pPr>
        <w:spacing w:after="0" w:line="250" w:lineRule="exact"/>
        <w:rPr>
          <w:sz w:val="20"/>
          <w:szCs w:val="20"/>
          <w:color w:val="auto"/>
        </w:rPr>
      </w:pPr>
    </w:p>
    <w:p>
      <w:pPr>
        <w:ind w:left="80"/>
        <w:spacing w:after="0"/>
        <w:rPr>
          <w:sz w:val="20"/>
          <w:szCs w:val="20"/>
          <w:color w:val="auto"/>
        </w:rPr>
      </w:pPr>
      <w:r>
        <w:rPr>
          <w:rFonts w:ascii="Arial" w:cs="Arial" w:eastAsia="Arial" w:hAnsi="Arial"/>
          <w:sz w:val="17"/>
          <w:szCs w:val="17"/>
          <w:color w:val="auto"/>
        </w:rPr>
        <w:t>Telephone: 214-756-6900</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2019-12-29T03:56:29Z</dcterms:created>
  <dcterms:modified xsi:type="dcterms:W3CDTF">2019-12-29T03:56:29Z</dcterms:modified>
</cp:coreProperties>
</file>