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30, 2025</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1051"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1051"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1051"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3"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6" w:lineRule="exact"/>
        <w:rPr>
          <w:sz w:val="24"/>
          <w:szCs w:val="24"/>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1"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56"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On October 30, 2025, Westwood Holdings Group, Inc. (“Westwood”) announced its financial results for the quarter ended September 30, 2025, a copy of which is furnished with this Current Report on Form 8-K as Exhibit 99.1.</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12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$0.15 per common share, payable on January 2, 2026 to stockholders of record on December 1, 2025.</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Exhibit Number</w:t>
      </w:r>
      <w:r>
        <w:rPr>
          <w:sz w:val="20"/>
          <w:szCs w:val="20"/>
          <w:color w:val="auto"/>
        </w:rPr>
        <w:tab/>
      </w:r>
      <w:r>
        <w:rPr>
          <w:rFonts w:ascii="Times New Roman" w:cs="Times New Roman" w:eastAsia="Times New Roman" w:hAnsi="Times New Roman"/>
          <w:sz w:val="19"/>
          <w:szCs w:val="19"/>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October 30, 2025</w:t>
      </w:r>
    </w:p>
    <w:p>
      <w:pPr>
        <w:spacing w:after="0" w:line="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30, 2025</w:t>
      </w:r>
    </w:p>
    <w:p>
      <w:pPr>
        <w:spacing w:after="0" w:line="200" w:lineRule="exact"/>
        <w:rPr>
          <w:sz w:val="20"/>
          <w:szCs w:val="20"/>
          <w:color w:val="auto"/>
        </w:rPr>
      </w:pPr>
    </w:p>
    <w:p>
      <w:pPr>
        <w:spacing w:after="0" w:line="3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88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Westwood Holdings Group, Inc. Reports Third Quarter 2025 Results</w:t>
      </w:r>
    </w:p>
    <w:p>
      <w:pPr>
        <w:spacing w:after="0" w:line="43"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color w:val="auto"/>
        </w:rPr>
        <w:t>MDST ETF Surpasses $150 million and Captured 30% of September Monthly Midstream ETF Flows WEBs Partnership Launches Eleven New Sector ETFs Private Fund Raising Exceeds Expectations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October 30, 2025 – Westwood Holdings Group, Inc. (NYSE: WHG) today reported third quarter 2025 earnings.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items included:</w:t>
      </w:r>
    </w:p>
    <w:p>
      <w:pPr>
        <w:spacing w:after="0" w:line="180" w:lineRule="exact"/>
        <w:rPr>
          <w:sz w:val="20"/>
          <w:szCs w:val="20"/>
          <w:color w:val="auto"/>
        </w:rPr>
      </w:pPr>
    </w:p>
    <w:p>
      <w:pPr>
        <w:ind w:left="660" w:right="260" w:hanging="328"/>
        <w:spacing w:after="0" w:line="284"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strategies beating their primary benchmarks included Income Opportunity, Multi-Asset Income, Alternative Income, Credit Opportunities, Real Estate Income and Tactical Growth.</w:t>
      </w:r>
    </w:p>
    <w:p>
      <w:pPr>
        <w:spacing w:after="0" w:line="35" w:lineRule="exact"/>
        <w:rPr>
          <w:rFonts w:ascii="Times New Roman" w:cs="Times New Roman" w:eastAsia="Times New Roman" w:hAnsi="Times New Roman"/>
          <w:sz w:val="22"/>
          <w:szCs w:val="22"/>
          <w:color w:val="auto"/>
        </w:rPr>
      </w:pPr>
    </w:p>
    <w:p>
      <w:pPr>
        <w:ind w:left="660" w:right="10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Opportunity and Multi-Asset Income each posted top quartile rankings vs. peers and Real Estate Income posted a top decile ranking.</w:t>
      </w:r>
    </w:p>
    <w:p>
      <w:pPr>
        <w:spacing w:after="0" w:line="49" w:lineRule="exact"/>
        <w:rPr>
          <w:rFonts w:ascii="Times New Roman" w:cs="Times New Roman" w:eastAsia="Times New Roman" w:hAnsi="Times New Roman"/>
          <w:sz w:val="22"/>
          <w:szCs w:val="22"/>
          <w:color w:val="auto"/>
        </w:rPr>
      </w:pPr>
    </w:p>
    <w:p>
      <w:pPr>
        <w:ind w:left="660" w:right="18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revenues totaled $24.3 million vs. $23.1 million in the second quarter and $23.7 million a year ago. Income of $3.7 million compared with $1.0 million in the second quarter and $0.1 million in 2024's third quarter.</w:t>
      </w:r>
    </w:p>
    <w:p>
      <w:pPr>
        <w:spacing w:after="0" w:line="63" w:lineRule="exact"/>
        <w:rPr>
          <w:rFonts w:ascii="Times New Roman" w:cs="Times New Roman" w:eastAsia="Times New Roman" w:hAnsi="Times New Roman"/>
          <w:sz w:val="22"/>
          <w:szCs w:val="22"/>
          <w:color w:val="auto"/>
        </w:rPr>
      </w:pPr>
    </w:p>
    <w:p>
      <w:pPr>
        <w:ind w:left="660" w:right="14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Economic Earnings of $5.7 million compared with $2.8 million in the second quarter and $1.1 million in the third quarter of 2024.</w:t>
      </w:r>
    </w:p>
    <w:p>
      <w:pPr>
        <w:spacing w:after="0" w:line="49" w:lineRule="exact"/>
        <w:rPr>
          <w:rFonts w:ascii="Times New Roman" w:cs="Times New Roman" w:eastAsia="Times New Roman" w:hAnsi="Times New Roman"/>
          <w:sz w:val="22"/>
          <w:szCs w:val="22"/>
          <w:color w:val="auto"/>
        </w:rPr>
      </w:pPr>
    </w:p>
    <w:p>
      <w:pPr>
        <w:ind w:left="660" w:right="24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held $39.2 million in cash and liquid investments as of September 30, 2025, up $6.1 million from the second quarter. Stockholders' equity totaled $123.9 million and we carry no debt.</w:t>
      </w:r>
    </w:p>
    <w:p>
      <w:pPr>
        <w:spacing w:after="0" w:line="49" w:lineRule="exact"/>
        <w:rPr>
          <w:rFonts w:ascii="Times New Roman" w:cs="Times New Roman" w:eastAsia="Times New Roman" w:hAnsi="Times New Roman"/>
          <w:sz w:val="22"/>
          <w:szCs w:val="22"/>
          <w:color w:val="auto"/>
        </w:rPr>
      </w:pPr>
    </w:p>
    <w:p>
      <w:pPr>
        <w:ind w:left="660" w:right="740" w:hanging="328"/>
        <w:spacing w:after="0" w:line="284"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declared a cash dividend of $0.15 per common share, payable on January 2, 2026 to stockholders of record on December 1, 2025.</w:t>
      </w:r>
    </w:p>
    <w:p>
      <w:pPr>
        <w:spacing w:after="0" w:line="3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1"/>
          <w:szCs w:val="21"/>
          <w:color w:val="auto"/>
        </w:rPr>
        <w:t>Brian Casey, Westwood’s CEO, commented, "The third quarter demonstrated the strength of our diversified platform in multiple ways. Our private fund strategies have already surpassed our annual fundraising goal. Our MDST exchange-traded fund ("ETF") reached $150 million in assets and captured 30% of monthly midstream ETF flows in September, while our partnership with WEBs expanded, adding eleven new Defined Volatility sector ETFs that provide a disciplined approach to potentially boost returns in sector investing. Our long-term performance rankings remain solid, with Income Opportunity maintaining its top decile since-inception ranking and it recently received a four-star Morningstar rating upgrade. As market leadership broadens out and investors seek quality and value, we believe Westwood is well-positioned to capitalize on these opportunities."</w:t>
      </w:r>
    </w:p>
    <w:p>
      <w:pPr>
        <w:spacing w:after="0" w:line="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Firmwide assets under management and advisement totaled $18.3 billion, consisting of assets under management ("AUM") of $17.3 billion and assets under advisement ("AUA") of $1.0 billion.</w:t>
      </w:r>
    </w:p>
    <w:p>
      <w:pPr>
        <w:spacing w:after="0" w:line="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Third quarter revenues exceeded the second quarter due to higher average AUM. Third quarter net income of $3.7 million beat the second quarter's net income of $1.0 million on higher revenues and unrealized appreciation on private investments, partially offset by higher income taxes. Diluted earnings per share ("EPS") of $0.41 compared to $0.12 for the second quarter. Non-GAAP Economic Earnings of $5.7 million, or $0.64 per share, compared with $2.8 million, or $0.32 per share, in the second quarter.</w:t>
      </w:r>
    </w:p>
    <w:p>
      <w:pPr>
        <w:spacing w:after="0" w:line="53"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Third quarter revenues were higher than last year's third quarter due to higher average AUM. Third quarter net income of $3.7 million compared favorably to last year's third quarter income of $0.1 million due to</w:t>
      </w:r>
    </w:p>
    <w:p>
      <w:pPr>
        <w:sectPr>
          <w:pgSz w:w="11900" w:h="16838" w:orient="portrait"/>
          <w:cols w:equalWidth="0" w:num="1">
            <w:col w:w="11240"/>
          </w:cols>
          <w:pgMar w:left="320" w:top="1440" w:right="339" w:bottom="1440" w:gutter="0" w:footer="0" w:header="0"/>
        </w:sectPr>
      </w:pPr>
    </w:p>
    <w:bookmarkStart w:id="4" w:name="page5"/>
    <w:bookmarkEnd w:id="4"/>
    <w:p>
      <w:pPr>
        <w:ind w:right="200"/>
        <w:spacing w:after="0" w:line="256" w:lineRule="auto"/>
        <w:rPr>
          <w:sz w:val="20"/>
          <w:szCs w:val="20"/>
          <w:color w:val="auto"/>
        </w:rPr>
      </w:pPr>
      <w:r>
        <w:rPr>
          <w:rFonts w:ascii="Times New Roman" w:cs="Times New Roman" w:eastAsia="Times New Roman" w:hAnsi="Times New Roman"/>
          <w:sz w:val="22"/>
          <w:szCs w:val="22"/>
          <w:color w:val="auto"/>
        </w:rPr>
        <w:t>2025's higher revenues and unrealized appreciation on private investments and changes in the fair value of contingent consideration in 2024, all partially offset by higher income taxes in 2025. Diluted EPS of $0.41 compared with $0.01 for 2024's third quarter. Non-GAAP Economic Earnings were $5.7 million, or $0.64 per share, compared with $1.1 million, or $0.13 per share, in the third quarter of 2024.</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Economic Earnings and Economic EPS are non-GAAP performance measures and are explained and reconciled with the most comparable GAAP numbers in the attached tables.</w:t>
      </w:r>
    </w:p>
    <w:p>
      <w:pPr>
        <w:spacing w:after="0" w:line="5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Westwood will host a conference call to discuss third quarter 2025 results and other business matters at 4:30 p.m. Eastern time today. To join the conference call, please register here:</w:t>
      </w:r>
    </w:p>
    <w:p>
      <w:pPr>
        <w:spacing w:after="0" w:line="63" w:lineRule="exact"/>
        <w:rPr>
          <w:sz w:val="20"/>
          <w:szCs w:val="20"/>
          <w:color w:val="auto"/>
        </w:rPr>
      </w:pPr>
    </w:p>
    <w:p>
      <w:pPr>
        <w:ind w:right="3260"/>
        <w:spacing w:after="0" w:line="345" w:lineRule="auto"/>
        <w:rPr>
          <w:sz w:val="20"/>
          <w:szCs w:val="20"/>
          <w:color w:val="auto"/>
        </w:rPr>
      </w:pPr>
      <w:r>
        <w:rPr>
          <w:rFonts w:ascii="Times New Roman" w:cs="Times New Roman" w:eastAsia="Times New Roman" w:hAnsi="Times New Roman"/>
          <w:sz w:val="22"/>
          <w:szCs w:val="22"/>
          <w:u w:val="single" w:color="auto"/>
          <w:color w:val="auto"/>
        </w:rPr>
        <w:t xml:space="preserve">https://register-conf.media-server.com/register/BI168009bacb7044b4a4f4f99ad9059393 </w:t>
      </w:r>
      <w:r>
        <w:rPr>
          <w:rFonts w:ascii="Times New Roman" w:cs="Times New Roman" w:eastAsia="Times New Roman" w:hAnsi="Times New Roman"/>
          <w:sz w:val="22"/>
          <w:szCs w:val="22"/>
          <w:color w:val="auto"/>
        </w:rPr>
        <w:t>After registering, you will be provided with a dial-in number containing a personalized PIN. To view the webcast, please register here: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https://edge.media-server.com/mmc/p/im52ppzb</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Once registered, an email will be sent with important details for this conference call, as well as a unique Registrant ID.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 HOLDINGS GROUP</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Westwood Holdings Group (NYSE: WHG) is a boutique asset management firm that offers a diverse array of actively-managed and 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w:t>
      </w:r>
    </w:p>
    <w:p>
      <w:pPr>
        <w:spacing w:after="0" w:line="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teamwork and driving results - and underpin our constant pursuit of excellence.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w:t>
      </w:r>
    </w:p>
    <w:p>
      <w:pPr>
        <w:sectPr>
          <w:pgSz w:w="11900" w:h="16838" w:orient="portrait"/>
          <w:cols w:equalWidth="0" w:num="1">
            <w:col w:w="11240"/>
          </w:cols>
          <w:pgMar w:left="320" w:top="1003" w:right="339" w:bottom="1440" w:gutter="0" w:footer="0" w:header="0"/>
        </w:sectPr>
      </w:pPr>
    </w:p>
    <w:bookmarkStart w:id="5" w:name="page6"/>
    <w:bookmarkEnd w:id="5"/>
    <w:p>
      <w:pPr>
        <w:jc w:val="both"/>
        <w:spacing w:after="0" w:line="247" w:lineRule="auto"/>
        <w:rPr>
          <w:sz w:val="20"/>
          <w:szCs w:val="20"/>
          <w:color w:val="auto"/>
        </w:rPr>
      </w:pPr>
      <w:r>
        <w:rPr>
          <w:rFonts w:ascii="Times New Roman" w:cs="Times New Roman" w:eastAsia="Times New Roman" w:hAnsi="Times New Roman"/>
          <w:sz w:val="22"/>
          <w:szCs w:val="22"/>
          <w:color w:val="auto"/>
        </w:rPr>
        <w:t>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2024 and its quarterly reports on Form 10-Q for the quarters ended March 31, 2025, June 30, 2025 and September 30, 2025.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32" w:lineRule="exact"/>
        <w:rPr>
          <w:sz w:val="20"/>
          <w:szCs w:val="20"/>
          <w:color w:val="auto"/>
        </w:rPr>
      </w:pPr>
    </w:p>
    <w:p>
      <w:pPr>
        <w:ind w:right="4760"/>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CONDENSED CONSOLIDATED STATEMENTS OF OPERATIONS </w:t>
      </w:r>
      <w:r>
        <w:rPr>
          <w:rFonts w:ascii="Times New Roman" w:cs="Times New Roman" w:eastAsia="Times New Roman" w:hAnsi="Times New Roman"/>
          <w:sz w:val="19"/>
          <w:szCs w:val="19"/>
          <w:b w:val="1"/>
          <w:bCs w:val="1"/>
          <w:color w:val="auto"/>
        </w:rPr>
        <w:t>(in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1"/>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4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184"/>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0"/>
        </w:trPr>
        <w:tc>
          <w:tcPr>
            <w:tcW w:w="5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17,774</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189"/>
        </w:trPr>
        <w:tc>
          <w:tcPr>
            <w:tcW w:w="5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23,719</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13,572</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Westwood funds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r>
      <w:tr>
        <w:trPr>
          <w:trHeight w:val="196"/>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from change in fair value of contingent consideration</w:t>
            </w:r>
          </w:p>
        </w:tc>
        <w:tc>
          <w:tcPr>
            <w:tcW w:w="16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r>
      <w:tr>
        <w:trPr>
          <w:trHeight w:val="203"/>
        </w:trPr>
        <w:tc>
          <w:tcPr>
            <w:tcW w:w="56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24,213</w:t>
            </w:r>
          </w:p>
        </w:tc>
      </w:tr>
      <w:tr>
        <w:trPr>
          <w:trHeight w:val="18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203"/>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investment income</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8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203"/>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6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income attributable to noncontrolling interest</w:t>
            </w: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attributable to Westwood Holdings Group, Inc.</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1"/>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Westwood Holdings Group, Inc. share:</w:t>
            </w: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8,404,859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8,123,714</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8,941,347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8,813,606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8,488,372</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Earnings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r>
      <w:tr>
        <w:trPr>
          <w:trHeight w:val="195"/>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r>
    </w:tbl>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32" w:lineRule="exact"/>
        <w:rPr>
          <w:sz w:val="20"/>
          <w:szCs w:val="20"/>
          <w:color w:val="auto"/>
        </w:rPr>
      </w:pPr>
    </w:p>
    <w:p>
      <w:pPr>
        <w:ind w:right="4760"/>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CONDENSED CONSOLIDATED STATEMENTS OF OPERATIONS </w:t>
      </w:r>
      <w:r>
        <w:rPr>
          <w:rFonts w:ascii="Times New Roman" w:cs="Times New Roman" w:eastAsia="Times New Roman" w:hAnsi="Times New Roman"/>
          <w:sz w:val="19"/>
          <w:szCs w:val="19"/>
          <w:b w:val="1"/>
          <w:bCs w:val="1"/>
          <w:color w:val="auto"/>
        </w:rPr>
        <w:t>(in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10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184"/>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51,730</w:t>
            </w: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15,787</w:t>
            </w: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189"/>
        </w:trPr>
        <w:tc>
          <w:tcPr>
            <w:tcW w:w="7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69,139</w:t>
            </w: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41,921</w:t>
            </w: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Westwood funds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w:t>
            </w: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w:t>
            </w: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8,903</w:t>
            </w:r>
          </w:p>
        </w:tc>
      </w:tr>
      <w:tr>
        <w:trPr>
          <w:trHeight w:val="196"/>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from change in fair value of contingent consideration</w:t>
            </w:r>
          </w:p>
        </w:tc>
        <w:tc>
          <w:tcPr>
            <w:tcW w:w="16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r>
      <w:tr>
        <w:trPr>
          <w:trHeight w:val="203"/>
        </w:trPr>
        <w:tc>
          <w:tcPr>
            <w:tcW w:w="74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70,870</w:t>
            </w:r>
          </w:p>
        </w:tc>
      </w:tr>
      <w:tr>
        <w:trPr>
          <w:trHeight w:val="19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w:t>
            </w:r>
          </w:p>
        </w:tc>
      </w:tr>
      <w:tr>
        <w:trPr>
          <w:trHeight w:val="20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investment income</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8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20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income (loss) attributable to noncontrolling interest</w:t>
            </w:r>
          </w:p>
        </w:tc>
        <w:tc>
          <w:tcPr>
            <w:tcW w:w="1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0"/>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attributable to Westwood Holdings Group,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7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9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8,359,584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8,140,664</w:t>
            </w: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8,846,168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8,448,629</w:t>
            </w: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r>
    </w:tbl>
    <w:p>
      <w:pPr>
        <w:sectPr>
          <w:pgSz w:w="11900" w:h="16838" w:orient="portrait"/>
          <w:cols w:equalWidth="0" w:num="1">
            <w:col w:w="11240"/>
          </w:cols>
          <w:pgMar w:left="320" w:top="113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18,847</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at fair value (amortized cost of $18,354 and $26,788)</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under measurement alternative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10,747</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$8,821 and $8,424</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12"/>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149,989</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27,657</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25,000,000 shares, issued 12,391,817 and 12,137,080, respectively</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3"/>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outstanding 9,408,125 and 9,234,575, respectively</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202,239</w:t>
            </w:r>
          </w:p>
        </w:tc>
        <w:tc>
          <w:tcPr>
            <w:tcW w:w="0" w:type="dxa"/>
            <w:vAlign w:val="bottom"/>
          </w:tcPr>
          <w:p>
            <w:pPr>
              <w:spacing w:after="0"/>
              <w:rPr>
                <w:sz w:val="1"/>
                <w:szCs w:val="1"/>
                <w:color w:val="auto"/>
              </w:rPr>
            </w:pPr>
          </w:p>
        </w:tc>
      </w:tr>
      <w:tr>
        <w:trPr>
          <w:trHeight w:val="213"/>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stock, at cost – 2,983,692 and 2,902,505 shares, respectively</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(88,277)</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0" w:type="dxa"/>
            <w:vAlign w:val="bottom"/>
          </w:tcPr>
          <w:p>
            <w:pPr>
              <w:spacing w:after="0"/>
              <w:rPr>
                <w:sz w:val="1"/>
                <w:szCs w:val="1"/>
                <w:color w:val="auto"/>
              </w:rPr>
            </w:pPr>
          </w:p>
        </w:tc>
      </w:tr>
      <w:tr>
        <w:trPr>
          <w:trHeight w:val="207"/>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Westwood Holdings Group, Inc. stockholders’ equity</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120,291</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 in consolidated subsidiary</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122,332</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3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32" w:lineRule="exact"/>
        <w:rPr>
          <w:sz w:val="20"/>
          <w:szCs w:val="20"/>
          <w:color w:val="auto"/>
        </w:rPr>
      </w:pPr>
    </w:p>
    <w:p>
      <w:pPr>
        <w:ind w:right="4740"/>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CONDENSED CONSOLIDATED STATEMENTS OF CASH FLOWS </w:t>
      </w:r>
      <w:r>
        <w:rPr>
          <w:rFonts w:ascii="Times New Roman" w:cs="Times New Roman" w:eastAsia="Times New Roman" w:hAnsi="Times New Roman"/>
          <w:sz w:val="19"/>
          <w:szCs w:val="19"/>
          <w:b w:val="1"/>
          <w:bCs w:val="1"/>
          <w:color w:val="auto"/>
        </w:rPr>
        <w:t>(in thousands)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Fair value change of contingent consideration</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 receivable and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sales of trading securities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0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12,214</w:t>
            </w:r>
          </w:p>
        </w:tc>
      </w:tr>
      <w:tr>
        <w:trPr>
          <w:trHeight w:val="19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Additions to internally developed software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r>
      <w:tr>
        <w:trPr>
          <w:trHeight w:val="19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contingent consideration in acquisition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13"/>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dividends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(4,209)</w:t>
            </w:r>
          </w:p>
        </w:tc>
      </w:tr>
      <w:tr>
        <w:trPr>
          <w:trHeight w:val="212"/>
        </w:trPr>
        <w:tc>
          <w:tcPr>
            <w:tcW w:w="80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20,422</w:t>
            </w: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r>
      <w:tr>
        <w:trPr>
          <w:trHeight w:val="210"/>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WESTWOOD HOLDINGS GROUP, INC.</w:t>
      </w:r>
    </w:p>
    <w:p>
      <w:pPr>
        <w:spacing w:after="0" w:line="32" w:lineRule="exact"/>
        <w:rPr>
          <w:sz w:val="20"/>
          <w:szCs w:val="20"/>
          <w:color w:val="auto"/>
        </w:rPr>
      </w:pPr>
    </w:p>
    <w:p>
      <w:pPr>
        <w:ind w:right="4240"/>
        <w:spacing w:after="0" w:line="261" w:lineRule="auto"/>
        <w:rPr>
          <w:sz w:val="20"/>
          <w:szCs w:val="20"/>
          <w:color w:val="auto"/>
        </w:rPr>
      </w:pPr>
      <w:r>
        <w:rPr>
          <w:rFonts w:ascii="Times New Roman" w:cs="Times New Roman" w:eastAsia="Times New Roman" w:hAnsi="Times New Roman"/>
          <w:sz w:val="17"/>
          <w:szCs w:val="17"/>
          <w:b w:val="1"/>
          <w:bCs w:val="1"/>
          <w:color w:val="auto"/>
        </w:rPr>
        <w:t>Reconciliation of Income Attributable to Westwood Holdings Group, Inc. to Economic Earnings (in thousands, except per share and share amounts) (unaudited)</w:t>
      </w: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supplemental information, we are providing non-GAAP performance measures that we refer to as Economic earnings and Economic earnings per share. We provide these measures in addition to, not as a substitute for, income attributable to Westwood Holdings Group, Inc. and earnings per share, which are reported on a GAAP basis. Our management and Board of Directors review Economic earnings and Economic earnings per share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earnings per share represents Economic earnings divided by diluted weighted average shares outstanding.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40" w:type="dxa"/>
            <w:vAlign w:val="bottom"/>
          </w:tcPr>
          <w:p>
            <w:pPr>
              <w:spacing w:after="0"/>
              <w:rPr>
                <w:sz w:val="17"/>
                <w:szCs w:val="17"/>
                <w:color w:val="auto"/>
              </w:rPr>
            </w:pP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40" w:type="dxa"/>
            <w:vAlign w:val="bottom"/>
          </w:tcPr>
          <w:p>
            <w:pPr>
              <w:spacing w:after="0"/>
              <w:rPr>
                <w:sz w:val="17"/>
                <w:szCs w:val="17"/>
                <w:color w:val="auto"/>
              </w:rPr>
            </w:pPr>
          </w:p>
        </w:tc>
        <w:tc>
          <w:tcPr>
            <w:tcW w:w="182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September 30, 2024</w:t>
            </w:r>
          </w:p>
        </w:tc>
      </w:tr>
      <w:tr>
        <w:trPr>
          <w:trHeight w:val="19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attributable to Westwood Holdings Group, Inc.</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3,699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4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1,409</w:t>
            </w:r>
          </w:p>
        </w:tc>
      </w:tr>
      <w:tr>
        <w:trPr>
          <w:trHeight w:val="205"/>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amortization</w:t>
            </w: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 benefit from goodwill amortization</w:t>
            </w:r>
          </w:p>
        </w:tc>
        <w:tc>
          <w:tcPr>
            <w:tcW w:w="24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r>
      <w:tr>
        <w:trPr>
          <w:trHeight w:val="202"/>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impact of adjustments to GAAP income</w:t>
            </w:r>
          </w:p>
        </w:tc>
        <w:tc>
          <w:tcPr>
            <w:tcW w:w="2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(1,597)</w:t>
            </w:r>
          </w:p>
        </w:tc>
      </w:tr>
      <w:tr>
        <w:trPr>
          <w:trHeight w:val="198"/>
        </w:trPr>
        <w:tc>
          <w:tcPr>
            <w:tcW w:w="4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Economic earnings</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5,714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1,084</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per share</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4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r>
      <w:tr>
        <w:trPr>
          <w:trHeight w:val="205"/>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amortization</w:t>
            </w: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 benefit from goodwill amortization</w:t>
            </w:r>
          </w:p>
        </w:tc>
        <w:tc>
          <w:tcPr>
            <w:tcW w:w="24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r>
      <w:tr>
        <w:trPr>
          <w:trHeight w:val="20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impact of adjustments to GAAP income</w:t>
            </w:r>
          </w:p>
        </w:tc>
        <w:tc>
          <w:tcPr>
            <w:tcW w:w="2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r>
      <w:tr>
        <w:trPr>
          <w:trHeight w:val="198"/>
        </w:trPr>
        <w:tc>
          <w:tcPr>
            <w:tcW w:w="4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Economic earnings per share</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0.64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0.13</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weighted average shares</w:t>
            </w: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8,941,347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8,813,606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8,488,372</w:t>
            </w: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4"/>
          </w:tcPr>
          <w:p>
            <w:pPr>
              <w:jc w:val="right"/>
              <w:ind w:right="138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0"/>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40" w:type="dxa"/>
            <w:vAlign w:val="bottom"/>
          </w:tcPr>
          <w:p>
            <w:pPr>
              <w:spacing w:after="0"/>
              <w:rPr>
                <w:sz w:val="17"/>
                <w:szCs w:val="17"/>
                <w:color w:val="auto"/>
              </w:rPr>
            </w:pPr>
          </w:p>
        </w:tc>
        <w:tc>
          <w:tcPr>
            <w:tcW w:w="182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September 30, 2024</w:t>
            </w:r>
          </w:p>
        </w:tc>
      </w:tr>
      <w:tr>
        <w:trPr>
          <w:trHeight w:val="196"/>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attributable to Westwood Holdings Group, Inc.</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00"/>
        </w:trPr>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4,321</w:t>
            </w:r>
          </w:p>
        </w:tc>
      </w:tr>
      <w:tr>
        <w:trPr>
          <w:trHeight w:val="205"/>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amortization</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w:t>
            </w:r>
          </w:p>
        </w:tc>
      </w:tr>
      <w:tr>
        <w:trPr>
          <w:trHeight w:val="200"/>
        </w:trPr>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 benefit from goodwill amortization</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w:t>
            </w:r>
          </w:p>
        </w:tc>
      </w:tr>
      <w:tr>
        <w:trPr>
          <w:trHeight w:val="20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impact of adjustments to GAAP income</w:t>
            </w: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(4,413)</w:t>
            </w:r>
          </w:p>
        </w:tc>
      </w:tr>
      <w:tr>
        <w:trPr>
          <w:trHeight w:val="198"/>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Economic earnings</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11,020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per share</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w:t>
            </w:r>
          </w:p>
        </w:tc>
      </w:tr>
      <w:tr>
        <w:trPr>
          <w:trHeight w:val="200"/>
        </w:trPr>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0.50</w:t>
            </w:r>
          </w:p>
        </w:tc>
      </w:tr>
      <w:tr>
        <w:trPr>
          <w:trHeight w:val="205"/>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amortization</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0.37</w:t>
            </w:r>
          </w:p>
        </w:tc>
      </w:tr>
      <w:tr>
        <w:trPr>
          <w:trHeight w:val="200"/>
        </w:trPr>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 benefit from goodwill amortization</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0.05</w:t>
            </w:r>
          </w:p>
        </w:tc>
      </w:tr>
      <w:tr>
        <w:trPr>
          <w:trHeight w:val="20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impact of adjustments to GAAP income</w:t>
            </w: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(0.52)</w:t>
            </w:r>
          </w:p>
        </w:tc>
      </w:tr>
      <w:tr>
        <w:trPr>
          <w:trHeight w:val="198"/>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Economic earnings per share</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weighted average shares</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8,846,168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8,448,629</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2025-10-30T15:34:27Z</dcterms:created>
  <dcterms:modified xsi:type="dcterms:W3CDTF">2025-10-30T15:34:27Z</dcterms:modified>
</cp:coreProperties>
</file>