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6,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WESTWOOD HOLDINGS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p>
    <w:tbl>
      <w:tblPr>
        <w:tblW w:w="8092"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001-31234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75-2969997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 Crescent Court, Suite 1200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Dallas, Texas 75201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 756-6900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1252"/>
        <w:gridCol w:w="1103"/>
        <w:gridCol w:w="1109"/>
        <w:gridCol w:w="539"/>
        <w:gridCol w:w="539"/>
        <w:gridCol w:w="541"/>
        <w:gridCol w:w="1138"/>
        <w:gridCol w:w="1138"/>
        <w:gridCol w:w="1609"/>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WHG</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2" w:before="180" w:after="283"/>
        <w:jc w:val="left"/>
        <w:rPr/>
      </w:pPr>
      <w:r>
        <w:rPr>
          <w:rFonts w:ascii="Times New Roman;serif" w:hAnsi="Times New Roman;serif"/>
          <w:b w:val="false"/>
          <w:color w:val="000000"/>
          <w:sz w:val="18"/>
        </w:rPr>
        <w:t>Emerging growth company  </w:t>
      </w:r>
      <w:r>
        <w:rPr>
          <w:color w:val="000000"/>
        </w:rPr>
        <w:t>☐</w:t>
      </w:r>
    </w:p>
    <w:p>
      <w:pPr>
        <w:pStyle w:val="TextBody"/>
        <w:bidi w:val="0"/>
        <w:spacing w:lineRule="auto" w:line="312" w:before="180" w:after="283"/>
        <w:jc w:val="left"/>
        <w:rPr/>
      </w:pPr>
      <w:r>
        <w:rPr>
          <w:rFonts w:ascii="Times New Roman;serif" w:hAnsi="Times New Roman;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August 6, 2026, Westwood Holdings Group, Inc. (“Westwood”) announced its financial results for the quarter ended June 30, 2026, a copy of which is furnished with this Current Report on Form 8-K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ITEM 7.01:    REGULATION FD DISCLOSURE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Westwood announced today that its Board of Directors has approved the payment of a quarterly cash dividend of $0.15 per common share, payable on October 1, 2026 to stockholders of record on September 1,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 The following exhibit is furnished with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Number                    Description</w: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erif" w:hAnsi="Times New Roman;serif"/>
          <w:b w:val="false"/>
          <w:color w:val="000000"/>
          <w:sz w:val="22"/>
        </w:rPr>
        <w:t>99.1    </w:t>
      </w:r>
      <w:hyperlink w:anchor="a2q26earningsrelease.htm">
        <w:r>
          <w:rPr>
            <w:rStyle w:val="InternetLink"/>
          </w:rPr>
          <w:t>Press Release Dated A</w:t>
        </w:r>
      </w:hyperlink>
      <w:hyperlink w:anchor="a2q26earningsrelease.htm">
        <w:r>
          <w:rPr>
            <w:rStyle w:val="InternetLink"/>
          </w:rPr>
          <w:t>ugust</w:t>
        </w:r>
      </w:hyperlink>
      <w:hyperlink w:anchor="a2q26earningsrelease.htm">
        <w:r>
          <w:rPr>
            <w:rStyle w:val="InternetLink"/>
          </w:rPr>
          <w:t xml:space="preserve"> </w:t>
        </w:r>
      </w:hyperlink>
      <w:hyperlink w:anchor="a2q26earningsrelease.htm">
        <w:r>
          <w:rPr>
            <w:rStyle w:val="InternetLink"/>
          </w:rPr>
          <w:t>6</w:t>
        </w:r>
      </w:hyperlink>
      <w:hyperlink w:anchor="a2q26earningsrelease.htm">
        <w:r>
          <w:rPr>
            <w:rStyle w:val="InternetLink"/>
          </w:rPr>
          <w:t>, 2026</w:t>
        </w:r>
      </w:hyperlink>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Date File (embedded within the Inline XBRL document)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6,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40" w:type="dxa"/>
        <w:jc w:val="right"/>
        <w:tblInd w:w="0" w:type="dxa"/>
        <w:tblLayout w:type="fixed"/>
        <w:tblCellMar>
          <w:top w:w="28" w:type="dxa"/>
          <w:left w:w="28" w:type="dxa"/>
          <w:bottom w:w="28" w:type="dxa"/>
          <w:right w:w="28" w:type="dxa"/>
        </w:tblCellMar>
      </w:tblPr>
      <w:tblGrid>
        <w:gridCol w:w="151"/>
        <w:gridCol w:w="134"/>
        <w:gridCol w:w="135"/>
        <w:gridCol w:w="1001"/>
        <w:gridCol w:w="1001"/>
        <w:gridCol w:w="141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HOLDINGS GROUP,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5241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24125" cy="800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Westwood Holdings Group, Inc. Reports Second Quarter 2026 Results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Private Capital platform surpassed $500 million in assets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Managed Investment Solutions flows reached $350 million</w:t>
      </w:r>
    </w:p>
    <w:p>
      <w:pPr>
        <w:pStyle w:val="TextBody"/>
        <w:bidi w:val="0"/>
        <w:spacing w:before="0" w:after="0"/>
        <w:jc w:val="center"/>
        <w:rPr/>
      </w:pPr>
      <w:r>
        <w:rPr/>
      </w:r>
    </w:p>
    <w:p>
      <w:pPr>
        <w:pStyle w:val="TextBody"/>
        <w:bidi w:val="0"/>
        <w:spacing w:lineRule="auto" w:line="288" w:before="120" w:after="220"/>
        <w:jc w:val="left"/>
        <w:rPr>
          <w:rFonts w:ascii="Times New Roman;serif" w:hAnsi="Times New Roman;serif"/>
          <w:b w:val="false"/>
          <w:color w:val="000000"/>
          <w:sz w:val="24"/>
        </w:rPr>
      </w:pPr>
      <w:r>
        <w:rPr>
          <w:rFonts w:ascii="Times New Roman;serif" w:hAnsi="Times New Roman;serif"/>
          <w:b w:val="false"/>
          <w:color w:val="000000"/>
          <w:sz w:val="24"/>
        </w:rPr>
        <w:t>Dallas, TX, August 6, 2026 – Westwood Holdings Group, Inc. (NYSE: WHG) today reported second quarter 2026 earnings. Significant items included: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Investment strategies beating their primary benchmarks included Enhanced Balanced, Alternative Income, Real Estate Income, MLP &amp; Energy Infrastructure, Enhanced Midstream Income and Enhanced Energy Income.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MLP &amp; Energy Infrastructure, Enhanced Balanced and Enhanced Midstream Income posted top quartile rankings vs. peers and Real Estate Income posted top decile rankings vs. peers.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Quarterly revenues totaled $25.3 million vs. $25.0 million in the first quarter and $23.1 million a year ago. Net income of $1.5 million compared with $0.8 million in the first quarter and $1.0 million in 2025's second quarter.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Non-GAAP Economic Earnings of $3.0 million compared with $2.8 million in both the first quarter and in the second quarter of 2025.</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Westwood held $56.5 million in cash and investments as of June 30, 2026. Westwood's stockholders' equity totaled $126.3 million.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We declared a cash dividend of $0.15 per common share, payable on October 1, 2026 to stockholders of record on September 1, 2026.</w:t>
      </w:r>
    </w:p>
    <w:p>
      <w:pPr>
        <w:pStyle w:val="TextBody"/>
        <w:bidi w:val="0"/>
        <w:spacing w:lineRule="auto" w:line="268" w:before="0" w:after="0"/>
        <w:jc w:val="left"/>
        <w:rPr/>
      </w:pPr>
      <w:r>
        <w:rPr>
          <w:rFonts w:ascii="Times New Roman;serif" w:hAnsi="Times New Roman;serif"/>
          <w:b w:val="false"/>
          <w:color w:val="000000"/>
          <w:sz w:val="24"/>
        </w:rPr>
        <w:t>Brian Casey, Westwood’s CEO, commented, "We're very proud of the momentum we built this quarter, highlighted by our ETF platform surpassing $400 million in assets and our Private Capital platform surpassing $</w:t>
      </w:r>
      <w:r>
        <w:rPr>
          <w:rFonts w:ascii="Times New Roman;serif" w:hAnsi="Times New Roman;serif"/>
          <w:b w:val="false"/>
          <w:color w:val="1F497D"/>
          <w:sz w:val="24"/>
        </w:rPr>
        <w:t>5</w:t>
      </w:r>
      <w:r>
        <w:rPr>
          <w:rFonts w:ascii="Times New Roman;serif" w:hAnsi="Times New Roman;serif"/>
          <w:b w:val="false"/>
          <w:color w:val="000000"/>
          <w:sz w:val="24"/>
        </w:rPr>
        <w:t>00 million, alongside continued strength across our Multi-Asset and Wealth Team strategies. With our Private Capital business growing, our Managed Investment Solutions pipeline expanding, and the upcoming listing of our PWRX ("Power-X") ETF on the Texas Stock Exchange, we believe Westwood is well positioned to continue delivering long-term value for clients and shareholders as we mark our 24th anniversary as a public company."</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Firmwide assets under management and advisement totaled $17.9 billion, consisting of assets under management ("AUM") of $17.0 billion and assets under advisement ("AUA") of $1.0 billion.</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Second quarter revenues were consistent with the first quarter. Second quarter net income of $1.5 million exceeded the first quarter's net income of $0.8 million on lower compensation expenses, offset by higher income taxes and first quarter recognition of gains from our investment in a private bank. Diluted earnings per share ("EPS") of $0.17 compared to $0.09 for the first quarter. Non-GAAP Economic Earnings of $3.0 million, or $0.33 per share, compared with $2.8 million, or $0.31 per share, in the first quarter.</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Second quarter revenues were higher than last year's second quarter due to continued growth in our business, particularly from our ETFs and private energy secondaries funds. Second quarter net income of $1.5 million compared favorably to last year's second quarter income of $1.0 million due to higher revenues, partially offset by higher compensation and professional services expenses, and higher income taxes. Diluted EPS of $0.17 compared with $0.12 for 2025's second quarter. Non-GAAP Economic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Earnings were $3.0 million, or $0.33 per share, compared with $2.8 million, or $0.32 per share, in the second quarter of 2025.</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Economic Earnings and Economic EPS are non-GAAP performance measures and are explained and reconciled with the most comparable GAAP numbers in the attached tables.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Westwood will host a conference call to discuss second quarter 2026 results and other business matters at 4:30 p.m. Eastern time today. To join the conference call, please register here:</w:t>
      </w:r>
    </w:p>
    <w:p>
      <w:pPr>
        <w:pStyle w:val="TextBody"/>
        <w:bidi w:val="0"/>
        <w:spacing w:lineRule="auto" w:line="288" w:before="12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https://register-conf.media-server.com/register/BI1a2ac991c5be418d80e390f6c45a05ca</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After registering, you will be provided with a dial-in number containing a personalized PIN.</w:t>
      </w:r>
    </w:p>
    <w:p>
      <w:pPr>
        <w:pStyle w:val="TextBody"/>
        <w:bidi w:val="0"/>
        <w:spacing w:lineRule="auto" w:line="288" w:before="120" w:after="283"/>
        <w:jc w:val="left"/>
        <w:rPr/>
      </w:pPr>
      <w:r>
        <w:rPr>
          <w:rFonts w:ascii="Times New Roman;serif" w:hAnsi="Times New Roman;serif"/>
          <w:b w:val="false"/>
          <w:color w:val="000000"/>
          <w:sz w:val="24"/>
        </w:rPr>
        <w:t xml:space="preserve">To view the webcast, please register here: </w:t>
      </w:r>
      <w:r>
        <w:rPr>
          <w:rFonts w:ascii="Times New Roman;serif" w:hAnsi="Times New Roman;serif"/>
          <w:b w:val="false"/>
          <w:color w:val="000000"/>
          <w:sz w:val="24"/>
          <w:u w:val="single"/>
        </w:rPr>
        <w:t>https://edge.media-server.com/mmc/p/qpuoane3</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Once registered, an email will be sent with important details for this conference call, as well as a unique Registrant ID.</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ABOUT WESTWOOD HOLDINGS GROUP</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Westwood Holdings Group (NYSE: WHG) is a boutique asset management firm that offers a diverse array of actively-managed and outcome-oriented investment strategies, along with white-glove trust and wealth services, to institutional, intermediary and private wealth clients. For over 40 years, Westwood’s client-first approach has fostered strong, long-term client relationships due to our unwavering commitment to delivering bespoke investment strategies with a vehicle-optimized approach, exceptional counsel and unparalleled client service. Our flexible and agile approach to investing allows us to adapt to constantly changing markets, while continually seeking innovative strategies that meet our investors’ short and long-term needs. </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Our team at Westwood comes from varied backgrounds and life experiences, which reflects our origins as a woman-founded firm. We are committed to incorporating diverse insights and knowledge into all aspects of our services and solutions. Our culture and approach to our business reflect our core values - integrity, reliability, responsiveness, adaptability, teamwork and driving results - and underpin our constant pursuit of excellence.</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For more information on Westwood, please visit westwoodgroup.com.</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2025 and its quarterly report on Form 10-Q for the quarters ended March 31, 2026 and June 30, 2026.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SOURCE: Westwood Holdings Group,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(WHG-G)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Westwood Holdings Group,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Terry Forbes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 and Treasurer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(214) 756-6900</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 thousands, except per share and share amounts)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(unaudited)</w:t>
      </w:r>
    </w:p>
    <w:tbl>
      <w:tblPr>
        <w:tblW w:w="8647" w:type="dxa"/>
        <w:jc w:val="left"/>
        <w:tblInd w:w="0" w:type="dxa"/>
        <w:tblLayout w:type="fixed"/>
        <w:tblCellMar>
          <w:top w:w="28" w:type="dxa"/>
          <w:left w:w="28" w:type="dxa"/>
          <w:bottom w:w="28" w:type="dxa"/>
          <w:right w:w="28" w:type="dxa"/>
        </w:tblCellMar>
      </w:tblPr>
      <w:tblGrid>
        <w:gridCol w:w="1572"/>
        <w:gridCol w:w="1385"/>
        <w:gridCol w:w="1393"/>
        <w:gridCol w:w="238"/>
        <w:gridCol w:w="785"/>
        <w:gridCol w:w="132"/>
        <w:gridCol w:w="109"/>
        <w:gridCol w:w="109"/>
        <w:gridCol w:w="109"/>
        <w:gridCol w:w="266"/>
        <w:gridCol w:w="876"/>
        <w:gridCol w:w="147"/>
        <w:gridCol w:w="109"/>
        <w:gridCol w:w="109"/>
        <w:gridCol w:w="109"/>
        <w:gridCol w:w="236"/>
        <w:gridCol w:w="778"/>
        <w:gridCol w:w="185"/>
      </w:tblGrid>
      <w:tr>
        <w:trPr/>
        <w:tc>
          <w:tcPr>
            <w:tcW w:w="15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Advisory fees: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Asset-based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fees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25,343 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24,966 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23,120 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Westwood funds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technology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26,462 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(loss)</w:t>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gains on private investments</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depreciation on private investments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attributable to noncontrolling interest</w:t>
            </w:r>
          </w:p>
        </w:tc>
        <w:tc>
          <w:tcPr>
            <w:tcW w:w="102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8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attributable to Westwood Holdings Group, Inc.</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Westwood Holdings Group, Inc. share:</w:t>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8,644,321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8,404,859</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9,079,971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9,041,922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8,813,606</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Earnings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EPS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share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 thousands, except per share and share amounts)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(unaudited)</w:t>
      </w:r>
    </w:p>
    <w:tbl>
      <w:tblPr>
        <w:tblW w:w="7031" w:type="dxa"/>
        <w:jc w:val="left"/>
        <w:tblInd w:w="0" w:type="dxa"/>
        <w:tblLayout w:type="fixed"/>
        <w:tblCellMar>
          <w:top w:w="28" w:type="dxa"/>
          <w:left w:w="28" w:type="dxa"/>
          <w:bottom w:w="28" w:type="dxa"/>
          <w:right w:w="28" w:type="dxa"/>
        </w:tblCellMar>
      </w:tblPr>
      <w:tblGrid>
        <w:gridCol w:w="1572"/>
        <w:gridCol w:w="1385"/>
        <w:gridCol w:w="1393"/>
        <w:gridCol w:w="238"/>
        <w:gridCol w:w="785"/>
        <w:gridCol w:w="132"/>
        <w:gridCol w:w="109"/>
        <w:gridCol w:w="109"/>
        <w:gridCol w:w="109"/>
        <w:gridCol w:w="236"/>
        <w:gridCol w:w="778"/>
        <w:gridCol w:w="185"/>
      </w:tblGrid>
      <w:tr>
        <w:trPr/>
        <w:tc>
          <w:tcPr>
            <w:tcW w:w="15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Advisory fees: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Asset-based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fees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50,309 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46,372 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Westwood funds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technology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49,741 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45,572 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gains on private investments</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depreciation on private investments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attributable to noncontrolling interest</w:t>
            </w:r>
          </w:p>
        </w:tc>
        <w:tc>
          <w:tcPr>
            <w:tcW w:w="102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8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attributable to Westwood Holdings Group, Inc.</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w:t>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8,571,739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8,329,803</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8,798,092</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Earnings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EPS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share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 thousands, except par value and share amounts)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874"/>
        <w:gridCol w:w="2208"/>
        <w:gridCol w:w="2221"/>
        <w:gridCol w:w="207"/>
        <w:gridCol w:w="780"/>
        <w:gridCol w:w="115"/>
        <w:gridCol w:w="109"/>
        <w:gridCol w:w="109"/>
        <w:gridCol w:w="109"/>
        <w:gridCol w:w="247"/>
        <w:gridCol w:w="930"/>
        <w:gridCol w:w="137"/>
        <w:gridCol w:w="159"/>
      </w:tblGrid>
      <w:tr>
        <w:trPr/>
        <w:tc>
          <w:tcPr>
            <w:tcW w:w="2874"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at fair value (amortized cost of $18,541 and $19,923)</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under measurement alternative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$8,824 and $8,952</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155,375 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162,298 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 payable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authorized 25,000,000 shares, issued 12,606,270 and 12,337,758, respectively and outstanding 9,543,152 and 9,394,066, respectively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 3,063,118 and 2,986,692 shares, respectively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Westwood Holdings Group, Inc. stockholders’ equity</w:t>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126,338 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125,615 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Noncontrolling interest in consolidated subsidiary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127,454 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126,723 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155,375 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162,298 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WESTWOOD HOLDINGS GROUP, INC.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(unaudited)</w:t>
      </w:r>
    </w:p>
    <w:tbl>
      <w:tblPr>
        <w:tblW w:w="8066" w:type="dxa"/>
        <w:jc w:val="center"/>
        <w:tblInd w:w="0" w:type="dxa"/>
        <w:tblLayout w:type="fixed"/>
        <w:tblCellMar>
          <w:top w:w="28" w:type="dxa"/>
          <w:left w:w="28" w:type="dxa"/>
          <w:bottom w:w="28" w:type="dxa"/>
          <w:right w:w="28" w:type="dxa"/>
        </w:tblCellMar>
      </w:tblPr>
      <w:tblGrid>
        <w:gridCol w:w="2095"/>
        <w:gridCol w:w="1843"/>
        <w:gridCol w:w="1852"/>
        <w:gridCol w:w="196"/>
        <w:gridCol w:w="647"/>
        <w:gridCol w:w="109"/>
        <w:gridCol w:w="109"/>
        <w:gridCol w:w="109"/>
        <w:gridCol w:w="109"/>
        <w:gridCol w:w="196"/>
        <w:gridCol w:w="647"/>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(appreciation) depreciation on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on private investments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asset disposition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 payable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of equity investments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investments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leasehold improvements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internally developed software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Returns of capital from private capital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returned for payment of taxes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 in acquisition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dividends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1"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WESTWOOD HOLDINGS GROUP, INC.</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Reconciliation of Income Attributable to Westwood Holdings Group, Inc. to Economic Earnings</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(in thousands, except per share and share amounts)</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As supplemental information, we are providing non-GAAP performance measures that we refer to as Economic earnings and Economic earnings per share. We provide these measures in addition to, not as a substitute for, income attributable to Westwood Holdings Group, Inc. and earnings per share, which are reported on a GAAP basis. Our management and Board of Directors review Economic earnings and Economic earnings per share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earnings per share represents Economic earnings divided by diluted weighted average shares outstanding.</w:t>
      </w:r>
    </w:p>
    <w:p>
      <w:pPr>
        <w:pStyle w:val="TextBody"/>
        <w:bidi w:val="0"/>
        <w:spacing w:before="120" w:after="283"/>
        <w:jc w:val="left"/>
        <w:rPr/>
      </w:pPr>
      <w:r>
        <w:rPr/>
      </w:r>
    </w:p>
    <w:tbl>
      <w:tblPr>
        <w:tblW w:w="8333" w:type="dxa"/>
        <w:jc w:val="center"/>
        <w:tblInd w:w="0" w:type="dxa"/>
        <w:tblLayout w:type="fixed"/>
        <w:tblCellMar>
          <w:top w:w="28" w:type="dxa"/>
          <w:left w:w="28" w:type="dxa"/>
          <w:bottom w:w="28" w:type="dxa"/>
          <w:right w:w="28" w:type="dxa"/>
        </w:tblCellMar>
      </w:tblPr>
      <w:tblGrid>
        <w:gridCol w:w="1494"/>
        <w:gridCol w:w="1311"/>
        <w:gridCol w:w="1319"/>
        <w:gridCol w:w="256"/>
        <w:gridCol w:w="727"/>
        <w:gridCol w:w="142"/>
        <w:gridCol w:w="109"/>
        <w:gridCol w:w="109"/>
        <w:gridCol w:w="109"/>
        <w:gridCol w:w="287"/>
        <w:gridCol w:w="814"/>
        <w:gridCol w:w="159"/>
        <w:gridCol w:w="109"/>
        <w:gridCol w:w="109"/>
        <w:gridCol w:w="109"/>
        <w:gridCol w:w="253"/>
        <w:gridCol w:w="718"/>
        <w:gridCol w:w="199"/>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attributable to Westwood Holdings Group, Inc.</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1,519 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2,968 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2,792 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Earnings per share</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0.17 </w:t>
            </w:r>
          </w:p>
        </w:tc>
        <w:tc>
          <w:tcPr>
            <w:tcW w:w="1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0.09 </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19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 per share</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0.33 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0.32 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weighted average shares</w:t>
            </w:r>
          </w:p>
        </w:tc>
        <w:tc>
          <w:tcPr>
            <w:tcW w:w="112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9,079,971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9,041,922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8,813,606</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attributable to Westwood Holdings Group, Inc.</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5,815 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5,306 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Earnings per share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0.25 </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0.17 </w:t>
            </w:r>
          </w:p>
        </w:tc>
        <w:tc>
          <w:tcPr>
            <w:tcW w:w="19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0.30</w:t>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0.23</w:t>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0.03</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 per share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weighted average shares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9,061,350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8,798,092</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12" name="Frame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3233</Words>
  <Characters>18808</Characters>
  <CharactersWithSpaces>21721</CharactersWithSpaces>
  <Paragraphs>704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