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4"/>
          <w:szCs w:val="24"/>
          <w:color w:val="auto"/>
        </w:rPr>
      </w:pPr>
    </w:p>
    <w:p>
      <w:pPr>
        <w:jc w:val="center"/>
        <w:ind w:left="340" w:right="2540"/>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 13d-1(a) AND AMENDMENTS THERETO FILED PURSUANT TO RULE 13d-2(a)</w:t>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Westwood Holdings Group,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961765104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Hoak Public Equities, L.P.</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3963 Maple Avenue, Suite 450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Dallas, Texas 75219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(214) 855-2284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4, 2023</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Rule 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2140" w:right="6740" w:hanging="1320"/>
        <w:spacing w:after="0" w:line="541" w:lineRule="auto"/>
        <w:tabs>
          <w:tab w:leader="none" w:pos="182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199390</wp:posOffset>
            </wp:positionH>
            <wp:positionV relativeFrom="page">
              <wp:posOffset>517525</wp:posOffset>
            </wp:positionV>
            <wp:extent cx="7157720" cy="5126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126355"/>
                    </a:xfrm>
                    <a:prstGeom prst="rect">
                      <a:avLst/>
                    </a:prstGeom>
                    <a:noFill/>
                  </pic:spPr>
                </pic:pic>
              </a:graphicData>
            </a:graphic>
          </wp:anchor>
        </w:drawing>
        <w:t>NAME OF REPORTING PERSONS Hoak Public Equities, L.P.</w:t>
      </w:r>
    </w:p>
    <w:tbl>
      <w:tblPr>
        <w:tblLayout w:type="fixed"/>
        <w:tblInd w:w="20" w:type="dxa"/>
        <w:tblCellMar>
          <w:top w:w="0" w:type="dxa"/>
          <w:left w:w="0" w:type="dxa"/>
          <w:bottom w:w="0" w:type="dxa"/>
          <w:right w:w="0" w:type="dxa"/>
        </w:tblCellMar>
      </w:tblPr>
      <w:tr>
        <w:trPr>
          <w:trHeight w:val="157"/>
        </w:trPr>
        <w:tc>
          <w:tcPr>
            <w:tcW w:w="16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rPr>
              <w:t>2</w:t>
            </w:r>
          </w:p>
        </w:tc>
        <w:tc>
          <w:tcPr>
            <w:tcW w:w="8740" w:type="dxa"/>
            <w:vAlign w:val="bottom"/>
            <w:tcBorders>
              <w:top w:val="single" w:sz="8" w:color="auto"/>
            </w:tcBorders>
            <w:gridSpan w:val="3"/>
          </w:tcPr>
          <w:p>
            <w:pPr>
              <w:ind w:left="120"/>
              <w:spacing w:after="0" w:line="157"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00" w:type="dxa"/>
            <w:vAlign w:val="bottom"/>
            <w:tcBorders>
              <w:top w:val="single" w:sz="8" w:color="auto"/>
            </w:tcBorders>
          </w:tcPr>
          <w:p>
            <w:pPr>
              <w:ind w:left="120"/>
              <w:spacing w:after="0" w:line="15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spacing w:after="0"/>
              <w:rPr>
                <w:sz w:val="17"/>
                <w:szCs w:val="17"/>
                <w:color w:val="auto"/>
              </w:rPr>
            </w:pPr>
          </w:p>
        </w:tc>
        <w:tc>
          <w:tcPr>
            <w:tcW w:w="8740" w:type="dxa"/>
            <w:vAlign w:val="bottom"/>
            <w:tcBorders>
              <w:bottom w:val="single" w:sz="8" w:color="auto"/>
            </w:tcBorders>
            <w:gridSpan w:val="3"/>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7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WC</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spacing w:after="0"/>
              <w:rPr>
                <w:sz w:val="16"/>
                <w:szCs w:val="16"/>
                <w:color w:val="auto"/>
              </w:rPr>
            </w:pPr>
          </w:p>
        </w:tc>
        <w:tc>
          <w:tcPr>
            <w:tcW w:w="7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jc w:val="center"/>
              <w:ind w:left="33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spacing w:after="0"/>
              <w:rPr>
                <w:sz w:val="15"/>
                <w:szCs w:val="15"/>
                <w:color w:val="auto"/>
              </w:rPr>
            </w:pPr>
          </w:p>
        </w:tc>
        <w:tc>
          <w:tcPr>
            <w:tcW w:w="76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740" w:type="dxa"/>
            <w:vAlign w:val="bottom"/>
            <w:tcBorders>
              <w:bottom w:val="single" w:sz="8" w:color="auto"/>
            </w:tcBorders>
            <w:gridSpan w:val="3"/>
          </w:tcPr>
          <w:p>
            <w:pPr>
              <w:ind w:left="120"/>
              <w:spacing w:after="0" w:line="250" w:lineRule="exact"/>
              <w:rPr>
                <w:sz w:val="20"/>
                <w:szCs w:val="20"/>
                <w:color w:val="auto"/>
              </w:rPr>
            </w:pPr>
            <w:r>
              <w:rPr>
                <w:rFonts w:ascii="Times New Roman" w:cs="Times New Roman" w:eastAsia="Times New Roman" w:hAnsi="Times New Roman"/>
                <w:sz w:val="17"/>
                <w:szCs w:val="17"/>
                <w:color w:val="auto"/>
              </w:rPr>
              <w:t>CHECK BOX IF THE AGGREGATE AMOUNT IN ROW (11) EXCLUDES CERTAIN SHARES</w:t>
            </w:r>
            <w:r>
              <w:rPr>
                <w:rFonts w:ascii="Times New Roman" w:cs="Times New Roman" w:eastAsia="Times New Roman" w:hAnsi="Times New Roman"/>
                <w:sz w:val="28"/>
                <w:szCs w:val="28"/>
                <w:color w:val="auto"/>
                <w:vertAlign w:val="superscript"/>
              </w:rPr>
              <w:t>*</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PN</w:t>
      </w:r>
    </w:p>
    <w:p>
      <w:pPr>
        <w:spacing w:after="0" w:line="50" w:lineRule="exact"/>
        <w:rPr>
          <w:sz w:val="20"/>
          <w:szCs w:val="20"/>
          <w:color w:val="auto"/>
        </w:rPr>
      </w:pPr>
    </w:p>
    <w:p>
      <w:pPr>
        <w:jc w:val="both"/>
        <w:ind w:right="40" w:firstLine="8"/>
        <w:spacing w:after="0" w:line="266"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9,145,663 shares of 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Westwood Holdings Group,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outstanding as of October 24, 2023 as disclosed on the Issuer’s Form 10-Q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31, 2023.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ind w:left="2132" w:right="6740" w:hanging="1320"/>
        <w:spacing w:after="0" w:line="541" w:lineRule="auto"/>
        <w:tabs>
          <w:tab w:leader="none" w:pos="18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199390</wp:posOffset>
            </wp:positionH>
            <wp:positionV relativeFrom="page">
              <wp:posOffset>517525</wp:posOffset>
            </wp:positionV>
            <wp:extent cx="7157720" cy="5126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26355"/>
                    </a:xfrm>
                    <a:prstGeom prst="rect">
                      <a:avLst/>
                    </a:prstGeom>
                    <a:noFill/>
                  </pic:spPr>
                </pic:pic>
              </a:graphicData>
            </a:graphic>
          </wp:anchor>
        </w:drawing>
        <w:t>NAME OF REPORTING PERSONS Hoak Fund Management, L.P.</w:t>
      </w:r>
    </w:p>
    <w:tbl>
      <w:tblPr>
        <w:tblLayout w:type="fixed"/>
        <w:tblInd w:w="12" w:type="dxa"/>
        <w:tblCellMar>
          <w:top w:w="0" w:type="dxa"/>
          <w:left w:w="0" w:type="dxa"/>
          <w:bottom w:w="0" w:type="dxa"/>
          <w:right w:w="0" w:type="dxa"/>
        </w:tblCellMar>
      </w:tblPr>
      <w:tr>
        <w:trPr>
          <w:trHeight w:val="157"/>
        </w:trPr>
        <w:tc>
          <w:tcPr>
            <w:tcW w:w="16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rPr>
              <w:t>2</w:t>
            </w:r>
          </w:p>
        </w:tc>
        <w:tc>
          <w:tcPr>
            <w:tcW w:w="8740" w:type="dxa"/>
            <w:vAlign w:val="bottom"/>
            <w:tcBorders>
              <w:top w:val="single" w:sz="8" w:color="auto"/>
            </w:tcBorders>
            <w:gridSpan w:val="3"/>
          </w:tcPr>
          <w:p>
            <w:pPr>
              <w:ind w:left="120"/>
              <w:spacing w:after="0" w:line="157"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00" w:type="dxa"/>
            <w:vAlign w:val="bottom"/>
            <w:tcBorders>
              <w:top w:val="single" w:sz="8" w:color="auto"/>
            </w:tcBorders>
          </w:tcPr>
          <w:p>
            <w:pPr>
              <w:ind w:left="120"/>
              <w:spacing w:after="0" w:line="15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spacing w:after="0"/>
              <w:rPr>
                <w:sz w:val="17"/>
                <w:szCs w:val="17"/>
                <w:color w:val="auto"/>
              </w:rPr>
            </w:pPr>
          </w:p>
        </w:tc>
        <w:tc>
          <w:tcPr>
            <w:tcW w:w="8740" w:type="dxa"/>
            <w:vAlign w:val="bottom"/>
            <w:tcBorders>
              <w:bottom w:val="single" w:sz="8" w:color="auto"/>
            </w:tcBorders>
            <w:gridSpan w:val="3"/>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7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spacing w:after="0"/>
              <w:rPr>
                <w:sz w:val="16"/>
                <w:szCs w:val="16"/>
                <w:color w:val="auto"/>
              </w:rPr>
            </w:pPr>
          </w:p>
        </w:tc>
        <w:tc>
          <w:tcPr>
            <w:tcW w:w="7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jc w:val="center"/>
              <w:ind w:left="33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spacing w:after="0"/>
              <w:rPr>
                <w:sz w:val="15"/>
                <w:szCs w:val="15"/>
                <w:color w:val="auto"/>
              </w:rPr>
            </w:pPr>
          </w:p>
        </w:tc>
        <w:tc>
          <w:tcPr>
            <w:tcW w:w="76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740" w:type="dxa"/>
            <w:vAlign w:val="bottom"/>
            <w:tcBorders>
              <w:bottom w:val="single" w:sz="8" w:color="auto"/>
            </w:tcBorders>
            <w:gridSpan w:val="3"/>
          </w:tcPr>
          <w:p>
            <w:pPr>
              <w:ind w:left="120"/>
              <w:spacing w:after="0" w:line="250" w:lineRule="exact"/>
              <w:rPr>
                <w:sz w:val="20"/>
                <w:szCs w:val="20"/>
                <w:color w:val="auto"/>
              </w:rPr>
            </w:pPr>
            <w:r>
              <w:rPr>
                <w:rFonts w:ascii="Times New Roman" w:cs="Times New Roman" w:eastAsia="Times New Roman" w:hAnsi="Times New Roman"/>
                <w:sz w:val="17"/>
                <w:szCs w:val="17"/>
                <w:color w:val="auto"/>
              </w:rPr>
              <w:t>CHECK BOX IF THE AGGREGATE AMOUNT IN ROW (11) EXCLUDES CERTAIN SHARES</w:t>
            </w:r>
            <w:r>
              <w:rPr>
                <w:rFonts w:ascii="Times New Roman" w:cs="Times New Roman" w:eastAsia="Times New Roman" w:hAnsi="Times New Roman"/>
                <w:sz w:val="28"/>
                <w:szCs w:val="28"/>
                <w:color w:val="auto"/>
                <w:vertAlign w:val="superscript"/>
              </w:rPr>
              <w:t>*</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18"/>
          <w:szCs w:val="18"/>
          <w:color w:val="auto"/>
        </w:rPr>
        <w:t>PN</w:t>
      </w:r>
    </w:p>
    <w:p>
      <w:pPr>
        <w:spacing w:after="0" w:line="50" w:lineRule="exact"/>
        <w:rPr>
          <w:sz w:val="20"/>
          <w:szCs w:val="20"/>
          <w:color w:val="auto"/>
        </w:rPr>
      </w:pPr>
    </w:p>
    <w:p>
      <w:pPr>
        <w:ind w:left="-8" w:right="20" w:firstLine="8"/>
        <w:spacing w:after="0" w:line="282" w:lineRule="auto"/>
        <w:tabs>
          <w:tab w:leader="none" w:pos="1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9,145,663 shares of Common Stock of the Issuer outstanding as of October 24, 2023 as disclosed on the Issuer’s Form 10-Q filed with the SEC on October 31, 2023.</w:t>
      </w: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37" w:right="339" w:bottom="1440" w:gutter="0" w:footer="0" w:header="0"/>
        </w:sectPr>
      </w:pPr>
    </w:p>
    <w:bookmarkStart w:id="3" w:name="page4"/>
    <w:bookmarkEnd w:id="3"/>
    <w:tbl>
      <w:tblPr>
        <w:tblLayout w:type="fixed"/>
        <w:tblInd w:w="12" w:type="dxa"/>
        <w:tblCellMar>
          <w:top w:w="0" w:type="dxa"/>
          <w:left w:w="0" w:type="dxa"/>
          <w:bottom w:w="0" w:type="dxa"/>
          <w:right w:w="0" w:type="dxa"/>
        </w:tblCellMar>
      </w:tblPr>
      <w:tr>
        <w:trPr>
          <w:trHeight w:val="234"/>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87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Hoak &amp; Co.</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74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tcPr>
          <w:p>
            <w:pPr>
              <w:spacing w:after="0"/>
              <w:rPr>
                <w:sz w:val="18"/>
                <w:szCs w:val="18"/>
                <w:color w:val="auto"/>
              </w:rPr>
            </w:pPr>
          </w:p>
        </w:tc>
        <w:tc>
          <w:tcPr>
            <w:tcW w:w="874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6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2</w:t>
            </w:r>
          </w:p>
        </w:tc>
        <w:tc>
          <w:tcPr>
            <w:tcW w:w="87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0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spacing w:after="0"/>
              <w:rPr>
                <w:sz w:val="17"/>
                <w:szCs w:val="17"/>
                <w:color w:val="auto"/>
              </w:rPr>
            </w:pPr>
          </w:p>
        </w:tc>
        <w:tc>
          <w:tcPr>
            <w:tcW w:w="8740" w:type="dxa"/>
            <w:vAlign w:val="bottom"/>
            <w:tcBorders>
              <w:bottom w:val="single" w:sz="8" w:color="auto"/>
            </w:tcBorders>
            <w:gridSpan w:val="3"/>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7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spacing w:after="0"/>
              <w:rPr>
                <w:sz w:val="16"/>
                <w:szCs w:val="16"/>
                <w:color w:val="auto"/>
              </w:rPr>
            </w:pPr>
          </w:p>
        </w:tc>
        <w:tc>
          <w:tcPr>
            <w:tcW w:w="7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jc w:val="center"/>
              <w:ind w:left="33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spacing w:after="0"/>
              <w:rPr>
                <w:sz w:val="15"/>
                <w:szCs w:val="15"/>
                <w:color w:val="auto"/>
              </w:rPr>
            </w:pPr>
          </w:p>
        </w:tc>
        <w:tc>
          <w:tcPr>
            <w:tcW w:w="76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600,000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740" w:type="dxa"/>
            <w:vAlign w:val="bottom"/>
            <w:tcBorders>
              <w:bottom w:val="single" w:sz="8" w:color="auto"/>
            </w:tcBorders>
            <w:gridSpan w:val="3"/>
          </w:tcPr>
          <w:p>
            <w:pPr>
              <w:ind w:left="120"/>
              <w:spacing w:after="0" w:line="250" w:lineRule="exact"/>
              <w:rPr>
                <w:sz w:val="20"/>
                <w:szCs w:val="20"/>
                <w:color w:val="auto"/>
              </w:rPr>
            </w:pPr>
            <w:r>
              <w:rPr>
                <w:rFonts w:ascii="Times New Roman" w:cs="Times New Roman" w:eastAsia="Times New Roman" w:hAnsi="Times New Roman"/>
                <w:sz w:val="17"/>
                <w:szCs w:val="17"/>
                <w:color w:val="auto"/>
              </w:rPr>
              <w:t>CHECK BOX IF THE AGGREGATE AMOUNT IN ROW (11) EXCLUDES CERTAIN SHARES</w:t>
            </w:r>
            <w:r>
              <w:rPr>
                <w:rFonts w:ascii="Times New Roman" w:cs="Times New Roman" w:eastAsia="Times New Roman" w:hAnsi="Times New Roman"/>
                <w:sz w:val="28"/>
                <w:szCs w:val="28"/>
                <w:color w:val="auto"/>
                <w:vertAlign w:val="superscript"/>
              </w:rPr>
              <w:t>*</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654685</wp:posOffset>
            </wp:positionV>
            <wp:extent cx="7157720" cy="5126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126355"/>
                    </a:xfrm>
                    <a:prstGeom prst="rect">
                      <a:avLst/>
                    </a:prstGeom>
                    <a:noFill/>
                  </pic:spPr>
                </pic:pic>
              </a:graphicData>
            </a:graphic>
          </wp:anchor>
        </w:drawing>
      </w:r>
    </w:p>
    <w:p>
      <w:pPr>
        <w:ind w:left="2332"/>
        <w:spacing w:after="0"/>
        <w:rPr>
          <w:sz w:val="20"/>
          <w:szCs w:val="20"/>
          <w:color w:val="auto"/>
        </w:rPr>
      </w:pPr>
      <w:r>
        <w:rPr>
          <w:rFonts w:ascii="Times New Roman" w:cs="Times New Roman" w:eastAsia="Times New Roman" w:hAnsi="Times New Roman"/>
          <w:sz w:val="18"/>
          <w:szCs w:val="18"/>
          <w:color w:val="auto"/>
        </w:rPr>
        <w:t>CO</w:t>
      </w:r>
    </w:p>
    <w:p>
      <w:pPr>
        <w:spacing w:after="0" w:line="50" w:lineRule="exact"/>
        <w:rPr>
          <w:sz w:val="20"/>
          <w:szCs w:val="20"/>
          <w:color w:val="auto"/>
        </w:rPr>
      </w:pPr>
    </w:p>
    <w:p>
      <w:pPr>
        <w:ind w:left="-8" w:right="20" w:firstLine="8"/>
        <w:spacing w:after="0" w:line="282" w:lineRule="auto"/>
        <w:tabs>
          <w:tab w:leader="none" w:pos="1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9,145,663 shares of Common Stock of the Issuer outstanding as of October 24, 2023 as disclosed on the Issuer’s Form 10-Q filed with the SEC on October 31, 2023.</w:t>
      </w: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1053" w:right="339" w:bottom="1440" w:gutter="0" w:footer="0" w:header="0"/>
        </w:sectPr>
      </w:pPr>
    </w:p>
    <w:bookmarkStart w:id="4" w:name="page5"/>
    <w:bookmarkEnd w:id="4"/>
    <w:p>
      <w:pPr>
        <w:ind w:left="2132" w:right="6740" w:hanging="1320"/>
        <w:spacing w:after="0" w:line="511" w:lineRule="auto"/>
        <w:tabs>
          <w:tab w:leader="none" w:pos="1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199390</wp:posOffset>
            </wp:positionH>
            <wp:positionV relativeFrom="page">
              <wp:posOffset>517525</wp:posOffset>
            </wp:positionV>
            <wp:extent cx="7157720" cy="5126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126355"/>
                    </a:xfrm>
                    <a:prstGeom prst="rect">
                      <a:avLst/>
                    </a:prstGeom>
                    <a:noFill/>
                  </pic:spPr>
                </pic:pic>
              </a:graphicData>
            </a:graphic>
          </wp:anchor>
        </w:drawing>
        <w:t>NAME OF REPORTING PERSONS J. Hale Hoak</w:t>
      </w:r>
    </w:p>
    <w:tbl>
      <w:tblPr>
        <w:tblLayout w:type="fixed"/>
        <w:tblInd w:w="12" w:type="dxa"/>
        <w:tblCellMar>
          <w:top w:w="0" w:type="dxa"/>
          <w:left w:w="0" w:type="dxa"/>
          <w:bottom w:w="0" w:type="dxa"/>
          <w:right w:w="0" w:type="dxa"/>
        </w:tblCellMar>
      </w:tblPr>
      <w:tr>
        <w:trPr>
          <w:trHeight w:val="156"/>
        </w:trPr>
        <w:tc>
          <w:tcPr>
            <w:tcW w:w="16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rPr>
              <w:t>2</w:t>
            </w:r>
          </w:p>
        </w:tc>
        <w:tc>
          <w:tcPr>
            <w:tcW w:w="8740" w:type="dxa"/>
            <w:vAlign w:val="bottom"/>
            <w:tcBorders>
              <w:top w:val="single" w:sz="8" w:color="auto"/>
            </w:tcBorders>
            <w:gridSpan w:val="3"/>
          </w:tcPr>
          <w:p>
            <w:pPr>
              <w:ind w:left="120"/>
              <w:spacing w:after="0" w:line="157"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00" w:type="dxa"/>
            <w:vAlign w:val="bottom"/>
            <w:tcBorders>
              <w:top w:val="single" w:sz="8" w:color="auto"/>
            </w:tcBorders>
          </w:tcPr>
          <w:p>
            <w:pPr>
              <w:ind w:left="120"/>
              <w:spacing w:after="0" w:line="15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spacing w:after="0"/>
              <w:rPr>
                <w:sz w:val="17"/>
                <w:szCs w:val="17"/>
                <w:color w:val="auto"/>
              </w:rPr>
            </w:pPr>
          </w:p>
        </w:tc>
        <w:tc>
          <w:tcPr>
            <w:tcW w:w="8740" w:type="dxa"/>
            <w:vAlign w:val="bottom"/>
            <w:tcBorders>
              <w:bottom w:val="single" w:sz="8" w:color="auto"/>
            </w:tcBorders>
            <w:gridSpan w:val="3"/>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7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spacing w:after="0"/>
              <w:rPr>
                <w:sz w:val="16"/>
                <w:szCs w:val="16"/>
                <w:color w:val="auto"/>
              </w:rPr>
            </w:pPr>
          </w:p>
        </w:tc>
        <w:tc>
          <w:tcPr>
            <w:tcW w:w="7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625,000*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jc w:val="center"/>
              <w:ind w:left="33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spacing w:after="0"/>
              <w:rPr>
                <w:sz w:val="15"/>
                <w:szCs w:val="15"/>
                <w:color w:val="auto"/>
              </w:rPr>
            </w:pPr>
          </w:p>
        </w:tc>
        <w:tc>
          <w:tcPr>
            <w:tcW w:w="76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625,000*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right w:val="single" w:sz="8" w:color="auto"/>
            </w:tcBorders>
          </w:tcPr>
          <w:p>
            <w:pPr>
              <w:spacing w:after="0"/>
              <w:rPr>
                <w:sz w:val="19"/>
                <w:szCs w:val="19"/>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625,000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740" w:type="dxa"/>
            <w:vAlign w:val="bottom"/>
            <w:tcBorders>
              <w:bottom w:val="single" w:sz="8" w:color="auto"/>
            </w:tcBorders>
            <w:gridSpan w:val="3"/>
          </w:tcPr>
          <w:p>
            <w:pPr>
              <w:ind w:left="120"/>
              <w:spacing w:after="0" w:line="250" w:lineRule="exact"/>
              <w:rPr>
                <w:sz w:val="20"/>
                <w:szCs w:val="20"/>
                <w:color w:val="auto"/>
              </w:rPr>
            </w:pPr>
            <w:r>
              <w:rPr>
                <w:rFonts w:ascii="Times New Roman" w:cs="Times New Roman" w:eastAsia="Times New Roman" w:hAnsi="Times New Roman"/>
                <w:sz w:val="17"/>
                <w:szCs w:val="17"/>
                <w:color w:val="auto"/>
              </w:rPr>
              <w:t>CHECK BOX IF THE AGGREGATE AMOUNT IN ROW (11) EXCLUDES CERTAIN SHARES</w:t>
            </w:r>
            <w:r>
              <w:rPr>
                <w:rFonts w:ascii="Times New Roman" w:cs="Times New Roman" w:eastAsia="Times New Roman" w:hAnsi="Times New Roman"/>
                <w:sz w:val="28"/>
                <w:szCs w:val="28"/>
                <w:color w:val="auto"/>
                <w:vertAlign w:val="superscript"/>
              </w:rPr>
              <w:t>*</w:t>
            </w: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18"/>
          <w:szCs w:val="18"/>
          <w:color w:val="auto"/>
        </w:rPr>
        <w:t>IN</w:t>
      </w:r>
    </w:p>
    <w:p>
      <w:pPr>
        <w:spacing w:after="0" w:line="50" w:lineRule="exact"/>
        <w:rPr>
          <w:sz w:val="20"/>
          <w:szCs w:val="20"/>
          <w:color w:val="auto"/>
        </w:rPr>
      </w:pPr>
    </w:p>
    <w:p>
      <w:pPr>
        <w:ind w:left="-8" w:right="220" w:firstLine="8"/>
        <w:spacing w:after="0" w:line="282" w:lineRule="auto"/>
        <w:tabs>
          <w:tab w:leader="none" w:pos="1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600,000 shares of Common Stock of the Issuer held directly by Hoak Public Equities, L.P., and (2) 25,000 shares of Common Stock of the Issuer held directly by J. Hale Hoak.</w:t>
      </w:r>
    </w:p>
    <w:p>
      <w:pPr>
        <w:spacing w:after="0" w:line="162" w:lineRule="exact"/>
        <w:rPr>
          <w:sz w:val="20"/>
          <w:szCs w:val="20"/>
          <w:color w:val="auto"/>
        </w:rPr>
      </w:pPr>
    </w:p>
    <w:p>
      <w:pPr>
        <w:ind w:left="-8" w:firstLine="8"/>
        <w:spacing w:after="0" w:line="282" w:lineRule="auto"/>
        <w:tabs>
          <w:tab w:leader="none" w:pos="2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9,145,663 shares of Common Stock of the Issuer outstanding as of October 24, 2023 as disclosed on the Issuer’s Form 10-Q filed with the SEC on October 31, 2023.</w:t>
      </w: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37" w:right="339" w:bottom="1440" w:gutter="0" w:footer="0" w:header="0"/>
        </w:sectPr>
      </w:pPr>
    </w:p>
    <w:bookmarkStart w:id="5" w:name="page6"/>
    <w:bookmarkEnd w:id="5"/>
    <w:tbl>
      <w:tblPr>
        <w:tblLayout w:type="fixed"/>
        <w:tblInd w:w="12" w:type="dxa"/>
        <w:tblCellMar>
          <w:top w:w="0" w:type="dxa"/>
          <w:left w:w="0" w:type="dxa"/>
          <w:bottom w:w="0" w:type="dxa"/>
          <w:right w:w="0" w:type="dxa"/>
        </w:tblCellMar>
      </w:tblPr>
      <w:tr>
        <w:trPr>
          <w:trHeight w:val="234"/>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8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James M. Hoak, Jr.</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78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tcPr>
          <w:p>
            <w:pPr>
              <w:spacing w:after="0"/>
              <w:rPr>
                <w:sz w:val="18"/>
                <w:szCs w:val="18"/>
                <w:color w:val="auto"/>
              </w:rPr>
            </w:pPr>
          </w:p>
        </w:tc>
        <w:tc>
          <w:tcPr>
            <w:tcW w:w="8780" w:type="dxa"/>
            <w:vAlign w:val="bottom"/>
            <w:tcBorders>
              <w:bottom w:val="single" w:sz="8" w:color="auto"/>
            </w:tcBorders>
            <w:gridSpan w:val="3"/>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6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2</w:t>
            </w:r>
          </w:p>
        </w:tc>
        <w:tc>
          <w:tcPr>
            <w:tcW w:w="878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76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spacing w:after="0"/>
              <w:rPr>
                <w:sz w:val="17"/>
                <w:szCs w:val="17"/>
                <w:color w:val="auto"/>
              </w:rPr>
            </w:pPr>
          </w:p>
        </w:tc>
        <w:tc>
          <w:tcPr>
            <w:tcW w:w="8780" w:type="dxa"/>
            <w:vAlign w:val="bottom"/>
            <w:tcBorders>
              <w:bottom w:val="single" w:sz="8" w:color="auto"/>
            </w:tcBorders>
            <w:gridSpan w:val="3"/>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878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7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7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spacing w:after="0"/>
              <w:rPr>
                <w:sz w:val="16"/>
                <w:szCs w:val="16"/>
                <w:color w:val="auto"/>
              </w:rPr>
            </w:pPr>
          </w:p>
        </w:tc>
        <w:tc>
          <w:tcPr>
            <w:tcW w:w="76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jc w:val="center"/>
              <w:ind w:left="330"/>
              <w:spacing w:after="0" w:line="177" w:lineRule="exact"/>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spacing w:after="0"/>
              <w:rPr>
                <w:sz w:val="15"/>
                <w:szCs w:val="15"/>
                <w:color w:val="auto"/>
              </w:rPr>
            </w:pPr>
          </w:p>
        </w:tc>
        <w:tc>
          <w:tcPr>
            <w:tcW w:w="76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spacing w:after="0"/>
              <w:rPr>
                <w:sz w:val="19"/>
                <w:szCs w:val="19"/>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600,000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right w:val="single" w:sz="8" w:color="auto"/>
            </w:tcBorders>
          </w:tcPr>
          <w:p>
            <w:pPr>
              <w:spacing w:after="0"/>
              <w:rPr>
                <w:sz w:val="19"/>
                <w:szCs w:val="19"/>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600,000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780" w:type="dxa"/>
            <w:vAlign w:val="bottom"/>
            <w:tcBorders>
              <w:bottom w:val="single" w:sz="8" w:color="auto"/>
              <w:right w:val="single" w:sz="8" w:color="auto"/>
            </w:tcBorders>
            <w:gridSpan w:val="3"/>
          </w:tcPr>
          <w:p>
            <w:pPr>
              <w:ind w:left="120"/>
              <w:spacing w:after="0" w:line="250" w:lineRule="exact"/>
              <w:rPr>
                <w:sz w:val="20"/>
                <w:szCs w:val="20"/>
                <w:color w:val="auto"/>
              </w:rPr>
            </w:pPr>
            <w:r>
              <w:rPr>
                <w:rFonts w:ascii="Times New Roman" w:cs="Times New Roman" w:eastAsia="Times New Roman" w:hAnsi="Times New Roman"/>
                <w:sz w:val="17"/>
                <w:szCs w:val="17"/>
                <w:color w:val="auto"/>
              </w:rPr>
              <w:t>CHECK BOX IF THE AGGREGATE AMOUNT IN ROW (11) EXCLUDES CERTAIN SHARES</w:t>
            </w:r>
            <w:r>
              <w:rPr>
                <w:rFonts w:ascii="Times New Roman" w:cs="Times New Roman" w:eastAsia="Times New Roman" w:hAnsi="Times New Roman"/>
                <w:sz w:val="28"/>
                <w:szCs w:val="28"/>
                <w:color w:val="auto"/>
                <w:vertAlign w:val="superscript"/>
              </w:rPr>
              <w:t>*</w:t>
            </w:r>
          </w:p>
        </w:tc>
        <w:tc>
          <w:tcPr>
            <w:tcW w:w="7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517525</wp:posOffset>
            </wp:positionV>
            <wp:extent cx="7157720" cy="5126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126355"/>
                    </a:xfrm>
                    <a:prstGeom prst="rect">
                      <a:avLst/>
                    </a:prstGeom>
                    <a:noFill/>
                  </pic:spPr>
                </pic:pic>
              </a:graphicData>
            </a:graphic>
          </wp:anchor>
        </w:drawing>
      </w:r>
    </w:p>
    <w:p>
      <w:pPr>
        <w:ind w:left="2332"/>
        <w:spacing w:after="0"/>
        <w:rPr>
          <w:sz w:val="20"/>
          <w:szCs w:val="20"/>
          <w:color w:val="auto"/>
        </w:rPr>
      </w:pPr>
      <w:r>
        <w:rPr>
          <w:rFonts w:ascii="Times New Roman" w:cs="Times New Roman" w:eastAsia="Times New Roman" w:hAnsi="Times New Roman"/>
          <w:sz w:val="18"/>
          <w:szCs w:val="18"/>
          <w:color w:val="auto"/>
        </w:rPr>
        <w:t>IN</w:t>
      </w:r>
    </w:p>
    <w:p>
      <w:pPr>
        <w:spacing w:after="0" w:line="50" w:lineRule="exact"/>
        <w:rPr>
          <w:sz w:val="20"/>
          <w:szCs w:val="20"/>
          <w:color w:val="auto"/>
        </w:rPr>
      </w:pPr>
    </w:p>
    <w:p>
      <w:pPr>
        <w:ind w:left="-8" w:right="60" w:firstLine="8"/>
        <w:spacing w:after="0" w:line="282" w:lineRule="auto"/>
        <w:tabs>
          <w:tab w:leader="none" w:pos="1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9,145,663 shares of Common Stock of the Issuer outstanding as of October 24, 2023 as disclosed on the Issuer’s Form 10-Q filed with the SEC on October 31, 2023.</w:t>
      </w: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constitutes the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filed by the undersigned.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of equity securities to which this Schedule 13D relates is the Common Stock, with a par value of $0.01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Westwood Holdings Group,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 of the Issuer is located at 200 Crescent Court, Suite 1200, Dallas, Texas 75201.</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pursuant to Rule 13d-1 under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behalf of each of the following persons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Public Equities, L.P., a Texas limited partnership (“</w:t>
      </w:r>
      <w:r>
        <w:rPr>
          <w:rFonts w:ascii="Times New Roman" w:cs="Times New Roman" w:eastAsia="Times New Roman" w:hAnsi="Times New Roman"/>
          <w:sz w:val="18"/>
          <w:szCs w:val="18"/>
          <w:u w:val="single" w:color="auto"/>
          <w:color w:val="auto"/>
        </w:rPr>
        <w:t>HPE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Fund Management, L.P., a Texas limited partnership and HPE’s general partner (“</w:t>
      </w:r>
      <w:r>
        <w:rPr>
          <w:rFonts w:ascii="Times New Roman" w:cs="Times New Roman" w:eastAsia="Times New Roman" w:hAnsi="Times New Roman"/>
          <w:sz w:val="18"/>
          <w:szCs w:val="18"/>
          <w:u w:val="single" w:color="auto"/>
          <w:color w:val="auto"/>
        </w:rPr>
        <w:t>Hoak Management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&amp; Co., a Texas corporation and the general partner of Hoak Management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Hale Hoak, an individual and serves as the President of Hoak &amp; Co.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Hoak, Jr., an individual and Hoak &amp; Co.’s controlling shareholder and serves as its Chairman</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of Hoak Management, Hoak &amp; Co., James M. Hoak, Jr., and J. Hale Hoak, may be deemed, pursuant to Rule 13d-3 of the Act, to be the beneficial owners of all shares of Common Stock held by HPE.</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and the principal office of each of the Reporting Persons is 3963 Maple Avenue, Suite 450, Dallas, TX 75219.</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w:t>
      </w:r>
    </w:p>
    <w:p>
      <w:pPr>
        <w:spacing w:after="0" w:line="27" w:lineRule="exact"/>
        <w:rPr>
          <w:sz w:val="20"/>
          <w:szCs w:val="20"/>
          <w:color w:val="auto"/>
        </w:rPr>
      </w:pPr>
    </w:p>
    <w:p>
      <w:pPr>
        <w:ind w:left="1300" w:right="120" w:hanging="320"/>
        <w:spacing w:after="0" w:line="260"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HPE, Hoak Management, Hoak &amp; Co., James M. Hoak, Jr. and J. Hale Hoak is principally engaged in the business of acquiring, holding, voting and disposing of various public and private securities investments.</w:t>
      </w:r>
    </w:p>
    <w:p>
      <w:pPr>
        <w:spacing w:after="0" w:line="18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James M. Hoak, Jr. and J. Hale Hoak are citizens of the United States of America.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amount of funds used for the purchase of Common Stock by HPE was $6,532,758.13 . All of the shares of Common Stock beneficially owned by HPE were paid for using working capital of HPE. Hoak Management, Hoak &amp; Co. and James M. Hoak, Jr., do not directly hold any Common Stock but may be deemed to beneficially own the Common Stock owned by HPE.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J. Hale Hoak may also be deemed to beneficially own the Common Stock owned by HPE. The total amount of funds used for the purchase of the remaining Common Stock reported by J. Hale Hoak, was $276,250.00, such shares being paid for using personal funds.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the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Persons purchased the Common Stock based on the belief that such securities, at current market prices, represented an attractive investment opportunity. Depending upon overall market conditions, other investment opportunities, and the availability of Common Stock at desirable prices, the Reporting Persons may endeavor to increase their position in the Issuer through, among other things, the purchase of Common Stock in open market or private transactions on such terms and at such times as the Reporting Persons deem advisable.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taking into consideration various factors, including the Issuer’s business, financial condition, results of operations and prospects, general economic and industry conditions, the securities markets in general and those for shares of Common Stock and the Issuer, in particular, as well as other developments and other investment opportunities. Based upon such review, the Reporting Persons will take such actions in the future as the Reporting Persons may deem appropriate in light of the circumstances existing from time to time, which may include further acquisitions of shares of Common Stock of the Issuer or disposal of some or all of the shares of Common Stock of the Issuer owned by the Reporting Persons or otherwise acquired by the Reporting Persons, either in the open market or in privately negotiated transactions.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open market or privately negotiated purchases or sales, acquisition recommendations or proposals or other transactions concerning the Issuer may be made at any time without prior notice. Any alternative may depend upon a variety of factors, including, without limitation, current and anticipated future trading prices of the securities, the financial condition, results of operations and prospects of the Issuer and general industry conditions, the availability, form and terms of financing, other investment and business opportunities, general stock market and economic conditions, tax considerations and other factors. Although the foregoing reflects plans and proposals presently contemplated by each Reporting Person with respect to the Issuer, the foregoing is subject to change at any time and dependent upon contingencies and assumed and speculative conditions, and there can be no assurance that any of the actions set forth above will be taken.</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Depending upon each factor discussed above and any other factor (which may be unknown at this time) that is, or may become relevant, the Reporting Persons may consider, among other things: (a) the acquisition by the Reporting Persons of additional securities of the Issuer, the disposition of securities of the Issuer, or the exercise of convertible securities of the Issuer; (b) an extraordinary corporate transaction involving the Issuer or any of its subsidiaries;</w:t>
      </w:r>
    </w:p>
    <w:p>
      <w:pPr>
        <w:spacing w:after="0" w:line="1" w:lineRule="exact"/>
        <w:rPr>
          <w:sz w:val="20"/>
          <w:szCs w:val="20"/>
          <w:color w:val="auto"/>
        </w:rPr>
      </w:pPr>
    </w:p>
    <w:p>
      <w:pPr>
        <w:jc w:val="both"/>
        <w:ind w:firstLine="8"/>
        <w:spacing w:after="0" w:line="252" w:lineRule="auto"/>
        <w:tabs>
          <w:tab w:leader="none" w:pos="2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any of its subsidiaries; (d) changes in the present board of directors or management of the Issuer; (e) a material change in the present capitalization or dividend policy of the Issuer; (f) any other material change in the Issuer’s business or corporate structure; (g) changes in the Issuer’s articles of incorporation, bylaws or instruments corresponding thereto or other actions which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those enumerated above.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Except to the extent that the foregoing may be deemed to be a plan or proposal, none of the Reporting Persons currently has any plans or proposals that relate to or would result in any of the actions specified in clause (a) through (j) of Item 4 of Schedule 13D. Depending upon the foregoing factors and to the extent deemed advisable in light of their general investment policies, or other factors, the Reporting Persons may, at any time and from time to time, formulate other purposes, plans or proposals regarding the Issuer or the Common Stock, or any other actions that could involve one or more of the types of transactions or have one or more of the results described in paragraphs (a) through (j) of Item 4 of Schedule 13D. The foregoing is subject to change at any time, and there can be no assurance that any of the Reporting Persons will take any of the actions set forth above.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Schedule 13D, based upon 9,145,663 shares of Common Stock of the Issuer outstanding as of October 24, 2023 as disclosed on the Issuer’s Form 10-Q filed with the SEC on October 31, 2023:</w:t>
      </w:r>
    </w:p>
    <w:p>
      <w:pPr>
        <w:spacing w:after="0" w:line="161" w:lineRule="exact"/>
        <w:rPr>
          <w:rFonts w:ascii="Times New Roman" w:cs="Times New Roman" w:eastAsia="Times New Roman" w:hAnsi="Times New Roman"/>
          <w:sz w:val="18"/>
          <w:szCs w:val="18"/>
          <w:color w:val="auto"/>
        </w:rPr>
      </w:pPr>
    </w:p>
    <w:p>
      <w:pPr>
        <w:ind w:left="1620" w:hanging="316"/>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HPE directly owns an aggregate of 600,000 shares of Common Stock, representing approximately 6.6% of the outstanding Common Stock.</w:t>
      </w:r>
    </w:p>
    <w:p>
      <w:pPr>
        <w:ind w:left="1620" w:right="20" w:hanging="316"/>
        <w:spacing w:after="0" w:line="250"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Management, in its capacity as HPE’s general partner, may be deemed to beneficially own an aggregate of 600,000 shares of Common Stock, representing approximately 6.6% of the outstanding Common Stock.</w:t>
      </w:r>
    </w:p>
    <w:p>
      <w:pPr>
        <w:ind w:left="1620" w:hanging="316"/>
        <w:spacing w:after="0" w:line="250"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and Co., in its capacity as the general partner of Hoak Management, may be deemed to beneficially own an aggregate of 600,000 shares of Common Stock, representing approximately 6.6% of the outstanding Common Stock.</w:t>
      </w:r>
    </w:p>
    <w:p>
      <w:pPr>
        <w:ind w:left="1620" w:hanging="316"/>
        <w:spacing w:after="0" w:line="250"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Hoak, Jr., in his capacity as Hoak &amp; Co.’s controlling shareholder and Chairman, may be deemed to beneficially own 600,000 shares of Common Stock, representing approximately 6.6% of the outstanding Common Stock.</w:t>
      </w:r>
    </w:p>
    <w:p>
      <w:pPr>
        <w:jc w:val="both"/>
        <w:ind w:left="1620" w:hanging="316"/>
        <w:spacing w:after="0" w:line="255"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Hale Hoak (1) directly owns an aggregate of 25,000 shares of Common Stock and (2) in his capacity as Hoak &amp; Co.’s President may be deemed to beneficially own an aggregate of 600,000 shares of Common Stock, for an aggregate of 625,000 shares of Common Stock representing approximately 6.8% of the outstanding Common Stock.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1620" w:hanging="316"/>
        <w:spacing w:after="0" w:line="255"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HPE owns directly the shares of Common Stock reported in this Schedule 13D to be owned by HPE and has the power to vote or to direct the vote of (and the power to dispose or direct the disposition of) such shares of Common Stock. Hoak Management, Hoak &amp; Co., J. Hale Hoak and James M. Hoak, Jr. (“</w:t>
      </w:r>
      <w:r>
        <w:rPr>
          <w:rFonts w:ascii="Times New Roman" w:cs="Times New Roman" w:eastAsia="Times New Roman" w:hAnsi="Times New Roman"/>
          <w:sz w:val="18"/>
          <w:szCs w:val="18"/>
          <w:u w:val="single" w:color="auto"/>
          <w:color w:val="auto"/>
        </w:rPr>
        <w:t>Hoak Investors</w:t>
      </w:r>
      <w:r>
        <w:rPr>
          <w:rFonts w:ascii="Times New Roman" w:cs="Times New Roman" w:eastAsia="Times New Roman" w:hAnsi="Times New Roman"/>
          <w:sz w:val="18"/>
          <w:szCs w:val="18"/>
          <w:color w:val="auto"/>
        </w:rPr>
        <w:t>”) each may be deemed to have the power to vote and to direct the vote (and the power to dispose or direct the disposition of) the shares of Common Stock reported with respect to HPE in this Schedule 13D (HPE directly and the Hoak Investors indirectly). The Hoak Investors disclaim beneficial ownership of any shares of Common Stock owned by HPE. HPE, Hoak Management and Hoak &amp; Co. (collectively, the “</w:t>
      </w:r>
      <w:r>
        <w:rPr>
          <w:rFonts w:ascii="Times New Roman" w:cs="Times New Roman" w:eastAsia="Times New Roman" w:hAnsi="Times New Roman"/>
          <w:sz w:val="18"/>
          <w:szCs w:val="18"/>
          <w:u w:val="single" w:color="auto"/>
          <w:color w:val="auto"/>
        </w:rPr>
        <w:t>Hoak Entities</w:t>
      </w:r>
      <w:r>
        <w:rPr>
          <w:rFonts w:ascii="Times New Roman" w:cs="Times New Roman" w:eastAsia="Times New Roman" w:hAnsi="Times New Roman"/>
          <w:sz w:val="18"/>
          <w:szCs w:val="18"/>
          <w:color w:val="auto"/>
        </w:rPr>
        <w:t>”) disclaims beneficial ownership of any shares of Common Stock owned by the other Reporting Persons.</w:t>
      </w:r>
    </w:p>
    <w:p>
      <w:pPr>
        <w:spacing w:after="0" w:line="18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Hale Hoak has the power to vote and to direct the vote (and the power to dispose or direct the disposition of) the other shares of Common Stock reported with respect to J. Hale Hoak in this Schedule 13D. J. Hale Hoak disclaims beneficial ownership of any shares of Common Stock owned by the Hoak Entities.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ind w:left="1620" w:hanging="316"/>
        <w:spacing w:after="0"/>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Hoak, Jr. disclaims beneficial ownership of any shares of Common Stock owned by the other Reporting Persons.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hereto sets forth all transactions in the Common Stock within the past 60 days by any Reporting Person. Except for the transactions set forth on Schedule A, none of the Reporting Persons effected any transaction in the Common Stock during the past 60 days.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the Reporting Persons to have the right to receive or the power to direct the receipt of dividends from, or the proceeds from the sale of, the Common Stock covered by this Schedule 13D.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29" w:lineRule="exact"/>
        <w:rPr>
          <w:sz w:val="20"/>
          <w:szCs w:val="20"/>
          <w:color w:val="auto"/>
        </w:rPr>
      </w:pPr>
    </w:p>
    <w:p>
      <w:pPr>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Joint Filing Agreement dated December 12, 2023, by and among Hoak Public Equities, L.P., Hoak Fund Management, L.P., Hoak &amp; Co., James M. Hoak, Jr., and J. Hale Hoak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3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December 12, 2023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Hoak Public Equities, L.P.</w:t>
            </w:r>
          </w:p>
        </w:tc>
        <w:tc>
          <w:tcPr>
            <w:tcW w:w="46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Hoak Fund Management,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Hoak Fund Management, L.P., its general partner</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Hoak &amp; Co.,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Hoak &amp; Co., its general partner</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r>
      <w:tr>
        <w:trPr>
          <w:trHeight w:val="191"/>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 J. Hale Hoak</w:t>
            </w:r>
          </w:p>
        </w:tc>
        <w:tc>
          <w:tcPr>
            <w:tcW w:w="13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13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Hoak &amp; Co.</w:t>
            </w:r>
          </w:p>
        </w:tc>
        <w:tc>
          <w:tcPr>
            <w:tcW w:w="562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James M. Hoak, Jr.</w:t>
            </w:r>
          </w:p>
        </w:tc>
        <w:tc>
          <w:tcPr>
            <w:tcW w:w="16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/s/ J. Hale Hoak</w:t>
            </w:r>
          </w:p>
        </w:tc>
        <w:tc>
          <w:tcPr>
            <w:tcW w:w="56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w w:val="99"/>
              </w:rPr>
              <w:t>By:/s/ James M. Hoak, Jr.</w:t>
            </w:r>
          </w:p>
        </w:tc>
        <w:tc>
          <w:tcPr>
            <w:tcW w:w="168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226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M. Hoak, Jr.</w:t>
            </w:r>
          </w:p>
        </w:tc>
        <w:tc>
          <w:tcPr>
            <w:tcW w:w="16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4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 Hale Hoak</w:t>
            </w:r>
          </w:p>
        </w:tc>
        <w:tc>
          <w:tcPr>
            <w:tcW w:w="2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J. Hale Hoak</w:t>
            </w:r>
          </w:p>
        </w:tc>
        <w:tc>
          <w:tcPr>
            <w:tcW w:w="2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 Hale Hoak</w:t>
            </w: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522"/>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8"/>
                <w:szCs w:val="18"/>
                <w:color w:val="auto"/>
              </w:rPr>
              <w:t>11</w:t>
            </w:r>
          </w:p>
        </w:tc>
        <w:tc>
          <w:tcPr>
            <w:tcW w:w="3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 Last 60 days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4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6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2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10/16/2023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3,894</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$9.00</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10/16/2023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5,351</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$9.05</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10/17/2023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247</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$9.04</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10/23/2023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112</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$9.09</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10/24/2023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210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10/24/2023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10/24/2023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$9.05</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10/25/2023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1,612</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10/26/2023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736</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10/27/2023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940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$9.01</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10/30/2023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$9.04</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10/31/2023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381</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$9.03</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11/1/2023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21,906</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$9.08</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11/22/2023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50,254</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$11.01</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11/24/2023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25,000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$11.01</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11/27/2023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33,554</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$11.01</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11/27/2023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155,228</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$11.03</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11/28/2023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$11.10</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11/28/2023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75,000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$11.03</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11/29/2023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13,055</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$11.03</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12/1/2023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15,504</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$10.98</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12/4/2023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69,561</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$11.01</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12/4/2023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48,067</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3,857</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$11.01</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63,960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$11.05</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12/7/2023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565</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$11.02</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12/8/2023</w:t>
            </w:r>
          </w:p>
        </w:tc>
        <w:tc>
          <w:tcPr>
            <w:tcW w:w="6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w:t>
            </w:r>
          </w:p>
        </w:tc>
        <w:tc>
          <w:tcPr>
            <w:tcW w:w="1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25,000</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$11.05</w:t>
            </w:r>
          </w:p>
        </w:tc>
      </w:tr>
      <w:tr>
        <w:trPr>
          <w:trHeight w:val="560"/>
        </w:trPr>
        <w:tc>
          <w:tcPr>
            <w:tcW w:w="3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Hoak Public Equities, L.P. SC 13D</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824"/>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dated December 12, 2023 (including amendments thereto) with respect to the Common Stock of Westwood Holdings Group, Inc. This Joint Filing Agreement shall be filed as an Exhibit to such Statement.</w:t>
      </w:r>
    </w:p>
    <w:p>
      <w:pPr>
        <w:spacing w:after="0" w:line="3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December 12, 2023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Hoak Public Equities, L.P.</w:t>
            </w:r>
          </w:p>
        </w:tc>
        <w:tc>
          <w:tcPr>
            <w:tcW w:w="46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Hoak Fund Management,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Hoak Fund Management, L.P., its general partner</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Hoak &amp; Co.,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Hoak &amp; Co., its general partner</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r>
      <w:tr>
        <w:trPr>
          <w:trHeight w:val="191"/>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 J. Hale Hoak</w:t>
            </w:r>
          </w:p>
        </w:tc>
        <w:tc>
          <w:tcPr>
            <w:tcW w:w="13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13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Hoak &amp; Co.</w:t>
            </w:r>
          </w:p>
        </w:tc>
        <w:tc>
          <w:tcPr>
            <w:tcW w:w="562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James M. Hoak, Jr.</w:t>
            </w:r>
          </w:p>
        </w:tc>
        <w:tc>
          <w:tcPr>
            <w:tcW w:w="16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/s/ J. Hale Hoak</w:t>
            </w:r>
          </w:p>
        </w:tc>
        <w:tc>
          <w:tcPr>
            <w:tcW w:w="56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w w:val="99"/>
              </w:rPr>
              <w:t>By:/s/ James M. Hoak, Jr.</w:t>
            </w:r>
          </w:p>
        </w:tc>
        <w:tc>
          <w:tcPr>
            <w:tcW w:w="168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226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M. Hoak, Jr.</w:t>
            </w:r>
          </w:p>
        </w:tc>
        <w:tc>
          <w:tcPr>
            <w:tcW w:w="16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4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 Hale Hoak</w:t>
            </w:r>
          </w:p>
        </w:tc>
        <w:tc>
          <w:tcPr>
            <w:tcW w:w="2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J. Hale Hoak</w:t>
            </w:r>
          </w:p>
        </w:tc>
        <w:tc>
          <w:tcPr>
            <w:tcW w:w="2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 Hale Hoak</w:t>
            </w: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549"/>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lvl w:ilvl="1">
      <w:lvlJc w:val="left"/>
      <w:lvlText w:val="%2"/>
      <w:numFmt w:val="upp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lvl w:ilvl="1">
      <w:lvlJc w:val="left"/>
      <w:lvlText w:val="%2."/>
      <w:numFmt w:val="lowerRoman"/>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1"/>
    </w:lvl>
    <w:lvl w:ilvl="1">
      <w:lvlJc w:val="left"/>
      <w:lvlText w:val="%2."/>
      <w:numFmt w:val="lowerRoman"/>
      <w:start w:val="1"/>
    </w:lvl>
  </w:abstractNum>
  <w:abstractNum w:abstractNumId="12">
    <w:nsid w:val="41A7C4C9"/>
    <w:multiLevelType w:val="hybridMultilevel"/>
    <w:lvl w:ilvl="0">
      <w:lvlJc w:val="left"/>
      <w:lvlText w:val="(%1)"/>
      <w:numFmt w:val="lowerLetter"/>
      <w:start w:val="4"/>
    </w:lvl>
    <w:lvl w:ilvl="1">
      <w:lvlJc w:val="left"/>
      <w:lvlText w:val="%2"/>
      <w:numFmt w:val="lowerRoman"/>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lowerLetter"/>
      <w:start w:val="1"/>
    </w:lvl>
    <w:lvl w:ilvl="1">
      <w:lvlJc w:val="left"/>
      <w:lvlText w:val="%2."/>
      <w:numFmt w:val="lowerRoman"/>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lowerLetter"/>
      <w:start w:val="1"/>
    </w:lvl>
    <w:lvl w:ilvl="1">
      <w:lvlJc w:val="left"/>
      <w:lvlText w:val="%2."/>
      <w:numFmt w:val="lowerRoman"/>
      <w:start w:val="3"/>
    </w:lvl>
  </w:abstractNum>
  <w:abstractNum w:abstractNumId="17">
    <w:nsid w:val="431BD7B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2023-12-13T05:17:28Z</dcterms:created>
  <dcterms:modified xsi:type="dcterms:W3CDTF">2023-12-13T05:17:28Z</dcterms:modified>
</cp:coreProperties>
</file>