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314" w:lineRule="exact"/>
        <w:rPr>
          <w:sz w:val="24"/>
          <w:szCs w:val="24"/>
          <w:color w:val="auto"/>
        </w:rPr>
      </w:pPr>
    </w:p>
    <w:p>
      <w:pPr>
        <w:ind w:left="40"/>
        <w:spacing w:after="0" w:line="161" w:lineRule="exact"/>
        <w:tabs>
          <w:tab w:leader="none" w:pos="248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16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pacing w:after="0" w:line="216" w:lineRule="exact"/>
        <w:rPr>
          <w:sz w:val="24"/>
          <w:szCs w:val="24"/>
          <w:color w:val="auto"/>
        </w:rPr>
      </w:pPr>
    </w:p>
    <w:p>
      <w:pPr>
        <w:ind w:left="520" w:hanging="485"/>
        <w:spacing w:after="0"/>
        <w:tabs>
          <w:tab w:leader="none" w:pos="5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02" w:lineRule="exact"/>
        <w:rPr>
          <w:rFonts w:ascii="MS PGothic" w:cs="MS PGothic" w:eastAsia="MS PGothic" w:hAnsi="MS PGothic"/>
          <w:sz w:val="14"/>
          <w:szCs w:val="14"/>
          <w:color w:val="auto"/>
        </w:rPr>
      </w:pPr>
    </w:p>
    <w:p>
      <w:pPr>
        <w:ind w:left="480" w:hanging="445"/>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298" w:lineRule="exact"/>
        <w:rPr>
          <w:rFonts w:ascii="MS PGothic" w:cs="MS PGothic" w:eastAsia="MS PGothic" w:hAnsi="MS PGothic"/>
          <w:sz w:val="14"/>
          <w:szCs w:val="14"/>
          <w:color w:val="auto"/>
        </w:rPr>
      </w:pPr>
    </w:p>
    <w:p>
      <w:pPr>
        <w:ind w:left="500" w:hanging="465"/>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98" w:lineRule="exact"/>
        <w:rPr>
          <w:rFonts w:ascii="MS PGothic" w:cs="MS PGothic" w:eastAsia="MS PGothic" w:hAnsi="MS PGothic"/>
          <w:sz w:val="14"/>
          <w:szCs w:val="14"/>
          <w:color w:val="auto"/>
        </w:rPr>
      </w:pPr>
    </w:p>
    <w:p>
      <w:pPr>
        <w:ind w:left="460" w:hanging="425"/>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3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63" w:lineRule="exact"/>
        <w:rPr>
          <w:sz w:val="24"/>
          <w:szCs w:val="24"/>
          <w:color w:val="auto"/>
        </w:rPr>
      </w:pPr>
    </w:p>
    <w:p>
      <w:pPr>
        <w:ind w:left="520" w:hanging="485"/>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177" w:lineRule="exact"/>
        <w:rPr>
          <w:sz w:val="24"/>
          <w:szCs w:val="24"/>
          <w:color w:val="auto"/>
        </w:rPr>
      </w:pPr>
    </w:p>
    <w:p>
      <w:pPr>
        <w:ind w:left="500" w:hanging="465"/>
        <w:spacing w:after="0"/>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392" w:lineRule="exact"/>
        <w:rPr>
          <w:rFonts w:ascii="MS PGothic" w:cs="MS PGothic" w:eastAsia="MS PGothic" w:hAnsi="MS PGothic"/>
          <w:sz w:val="14"/>
          <w:szCs w:val="14"/>
          <w:color w:val="auto"/>
        </w:rPr>
      </w:pPr>
    </w:p>
    <w:p>
      <w:pPr>
        <w:ind w:left="920" w:hanging="480"/>
        <w:spacing w:after="0"/>
        <w:tabs>
          <w:tab w:leader="none" w:pos="9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ind w:left="1000" w:hanging="479"/>
        <w:spacing w:after="0"/>
        <w:tabs>
          <w:tab w:leader="none" w:pos="1000" w:val="left"/>
        </w:tabs>
        <w:numPr>
          <w:ilvl w:val="4"/>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ind w:left="960" w:hanging="466"/>
        <w:spacing w:after="0" w:line="253" w:lineRule="auto"/>
        <w:tabs>
          <w:tab w:leader="none" w:pos="960" w:val="left"/>
        </w:tabs>
        <w:numPr>
          <w:ilvl w:val="2"/>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5" w:lineRule="exact"/>
        <w:rPr>
          <w:rFonts w:ascii="Arial" w:cs="Arial" w:eastAsia="Arial" w:hAnsi="Arial"/>
          <w:sz w:val="14"/>
          <w:szCs w:val="14"/>
          <w:color w:val="auto"/>
        </w:rPr>
      </w:pPr>
    </w:p>
    <w:p>
      <w:pPr>
        <w:ind w:left="960" w:hanging="466"/>
        <w:spacing w:after="0"/>
        <w:tabs>
          <w:tab w:leader="none" w:pos="960" w:val="left"/>
        </w:tabs>
        <w:numPr>
          <w:ilvl w:val="2"/>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3" w:lineRule="exact"/>
        <w:rPr>
          <w:rFonts w:ascii="Arial" w:cs="Arial" w:eastAsia="Arial" w:hAnsi="Arial"/>
          <w:sz w:val="14"/>
          <w:szCs w:val="14"/>
          <w:color w:val="auto"/>
        </w:rPr>
      </w:pPr>
    </w:p>
    <w:p>
      <w:pPr>
        <w:ind w:left="940" w:hanging="432"/>
        <w:spacing w:after="0"/>
        <w:tabs>
          <w:tab w:leader="none" w:pos="940" w:val="left"/>
        </w:tabs>
        <w:numPr>
          <w:ilvl w:val="3"/>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-1988820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-1440180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-840105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sectPr>
      </w:pPr>
    </w:p>
    <w:bookmarkStart w:id="1" w:name="page2"/>
    <w:bookmarkEnd w:id="1"/>
    <w:p>
      <w:pPr>
        <w:ind w:left="505" w:hanging="505"/>
        <w:spacing w:after="0"/>
        <w:tabs>
          <w:tab w:leader="none" w:pos="505"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445135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Fee paid previously with preliminary materials.</w:t>
      </w:r>
    </w:p>
    <w:p>
      <w:pPr>
        <w:spacing w:after="0" w:line="392" w:lineRule="exact"/>
        <w:rPr>
          <w:rFonts w:ascii="MS PGothic" w:cs="MS PGothic" w:eastAsia="MS PGothic" w:hAnsi="MS PGothic"/>
          <w:sz w:val="14"/>
          <w:szCs w:val="14"/>
          <w:color w:val="auto"/>
        </w:rPr>
      </w:pPr>
    </w:p>
    <w:p>
      <w:pPr>
        <w:ind w:left="465" w:hanging="465"/>
        <w:spacing w:after="0" w:line="253" w:lineRule="auto"/>
        <w:tabs>
          <w:tab w:leader="none" w:pos="465"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5" w:lineRule="exact"/>
        <w:rPr>
          <w:rFonts w:ascii="MS PGothic" w:cs="MS PGothic" w:eastAsia="MS PGothic" w:hAnsi="MS PGothic"/>
          <w:sz w:val="14"/>
          <w:szCs w:val="14"/>
          <w:color w:val="auto"/>
        </w:rPr>
      </w:pPr>
    </w:p>
    <w:p>
      <w:pPr>
        <w:ind w:left="945" w:hanging="432"/>
        <w:spacing w:after="0"/>
        <w:tabs>
          <w:tab w:leader="none" w:pos="945" w:val="left"/>
        </w:tabs>
        <w:numPr>
          <w:ilvl w:val="3"/>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2" w:lineRule="exact"/>
        <w:rPr>
          <w:rFonts w:ascii="Arial" w:cs="Arial" w:eastAsia="Arial" w:hAnsi="Arial"/>
          <w:sz w:val="14"/>
          <w:szCs w:val="14"/>
          <w:color w:val="auto"/>
        </w:rPr>
      </w:pPr>
    </w:p>
    <w:p>
      <w:pPr>
        <w:ind w:left="885" w:hanging="439"/>
        <w:spacing w:after="0"/>
        <w:tabs>
          <w:tab w:leader="none" w:pos="885" w:val="left"/>
        </w:tabs>
        <w:numPr>
          <w:ilvl w:val="2"/>
          <w:numId w:val="6"/>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925" w:hanging="493"/>
        <w:spacing w:after="0"/>
        <w:tabs>
          <w:tab w:leader="none" w:pos="925" w:val="left"/>
        </w:tabs>
        <w:numPr>
          <w:ilvl w:val="1"/>
          <w:numId w:val="7"/>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ind w:left="925" w:hanging="493"/>
        <w:spacing w:after="0"/>
        <w:tabs>
          <w:tab w:leader="none" w:pos="925" w:val="left"/>
        </w:tabs>
        <w:numPr>
          <w:ilvl w:val="1"/>
          <w:numId w:val="7"/>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-1337310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-814070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-290830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240030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5"/>
          </w:cols>
          <w:pgMar w:left="275" w:top="1404" w:right="319" w:bottom="1440" w:gutter="0" w:footer="0" w:header="0"/>
        </w:sectPr>
      </w:pPr>
    </w:p>
    <w:bookmarkStart w:id="2" w:name="page3"/>
    <w:bookmarkEnd w:id="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3073400</wp:posOffset>
            </wp:positionH>
            <wp:positionV relativeFrom="page">
              <wp:posOffset>380365</wp:posOffset>
            </wp:positionV>
            <wp:extent cx="142367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jc w:val="both"/>
        <w:ind w:right="260" w:firstLine="405"/>
        <w:spacing w:after="0" w:line="286" w:lineRule="auto"/>
        <w:rPr>
          <w:sz w:val="20"/>
          <w:szCs w:val="20"/>
          <w:color w:val="auto"/>
        </w:rPr>
      </w:pPr>
      <w:r>
        <w:rPr>
          <w:rFonts w:ascii="Arial" w:cs="Arial" w:eastAsia="Arial" w:hAnsi="Arial"/>
          <w:sz w:val="17"/>
          <w:szCs w:val="17"/>
          <w:color w:val="auto"/>
        </w:rPr>
        <w:t>You are cordially invited to attend the 2019 Annual Meeting of Stockholders of Westwood Holdings Group, Inc., which will be held on Wednesday, [April 24, 2019], at 10:00 a.m., Central Time, at The Crescent Club, 200 Crescent Court, Suite 1700, Dallas, Texas 75201. The official Notice of Annual Meeting together with a proxy statement and proxy card are enclosed. Please give this information your careful attention.</w:t>
      </w:r>
    </w:p>
    <w:p>
      <w:pPr>
        <w:spacing w:after="0" w:line="1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Westwood invites all stockholders to attend the meeting in person. Whether or not you expect to attend the annual meeting, we urge you to complete, sign, date and promptly return the accompanying proxy card in the enclosed postage-paid envelope, or vote by Internet by following the instructions in the Notice of Annual Meeting, to assure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attending the meeting and voting in person.</w:t>
      </w: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-121920</wp:posOffset>
            </wp:positionV>
            <wp:extent cx="97790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39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0"/>
        <w:spacing w:after="0"/>
        <w:rPr>
          <w:sz w:val="20"/>
          <w:szCs w:val="20"/>
          <w:color w:val="auto"/>
        </w:rPr>
      </w:pPr>
      <w:r>
        <w:rPr>
          <w:rFonts w:ascii="Arial" w:cs="Arial" w:eastAsia="Arial" w:hAnsi="Arial"/>
          <w:sz w:val="12"/>
          <w:szCs w:val="12"/>
          <w:color w:val="auto"/>
        </w:rPr>
        <w:t>WESTWOOD MANAGEMENT • WESTWOOD TRUST • WESTWOOD ADVISORS • WESTWOOD INTERNATIONAL ADVISORS</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2"/>
          <w:szCs w:val="12"/>
          <w:color w:val="auto"/>
        </w:rPr>
        <w:t>200 CRESCENT COURT, SUITE 1200 • DALLAS, TEXAS 75201 • T.214.756.6900 • F.214.756.6979 • westwoodgroup.com</w:t>
      </w:r>
    </w:p>
    <w:p>
      <w:pPr>
        <w:sectPr>
          <w:pgSz w:w="11900" w:h="16838" w:orient="portrait"/>
          <w:cols w:equalWidth="0" w:num="1">
            <w:col w:w="11320"/>
          </w:cols>
          <w:pgMar w:left="240" w:top="1440"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right"/>
              <w:ind w:right="108"/>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0"/>
        </w:trPr>
        <w:tc>
          <w:tcPr>
            <w:tcW w:w="4320" w:type="dxa"/>
            <w:vAlign w:val="bottom"/>
            <w:gridSpan w:val="27"/>
            <w:vMerge w:val="restart"/>
          </w:tcPr>
          <w:p>
            <w:pPr>
              <w:spacing w:after="0" w:line="202" w:lineRule="exact"/>
              <w:rPr>
                <w:rFonts w:ascii="Arial" w:cs="Arial" w:eastAsia="Arial" w:hAnsi="Arial"/>
                <w:sz w:val="18"/>
                <w:szCs w:val="18"/>
                <w:color w:val="1925E2"/>
                <w:w w:val="96"/>
              </w:rPr>
            </w:pPr>
            <w:hyperlink w:anchor="page6">
              <w:r>
                <w:rPr>
                  <w:rFonts w:ascii="Arial" w:cs="Arial" w:eastAsia="Arial" w:hAnsi="Arial"/>
                  <w:sz w:val="18"/>
                  <w:szCs w:val="18"/>
                  <w:color w:val="1925E2"/>
                  <w:w w:val="96"/>
                </w:rPr>
                <w:t>NOTICE OF ANNUAL MEETING OF STOCKHOLDERS</w:t>
              </w:r>
            </w:hyperlink>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320" w:type="dxa"/>
            <w:vAlign w:val="bottom"/>
            <w:tcBorders>
              <w:bottom w:val="single" w:sz="8" w:color="1925E2"/>
            </w:tcBorders>
            <w:gridSpan w:val="27"/>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800" w:type="dxa"/>
            <w:vAlign w:val="bottom"/>
            <w:vMerge w:val="restart"/>
          </w:tcPr>
          <w:p>
            <w:pPr>
              <w:spacing w:after="0"/>
              <w:rPr>
                <w:sz w:val="15"/>
                <w:szCs w:val="15"/>
                <w:color w:val="auto"/>
              </w:rPr>
            </w:pPr>
          </w:p>
        </w:tc>
        <w:tc>
          <w:tcPr>
            <w:tcW w:w="14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76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580" w:type="dxa"/>
            <w:vAlign w:val="bottom"/>
            <w:vMerge w:val="restart"/>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i</w:t>
              </w:r>
            </w:hyperlink>
          </w:p>
        </w:tc>
        <w:tc>
          <w:tcPr>
            <w:tcW w:w="0" w:type="dxa"/>
            <w:vAlign w:val="bottom"/>
          </w:tcPr>
          <w:p>
            <w:pPr>
              <w:spacing w:after="0"/>
              <w:rPr>
                <w:sz w:val="1"/>
                <w:szCs w:val="1"/>
                <w:color w:val="auto"/>
              </w:rPr>
            </w:pPr>
          </w:p>
        </w:tc>
      </w:tr>
      <w:tr>
        <w:trPr>
          <w:trHeight w:val="49"/>
        </w:trPr>
        <w:tc>
          <w:tcPr>
            <w:tcW w:w="5120" w:type="dxa"/>
            <w:vAlign w:val="bottom"/>
            <w:gridSpan w:val="33"/>
            <w:vMerge w:val="restart"/>
          </w:tcPr>
          <w:p>
            <w:pPr>
              <w:spacing w:after="0"/>
              <w:rPr>
                <w:rFonts w:ascii="Arial" w:cs="Arial" w:eastAsia="Arial" w:hAnsi="Arial"/>
                <w:sz w:val="18"/>
                <w:szCs w:val="18"/>
                <w:color w:val="1925E2"/>
                <w:w w:val="97"/>
              </w:rPr>
            </w:pPr>
            <w:hyperlink w:anchor="page7">
              <w:r>
                <w:rPr>
                  <w:rFonts w:ascii="Arial" w:cs="Arial" w:eastAsia="Arial" w:hAnsi="Arial"/>
                  <w:sz w:val="18"/>
                  <w:szCs w:val="18"/>
                  <w:color w:val="1925E2"/>
                  <w:w w:val="97"/>
                </w:rPr>
                <w:t>NOTICE OF INTERNET AVAILABILITY OF PROXY MATERIALS</w:t>
              </w:r>
            </w:hyperlink>
          </w:p>
        </w:tc>
        <w:tc>
          <w:tcPr>
            <w:tcW w:w="10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5120" w:type="dxa"/>
            <w:vAlign w:val="bottom"/>
            <w:tcBorders>
              <w:bottom w:val="single" w:sz="8" w:color="1925E2"/>
            </w:tcBorders>
            <w:gridSpan w:val="33"/>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372"/>
        </w:trPr>
        <w:tc>
          <w:tcPr>
            <w:tcW w:w="3220" w:type="dxa"/>
            <w:vAlign w:val="bottom"/>
            <w:tcBorders>
              <w:bottom w:val="single" w:sz="8" w:color="1925E2"/>
            </w:tcBorders>
            <w:gridSpan w:val="21"/>
          </w:tcPr>
          <w:p>
            <w:pPr>
              <w:spacing w:after="0"/>
              <w:rPr>
                <w:rFonts w:ascii="Arial" w:cs="Arial" w:eastAsia="Arial" w:hAnsi="Arial"/>
                <w:sz w:val="18"/>
                <w:szCs w:val="18"/>
                <w:color w:val="1925E2"/>
                <w:w w:val="95"/>
              </w:rPr>
            </w:pPr>
            <w:hyperlink w:anchor="page8">
              <w:r>
                <w:rPr>
                  <w:rFonts w:ascii="Arial" w:cs="Arial" w:eastAsia="Arial" w:hAnsi="Arial"/>
                  <w:sz w:val="18"/>
                  <w:szCs w:val="18"/>
                  <w:color w:val="1925E2"/>
                  <w:w w:val="95"/>
                </w:rPr>
                <w:t>GENERAL QUESTIONS AND ANSWERS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00" w:type="dxa"/>
            <w:vAlign w:val="bottom"/>
            <w:tcBorders>
              <w:bottom w:val="single" w:sz="8" w:color="1925E2"/>
            </w:tcBorders>
            <w:gridSpan w:val="6"/>
          </w:tcPr>
          <w:p>
            <w:pPr>
              <w:spacing w:after="0"/>
              <w:rPr>
                <w:rFonts w:ascii="Arial" w:cs="Arial" w:eastAsia="Arial" w:hAnsi="Arial"/>
                <w:sz w:val="18"/>
                <w:szCs w:val="18"/>
                <w:color w:val="1925E2"/>
                <w:w w:val="91"/>
              </w:rPr>
            </w:pPr>
            <w:hyperlink w:anchor="page8">
              <w:r>
                <w:rPr>
                  <w:rFonts w:ascii="Arial" w:cs="Arial" w:eastAsia="Arial" w:hAnsi="Arial"/>
                  <w:sz w:val="18"/>
                  <w:szCs w:val="18"/>
                  <w:color w:val="1925E2"/>
                  <w:w w:val="91"/>
                </w:rPr>
                <w:t>The Annual Meeting</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80" w:type="dxa"/>
            <w:vAlign w:val="bottom"/>
            <w:tcBorders>
              <w:bottom w:val="single" w:sz="8" w:color="1925E2"/>
            </w:tcBorders>
            <w:gridSpan w:val="8"/>
          </w:tcPr>
          <w:p>
            <w:pPr>
              <w:spacing w:after="0"/>
              <w:rPr>
                <w:rFonts w:ascii="Arial" w:cs="Arial" w:eastAsia="Arial" w:hAnsi="Arial"/>
                <w:sz w:val="18"/>
                <w:szCs w:val="18"/>
                <w:color w:val="1925E2"/>
                <w:w w:val="89"/>
              </w:rPr>
            </w:pPr>
            <w:hyperlink w:anchor="page10">
              <w:r>
                <w:rPr>
                  <w:rFonts w:ascii="Arial" w:cs="Arial" w:eastAsia="Arial" w:hAnsi="Arial"/>
                  <w:sz w:val="18"/>
                  <w:szCs w:val="18"/>
                  <w:color w:val="1925E2"/>
                  <w:w w:val="89"/>
                </w:rPr>
                <w:t>Procedures for Voting</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80" w:type="dxa"/>
            <w:vAlign w:val="bottom"/>
            <w:tcBorders>
              <w:bottom w:val="single" w:sz="8" w:color="1925E2"/>
            </w:tcBorders>
            <w:gridSpan w:val="13"/>
          </w:tcPr>
          <w:p>
            <w:pPr>
              <w:spacing w:after="0"/>
              <w:rPr>
                <w:rFonts w:ascii="Arial" w:cs="Arial" w:eastAsia="Arial" w:hAnsi="Arial"/>
                <w:sz w:val="18"/>
                <w:szCs w:val="18"/>
                <w:color w:val="1925E2"/>
                <w:w w:val="91"/>
              </w:rPr>
            </w:pPr>
            <w:hyperlink w:anchor="page10">
              <w:r>
                <w:rPr>
                  <w:rFonts w:ascii="Arial" w:cs="Arial" w:eastAsia="Arial" w:hAnsi="Arial"/>
                  <w:sz w:val="18"/>
                  <w:szCs w:val="18"/>
                  <w:color w:val="1925E2"/>
                  <w:w w:val="91"/>
                </w:rPr>
                <w:t>Our Current Stock Ownership</w:t>
              </w:r>
            </w:hyperlink>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Borders>
              <w:bottom w:val="single" w:sz="8" w:color="1925E2"/>
            </w:tcBorders>
            <w:gridSpan w:val="5"/>
          </w:tcPr>
          <w:p>
            <w:pPr>
              <w:spacing w:after="0"/>
              <w:rPr>
                <w:rFonts w:ascii="Arial" w:cs="Arial" w:eastAsia="Arial" w:hAnsi="Arial"/>
                <w:sz w:val="18"/>
                <w:szCs w:val="18"/>
                <w:color w:val="1925E2"/>
                <w:w w:val="92"/>
              </w:rPr>
            </w:pPr>
            <w:hyperlink w:anchor="page11">
              <w:r>
                <w:rPr>
                  <w:rFonts w:ascii="Arial" w:cs="Arial" w:eastAsia="Arial" w:hAnsi="Arial"/>
                  <w:sz w:val="18"/>
                  <w:szCs w:val="18"/>
                  <w:color w:val="1925E2"/>
                  <w:w w:val="92"/>
                </w:rPr>
                <w:t>Other Information</w:t>
              </w:r>
            </w:hyperlink>
          </w:p>
        </w:tc>
        <w:tc>
          <w:tcPr>
            <w:tcW w:w="240" w:type="dxa"/>
            <w:vAlign w:val="bottom"/>
            <w:gridSpan w:val="2"/>
          </w:tcPr>
          <w:p>
            <w:pPr>
              <w:spacing w:after="0"/>
              <w:rPr>
                <w:sz w:val="21"/>
                <w:szCs w:val="21"/>
                <w:color w:val="auto"/>
              </w:rPr>
            </w:pPr>
          </w:p>
        </w:tc>
        <w:tc>
          <w:tcPr>
            <w:tcW w:w="1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72"/>
        </w:trPr>
        <w:tc>
          <w:tcPr>
            <w:tcW w:w="3340" w:type="dxa"/>
            <w:vAlign w:val="bottom"/>
            <w:tcBorders>
              <w:bottom w:val="single" w:sz="8" w:color="1925E2"/>
            </w:tcBorders>
            <w:gridSpan w:val="22"/>
          </w:tcPr>
          <w:p>
            <w:pPr>
              <w:spacing w:after="0"/>
              <w:rPr>
                <w:rFonts w:ascii="Arial" w:cs="Arial" w:eastAsia="Arial" w:hAnsi="Arial"/>
                <w:sz w:val="18"/>
                <w:szCs w:val="18"/>
                <w:color w:val="1925E2"/>
                <w:w w:val="93"/>
              </w:rPr>
            </w:pPr>
            <w:hyperlink w:anchor="page13">
              <w:r>
                <w:rPr>
                  <w:rFonts w:ascii="Arial" w:cs="Arial" w:eastAsia="Arial" w:hAnsi="Arial"/>
                  <w:sz w:val="18"/>
                  <w:szCs w:val="18"/>
                  <w:color w:val="1925E2"/>
                  <w:w w:val="93"/>
                </w:rPr>
                <w:t>PROPOSAL 1: ELECTION OF DIRECTORS</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0" w:type="dxa"/>
            <w:vAlign w:val="bottom"/>
            <w:tcBorders>
              <w:bottom w:val="single" w:sz="8" w:color="1925E2"/>
            </w:tcBorders>
          </w:tcPr>
          <w:p>
            <w:pPr>
              <w:spacing w:after="0"/>
              <w:rPr>
                <w:rFonts w:ascii="Arial" w:cs="Arial" w:eastAsia="Arial" w:hAnsi="Arial"/>
                <w:sz w:val="18"/>
                <w:szCs w:val="18"/>
                <w:color w:val="1925E2"/>
                <w:w w:val="88"/>
              </w:rPr>
            </w:pPr>
            <w:hyperlink w:anchor="page13">
              <w:r>
                <w:rPr>
                  <w:rFonts w:ascii="Arial" w:cs="Arial" w:eastAsia="Arial" w:hAnsi="Arial"/>
                  <w:sz w:val="18"/>
                  <w:szCs w:val="18"/>
                  <w:color w:val="1925E2"/>
                  <w:w w:val="88"/>
                </w:rPr>
                <w:t>Nominees</w:t>
              </w:r>
            </w:hyperlink>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40" w:type="dxa"/>
            <w:vAlign w:val="bottom"/>
            <w:tcBorders>
              <w:bottom w:val="single" w:sz="8" w:color="1925E2"/>
            </w:tcBorders>
            <w:gridSpan w:val="17"/>
          </w:tcPr>
          <w:p>
            <w:pPr>
              <w:spacing w:after="0"/>
              <w:rPr>
                <w:rFonts w:ascii="Arial" w:cs="Arial" w:eastAsia="Arial" w:hAnsi="Arial"/>
                <w:sz w:val="18"/>
                <w:szCs w:val="18"/>
                <w:color w:val="1925E2"/>
                <w:w w:val="90"/>
              </w:rPr>
            </w:pPr>
            <w:hyperlink w:anchor="page16">
              <w:r>
                <w:rPr>
                  <w:rFonts w:ascii="Arial" w:cs="Arial" w:eastAsia="Arial" w:hAnsi="Arial"/>
                  <w:sz w:val="18"/>
                  <w:szCs w:val="18"/>
                  <w:color w:val="1925E2"/>
                  <w:w w:val="90"/>
                </w:rPr>
                <w:t>Corporate Governance Information</w:t>
              </w:r>
            </w:hyperlink>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700" w:type="dxa"/>
            <w:vAlign w:val="bottom"/>
            <w:tcBorders>
              <w:bottom w:val="single" w:sz="8" w:color="1925E2"/>
            </w:tcBorders>
            <w:gridSpan w:val="9"/>
          </w:tcPr>
          <w:p>
            <w:pPr>
              <w:spacing w:after="0"/>
              <w:rPr>
                <w:rFonts w:ascii="Arial" w:cs="Arial" w:eastAsia="Arial" w:hAnsi="Arial"/>
                <w:sz w:val="18"/>
                <w:szCs w:val="18"/>
                <w:color w:val="1925E2"/>
                <w:w w:val="91"/>
              </w:rPr>
            </w:pPr>
            <w:hyperlink w:anchor="page19">
              <w:r>
                <w:rPr>
                  <w:rFonts w:ascii="Arial" w:cs="Arial" w:eastAsia="Arial" w:hAnsi="Arial"/>
                  <w:sz w:val="18"/>
                  <w:szCs w:val="18"/>
                  <w:color w:val="1925E2"/>
                  <w:w w:val="91"/>
                </w:rPr>
                <w:t>Director Compensation</w:t>
              </w:r>
            </w:hyperlink>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72"/>
        </w:trPr>
        <w:tc>
          <w:tcPr>
            <w:tcW w:w="1900" w:type="dxa"/>
            <w:vAlign w:val="bottom"/>
            <w:tcBorders>
              <w:bottom w:val="single" w:sz="8" w:color="1925E2"/>
            </w:tcBorders>
            <w:gridSpan w:val="8"/>
          </w:tcPr>
          <w:p>
            <w:pPr>
              <w:spacing w:after="0"/>
              <w:rPr>
                <w:rFonts w:ascii="Arial" w:cs="Arial" w:eastAsia="Arial" w:hAnsi="Arial"/>
                <w:sz w:val="18"/>
                <w:szCs w:val="18"/>
                <w:color w:val="1925E2"/>
                <w:w w:val="94"/>
              </w:rPr>
            </w:pPr>
            <w:hyperlink w:anchor="page21">
              <w:r>
                <w:rPr>
                  <w:rFonts w:ascii="Arial" w:cs="Arial" w:eastAsia="Arial" w:hAnsi="Arial"/>
                  <w:sz w:val="18"/>
                  <w:szCs w:val="18"/>
                  <w:color w:val="1925E2"/>
                  <w:w w:val="94"/>
                </w:rPr>
                <w:t>EXECUTIVE OFFICERS</w:t>
              </w:r>
            </w:hyperlink>
          </w:p>
        </w:tc>
        <w:tc>
          <w:tcPr>
            <w:tcW w:w="4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72"/>
        </w:trPr>
        <w:tc>
          <w:tcPr>
            <w:tcW w:w="2440" w:type="dxa"/>
            <w:vAlign w:val="bottom"/>
            <w:tcBorders>
              <w:bottom w:val="single" w:sz="8" w:color="1925E2"/>
            </w:tcBorders>
            <w:gridSpan w:val="12"/>
          </w:tcPr>
          <w:p>
            <w:pPr>
              <w:spacing w:after="0"/>
              <w:rPr>
                <w:rFonts w:ascii="Arial" w:cs="Arial" w:eastAsia="Arial" w:hAnsi="Arial"/>
                <w:sz w:val="18"/>
                <w:szCs w:val="18"/>
                <w:color w:val="1925E2"/>
                <w:w w:val="95"/>
              </w:rPr>
            </w:pPr>
            <w:hyperlink w:anchor="page22">
              <w:r>
                <w:rPr>
                  <w:rFonts w:ascii="Arial" w:cs="Arial" w:eastAsia="Arial" w:hAnsi="Arial"/>
                  <w:sz w:val="18"/>
                  <w:szCs w:val="18"/>
                  <w:color w:val="1925E2"/>
                  <w:w w:val="95"/>
                </w:rPr>
                <w:t>EXECUTIVE COMPENSATION</w:t>
              </w:r>
            </w:hyperlink>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860" w:type="dxa"/>
            <w:vAlign w:val="bottom"/>
            <w:tcBorders>
              <w:bottom w:val="single" w:sz="8" w:color="1925E2"/>
            </w:tcBorders>
            <w:gridSpan w:val="19"/>
          </w:tcPr>
          <w:p>
            <w:pPr>
              <w:spacing w:after="0"/>
              <w:rPr>
                <w:rFonts w:ascii="Arial" w:cs="Arial" w:eastAsia="Arial" w:hAnsi="Arial"/>
                <w:sz w:val="18"/>
                <w:szCs w:val="18"/>
                <w:color w:val="1925E2"/>
                <w:w w:val="90"/>
              </w:rPr>
            </w:pPr>
            <w:hyperlink w:anchor="page22">
              <w:r>
                <w:rPr>
                  <w:rFonts w:ascii="Arial" w:cs="Arial" w:eastAsia="Arial" w:hAnsi="Arial"/>
                  <w:sz w:val="18"/>
                  <w:szCs w:val="18"/>
                  <w:color w:val="1925E2"/>
                  <w:w w:val="90"/>
                </w:rPr>
                <w:t>Compensation Discussion and Analysis</w:t>
              </w:r>
            </w:hyperlink>
          </w:p>
        </w:tc>
        <w:tc>
          <w:tcPr>
            <w:tcW w:w="1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20" w:type="dxa"/>
            <w:vAlign w:val="bottom"/>
            <w:tcBorders>
              <w:bottom w:val="single" w:sz="8" w:color="1925E2"/>
            </w:tcBorders>
            <w:gridSpan w:val="15"/>
          </w:tcPr>
          <w:p>
            <w:pPr>
              <w:spacing w:after="0"/>
              <w:rPr>
                <w:rFonts w:ascii="Arial" w:cs="Arial" w:eastAsia="Arial" w:hAnsi="Arial"/>
                <w:sz w:val="18"/>
                <w:szCs w:val="18"/>
                <w:color w:val="1925E2"/>
                <w:w w:val="89"/>
              </w:rPr>
            </w:pPr>
            <w:hyperlink w:anchor="page36">
              <w:r>
                <w:rPr>
                  <w:rFonts w:ascii="Arial" w:cs="Arial" w:eastAsia="Arial" w:hAnsi="Arial"/>
                  <w:sz w:val="18"/>
                  <w:szCs w:val="18"/>
                  <w:color w:val="1925E2"/>
                  <w:w w:val="89"/>
                </w:rPr>
                <w:t>Compensation Committee Report</w:t>
              </w:r>
            </w:hyperlink>
          </w:p>
        </w:tc>
        <w:tc>
          <w:tcPr>
            <w:tcW w:w="8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tcBorders>
              <w:bottom w:val="single" w:sz="8" w:color="1925E2"/>
            </w:tcBorders>
            <w:gridSpan w:val="14"/>
          </w:tcPr>
          <w:p>
            <w:pPr>
              <w:spacing w:after="0"/>
              <w:rPr>
                <w:rFonts w:ascii="Arial" w:cs="Arial" w:eastAsia="Arial" w:hAnsi="Arial"/>
                <w:sz w:val="18"/>
                <w:szCs w:val="18"/>
                <w:color w:val="1925E2"/>
                <w:w w:val="89"/>
              </w:rPr>
            </w:pPr>
            <w:hyperlink w:anchor="page36">
              <w:r>
                <w:rPr>
                  <w:rFonts w:ascii="Arial" w:cs="Arial" w:eastAsia="Arial" w:hAnsi="Arial"/>
                  <w:sz w:val="18"/>
                  <w:szCs w:val="18"/>
                  <w:color w:val="1925E2"/>
                  <w:w w:val="89"/>
                </w:rPr>
                <w:t>Summary Compensation Table</w:t>
              </w:r>
            </w:hyperlink>
          </w:p>
        </w:tc>
        <w:tc>
          <w:tcPr>
            <w:tcW w:w="26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40" w:type="dxa"/>
            <w:vAlign w:val="bottom"/>
            <w:tcBorders>
              <w:bottom w:val="single" w:sz="8" w:color="1925E2"/>
            </w:tcBorders>
            <w:gridSpan w:val="12"/>
          </w:tcPr>
          <w:p>
            <w:pPr>
              <w:spacing w:after="0"/>
              <w:rPr>
                <w:rFonts w:ascii="Arial" w:cs="Arial" w:eastAsia="Arial" w:hAnsi="Arial"/>
                <w:sz w:val="18"/>
                <w:szCs w:val="18"/>
                <w:color w:val="1925E2"/>
                <w:w w:val="89"/>
              </w:rPr>
            </w:pPr>
            <w:hyperlink w:anchor="page39">
              <w:r>
                <w:rPr>
                  <w:rFonts w:ascii="Arial" w:cs="Arial" w:eastAsia="Arial" w:hAnsi="Arial"/>
                  <w:sz w:val="18"/>
                  <w:szCs w:val="18"/>
                  <w:color w:val="1925E2"/>
                  <w:w w:val="89"/>
                </w:rPr>
                <w:t>Grants of Plan-Based Awards</w:t>
              </w:r>
            </w:hyperlink>
          </w:p>
        </w:tc>
        <w:tc>
          <w:tcPr>
            <w:tcW w:w="360" w:type="dxa"/>
            <w:vAlign w:val="bottom"/>
            <w:gridSpan w:val="4"/>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380" w:type="dxa"/>
            <w:vAlign w:val="bottom"/>
            <w:tcBorders>
              <w:bottom w:val="single" w:sz="8" w:color="1925E2"/>
            </w:tcBorders>
            <w:gridSpan w:val="24"/>
          </w:tcPr>
          <w:p>
            <w:pPr>
              <w:spacing w:after="0"/>
              <w:rPr>
                <w:rFonts w:ascii="Arial" w:cs="Arial" w:eastAsia="Arial" w:hAnsi="Arial"/>
                <w:sz w:val="18"/>
                <w:szCs w:val="18"/>
                <w:color w:val="1925E2"/>
                <w:w w:val="90"/>
              </w:rPr>
            </w:pPr>
            <w:hyperlink w:anchor="page41">
              <w:r>
                <w:rPr>
                  <w:rFonts w:ascii="Arial" w:cs="Arial" w:eastAsia="Arial" w:hAnsi="Arial"/>
                  <w:sz w:val="18"/>
                  <w:szCs w:val="18"/>
                  <w:color w:val="1925E2"/>
                  <w:w w:val="90"/>
                </w:rPr>
                <w:t>Outstanding Equity Awards at Fiscal Year-End</w:t>
              </w:r>
            </w:hyperlink>
          </w:p>
        </w:tc>
        <w:tc>
          <w:tcPr>
            <w:tcW w:w="4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40" w:type="dxa"/>
            <w:vAlign w:val="bottom"/>
            <w:tcBorders>
              <w:bottom w:val="single" w:sz="8" w:color="1925E2"/>
            </w:tcBorders>
            <w:gridSpan w:val="2"/>
          </w:tcPr>
          <w:p>
            <w:pPr>
              <w:spacing w:after="0"/>
              <w:rPr>
                <w:rFonts w:ascii="Arial" w:cs="Arial" w:eastAsia="Arial" w:hAnsi="Arial"/>
                <w:sz w:val="18"/>
                <w:szCs w:val="18"/>
                <w:color w:val="1925E2"/>
                <w:w w:val="86"/>
              </w:rPr>
            </w:pPr>
            <w:hyperlink w:anchor="page42">
              <w:r>
                <w:rPr>
                  <w:rFonts w:ascii="Arial" w:cs="Arial" w:eastAsia="Arial" w:hAnsi="Arial"/>
                  <w:sz w:val="18"/>
                  <w:szCs w:val="18"/>
                  <w:color w:val="1925E2"/>
                  <w:w w:val="86"/>
                </w:rPr>
                <w:t>Stock Vested</w:t>
              </w:r>
            </w:hyperlink>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6"/>
          </w:tcPr>
          <w:p>
            <w:pPr>
              <w:spacing w:after="0"/>
              <w:rPr>
                <w:sz w:val="21"/>
                <w:szCs w:val="21"/>
                <w:color w:val="auto"/>
              </w:rPr>
            </w:pPr>
          </w:p>
        </w:tc>
        <w:tc>
          <w:tcPr>
            <w:tcW w:w="460" w:type="dxa"/>
            <w:vAlign w:val="bottom"/>
            <w:gridSpan w:val="6"/>
          </w:tcPr>
          <w:p>
            <w:pPr>
              <w:spacing w:after="0"/>
              <w:rPr>
                <w:sz w:val="21"/>
                <w:szCs w:val="21"/>
                <w:color w:val="auto"/>
              </w:rPr>
            </w:pPr>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340" w:type="dxa"/>
            <w:vAlign w:val="bottom"/>
            <w:tcBorders>
              <w:bottom w:val="single" w:sz="8" w:color="1925E2"/>
            </w:tcBorders>
            <w:gridSpan w:val="29"/>
          </w:tcPr>
          <w:p>
            <w:pPr>
              <w:spacing w:after="0"/>
              <w:rPr>
                <w:rFonts w:ascii="Arial" w:cs="Arial" w:eastAsia="Arial" w:hAnsi="Arial"/>
                <w:sz w:val="18"/>
                <w:szCs w:val="18"/>
                <w:color w:val="1925E2"/>
                <w:w w:val="91"/>
              </w:rPr>
            </w:pPr>
            <w:hyperlink w:anchor="page42">
              <w:r>
                <w:rPr>
                  <w:rFonts w:ascii="Arial" w:cs="Arial" w:eastAsia="Arial" w:hAnsi="Arial"/>
                  <w:sz w:val="18"/>
                  <w:szCs w:val="18"/>
                  <w:color w:val="1925E2"/>
                  <w:w w:val="91"/>
                </w:rPr>
                <w:t>Potential Payments Upon Termination or Change in Control</w:t>
              </w:r>
            </w:hyperlink>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72"/>
        </w:trPr>
        <w:tc>
          <w:tcPr>
            <w:tcW w:w="9000" w:type="dxa"/>
            <w:vAlign w:val="bottom"/>
            <w:tcBorders>
              <w:bottom w:val="single" w:sz="8" w:color="0A0DFF"/>
            </w:tcBorders>
            <w:gridSpan w:val="37"/>
          </w:tcPr>
          <w:p>
            <w:pPr>
              <w:spacing w:after="0"/>
              <w:rPr>
                <w:rFonts w:ascii="Arial" w:cs="Arial" w:eastAsia="Arial" w:hAnsi="Arial"/>
                <w:sz w:val="18"/>
                <w:szCs w:val="18"/>
                <w:color w:val="0A0DFF"/>
                <w:w w:val="96"/>
              </w:rPr>
            </w:pPr>
            <w:hyperlink w:anchor="page48">
              <w:r>
                <w:rPr>
                  <w:rFonts w:ascii="Arial" w:cs="Arial" w:eastAsia="Arial" w:hAnsi="Arial"/>
                  <w:sz w:val="18"/>
                  <w:szCs w:val="18"/>
                  <w:color w:val="0A0DFF"/>
                  <w:w w:val="96"/>
                </w:rPr>
                <w:t>PROPOSAL 2: RATIFICATION OF APPOINTMENT OF DELOITTE &amp; TOUCHE LLP AS INDEPENDENT AUDITORS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1925E2"/>
            </w:tcBorders>
            <w:gridSpan w:val="31"/>
          </w:tcPr>
          <w:p>
            <w:pPr>
              <w:spacing w:after="0"/>
              <w:rPr>
                <w:rFonts w:ascii="Arial" w:cs="Arial" w:eastAsia="Arial" w:hAnsi="Arial"/>
                <w:sz w:val="18"/>
                <w:szCs w:val="18"/>
                <w:color w:val="1925E2"/>
                <w:w w:val="91"/>
              </w:rPr>
            </w:pPr>
            <w:hyperlink w:anchor="page48">
              <w:r>
                <w:rPr>
                  <w:rFonts w:ascii="Arial" w:cs="Arial" w:eastAsia="Arial" w:hAnsi="Arial"/>
                  <w:sz w:val="18"/>
                  <w:szCs w:val="18"/>
                  <w:color w:val="1925E2"/>
                  <w:w w:val="91"/>
                </w:rPr>
                <w:t>Fees Billed by Independent Registered Public Accounting Firms</w:t>
              </w:r>
            </w:hyperlink>
          </w:p>
        </w:tc>
        <w:tc>
          <w:tcPr>
            <w:tcW w:w="12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6"/>
          </w:tcPr>
          <w:p>
            <w:pPr>
              <w:spacing w:after="0"/>
              <w:rPr>
                <w:rFonts w:ascii="Arial" w:cs="Arial" w:eastAsia="Arial" w:hAnsi="Arial"/>
                <w:sz w:val="18"/>
                <w:szCs w:val="18"/>
                <w:color w:val="1925E2"/>
                <w:w w:val="88"/>
              </w:rPr>
            </w:pPr>
            <w:hyperlink w:anchor="page48">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72"/>
        </w:trPr>
        <w:tc>
          <w:tcPr>
            <w:tcW w:w="10540" w:type="dxa"/>
            <w:vAlign w:val="bottom"/>
            <w:gridSpan w:val="4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 3: TO APPROVE THE SIXTH AMENDED AND RESTATED WESTWOOD HOLDINGS GROUP, INC. STOCK</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INCENTIVE PLAN</w:t>
              </w:r>
            </w:hyperlink>
          </w:p>
        </w:tc>
        <w:tc>
          <w:tcPr>
            <w:tcW w:w="80" w:type="dxa"/>
            <w:vAlign w:val="bottom"/>
            <w:tcBorders>
              <w:top w:val="single" w:sz="8" w:color="0000EE"/>
              <w:bottom w:val="single" w:sz="8" w:color="0000EE"/>
            </w:tcBorders>
          </w:tcPr>
          <w:p>
            <w:pPr>
              <w:spacing w:after="0"/>
              <w:rPr>
                <w:sz w:val="17"/>
                <w:szCs w:val="17"/>
                <w:color w:val="auto"/>
              </w:rPr>
            </w:pPr>
          </w:p>
        </w:tc>
        <w:tc>
          <w:tcPr>
            <w:tcW w:w="820" w:type="dxa"/>
            <w:vAlign w:val="bottom"/>
            <w:tcBorders>
              <w:top w:val="single" w:sz="8" w:color="0000EE"/>
              <w:bottom w:val="single" w:sz="8" w:color="0000EE"/>
            </w:tcBorders>
            <w:gridSpan w:val="6"/>
          </w:tcPr>
          <w:p>
            <w:pPr>
              <w:spacing w:after="0"/>
              <w:rPr>
                <w:sz w:val="17"/>
                <w:szCs w:val="17"/>
                <w:color w:val="auto"/>
              </w:rPr>
            </w:pPr>
          </w:p>
        </w:tc>
        <w:tc>
          <w:tcPr>
            <w:tcW w:w="680" w:type="dxa"/>
            <w:vAlign w:val="bottom"/>
            <w:tcBorders>
              <w:top w:val="single" w:sz="8" w:color="0000EE"/>
              <w:bottom w:val="single" w:sz="8" w:color="0000EE"/>
            </w:tcBorders>
            <w:gridSpan w:val="8"/>
          </w:tcPr>
          <w:p>
            <w:pPr>
              <w:spacing w:after="0"/>
              <w:rPr>
                <w:sz w:val="17"/>
                <w:szCs w:val="17"/>
                <w:color w:val="auto"/>
              </w:rPr>
            </w:pPr>
          </w:p>
        </w:tc>
        <w:tc>
          <w:tcPr>
            <w:tcW w:w="320" w:type="dxa"/>
            <w:vAlign w:val="bottom"/>
            <w:tcBorders>
              <w:top w:val="single" w:sz="8" w:color="0000EE"/>
              <w:bottom w:val="single" w:sz="8" w:color="0000EE"/>
            </w:tcBorders>
            <w:gridSpan w:val="4"/>
          </w:tcPr>
          <w:p>
            <w:pPr>
              <w:spacing w:after="0"/>
              <w:rPr>
                <w:sz w:val="17"/>
                <w:szCs w:val="17"/>
                <w:color w:val="auto"/>
              </w:rPr>
            </w:pPr>
          </w:p>
        </w:tc>
        <w:tc>
          <w:tcPr>
            <w:tcW w:w="80" w:type="dxa"/>
            <w:vAlign w:val="bottom"/>
            <w:tcBorders>
              <w:top w:val="single" w:sz="8" w:color="0000EE"/>
              <w:bottom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rPr>
                <w:sz w:val="17"/>
                <w:szCs w:val="17"/>
                <w:color w:val="auto"/>
              </w:rPr>
            </w:pPr>
          </w:p>
        </w:tc>
        <w:tc>
          <w:tcPr>
            <w:tcW w:w="260" w:type="dxa"/>
            <w:vAlign w:val="bottom"/>
            <w:tcBorders>
              <w:top w:val="single" w:sz="8" w:color="0000EE"/>
              <w:bottom w:val="single" w:sz="8" w:color="0000EE"/>
            </w:tcBorders>
          </w:tcPr>
          <w:p>
            <w:pPr>
              <w:spacing w:after="0"/>
              <w:rPr>
                <w:sz w:val="17"/>
                <w:szCs w:val="17"/>
                <w:color w:val="auto"/>
              </w:rPr>
            </w:pPr>
          </w:p>
        </w:tc>
        <w:tc>
          <w:tcPr>
            <w:tcW w:w="260" w:type="dxa"/>
            <w:vAlign w:val="bottom"/>
            <w:tcBorders>
              <w:top w:val="single" w:sz="8" w:color="0000EE"/>
              <w:bottom w:val="single" w:sz="8" w:color="0000EE"/>
            </w:tcBorders>
            <w:gridSpan w:val="2"/>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rPr>
                <w:sz w:val="17"/>
                <w:szCs w:val="17"/>
                <w:color w:val="auto"/>
              </w:rPr>
            </w:pPr>
          </w:p>
        </w:tc>
        <w:tc>
          <w:tcPr>
            <w:tcW w:w="520" w:type="dxa"/>
            <w:vAlign w:val="bottom"/>
            <w:tcBorders>
              <w:top w:val="single" w:sz="8" w:color="0000EE"/>
              <w:bottom w:val="single" w:sz="8" w:color="0000EE"/>
            </w:tcBorders>
          </w:tcPr>
          <w:p>
            <w:pPr>
              <w:spacing w:after="0"/>
              <w:rPr>
                <w:sz w:val="17"/>
                <w:szCs w:val="17"/>
                <w:color w:val="auto"/>
              </w:rPr>
            </w:pPr>
          </w:p>
        </w:tc>
        <w:tc>
          <w:tcPr>
            <w:tcW w:w="800" w:type="dxa"/>
            <w:vAlign w:val="bottom"/>
            <w:tcBorders>
              <w:top w:val="single" w:sz="8" w:color="0000EE"/>
              <w:bottom w:val="single" w:sz="8" w:color="0000EE"/>
            </w:tcBorders>
          </w:tcPr>
          <w:p>
            <w:pPr>
              <w:spacing w:after="0"/>
              <w:rPr>
                <w:sz w:val="17"/>
                <w:szCs w:val="17"/>
                <w:color w:val="auto"/>
              </w:rPr>
            </w:pPr>
          </w:p>
        </w:tc>
        <w:tc>
          <w:tcPr>
            <w:tcW w:w="1580" w:type="dxa"/>
            <w:vAlign w:val="bottom"/>
            <w:tcBorders>
              <w:top w:val="single" w:sz="8" w:color="0000EE"/>
              <w:bottom w:val="single" w:sz="8" w:color="0000EE"/>
            </w:tcBorders>
            <w:gridSpan w:val="2"/>
          </w:tcPr>
          <w:p>
            <w:pPr>
              <w:spacing w:after="0"/>
              <w:rPr>
                <w:sz w:val="17"/>
                <w:szCs w:val="17"/>
                <w:color w:val="auto"/>
              </w:rPr>
            </w:pPr>
          </w:p>
        </w:tc>
        <w:tc>
          <w:tcPr>
            <w:tcW w:w="200" w:type="dxa"/>
            <w:vAlign w:val="bottom"/>
            <w:tcBorders>
              <w:top w:val="single" w:sz="8" w:color="0000EE"/>
              <w:bottom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82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the Sixth Amended and Restated Plan</w:t>
              </w:r>
            </w:hyperlink>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220" w:type="dxa"/>
            <w:vAlign w:val="bottom"/>
            <w:tcBorders>
              <w:bottom w:val="single" w:sz="8" w:color="1925E2"/>
            </w:tcBorders>
            <w:gridSpan w:val="4"/>
          </w:tcPr>
          <w:p>
            <w:pPr>
              <w:spacing w:after="0"/>
              <w:rPr>
                <w:rFonts w:ascii="Arial" w:cs="Arial" w:eastAsia="Arial" w:hAnsi="Arial"/>
                <w:sz w:val="18"/>
                <w:szCs w:val="18"/>
                <w:color w:val="1925E2"/>
                <w:w w:val="89"/>
              </w:rPr>
            </w:pPr>
            <w:hyperlink w:anchor="page50">
              <w:r>
                <w:rPr>
                  <w:rFonts w:ascii="Arial" w:cs="Arial" w:eastAsia="Arial" w:hAnsi="Arial"/>
                  <w:sz w:val="18"/>
                  <w:szCs w:val="18"/>
                  <w:color w:val="1925E2"/>
                  <w:w w:val="89"/>
                </w:rPr>
                <w:t>Types of Awards</w:t>
              </w:r>
            </w:hyperlink>
          </w:p>
        </w:tc>
        <w:tc>
          <w:tcPr>
            <w:tcW w:w="820" w:type="dxa"/>
            <w:vAlign w:val="bottom"/>
            <w:gridSpan w:val="6"/>
          </w:tcPr>
          <w:p>
            <w:pPr>
              <w:spacing w:after="0"/>
              <w:rPr>
                <w:sz w:val="21"/>
                <w:szCs w:val="21"/>
                <w:color w:val="auto"/>
              </w:rPr>
            </w:pPr>
          </w:p>
        </w:tc>
        <w:tc>
          <w:tcPr>
            <w:tcW w:w="680" w:type="dxa"/>
            <w:vAlign w:val="bottom"/>
            <w:gridSpan w:val="8"/>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00" w:type="dxa"/>
            <w:vAlign w:val="bottom"/>
            <w:tcBorders>
              <w:bottom w:val="single" w:sz="8" w:color="1925E2"/>
            </w:tcBorders>
            <w:gridSpan w:val="27"/>
          </w:tcPr>
          <w:p>
            <w:pPr>
              <w:spacing w:after="0"/>
              <w:rPr>
                <w:rFonts w:ascii="Arial" w:cs="Arial" w:eastAsia="Arial" w:hAnsi="Arial"/>
                <w:sz w:val="18"/>
                <w:szCs w:val="18"/>
                <w:color w:val="1925E2"/>
                <w:w w:val="89"/>
              </w:rPr>
            </w:pPr>
            <w:hyperlink w:anchor="page52">
              <w:r>
                <w:rPr>
                  <w:rFonts w:ascii="Arial" w:cs="Arial" w:eastAsia="Arial" w:hAnsi="Arial"/>
                  <w:sz w:val="18"/>
                  <w:szCs w:val="18"/>
                  <w:color w:val="1925E2"/>
                  <w:w w:val="89"/>
                </w:rPr>
                <w:t>Material Federal Income Tax Consequences of the Plan</w:t>
              </w:r>
            </w:hyperlink>
          </w:p>
        </w:tc>
        <w:tc>
          <w:tcPr>
            <w:tcW w:w="26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6"/>
          </w:tcPr>
          <w:p>
            <w:pPr>
              <w:spacing w:after="0"/>
              <w:rPr>
                <w:rFonts w:ascii="Arial" w:cs="Arial" w:eastAsia="Arial" w:hAnsi="Arial"/>
                <w:sz w:val="18"/>
                <w:szCs w:val="18"/>
                <w:color w:val="1925E2"/>
                <w:w w:val="88"/>
              </w:rPr>
            </w:pPr>
            <w:hyperlink w:anchor="page53">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5"/>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372"/>
        </w:trPr>
        <w:tc>
          <w:tcPr>
            <w:tcW w:w="9100" w:type="dxa"/>
            <w:vAlign w:val="bottom"/>
            <w:tcBorders>
              <w:bottom w:val="single" w:sz="8" w:color="1925E2"/>
            </w:tcBorders>
            <w:gridSpan w:val="38"/>
          </w:tcPr>
          <w:p>
            <w:pPr>
              <w:spacing w:after="0"/>
              <w:rPr>
                <w:rFonts w:ascii="Arial" w:cs="Arial" w:eastAsia="Arial" w:hAnsi="Arial"/>
                <w:sz w:val="18"/>
                <w:szCs w:val="18"/>
                <w:color w:val="1925E2"/>
                <w:w w:val="96"/>
              </w:rPr>
            </w:pPr>
            <w:hyperlink w:anchor="page54">
              <w:r>
                <w:rPr>
                  <w:rFonts w:ascii="Arial" w:cs="Arial" w:eastAsia="Arial" w:hAnsi="Arial"/>
                  <w:sz w:val="18"/>
                  <w:szCs w:val="18"/>
                  <w:color w:val="1925E2"/>
                  <w:w w:val="96"/>
                </w:rPr>
                <w:t>PROPOSAL 4: TO CAST A NON-BINDING, ADVISORY VOTE ON THE COMPANY'S EXECUTIVE COMPENSATION</w:t>
              </w:r>
            </w:hyperlink>
          </w:p>
        </w:tc>
        <w:tc>
          <w:tcPr>
            <w:tcW w:w="9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120" w:type="dxa"/>
            <w:vAlign w:val="bottom"/>
            <w:tcBorders>
              <w:bottom w:val="single" w:sz="8" w:color="1925E2"/>
            </w:tcBorders>
            <w:gridSpan w:val="23"/>
          </w:tcPr>
          <w:p>
            <w:pPr>
              <w:spacing w:after="0"/>
              <w:rPr>
                <w:rFonts w:ascii="Arial" w:cs="Arial" w:eastAsia="Arial" w:hAnsi="Arial"/>
                <w:sz w:val="18"/>
                <w:szCs w:val="18"/>
                <w:color w:val="1925E2"/>
                <w:w w:val="91"/>
              </w:rPr>
            </w:pPr>
            <w:hyperlink w:anchor="page54">
              <w:r>
                <w:rPr>
                  <w:rFonts w:ascii="Arial" w:cs="Arial" w:eastAsia="Arial" w:hAnsi="Arial"/>
                  <w:sz w:val="18"/>
                  <w:szCs w:val="18"/>
                  <w:color w:val="1925E2"/>
                  <w:w w:val="91"/>
                </w:rPr>
                <w:t>Advisory Vote on Executive Compensation</w:t>
              </w:r>
            </w:hyperlink>
          </w:p>
        </w:tc>
        <w:tc>
          <w:tcPr>
            <w:tcW w:w="1140" w:type="dxa"/>
            <w:vAlign w:val="bottom"/>
            <w:gridSpan w:val="5"/>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4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6"/>
          </w:tcPr>
          <w:p>
            <w:pPr>
              <w:spacing w:after="0"/>
              <w:rPr>
                <w:rFonts w:ascii="Arial" w:cs="Arial" w:eastAsia="Arial" w:hAnsi="Arial"/>
                <w:sz w:val="18"/>
                <w:szCs w:val="18"/>
                <w:color w:val="1925E2"/>
                <w:w w:val="88"/>
              </w:rPr>
            </w:pPr>
            <w:hyperlink w:anchor="page55">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320" w:type="dxa"/>
            <w:vAlign w:val="bottom"/>
            <w:gridSpan w:val="4"/>
          </w:tcPr>
          <w:p>
            <w:pPr>
              <w:spacing w:after="0"/>
              <w:rPr>
                <w:sz w:val="21"/>
                <w:szCs w:val="21"/>
                <w:color w:val="auto"/>
              </w:rPr>
            </w:pPr>
          </w:p>
        </w:tc>
        <w:tc>
          <w:tcPr>
            <w:tcW w:w="1220" w:type="dxa"/>
            <w:vAlign w:val="bottom"/>
            <w:gridSpan w:val="6"/>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4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72"/>
        </w:trPr>
        <w:tc>
          <w:tcPr>
            <w:tcW w:w="10540" w:type="dxa"/>
            <w:vAlign w:val="bottom"/>
            <w:gridSpan w:val="4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PROPOSAL 5: TO APPROVE AN AMENDMENT TO EACH OF THE COMPANY'S AMENDED AND RESTATED CERTIFICATE OF</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0000EE"/>
              <w:bottom w:val="single" w:sz="8" w:color="0000EE"/>
            </w:tcBorders>
            <w:gridSpan w:val="36"/>
          </w:tcPr>
          <w:p>
            <w:pPr>
              <w:spacing w:after="0" w:line="18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INCORPORATION, AS AMENDED AND AMENDED AND RESTATED BYLAWS, AS AMENDED</w:t>
              </w:r>
            </w:hyperlink>
          </w:p>
        </w:tc>
        <w:tc>
          <w:tcPr>
            <w:tcW w:w="2540" w:type="dxa"/>
            <w:vAlign w:val="bottom"/>
            <w:tcBorders>
              <w:top w:val="single" w:sz="8" w:color="0000EE"/>
              <w:bottom w:val="single" w:sz="8" w:color="0000EE"/>
            </w:tcBorders>
            <w:gridSpan w:val="4"/>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040" w:type="dxa"/>
            <w:vAlign w:val="bottom"/>
            <w:tcBorders>
              <w:bottom w:val="single" w:sz="8" w:color="1925E2"/>
            </w:tcBorders>
            <w:gridSpan w:val="22"/>
          </w:tcPr>
          <w:p>
            <w:pPr>
              <w:spacing w:after="0"/>
              <w:rPr>
                <w:rFonts w:ascii="Arial" w:cs="Arial" w:eastAsia="Arial" w:hAnsi="Arial"/>
                <w:sz w:val="18"/>
                <w:szCs w:val="18"/>
                <w:color w:val="1925E2"/>
                <w:w w:val="90"/>
              </w:rPr>
            </w:pPr>
            <w:hyperlink w:anchor="page56">
              <w:r>
                <w:rPr>
                  <w:rFonts w:ascii="Arial" w:cs="Arial" w:eastAsia="Arial" w:hAnsi="Arial"/>
                  <w:sz w:val="18"/>
                  <w:szCs w:val="18"/>
                  <w:color w:val="1925E2"/>
                  <w:w w:val="90"/>
                </w:rPr>
                <w:t>Introduction and Reasons for Amendment</w:t>
              </w:r>
            </w:hyperlink>
          </w:p>
        </w:tc>
        <w:tc>
          <w:tcPr>
            <w:tcW w:w="1220" w:type="dxa"/>
            <w:vAlign w:val="bottom"/>
            <w:gridSpan w:val="6"/>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040" w:type="dxa"/>
            <w:vAlign w:val="bottom"/>
            <w:tcBorders>
              <w:bottom w:val="single" w:sz="8" w:color="1925E2"/>
            </w:tcBorders>
            <w:gridSpan w:val="10"/>
          </w:tcPr>
          <w:p>
            <w:pPr>
              <w:spacing w:after="0"/>
              <w:rPr>
                <w:rFonts w:ascii="Arial" w:cs="Arial" w:eastAsia="Arial" w:hAnsi="Arial"/>
                <w:sz w:val="18"/>
                <w:szCs w:val="18"/>
                <w:color w:val="1925E2"/>
                <w:w w:val="91"/>
              </w:rPr>
            </w:pPr>
            <w:hyperlink w:anchor="page56">
              <w:r>
                <w:rPr>
                  <w:rFonts w:ascii="Arial" w:cs="Arial" w:eastAsia="Arial" w:hAnsi="Arial"/>
                  <w:sz w:val="18"/>
                  <w:szCs w:val="18"/>
                  <w:color w:val="1925E2"/>
                  <w:w w:val="91"/>
                </w:rPr>
                <w:t>Description of Amendments</w:t>
              </w:r>
            </w:hyperlink>
          </w:p>
        </w:tc>
        <w:tc>
          <w:tcPr>
            <w:tcW w:w="680" w:type="dxa"/>
            <w:vAlign w:val="bottom"/>
            <w:gridSpan w:val="8"/>
          </w:tcPr>
          <w:p>
            <w:pPr>
              <w:spacing w:after="0"/>
              <w:rPr>
                <w:sz w:val="21"/>
                <w:szCs w:val="21"/>
                <w:color w:val="auto"/>
              </w:rPr>
            </w:pPr>
          </w:p>
        </w:tc>
        <w:tc>
          <w:tcPr>
            <w:tcW w:w="1540" w:type="dxa"/>
            <w:vAlign w:val="bottom"/>
            <w:gridSpan w:val="10"/>
          </w:tcPr>
          <w:p>
            <w:pPr>
              <w:spacing w:after="0"/>
              <w:rPr>
                <w:sz w:val="21"/>
                <w:szCs w:val="21"/>
                <w:color w:val="auto"/>
              </w:rPr>
            </w:pPr>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260" w:type="dxa"/>
            <w:vAlign w:val="bottom"/>
            <w:tcBorders>
              <w:bottom w:val="single" w:sz="8" w:color="1925E2"/>
            </w:tcBorders>
            <w:gridSpan w:val="28"/>
          </w:tcPr>
          <w:p>
            <w:pPr>
              <w:spacing w:after="0"/>
              <w:rPr>
                <w:rFonts w:ascii="Arial" w:cs="Arial" w:eastAsia="Arial" w:hAnsi="Arial"/>
                <w:sz w:val="18"/>
                <w:szCs w:val="18"/>
                <w:color w:val="1925E2"/>
                <w:w w:val="91"/>
              </w:rPr>
            </w:pPr>
            <w:hyperlink w:anchor="page57">
              <w:r>
                <w:rPr>
                  <w:rFonts w:ascii="Arial" w:cs="Arial" w:eastAsia="Arial" w:hAnsi="Arial"/>
                  <w:sz w:val="18"/>
                  <w:szCs w:val="18"/>
                  <w:color w:val="1925E2"/>
                  <w:w w:val="91"/>
                </w:rPr>
                <w:t>Effects of Stockholder Approval of Proposed Amendments</w:t>
              </w:r>
            </w:hyperlink>
          </w:p>
        </w:tc>
        <w:tc>
          <w:tcPr>
            <w:tcW w:w="260" w:type="dxa"/>
            <w:vAlign w:val="bottom"/>
            <w:gridSpan w:val="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500" w:type="dxa"/>
            <w:vAlign w:val="bottom"/>
            <w:tcBorders>
              <w:bottom w:val="single" w:sz="8" w:color="1925E2"/>
            </w:tcBorders>
            <w:gridSpan w:val="16"/>
          </w:tcPr>
          <w:p>
            <w:pPr>
              <w:spacing w:after="0"/>
              <w:rPr>
                <w:rFonts w:ascii="Arial" w:cs="Arial" w:eastAsia="Arial" w:hAnsi="Arial"/>
                <w:sz w:val="18"/>
                <w:szCs w:val="18"/>
                <w:color w:val="1925E2"/>
                <w:w w:val="88"/>
              </w:rPr>
            </w:pPr>
            <w:hyperlink w:anchor="page57">
              <w:r>
                <w:rPr>
                  <w:rFonts w:ascii="Arial" w:cs="Arial" w:eastAsia="Arial" w:hAnsi="Arial"/>
                  <w:sz w:val="18"/>
                  <w:szCs w:val="18"/>
                  <w:color w:val="1925E2"/>
                  <w:w w:val="88"/>
                </w:rPr>
                <w:t>Vote Sought and Recommendation</w:t>
              </w:r>
            </w:hyperlink>
          </w:p>
        </w:tc>
        <w:tc>
          <w:tcPr>
            <w:tcW w:w="220" w:type="dxa"/>
            <w:vAlign w:val="bottom"/>
            <w:gridSpan w:val="2"/>
          </w:tcPr>
          <w:p>
            <w:pPr>
              <w:spacing w:after="0"/>
              <w:rPr>
                <w:sz w:val="21"/>
                <w:szCs w:val="21"/>
                <w:color w:val="auto"/>
              </w:rPr>
            </w:pPr>
          </w:p>
        </w:tc>
        <w:tc>
          <w:tcPr>
            <w:tcW w:w="1800" w:type="dxa"/>
            <w:vAlign w:val="bottom"/>
            <w:gridSpan w:val="12"/>
          </w:tcPr>
          <w:p>
            <w:pPr>
              <w:spacing w:after="0"/>
              <w:rPr>
                <w:sz w:val="21"/>
                <w:szCs w:val="21"/>
                <w:color w:val="auto"/>
              </w:rPr>
            </w:pPr>
          </w:p>
        </w:tc>
        <w:tc>
          <w:tcPr>
            <w:tcW w:w="134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3820" w:type="dxa"/>
            <w:vAlign w:val="bottom"/>
            <w:gridSpan w:val="6"/>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2"/>
        </w:trPr>
        <w:tc>
          <w:tcPr>
            <w:tcW w:w="6200" w:type="dxa"/>
            <w:vAlign w:val="bottom"/>
            <w:tcBorders>
              <w:bottom w:val="single" w:sz="8" w:color="1925E2"/>
            </w:tcBorders>
            <w:gridSpan w:val="34"/>
          </w:tcPr>
          <w:p>
            <w:pPr>
              <w:spacing w:after="0"/>
              <w:rPr>
                <w:rFonts w:ascii="Arial" w:cs="Arial" w:eastAsia="Arial" w:hAnsi="Arial"/>
                <w:sz w:val="18"/>
                <w:szCs w:val="18"/>
                <w:color w:val="1925E2"/>
                <w:w w:val="96"/>
              </w:rPr>
            </w:pPr>
            <w:hyperlink w:anchor="page57">
              <w:r>
                <w:rPr>
                  <w:rFonts w:ascii="Arial" w:cs="Arial" w:eastAsia="Arial" w:hAnsi="Arial"/>
                  <w:sz w:val="18"/>
                  <w:szCs w:val="18"/>
                  <w:color w:val="1925E2"/>
                  <w:w w:val="96"/>
                </w:rPr>
                <w:t>COMPENSATION COMMITTEE INTERLOCKS AND INSIDER PARTICIPATION</w:t>
              </w:r>
            </w:hyperlink>
          </w:p>
        </w:tc>
        <w:tc>
          <w:tcPr>
            <w:tcW w:w="520" w:type="dxa"/>
            <w:vAlign w:val="bottom"/>
          </w:tcPr>
          <w:p>
            <w:pPr>
              <w:spacing w:after="0"/>
              <w:rPr>
                <w:sz w:val="24"/>
                <w:szCs w:val="24"/>
                <w:color w:val="auto"/>
              </w:rPr>
            </w:pPr>
          </w:p>
        </w:tc>
        <w:tc>
          <w:tcPr>
            <w:tcW w:w="38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2"/>
        </w:trPr>
        <w:tc>
          <w:tcPr>
            <w:tcW w:w="4860" w:type="dxa"/>
            <w:vAlign w:val="bottom"/>
            <w:tcBorders>
              <w:bottom w:val="single" w:sz="8" w:color="1925E2"/>
            </w:tcBorders>
            <w:gridSpan w:val="31"/>
          </w:tcPr>
          <w:p>
            <w:pPr>
              <w:spacing w:after="0"/>
              <w:rPr>
                <w:rFonts w:ascii="Arial" w:cs="Arial" w:eastAsia="Arial" w:hAnsi="Arial"/>
                <w:sz w:val="18"/>
                <w:szCs w:val="18"/>
                <w:color w:val="1925E2"/>
                <w:w w:val="95"/>
              </w:rPr>
            </w:pPr>
            <w:hyperlink w:anchor="page57">
              <w:r>
                <w:rPr>
                  <w:rFonts w:ascii="Arial" w:cs="Arial" w:eastAsia="Arial" w:hAnsi="Arial"/>
                  <w:sz w:val="18"/>
                  <w:szCs w:val="18"/>
                  <w:color w:val="1925E2"/>
                  <w:w w:val="95"/>
                </w:rPr>
                <w:t>CERTAIN RELATIONSHIPS AND RELATED TRANSACTIONS</w:t>
              </w:r>
            </w:hyperlink>
          </w:p>
        </w:tc>
        <w:tc>
          <w:tcPr>
            <w:tcW w:w="1860" w:type="dxa"/>
            <w:vAlign w:val="bottom"/>
            <w:gridSpan w:val="4"/>
          </w:tcPr>
          <w:p>
            <w:pPr>
              <w:spacing w:after="0"/>
              <w:rPr>
                <w:sz w:val="24"/>
                <w:szCs w:val="24"/>
                <w:color w:val="auto"/>
              </w:rPr>
            </w:pPr>
          </w:p>
        </w:tc>
        <w:tc>
          <w:tcPr>
            <w:tcW w:w="38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2"/>
        </w:trPr>
        <w:tc>
          <w:tcPr>
            <w:tcW w:w="6720" w:type="dxa"/>
            <w:vAlign w:val="bottom"/>
            <w:tcBorders>
              <w:bottom w:val="single" w:sz="8" w:color="1925E2"/>
            </w:tcBorders>
            <w:gridSpan w:val="35"/>
          </w:tcPr>
          <w:p>
            <w:pPr>
              <w:spacing w:after="0"/>
              <w:rPr>
                <w:rFonts w:ascii="Arial" w:cs="Arial" w:eastAsia="Arial" w:hAnsi="Arial"/>
                <w:sz w:val="18"/>
                <w:szCs w:val="18"/>
                <w:color w:val="1925E2"/>
                <w:w w:val="96"/>
              </w:rPr>
            </w:pPr>
            <w:hyperlink w:anchor="page58">
              <w:r>
                <w:rPr>
                  <w:rFonts w:ascii="Arial" w:cs="Arial" w:eastAsia="Arial" w:hAnsi="Arial"/>
                  <w:sz w:val="18"/>
                  <w:szCs w:val="18"/>
                  <w:color w:val="1925E2"/>
                  <w:w w:val="96"/>
                </w:rPr>
                <w:t>SECURITY OWNERSHIP OF CERTAIN BENEFICIAL OWNERS AND MANAGEMENT</w:t>
              </w:r>
            </w:hyperlink>
          </w:p>
        </w:tc>
        <w:tc>
          <w:tcPr>
            <w:tcW w:w="382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72"/>
        </w:trPr>
        <w:tc>
          <w:tcPr>
            <w:tcW w:w="3060" w:type="dxa"/>
            <w:vAlign w:val="bottom"/>
            <w:tcBorders>
              <w:bottom w:val="single" w:sz="8" w:color="1925E2"/>
            </w:tcBorders>
            <w:gridSpan w:val="19"/>
          </w:tcPr>
          <w:p>
            <w:pPr>
              <w:spacing w:after="0"/>
              <w:rPr>
                <w:rFonts w:ascii="Arial" w:cs="Arial" w:eastAsia="Arial" w:hAnsi="Arial"/>
                <w:sz w:val="18"/>
                <w:szCs w:val="18"/>
                <w:color w:val="1925E2"/>
                <w:w w:val="95"/>
              </w:rPr>
            </w:pPr>
            <w:hyperlink w:anchor="page59">
              <w:r>
                <w:rPr>
                  <w:rFonts w:ascii="Arial" w:cs="Arial" w:eastAsia="Arial" w:hAnsi="Arial"/>
                  <w:sz w:val="18"/>
                  <w:szCs w:val="18"/>
                  <w:color w:val="1925E2"/>
                  <w:w w:val="95"/>
                </w:rPr>
                <w:t>REPORT OF THE AUDIT COMMITTEE</w:t>
              </w:r>
            </w:hyperlink>
          </w:p>
        </w:tc>
        <w:tc>
          <w:tcPr>
            <w:tcW w:w="7480" w:type="dxa"/>
            <w:vAlign w:val="bottom"/>
            <w:gridSpan w:val="2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59" w:lineRule="exact"/>
        <w:rPr>
          <w:sz w:val="20"/>
          <w:szCs w:val="20"/>
          <w:color w:val="auto"/>
        </w:rPr>
      </w:pPr>
    </w:p>
    <w:p>
      <w:pPr>
        <w:sectPr>
          <w:pgSz w:w="11900" w:h="16838" w:orient="portrait"/>
          <w:cols w:equalWidth="0" w:num="1">
            <w:col w:w="11120"/>
          </w:cols>
          <w:pgMar w:left="440" w:top="576" w:right="339" w:bottom="1440" w:gutter="0" w:footer="0" w:header="0"/>
        </w:sectPr>
      </w:pPr>
    </w:p>
    <w:p>
      <w:pPr>
        <w:spacing w:after="0"/>
        <w:tabs>
          <w:tab w:leader="none" w:pos="10920" w:val="left"/>
        </w:tabs>
        <w:rPr>
          <w:rFonts w:ascii="Arial" w:cs="Arial" w:eastAsia="Arial" w:hAnsi="Arial"/>
          <w:sz w:val="17"/>
          <w:szCs w:val="17"/>
          <w:color w:val="1925E2"/>
          <w:vertAlign w:val="subscript"/>
        </w:rPr>
      </w:pPr>
      <w:hyperlink w:anchor="page61">
        <w:r>
          <w:rPr>
            <w:rFonts w:ascii="Arial" w:cs="Arial" w:eastAsia="Arial" w:hAnsi="Arial"/>
            <w:sz w:val="18"/>
            <w:szCs w:val="18"/>
            <w:u w:val="single" w:color="auto"/>
            <w:color w:val="1925E2"/>
          </w:rPr>
          <w:t>SECTION 16(A) BENEFICIAL OWNERSHIP REPORTING COMPLIANCE</w:t>
        </w:r>
      </w:hyperlink>
      <w:r>
        <w:rPr>
          <w:rFonts w:ascii="Arial" w:cs="Arial" w:eastAsia="Arial" w:hAnsi="Arial"/>
          <w:sz w:val="18"/>
          <w:szCs w:val="18"/>
          <w:color w:val="1925E2"/>
        </w:rPr>
        <w:tab/>
      </w:r>
      <w:hyperlink w:anchor="page61">
        <w:r>
          <w:rPr>
            <w:rFonts w:ascii="Arial" w:cs="Arial" w:eastAsia="Arial" w:hAnsi="Arial"/>
            <w:sz w:val="17"/>
            <w:szCs w:val="17"/>
            <w:color w:val="1925E2"/>
            <w:vertAlign w:val="subscript"/>
          </w:rPr>
          <w:t>54</w:t>
        </w:r>
      </w:hyperlink>
    </w:p>
    <w:p>
      <w:pPr>
        <w:sectPr>
          <w:pgSz w:w="11900" w:h="16838" w:orient="portrait"/>
          <w:cols w:equalWidth="0" w:num="1">
            <w:col w:w="11120"/>
          </w:cols>
          <w:pgMar w:left="440" w:top="576"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2380" w:type="dxa"/>
            <w:vAlign w:val="bottom"/>
            <w:tcBorders>
              <w:bottom w:val="single" w:sz="8" w:color="1925E2"/>
            </w:tcBorders>
            <w:gridSpan w:val="3"/>
          </w:tcPr>
          <w:p>
            <w:pPr>
              <w:spacing w:after="0"/>
              <w:rPr>
                <w:rFonts w:ascii="Arial" w:cs="Arial" w:eastAsia="Arial" w:hAnsi="Arial"/>
                <w:sz w:val="18"/>
                <w:szCs w:val="18"/>
                <w:color w:val="1925E2"/>
                <w:w w:val="93"/>
              </w:rPr>
            </w:pPr>
            <w:hyperlink w:anchor="page61">
              <w:r>
                <w:rPr>
                  <w:rFonts w:ascii="Arial" w:cs="Arial" w:eastAsia="Arial" w:hAnsi="Arial"/>
                  <w:sz w:val="18"/>
                  <w:szCs w:val="18"/>
                  <w:color w:val="1925E2"/>
                  <w:w w:val="93"/>
                </w:rPr>
                <w:t>STOCKHOLDER PROPOSALS</w:t>
              </w:r>
            </w:hyperlink>
          </w:p>
        </w:tc>
        <w:tc>
          <w:tcPr>
            <w:tcW w:w="320" w:type="dxa"/>
            <w:vAlign w:val="bottom"/>
          </w:tcPr>
          <w:p>
            <w:pPr>
              <w:spacing w:after="0"/>
              <w:rPr>
                <w:sz w:val="19"/>
                <w:szCs w:val="19"/>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72"/>
        </w:trPr>
        <w:tc>
          <w:tcPr>
            <w:tcW w:w="1480" w:type="dxa"/>
            <w:vAlign w:val="bottom"/>
            <w:tcBorders>
              <w:bottom w:val="single" w:sz="8" w:color="1925E2"/>
            </w:tcBorders>
            <w:gridSpan w:val="2"/>
          </w:tcPr>
          <w:p>
            <w:pPr>
              <w:spacing w:after="0"/>
              <w:rPr>
                <w:rFonts w:ascii="Arial" w:cs="Arial" w:eastAsia="Arial" w:hAnsi="Arial"/>
                <w:sz w:val="18"/>
                <w:szCs w:val="18"/>
                <w:color w:val="1925E2"/>
                <w:w w:val="95"/>
              </w:rPr>
            </w:pPr>
            <w:hyperlink w:anchor="page61">
              <w:r>
                <w:rPr>
                  <w:rFonts w:ascii="Arial" w:cs="Arial" w:eastAsia="Arial" w:hAnsi="Arial"/>
                  <w:sz w:val="18"/>
                  <w:szCs w:val="18"/>
                  <w:color w:val="1925E2"/>
                  <w:w w:val="95"/>
                </w:rPr>
                <w:t>ANNUAL REPORT</w:t>
              </w:r>
            </w:hyperlink>
          </w:p>
        </w:tc>
        <w:tc>
          <w:tcPr>
            <w:tcW w:w="1220" w:type="dxa"/>
            <w:vAlign w:val="bottom"/>
            <w:gridSpan w:val="2"/>
          </w:tcPr>
          <w:p>
            <w:pPr>
              <w:spacing w:after="0"/>
              <w:rPr>
                <w:sz w:val="24"/>
                <w:szCs w:val="24"/>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72"/>
        </w:trPr>
        <w:tc>
          <w:tcPr>
            <w:tcW w:w="2700" w:type="dxa"/>
            <w:vAlign w:val="bottom"/>
            <w:tcBorders>
              <w:bottom w:val="single" w:sz="8" w:color="1925E2"/>
            </w:tcBorders>
            <w:gridSpan w:val="4"/>
          </w:tcPr>
          <w:p>
            <w:pPr>
              <w:spacing w:after="0"/>
              <w:rPr>
                <w:rFonts w:ascii="Arial" w:cs="Arial" w:eastAsia="Arial" w:hAnsi="Arial"/>
                <w:sz w:val="18"/>
                <w:szCs w:val="18"/>
                <w:color w:val="1925E2"/>
                <w:w w:val="96"/>
              </w:rPr>
            </w:pPr>
            <w:hyperlink w:anchor="page61">
              <w:r>
                <w:rPr>
                  <w:rFonts w:ascii="Arial" w:cs="Arial" w:eastAsia="Arial" w:hAnsi="Arial"/>
                  <w:sz w:val="18"/>
                  <w:szCs w:val="18"/>
                  <w:color w:val="1925E2"/>
                  <w:w w:val="96"/>
                </w:rPr>
                <w:t>HOUSEHOLDING INFORMATION</w:t>
              </w:r>
            </w:hyperlink>
          </w:p>
        </w:tc>
        <w:tc>
          <w:tcPr>
            <w:tcW w:w="83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72"/>
        </w:trPr>
        <w:tc>
          <w:tcPr>
            <w:tcW w:w="1460" w:type="dxa"/>
            <w:vAlign w:val="bottom"/>
            <w:tcBorders>
              <w:bottom w:val="single" w:sz="8" w:color="1925E2"/>
            </w:tcBorders>
          </w:tcPr>
          <w:p>
            <w:pPr>
              <w:spacing w:after="0"/>
              <w:rPr>
                <w:rFonts w:ascii="Arial" w:cs="Arial" w:eastAsia="Arial" w:hAnsi="Arial"/>
                <w:sz w:val="18"/>
                <w:szCs w:val="18"/>
                <w:color w:val="1925E2"/>
                <w:w w:val="93"/>
              </w:rPr>
            </w:pPr>
            <w:hyperlink w:anchor="page62">
              <w:r>
                <w:rPr>
                  <w:rFonts w:ascii="Arial" w:cs="Arial" w:eastAsia="Arial" w:hAnsi="Arial"/>
                  <w:sz w:val="18"/>
                  <w:szCs w:val="18"/>
                  <w:color w:val="1925E2"/>
                  <w:w w:val="93"/>
                </w:rPr>
                <w:t>OTHER MATTERS</w:t>
              </w:r>
            </w:hyperlink>
          </w:p>
        </w:tc>
        <w:tc>
          <w:tcPr>
            <w:tcW w:w="1240" w:type="dxa"/>
            <w:vAlign w:val="bottom"/>
            <w:gridSpan w:val="3"/>
          </w:tcPr>
          <w:p>
            <w:pPr>
              <w:spacing w:after="0"/>
              <w:rPr>
                <w:sz w:val="24"/>
                <w:szCs w:val="24"/>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55</w:t>
            </w:r>
          </w:p>
        </w:tc>
      </w:tr>
    </w:tbl>
    <w:p>
      <w:pPr>
        <w:spacing w:after="0" w:line="188"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APPENDIX A – SIXTH AMENDED AND RESTATED WESTWOOD HOLDINGS GROUP, INC. STOCK INCENTIVE PLAN</w:t>
        </w:r>
      </w:hyperlink>
    </w:p>
    <w:p>
      <w:pPr>
        <w:spacing w:after="0" w:line="63" w:lineRule="exact"/>
        <w:rPr>
          <w:sz w:val="20"/>
          <w:szCs w:val="20"/>
          <w:color w:val="auto"/>
        </w:rPr>
      </w:pPr>
    </w:p>
    <w:p>
      <w:pPr>
        <w:ind w:right="1040"/>
        <w:spacing w:after="0" w:line="277" w:lineRule="auto"/>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APPENDIX B – CERTIFICATE OF AMENDMENT TO THE AMENDED AND RESTATED CERTIFICATE OF INCORPORATION OF</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WESTWOOD HOLDINGS GROUP, INC.</w:t>
        </w:r>
      </w:hyperlink>
    </w:p>
    <w:p>
      <w:pPr>
        <w:spacing w:after="0" w:line="8" w:lineRule="exact"/>
        <w:rPr>
          <w:sz w:val="20"/>
          <w:szCs w:val="20"/>
          <w:color w:val="auto"/>
        </w:rPr>
      </w:pPr>
    </w:p>
    <w:p>
      <w:pPr>
        <w:ind w:right="1000"/>
        <w:spacing w:after="0" w:line="277" w:lineRule="auto"/>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APPENDIX C – AMENDMENT NO. 2 TO THE AMENDED AND RESTATED BYLAWS OF WESTWOOD HOLDINGS GROUP, INC.</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(A DELAWARE CORPORATION)</w:t>
        </w:r>
      </w:hyperlink>
    </w:p>
    <w:p>
      <w:pPr>
        <w:sectPr>
          <w:pgSz w:w="11900" w:h="16838" w:orient="portrait"/>
          <w:cols w:equalWidth="0" w:num="1">
            <w:col w:w="11080"/>
          </w:cols>
          <w:pgMar w:left="440" w:top="615" w:right="379" w:bottom="1440" w:gutter="0" w:footer="0" w:header="0"/>
        </w:sectPr>
      </w:pPr>
    </w:p>
    <w:bookmarkStart w:id="5" w:name="page6"/>
    <w:bookmarkEnd w:id="5"/>
    <w:p>
      <w:pPr>
        <w:ind w:left="408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8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NOTICE IS HEREBY GIVEN that the annual meeting of the stockholders of Westwood Holdings Group, Inc. ("Westwood," the "Company," "we," "us" or "our") will be held at The Crescent Club, 200 Crescent Court, Suite 1700, Dallas, Texas 75201 on Wednesday, [April 24, 2019], at 10:00 a.m., Central Time, to consider and vote on the following proposals:</w:t>
      </w:r>
    </w:p>
    <w:p>
      <w:pPr>
        <w:spacing w:after="0" w:line="200" w:lineRule="exact"/>
        <w:rPr>
          <w:sz w:val="20"/>
          <w:szCs w:val="20"/>
          <w:color w:val="auto"/>
        </w:rPr>
      </w:pPr>
    </w:p>
    <w:p>
      <w:pPr>
        <w:spacing w:after="0" w:line="265" w:lineRule="exact"/>
        <w:rPr>
          <w:sz w:val="20"/>
          <w:szCs w:val="20"/>
          <w:color w:val="auto"/>
        </w:rPr>
      </w:pPr>
    </w:p>
    <w:p>
      <w:pPr>
        <w:ind w:left="1640" w:right="700" w:hanging="1606"/>
        <w:spacing w:after="0" w:line="277" w:lineRule="auto"/>
        <w:tabs>
          <w:tab w:leader="none" w:pos="16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six directors to hold office until the next annual meeting of Westwood's stockholders and until their respective successors shall have been duly elected and qualified;</w:t>
      </w:r>
    </w:p>
    <w:p>
      <w:pPr>
        <w:spacing w:after="0" w:line="130" w:lineRule="exact"/>
        <w:rPr>
          <w:sz w:val="20"/>
          <w:szCs w:val="20"/>
          <w:color w:val="auto"/>
        </w:rPr>
      </w:pPr>
    </w:p>
    <w:p>
      <w:pPr>
        <w:ind w:left="1640" w:right="180" w:hanging="1606"/>
        <w:spacing w:after="0" w:line="277" w:lineRule="auto"/>
        <w:tabs>
          <w:tab w:leader="none" w:pos="16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Deloitte &amp; Touche LLP as Westwood's independent auditors for the year ending December 31, 2019;</w:t>
      </w:r>
    </w:p>
    <w:p>
      <w:pPr>
        <w:spacing w:after="0" w:line="130"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To approve the Sixth Amended and Restated Westwood Holdings Group, Inc. Stock Incentive Plan;</w:t>
      </w:r>
    </w:p>
    <w:p>
      <w:pPr>
        <w:spacing w:after="0" w:line="18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To cast a non-binding, advisory vote on the Company's executive compensation; and</w:t>
      </w:r>
    </w:p>
    <w:p>
      <w:pPr>
        <w:spacing w:after="0" w:line="185" w:lineRule="exact"/>
        <w:rPr>
          <w:sz w:val="20"/>
          <w:szCs w:val="20"/>
          <w:color w:val="auto"/>
        </w:rPr>
      </w:pPr>
    </w:p>
    <w:p>
      <w:pPr>
        <w:ind w:left="1640" w:right="260" w:hanging="1606"/>
        <w:spacing w:after="0" w:line="277" w:lineRule="auto"/>
        <w:tabs>
          <w:tab w:leader="none" w:pos="1620" w:val="left"/>
        </w:tabs>
        <w:rPr>
          <w:sz w:val="20"/>
          <w:szCs w:val="20"/>
          <w:color w:val="auto"/>
        </w:rPr>
      </w:pPr>
      <w:r>
        <w:rPr>
          <w:rFonts w:ascii="Arial" w:cs="Arial" w:eastAsia="Arial" w:hAnsi="Arial"/>
          <w:sz w:val="18"/>
          <w:szCs w:val="18"/>
          <w:color w:val="auto"/>
        </w:rPr>
        <w:t>Proposal 5.</w:t>
      </w:r>
      <w:r>
        <w:rPr>
          <w:sz w:val="20"/>
          <w:szCs w:val="20"/>
          <w:color w:val="auto"/>
        </w:rPr>
        <w:tab/>
      </w:r>
      <w:r>
        <w:rPr>
          <w:rFonts w:ascii="Arial" w:cs="Arial" w:eastAsia="Arial" w:hAnsi="Arial"/>
          <w:sz w:val="18"/>
          <w:szCs w:val="18"/>
          <w:color w:val="auto"/>
        </w:rPr>
        <w:t>To approve an amendment to each of the Company's Amended and Restated Certificate of Incorporation, as amended and Amended and Restated Bylaws, as amended.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we will consider the transaction of such other business as may properly come before the meeting or at any adjournments or postponements.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8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Only stockholders of record at the close of business on March 4, 2019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w:t>
      </w:r>
    </w:p>
    <w:p>
      <w:pPr>
        <w:spacing w:after="0" w:line="10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All of our stockholders are invited to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www.voteproxy.com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attending the annual meeting and voting in person.</w:t>
      </w:r>
    </w:p>
    <w:p>
      <w:pPr>
        <w:spacing w:after="0" w:line="15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in person at the annual meeting if you have requested and received a legal proxy from your broker, bank or other nominee giving you the right to vote the shares at the annual meeting, and you complete the legal proxy and present it to us at the annual meeting. Pursuant to the New York Stock Exchange ("NYSE") rules, if you hold your shares in street name, nominees will not have discretion to vote these shares on the election of directors, the approval of the Sixth Amended and Restated Westwood Holdings Group, Inc. Stock Incentive Plan, the matter pertaining to executive compensation and the amendments to our Certificate of Incorporation and Bylaws.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proxy statement and proxy card are being mailed to our stockholders on or about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64" w:right="25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24, 2019]</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proxy materials for the Company's Annual Meeting of Stockholders, including the 2018 Annual Report to Stockholders, the Proxy Statement and any other additional soliciting materials, are available over the Internet by accessing our website at https://westwoodgroup.com/investor-relations/annual-reports/. Other information on our website does not constitute part of the Company's proxy materials.</w:t>
      </w:r>
    </w:p>
    <w:p>
      <w:pPr>
        <w:spacing w:after="0" w:line="200" w:lineRule="exact"/>
        <w:rPr>
          <w:sz w:val="20"/>
          <w:szCs w:val="20"/>
          <w:color w:val="auto"/>
        </w:rPr>
      </w:pPr>
    </w:p>
    <w:p>
      <w:pPr>
        <w:spacing w:after="0" w:line="24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126365</wp:posOffset>
            </wp:positionV>
            <wp:extent cx="97790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580" w:right="459" w:bottom="1440" w:gutter="0" w:footer="0" w:header="0"/>
        </w:sectPr>
      </w:pPr>
    </w:p>
    <w:bookmarkStart w:id="7" w:name="page8"/>
    <w:bookmarkEnd w:id="7"/>
    <w:p>
      <w:pPr>
        <w:ind w:left="408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24,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8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387" w:lineRule="exact"/>
        <w:rPr>
          <w:sz w:val="20"/>
          <w:szCs w:val="20"/>
          <w:color w:val="auto"/>
        </w:rPr>
      </w:pPr>
    </w:p>
    <w:p>
      <w:pPr>
        <w:ind w:left="520" w:hanging="485"/>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sz w:val="20"/>
          <w:szCs w:val="20"/>
          <w:color w:val="auto"/>
        </w:rPr>
      </w:pPr>
    </w:p>
    <w:p>
      <w:pPr>
        <w:spacing w:after="0" w:line="218" w:lineRule="exact"/>
        <w:rPr>
          <w:sz w:val="20"/>
          <w:szCs w:val="20"/>
          <w:color w:val="auto"/>
        </w:rPr>
      </w:pPr>
    </w:p>
    <w:p>
      <w:pPr>
        <w:ind w:left="500" w:right="180" w:hanging="465"/>
        <w:spacing w:after="0" w:line="277" w:lineRule="auto"/>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annual meeting will be held on Wednesday, [April 24, 2019], at 10:00 a.m., Central Time, at The Crescent Club, 200 Crescent Court, Suite 1700, Dallas, Texas 75201.</w:t>
      </w:r>
    </w:p>
    <w:p>
      <w:pPr>
        <w:spacing w:after="0" w:line="356"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63" w:lineRule="exact"/>
        <w:rPr>
          <w:rFonts w:ascii="Arial" w:cs="Arial" w:eastAsia="Arial" w:hAnsi="Arial"/>
          <w:sz w:val="18"/>
          <w:szCs w:val="18"/>
          <w:b w:val="1"/>
          <w:bCs w:val="1"/>
          <w:color w:val="auto"/>
        </w:rPr>
      </w:pPr>
    </w:p>
    <w:p>
      <w:pPr>
        <w:ind w:left="1060" w:right="220" w:hanging="566"/>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elect six directors to hold office until the next annual meeting of Westwood’s stockholders and until their respective successors shall have been duly elected and qualified;</w:t>
      </w:r>
    </w:p>
    <w:p>
      <w:pPr>
        <w:spacing w:after="0" w:line="8" w:lineRule="exact"/>
        <w:rPr>
          <w:rFonts w:ascii="Arial" w:cs="Arial" w:eastAsia="Arial" w:hAnsi="Arial"/>
          <w:sz w:val="18"/>
          <w:szCs w:val="18"/>
          <w:color w:val="auto"/>
        </w:rPr>
      </w:pPr>
    </w:p>
    <w:p>
      <w:pPr>
        <w:ind w:left="1060" w:hanging="566"/>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Westwood’s independent auditors for the year ending December 31, 2019;</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approve the Sixth Amended and Restated Westwood Holdings Group, Inc. Stock Incentive Plan;</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cast a non-binding, advisory vote on the Company's executive compensation; and</w:t>
      </w:r>
    </w:p>
    <w:p>
      <w:pPr>
        <w:spacing w:after="0" w:line="63" w:lineRule="exact"/>
        <w:rPr>
          <w:rFonts w:ascii="Arial" w:cs="Arial" w:eastAsia="Arial" w:hAnsi="Arial"/>
          <w:sz w:val="18"/>
          <w:szCs w:val="18"/>
          <w:color w:val="auto"/>
        </w:rPr>
      </w:pPr>
    </w:p>
    <w:p>
      <w:pPr>
        <w:ind w:left="1060" w:right="560" w:hanging="566"/>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approve an amendment to each of the Company's Amended and Restated Certificate of Incorporation, as amended and Amended and Restated Bylaws, as amended.</w:t>
      </w:r>
    </w:p>
    <w:p>
      <w:pPr>
        <w:spacing w:after="0" w:line="356" w:lineRule="exact"/>
        <w:rPr>
          <w:sz w:val="20"/>
          <w:szCs w:val="20"/>
          <w:color w:val="auto"/>
        </w:rPr>
      </w:pPr>
    </w:p>
    <w:p>
      <w:pPr>
        <w:ind w:left="480" w:hanging="445"/>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Board of Directors recommends that you vote your shares (i) "FOR" each of the six director nominees for election to the Board of Directors,</w:t>
      </w:r>
    </w:p>
    <w:p>
      <w:pPr>
        <w:spacing w:after="0" w:line="34" w:lineRule="exact"/>
        <w:rPr>
          <w:rFonts w:ascii="Arial" w:cs="Arial" w:eastAsia="Arial" w:hAnsi="Arial"/>
          <w:sz w:val="17"/>
          <w:szCs w:val="17"/>
          <w:b w:val="1"/>
          <w:bCs w:val="1"/>
          <w:color w:val="auto"/>
        </w:rPr>
      </w:pPr>
    </w:p>
    <w:p>
      <w:pPr>
        <w:ind w:left="760" w:hanging="266"/>
        <w:spacing w:after="0"/>
        <w:tabs>
          <w:tab w:leader="none" w:pos="7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 the ratification of the appointment of Deloitte &amp; Touche LLP as Westwood’s independent auditors for the year ending December 31, 2019,</w:t>
      </w:r>
    </w:p>
    <w:p>
      <w:pPr>
        <w:spacing w:after="0" w:line="32" w:lineRule="exact"/>
        <w:rPr>
          <w:rFonts w:ascii="Arial" w:cs="Arial" w:eastAsia="Arial" w:hAnsi="Arial"/>
          <w:sz w:val="16"/>
          <w:szCs w:val="16"/>
          <w:color w:val="auto"/>
        </w:rPr>
      </w:pPr>
    </w:p>
    <w:p>
      <w:pPr>
        <w:ind w:left="500" w:right="60" w:hanging="6"/>
        <w:spacing w:after="0" w:line="277" w:lineRule="auto"/>
        <w:tabs>
          <w:tab w:leader="none" w:pos="815" w:val="left"/>
        </w:tabs>
        <w:numPr>
          <w:ilvl w:val="1"/>
          <w:numId w:val="13"/>
        </w:numPr>
        <w:rPr>
          <w:rFonts w:ascii="Arial" w:cs="Arial" w:eastAsia="Arial" w:hAnsi="Arial"/>
          <w:sz w:val="17"/>
          <w:szCs w:val="17"/>
          <w:color w:val="auto"/>
        </w:rPr>
      </w:pPr>
      <w:r>
        <w:rPr>
          <w:rFonts w:ascii="Arial" w:cs="Arial" w:eastAsia="Arial" w:hAnsi="Arial"/>
          <w:sz w:val="17"/>
          <w:szCs w:val="17"/>
          <w:color w:val="auto"/>
        </w:rPr>
        <w:t>"FOR" the approval of the Sixth Amended and Restated Westwood Holdings Group, Inc. Stock Incentive Plan, (iv) "FOR" the approval, on a non-binding, advisory basis, of the Company's executive compensation, and (v) "FOR" the approval of the amendments to each of the Company's Amended and Restated Certificate of Incorporation, as amended and the Company's Amended and Restated Bylaws, as amended.</w:t>
      </w:r>
    </w:p>
    <w:p>
      <w:pPr>
        <w:spacing w:after="0" w:line="11"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356" w:lineRule="exact"/>
        <w:rPr>
          <w:sz w:val="20"/>
          <w:szCs w:val="20"/>
          <w:color w:val="auto"/>
        </w:rPr>
      </w:pPr>
    </w:p>
    <w:p>
      <w:pPr>
        <w:ind w:left="540" w:hanging="505"/>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sz w:val="20"/>
          <w:szCs w:val="20"/>
          <w:color w:val="auto"/>
        </w:rPr>
      </w:pPr>
    </w:p>
    <w:p>
      <w:pPr>
        <w:spacing w:after="0" w:line="218" w:lineRule="exact"/>
        <w:rPr>
          <w:sz w:val="20"/>
          <w:szCs w:val="20"/>
          <w:color w:val="auto"/>
        </w:rPr>
      </w:pPr>
    </w:p>
    <w:p>
      <w:pPr>
        <w:ind w:left="500" w:right="20" w:hanging="465"/>
        <w:spacing w:after="0" w:line="302" w:lineRule="auto"/>
        <w:tabs>
          <w:tab w:leader="none" w:pos="5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Stockholders of record at the close of business on March 4, 2019 (the "record date")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 thereof. As of March 4, 2019, there were 9,034,902 shares of common stock outstanding and entitled to vote on each of the proposals.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8" w:name="page9"/>
    <w:bookmarkEnd w:id="8"/>
    <w:p>
      <w:pPr>
        <w:ind w:left="465" w:hanging="465"/>
        <w:spacing w:after="0"/>
        <w:tabs>
          <w:tab w:leader="none" w:pos="46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00" w:lineRule="exact"/>
        <w:rPr>
          <w:sz w:val="20"/>
          <w:szCs w:val="20"/>
          <w:color w:val="auto"/>
        </w:rPr>
      </w:pPr>
    </w:p>
    <w:p>
      <w:pPr>
        <w:spacing w:after="0" w:line="218" w:lineRule="exact"/>
        <w:rPr>
          <w:sz w:val="20"/>
          <w:szCs w:val="20"/>
          <w:color w:val="auto"/>
        </w:rPr>
      </w:pPr>
    </w:p>
    <w:p>
      <w:pPr>
        <w:ind w:left="465" w:right="40" w:hanging="465"/>
        <w:spacing w:after="0" w:line="312" w:lineRule="auto"/>
        <w:tabs>
          <w:tab w:leader="none" w:pos="465"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We must have a quorum in order to carry on the business of the annual meeting. This means at least a majority of the shares of common stock outstanding as of the record date must be represented at the annual meeting, either by proxy or in person. Abstentions and broker non-votes, which are described in more detail below, are counted as shares present at the annual meeting for purposes of determining whether a quorum exists.</w:t>
      </w:r>
    </w:p>
    <w:p>
      <w:pPr>
        <w:spacing w:after="0" w:line="332" w:lineRule="exact"/>
        <w:rPr>
          <w:sz w:val="20"/>
          <w:szCs w:val="20"/>
          <w:color w:val="auto"/>
        </w:rPr>
      </w:pPr>
    </w:p>
    <w:p>
      <w:pPr>
        <w:ind w:left="505" w:hanging="505"/>
        <w:spacing w:after="0"/>
        <w:tabs>
          <w:tab w:leader="none" w:pos="50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18" w:lineRule="exact"/>
        <w:rPr>
          <w:sz w:val="20"/>
          <w:szCs w:val="20"/>
          <w:color w:val="auto"/>
        </w:rPr>
      </w:pPr>
    </w:p>
    <w:p>
      <w:pPr>
        <w:ind w:left="465" w:right="100" w:hanging="465"/>
        <w:spacing w:after="0" w:line="264" w:lineRule="auto"/>
        <w:tabs>
          <w:tab w:leader="none" w:pos="465"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in person at the annual meeting.</w:t>
      </w:r>
    </w:p>
    <w:p>
      <w:pPr>
        <w:spacing w:after="0" w:line="19" w:lineRule="exact"/>
        <w:rPr>
          <w:rFonts w:ascii="Arial" w:cs="Arial" w:eastAsia="Arial" w:hAnsi="Arial"/>
          <w:sz w:val="18"/>
          <w:szCs w:val="18"/>
          <w:b w:val="1"/>
          <w:bCs w:val="1"/>
          <w:color w:val="auto"/>
        </w:rPr>
      </w:pPr>
    </w:p>
    <w:p>
      <w:pPr>
        <w:ind w:left="465"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vote these shares in person at the annual meeting unless you obtain a valid proxy from your bank, broker or other nominee (who must be the stockholder of record) giving you the right to vote the shares.</w:t>
      </w:r>
    </w:p>
    <w:p>
      <w:pPr>
        <w:spacing w:after="0" w:line="378" w:lineRule="exact"/>
        <w:rPr>
          <w:sz w:val="20"/>
          <w:szCs w:val="20"/>
          <w:color w:val="auto"/>
        </w:rPr>
      </w:pPr>
    </w:p>
    <w:p>
      <w:pPr>
        <w:ind w:left="465" w:hanging="465"/>
        <w:spacing w:after="0"/>
        <w:tabs>
          <w:tab w:leader="none" w:pos="46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218" w:lineRule="exact"/>
        <w:rPr>
          <w:sz w:val="20"/>
          <w:szCs w:val="20"/>
          <w:color w:val="auto"/>
        </w:rPr>
      </w:pPr>
    </w:p>
    <w:p>
      <w:pPr>
        <w:ind w:left="465" w:right="20" w:hanging="465"/>
        <w:spacing w:after="0" w:line="257" w:lineRule="auto"/>
        <w:tabs>
          <w:tab w:leader="none" w:pos="46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26" w:lineRule="exact"/>
        <w:rPr>
          <w:rFonts w:ascii="Arial" w:cs="Arial" w:eastAsia="Arial" w:hAnsi="Arial"/>
          <w:sz w:val="18"/>
          <w:szCs w:val="18"/>
          <w:b w:val="1"/>
          <w:bCs w:val="1"/>
          <w:color w:val="auto"/>
        </w:rPr>
      </w:pPr>
    </w:p>
    <w:p>
      <w:pPr>
        <w:ind w:left="465"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Deloitte &amp; Touche LLP as Westwood’s independent auditors for the year ending December 31, 2019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364" w:lineRule="exact"/>
        <w:rPr>
          <w:sz w:val="20"/>
          <w:szCs w:val="20"/>
          <w:color w:val="auto"/>
        </w:rPr>
      </w:pPr>
    </w:p>
    <w:p>
      <w:pPr>
        <w:ind w:left="505" w:hanging="505"/>
        <w:spacing w:after="0"/>
        <w:tabs>
          <w:tab w:leader="none" w:pos="50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218" w:lineRule="exact"/>
        <w:rPr>
          <w:sz w:val="20"/>
          <w:szCs w:val="20"/>
          <w:color w:val="auto"/>
        </w:rPr>
      </w:pPr>
    </w:p>
    <w:p>
      <w:pPr>
        <w:ind w:left="465" w:right="220" w:hanging="465"/>
        <w:spacing w:after="0" w:line="297" w:lineRule="auto"/>
        <w:tabs>
          <w:tab w:leader="none" w:pos="465"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Proposal 1: The election of directors requires the affirmative "FOR" vote of a plurality of the shares represented in person or by proxy at the annual meeting and entitled to vote. This means that the six director nominees who receive the most votes will be elected. You may vote "FOR" or "WITHHOLD" with respect to the election of each director. As the election of directors is a non-routine matter under applicable rules, your bank, broker or other nominee cannot vote without instructions from you. Therefore, only "FOR" votes will be counted in determining whether a plurality has been cast in favor of a director. Broker non-votes and "WITHHOLD" votes will not affect the outcome on the election of directors.</w:t>
      </w:r>
    </w:p>
    <w:p>
      <w:pPr>
        <w:spacing w:after="0" w:line="63" w:lineRule="exact"/>
        <w:rPr>
          <w:rFonts w:ascii="Arial" w:cs="Arial" w:eastAsia="Arial" w:hAnsi="Arial"/>
          <w:sz w:val="16"/>
          <w:szCs w:val="16"/>
          <w:b w:val="1"/>
          <w:bCs w:val="1"/>
          <w:color w:val="auto"/>
        </w:rPr>
      </w:pPr>
    </w:p>
    <w:p>
      <w:pPr>
        <w:ind w:left="465" w:right="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Proposal 2: The ratification of the appointment of Deloitte &amp; Touche LLP as Westwood’s independent auditors for the year ending December 31, 2019 requires the affirmative "FOR" vote of a majority of the votes cast at the annual meeting. Abstentions will have no effect on the outcome of this proposal.</w:t>
      </w:r>
    </w:p>
    <w:p>
      <w:pPr>
        <w:spacing w:after="0" w:line="19" w:lineRule="exact"/>
        <w:rPr>
          <w:rFonts w:ascii="Arial" w:cs="Arial" w:eastAsia="Arial" w:hAnsi="Arial"/>
          <w:sz w:val="16"/>
          <w:szCs w:val="16"/>
          <w:b w:val="1"/>
          <w:bCs w:val="1"/>
          <w:color w:val="auto"/>
        </w:rPr>
      </w:pPr>
    </w:p>
    <w:p>
      <w:pPr>
        <w:ind w:left="465"/>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Proposal 3: The approval of the Sixth Amended and Restated Westwood Holdings Group, Inc. Stock Incentive Plan requires the affirmative "FOR" vote of a majority of the votes cast at the annual meeting. As the approval of Proposal 3 is a non-routine matter under applicable rules, your bank, broker or other nominee cannot vote without instructions from you. An abstention is a vote cast under current NYSE rules, and, as a result, abstentions will have the effect of a vote "AGAINST" this proposal. A broker non-vote, however, is not a vote cast under current NYSE rules, and, as a result, will have no effect on the outcome of this proposal.</w:t>
      </w:r>
    </w:p>
    <w:p>
      <w:pPr>
        <w:spacing w:after="0" w:line="26" w:lineRule="exact"/>
        <w:rPr>
          <w:rFonts w:ascii="Arial" w:cs="Arial" w:eastAsia="Arial" w:hAnsi="Arial"/>
          <w:sz w:val="16"/>
          <w:szCs w:val="16"/>
          <w:b w:val="1"/>
          <w:bCs w:val="1"/>
          <w:color w:val="auto"/>
        </w:rPr>
      </w:pPr>
    </w:p>
    <w:p>
      <w:pPr>
        <w:ind w:left="465" w:right="1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Proposal 4: The non-binding, advisory vote on the Company's executive compensation requires the affirmative "FOR" vote of a majority of the votes cast at the annual meeting. As the advisory vote on the Company's executive compensation is a non-routine matter under applicable rules, your bank, broker or other nominee cannot vote without instructions from you. Broker non-votes and abstentions will have no effect on the outcome of this proposal.</w:t>
      </w:r>
    </w:p>
    <w:p>
      <w:pPr>
        <w:sectPr>
          <w:pgSz w:w="11900" w:h="16838" w:orient="portrait"/>
          <w:cols w:equalWidth="0" w:num="1">
            <w:col w:w="11325"/>
          </w:cols>
          <w:pgMar w:left="275" w:top="742" w:right="299" w:bottom="1440" w:gutter="0" w:footer="0" w:header="0"/>
        </w:sectPr>
      </w:pPr>
    </w:p>
    <w:p>
      <w:pPr>
        <w:spacing w:after="0" w:line="241" w:lineRule="exact"/>
        <w:rPr>
          <w:sz w:val="20"/>
          <w:szCs w:val="20"/>
          <w:color w:val="auto"/>
        </w:rPr>
      </w:pPr>
    </w:p>
    <w:p>
      <w:pPr>
        <w:jc w:val="center"/>
        <w:ind w:right="-2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5"/>
          </w:cols>
          <w:pgMar w:left="275" w:top="742" w:right="299" w:bottom="1440" w:gutter="0" w:footer="0" w:header="0"/>
          <w:type w:val="continuous"/>
        </w:sectPr>
      </w:pPr>
    </w:p>
    <w:bookmarkStart w:id="9" w:name="page10"/>
    <w:bookmarkEnd w:id="9"/>
    <w:p>
      <w:pPr>
        <w:ind w:left="500" w:right="20"/>
        <w:spacing w:after="0" w:line="276" w:lineRule="auto"/>
        <w:rPr>
          <w:sz w:val="20"/>
          <w:szCs w:val="20"/>
          <w:color w:val="auto"/>
        </w:rPr>
      </w:pPr>
      <w:r>
        <w:rPr>
          <w:rFonts w:ascii="Arial" w:cs="Arial" w:eastAsia="Arial" w:hAnsi="Arial"/>
          <w:sz w:val="17"/>
          <w:szCs w:val="17"/>
          <w:color w:val="auto"/>
        </w:rPr>
        <w:t>Proposal 5: The approval of the amendments to each of the Amended and Restated Certificate of Incorporation, as amended and Amended and Restated Bylaws, as amended requires the affirmative "FOR" vote of the holders of at least two-third (2/3) of the outstanding shares of common stock. As the approval of amendments to the Amended and Restated Certificate of Incorporation, as amended, and Amended and Restated Bylaws, as amended, are non-routine matters under applicable rules, your bank, broker or other nominee cannot vote without instructions from you. Abstentions and broker non-votes will have the effect of a vote "AGAINST" this proposal.</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387" w:lineRule="exact"/>
        <w:rPr>
          <w:sz w:val="20"/>
          <w:szCs w:val="20"/>
          <w:color w:val="auto"/>
        </w:rPr>
      </w:pPr>
    </w:p>
    <w:p>
      <w:pPr>
        <w:ind w:left="480" w:hanging="445"/>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sz w:val="20"/>
          <w:szCs w:val="20"/>
          <w:color w:val="auto"/>
        </w:rPr>
      </w:pPr>
    </w:p>
    <w:p>
      <w:pPr>
        <w:spacing w:after="0" w:line="218" w:lineRule="exact"/>
        <w:rPr>
          <w:sz w:val="20"/>
          <w:szCs w:val="20"/>
          <w:color w:val="auto"/>
        </w:rPr>
      </w:pPr>
    </w:p>
    <w:p>
      <w:pPr>
        <w:ind w:left="500" w:right="540" w:hanging="465"/>
        <w:spacing w:after="0" w:line="277" w:lineRule="auto"/>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4, 2019, the record date, will be entitled to vote on the proposals at the annual meeting. Each share of common stock is entitled to one vote.</w:t>
      </w:r>
    </w:p>
    <w:p>
      <w:pPr>
        <w:spacing w:after="0" w:line="356" w:lineRule="exact"/>
        <w:rPr>
          <w:sz w:val="20"/>
          <w:szCs w:val="20"/>
          <w:color w:val="auto"/>
        </w:rPr>
      </w:pPr>
    </w:p>
    <w:p>
      <w:pPr>
        <w:ind w:left="520" w:hanging="485"/>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line="264" w:lineRule="auto"/>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If you are the record holder of your shares, you can vote by attending the annual meeting in person or by completing, signing and returning your proxy card in the enclosed postage-paid envelope. You can also vote by Internet at www.voteproxy.com using the control number shown on your proxy card or voting instruction card.</w:t>
      </w:r>
    </w:p>
    <w:p>
      <w:pPr>
        <w:spacing w:after="0" w:line="19" w:lineRule="exact"/>
        <w:rPr>
          <w:rFonts w:ascii="Arial" w:cs="Arial" w:eastAsia="Arial" w:hAnsi="Arial"/>
          <w:sz w:val="18"/>
          <w:szCs w:val="18"/>
          <w:b w:val="1"/>
          <w:bCs w:val="1"/>
          <w:color w:val="auto"/>
        </w:rPr>
      </w:pPr>
    </w:p>
    <w:p>
      <w:pPr>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357" w:lineRule="exact"/>
        <w:rPr>
          <w:sz w:val="20"/>
          <w:szCs w:val="20"/>
          <w:color w:val="auto"/>
        </w:rPr>
      </w:pPr>
    </w:p>
    <w:p>
      <w:pPr>
        <w:ind w:left="480" w:hanging="445"/>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218" w:lineRule="exact"/>
        <w:rPr>
          <w:sz w:val="20"/>
          <w:szCs w:val="20"/>
          <w:color w:val="auto"/>
        </w:rPr>
      </w:pPr>
    </w:p>
    <w:p>
      <w:pPr>
        <w:ind w:left="500" w:hanging="465"/>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63" w:lineRule="exact"/>
        <w:rPr>
          <w:rFonts w:ascii="Arial" w:cs="Arial" w:eastAsia="Arial" w:hAnsi="Arial"/>
          <w:sz w:val="18"/>
          <w:szCs w:val="18"/>
          <w:b w:val="1"/>
          <w:bCs w:val="1"/>
          <w:color w:val="auto"/>
        </w:rPr>
      </w:pPr>
    </w:p>
    <w:p>
      <w:pPr>
        <w:ind w:left="1060" w:right="280" w:hanging="566"/>
        <w:spacing w:after="0" w:line="277"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8" w:lineRule="exact"/>
        <w:rPr>
          <w:rFonts w:ascii="Arial" w:cs="Arial" w:eastAsia="Arial" w:hAnsi="Arial"/>
          <w:sz w:val="18"/>
          <w:szCs w:val="18"/>
          <w:color w:val="auto"/>
        </w:rPr>
      </w:pPr>
    </w:p>
    <w:p>
      <w:pPr>
        <w:ind w:left="1060" w:hanging="566"/>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63" w:lineRule="exact"/>
        <w:rPr>
          <w:rFonts w:ascii="Arial" w:cs="Arial" w:eastAsia="Arial" w:hAnsi="Arial"/>
          <w:sz w:val="18"/>
          <w:szCs w:val="18"/>
          <w:color w:val="auto"/>
        </w:rPr>
      </w:pPr>
    </w:p>
    <w:p>
      <w:pPr>
        <w:ind w:left="1060" w:hanging="566"/>
        <w:spacing w:after="0"/>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Attending our annual meeting and voting in person.</w:t>
      </w:r>
    </w:p>
    <w:p>
      <w:pPr>
        <w:spacing w:after="0" w:line="374" w:lineRule="exact"/>
        <w:rPr>
          <w:sz w:val="20"/>
          <w:szCs w:val="20"/>
          <w:color w:val="auto"/>
        </w:rPr>
      </w:pPr>
    </w:p>
    <w:p>
      <w:pPr>
        <w:ind w:left="560" w:right="300"/>
        <w:spacing w:after="0" w:line="264"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366"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sz w:val="20"/>
          <w:szCs w:val="20"/>
          <w:color w:val="auto"/>
        </w:rPr>
      </w:pPr>
    </w:p>
    <w:p>
      <w:pPr>
        <w:spacing w:after="0" w:line="218" w:lineRule="exact"/>
        <w:rPr>
          <w:sz w:val="20"/>
          <w:szCs w:val="20"/>
          <w:color w:val="auto"/>
        </w:rPr>
      </w:pPr>
    </w:p>
    <w:p>
      <w:pPr>
        <w:ind w:left="500" w:right="100" w:hanging="465"/>
        <w:spacing w:after="0" w:line="277" w:lineRule="auto"/>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387"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02" w:lineRule="exact"/>
        <w:rPr>
          <w:sz w:val="20"/>
          <w:szCs w:val="20"/>
          <w:color w:val="auto"/>
        </w:rPr>
      </w:pPr>
    </w:p>
    <w:p>
      <w:pPr>
        <w:ind w:left="500" w:right="580" w:hanging="465"/>
        <w:spacing w:after="0" w:line="277" w:lineRule="auto"/>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880,542 shares, or approximately 9.7%, of our outstanding common stock as of March 4, 2019.</w:t>
      </w:r>
    </w:p>
    <w:p>
      <w:pPr>
        <w:spacing w:after="0" w:line="75" w:lineRule="exact"/>
        <w:rPr>
          <w:rFonts w:ascii="Arial" w:cs="Arial" w:eastAsia="Arial" w:hAnsi="Arial"/>
          <w:sz w:val="18"/>
          <w:szCs w:val="18"/>
          <w:b w:val="1"/>
          <w:bCs w:val="1"/>
          <w:color w:val="auto"/>
        </w:rPr>
      </w:pPr>
    </w:p>
    <w:p>
      <w:pPr>
        <w:ind w:left="5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ectPr>
          <w:pgSz w:w="11900" w:h="16838" w:orient="portrait"/>
          <w:cols w:equalWidth="0" w:num="1">
            <w:col w:w="11360"/>
          </w:cols>
          <w:pgMar w:left="240" w:top="530"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530" w:right="299" w:bottom="1440" w:gutter="0" w:footer="0" w:header="0"/>
          <w:type w:val="continuous"/>
        </w:sectPr>
      </w:pPr>
    </w:p>
    <w:bookmarkStart w:id="10" w:name="page11"/>
    <w:bookmarkEnd w:id="10"/>
    <w:p>
      <w:pPr>
        <w:ind w:left="540" w:hanging="505"/>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200" w:lineRule="exact"/>
        <w:rPr>
          <w:sz w:val="20"/>
          <w:szCs w:val="20"/>
          <w:color w:val="auto"/>
        </w:rPr>
      </w:pPr>
    </w:p>
    <w:p>
      <w:pPr>
        <w:spacing w:after="0" w:line="218" w:lineRule="exact"/>
        <w:rPr>
          <w:sz w:val="20"/>
          <w:szCs w:val="20"/>
          <w:color w:val="auto"/>
        </w:rPr>
      </w:pPr>
    </w:p>
    <w:p>
      <w:pPr>
        <w:ind w:left="500" w:right="340" w:hanging="465"/>
        <w:spacing w:after="0" w:line="291" w:lineRule="auto"/>
        <w:tabs>
          <w:tab w:leader="none" w:pos="50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Based on our review of Schedule 13G, Schedule 13D and Form 13F filings, as of March 4, 2019, the ten institutional stockholders with the largest percentage ownership of our outstanding common stock were BlackRock, Inc. (8.1%), Wells Fargo &amp; Company (8.0%), GAMCO Investors, Inc.</w:t>
      </w:r>
    </w:p>
    <w:p>
      <w:pPr>
        <w:ind w:left="500" w:right="36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(6.2%), Conestoga Capital Advisors, LLC (5.6%), Renaissance Technologies LLC (5.5%), Dimensional Fund Advisors LP (4.1%), The Vanguard Group, Inc. (4.0%), Royce &amp; Associates, LP (2.2%), SSgA Funds Management Inc. (1.7%) and DePrince, Race &amp; Zollo, Inc. (1.4%).</w:t>
      </w:r>
    </w:p>
    <w:p>
      <w:pPr>
        <w:spacing w:after="0" w:line="44" w:lineRule="exact"/>
        <w:rPr>
          <w:rFonts w:ascii="Arial" w:cs="Arial" w:eastAsia="Arial" w:hAnsi="Arial"/>
          <w:sz w:val="16"/>
          <w:szCs w:val="16"/>
          <w:b w:val="1"/>
          <w:bCs w:val="1"/>
          <w:color w:val="auto"/>
        </w:rPr>
      </w:pPr>
    </w:p>
    <w:p>
      <w:pPr>
        <w:ind w:left="500" w:right="2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Brian O. Casey, our President and Chief Executive Officer, owned 3.7%, Susan M. Byrne, our Vice Chairman, owned 2.7% and Mark R. Freeman, our former Chief Investment Officer, owned 1.0%, of our outstanding common stock as of March 4, 2019. Our employees and directors, including Ms. Byrne and Messrs. Casey and Freeman, collectively owned approximately [21%] of our outstanding common stock as of March 4,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387" w:lineRule="exact"/>
        <w:rPr>
          <w:sz w:val="20"/>
          <w:szCs w:val="20"/>
          <w:color w:val="auto"/>
        </w:rPr>
      </w:pPr>
    </w:p>
    <w:p>
      <w:pPr>
        <w:ind w:left="460" w:hanging="425"/>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the 2019 annual meeting of stockholders?</w:t>
      </w:r>
    </w:p>
    <w:p>
      <w:pPr>
        <w:spacing w:after="0" w:line="200" w:lineRule="exact"/>
        <w:rPr>
          <w:sz w:val="20"/>
          <w:szCs w:val="20"/>
          <w:color w:val="auto"/>
        </w:rPr>
      </w:pPr>
    </w:p>
    <w:p>
      <w:pPr>
        <w:spacing w:after="0" w:line="218" w:lineRule="exact"/>
        <w:rPr>
          <w:sz w:val="20"/>
          <w:szCs w:val="20"/>
          <w:color w:val="auto"/>
        </w:rPr>
      </w:pPr>
    </w:p>
    <w:p>
      <w:pPr>
        <w:ind w:left="500" w:hanging="465"/>
        <w:spacing w:after="0" w:line="279" w:lineRule="auto"/>
        <w:tabs>
          <w:tab w:leader="none" w:pos="50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To be included in the proxy statement for the 2020 annual meeting, stockholder proposals must be in writing and must be received by Westwood at our principal executive office at 200 Crescent Court, Suite 1200, Dallas, Texas 75201, Attn: Corporate Secretary, no later than November 18, 2019. In addition, such stockholder proposals must comply with Rule 14a-8 under the Securities Exchange Act of 1934, as amended (the "Exchange Act"), which lists the requirements for the inclusion of stockholder proposals in company-sponsored proxy materials.</w:t>
      </w:r>
    </w:p>
    <w:p>
      <w:pPr>
        <w:spacing w:after="0" w:line="9" w:lineRule="exact"/>
        <w:rPr>
          <w:rFonts w:ascii="Arial" w:cs="Arial" w:eastAsia="Arial" w:hAnsi="Arial"/>
          <w:sz w:val="17"/>
          <w:szCs w:val="17"/>
          <w:b w:val="1"/>
          <w:bCs w:val="1"/>
          <w:color w:val="auto"/>
        </w:rPr>
      </w:pPr>
    </w:p>
    <w:p>
      <w:pPr>
        <w:ind w:left="50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If a stockholder intends to present a proposal at the 2020 annual meeting, but does not seek to include the proposal in the 2020 proxy statement, notice of the proposal must be received by Westwood at our principal executive offices at least 45 calendar days before the date of this proxy statement, or your proxy will confer discretionary authority on the person(s) named in the form of proxy for the 2020 annual meeting to vote on the proposal if it is properly presented for consideration at the meeting.</w:t>
      </w:r>
    </w:p>
    <w:p>
      <w:pPr>
        <w:spacing w:after="0" w:line="372" w:lineRule="exact"/>
        <w:rPr>
          <w:sz w:val="20"/>
          <w:szCs w:val="20"/>
          <w:color w:val="auto"/>
        </w:rPr>
      </w:pPr>
    </w:p>
    <w:p>
      <w:pPr>
        <w:ind w:left="500" w:right="300" w:hanging="465"/>
        <w:spacing w:after="0" w:line="282" w:lineRule="auto"/>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recommend or nominate individuals to serve as directors, and what is the deadline to propose or nominate individuals to serve as directors?</w:t>
      </w:r>
    </w:p>
    <w:p>
      <w:pPr>
        <w:spacing w:after="0" w:line="355" w:lineRule="exact"/>
        <w:rPr>
          <w:sz w:val="20"/>
          <w:szCs w:val="20"/>
          <w:color w:val="auto"/>
        </w:rPr>
      </w:pPr>
    </w:p>
    <w:p>
      <w:pPr>
        <w:ind w:left="500" w:right="100" w:hanging="465"/>
        <w:spacing w:after="0" w:line="297" w:lineRule="auto"/>
        <w:tabs>
          <w:tab w:leader="none" w:pos="50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You may propose director candidates for consideration by the Governance/Nominating Committee of our Board of Directors. Any such recommendations must be in writing to our Corporate Secretary at our principal executive office and received at least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annual meeting, then the deadline is a reasonable time before we begin to print and mail our proxy materials.</w:t>
      </w:r>
    </w:p>
    <w:p>
      <w:pPr>
        <w:spacing w:after="0" w:line="63" w:lineRule="exact"/>
        <w:rPr>
          <w:rFonts w:ascii="Arial" w:cs="Arial" w:eastAsia="Arial" w:hAnsi="Arial"/>
          <w:sz w:val="16"/>
          <w:szCs w:val="16"/>
          <w:b w:val="1"/>
          <w:bCs w:val="1"/>
          <w:color w:val="auto"/>
        </w:rPr>
      </w:pPr>
    </w:p>
    <w:p>
      <w:pPr>
        <w:ind w:left="500" w:right="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For the 2020 annual meeting, the deadline for proposing or nominating individuals to serve as director is November 18, 2019. Director candidates recommended by stockholders are evaluated by the Governance/Nominating Committee based on the same criteria applied by the Governance/Nominating Committee to director candidates identified by that committee. To be valid, a stockholder’s notice to the Corporate Secretary must set forth specified information, as further described in "Corporate Governance Information—Director Nominees."</w:t>
      </w:r>
    </w:p>
    <w:p>
      <w:pPr>
        <w:spacing w:after="0" w:line="357" w:lineRule="exact"/>
        <w:rPr>
          <w:sz w:val="20"/>
          <w:szCs w:val="20"/>
          <w:color w:val="auto"/>
        </w:rPr>
      </w:pPr>
    </w:p>
    <w:p>
      <w:pPr>
        <w:ind w:left="500" w:hanging="465"/>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18" w:lineRule="exact"/>
        <w:rPr>
          <w:sz w:val="20"/>
          <w:szCs w:val="20"/>
          <w:color w:val="auto"/>
        </w:rPr>
      </w:pPr>
    </w:p>
    <w:p>
      <w:pPr>
        <w:jc w:val="both"/>
        <w:ind w:left="500" w:right="280" w:hanging="465"/>
        <w:spacing w:after="0" w:line="264" w:lineRule="auto"/>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366" w:lineRule="exact"/>
        <w:rPr>
          <w:sz w:val="20"/>
          <w:szCs w:val="20"/>
          <w:color w:val="auto"/>
        </w:rPr>
      </w:pPr>
    </w:p>
    <w:p>
      <w:pPr>
        <w:ind w:left="540" w:hanging="505"/>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pacing w:after="0" w:line="200" w:lineRule="exact"/>
        <w:rPr>
          <w:sz w:val="20"/>
          <w:szCs w:val="20"/>
          <w:color w:val="auto"/>
        </w:rPr>
      </w:pPr>
    </w:p>
    <w:p>
      <w:pPr>
        <w:spacing w:after="0" w:line="218" w:lineRule="exact"/>
        <w:rPr>
          <w:sz w:val="20"/>
          <w:szCs w:val="20"/>
          <w:color w:val="auto"/>
        </w:rPr>
      </w:pPr>
    </w:p>
    <w:p>
      <w:pPr>
        <w:ind w:left="500" w:right="520" w:hanging="465"/>
        <w:spacing w:after="0" w:line="277" w:lineRule="auto"/>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7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Terry Forbes, Chief Financial Officer &amp; Treasurer</w:t>
      </w:r>
    </w:p>
    <w:p>
      <w:pPr>
        <w:spacing w:after="0" w:line="76" w:lineRule="exact"/>
        <w:rPr>
          <w:rFonts w:ascii="Arial" w:cs="Arial" w:eastAsia="Arial" w:hAnsi="Arial"/>
          <w:sz w:val="18"/>
          <w:szCs w:val="18"/>
          <w:b w:val="1"/>
          <w:bCs w:val="1"/>
          <w:color w:val="auto"/>
        </w:rPr>
      </w:pPr>
    </w:p>
    <w:p>
      <w:pPr>
        <w:ind w:left="500" w:right="8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Westwood Holdings Group, Inc. 200 Crescent Court, Suite 1200 Dallas, Texas 75201 Telephone: (214) 756-6900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ectPr>
          <w:pgSz w:w="11900" w:h="16838" w:orient="portrait"/>
          <w:cols w:equalWidth="0" w:num="1">
            <w:col w:w="11360"/>
          </w:cols>
          <w:pgMar w:left="240" w:top="526"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26" w:right="299" w:bottom="1440" w:gutter="0" w:footer="0" w:header="0"/>
          <w:type w:val="continuous"/>
        </w:sectPr>
      </w:pPr>
    </w:p>
    <w:bookmarkStart w:id="11" w:name="page12"/>
    <w:bookmarkEnd w:id="11"/>
    <w:p>
      <w:pPr>
        <w:spacing w:after="0" w:line="261"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2018, filed with the Securities and Exchange Commission ("SEC") on February 21, 2019 (the "2018 Form 10-K"), which is being sent to you with this proxy statement.</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540" w:right="5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8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bylaws provide that the Board of Directors of the Company (the "Board") will consist of between three and eleven directors, as determined from time to time by resolution of the Board. The Board has previously set the number of directors at eight but reduced the number of directors to six for the current term. The terms of the eight incumbent directors expire at the 2019 Annual Meeting. Each director elected at the 2019 Annual Meeting will serve until the 2020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11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14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4, 2019. A plurality of the shares represented in person or by proxy at the annual meeting and entitled to vote is required for the election of directors. This means that the six director nominees who receive the most votes will be elected. Votes may be cast in favor of a director nominee or withheld. Stockholders may withhold authority to vote for any individual nominee by marking "FOR ALL EXCEPT" and then filling in the circle next to such director's name in the space provided for such purpose on the proxy card. Broker non-votes and votes that are withheld will be excluded entirely from the vote and will have no effect. Votes that are withheld for a particular nominee will be excluded from the vote for that nominee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persons nominated to be directors are listed below. The following information is submitted concerning the nominees for election as directors: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 With Westwood</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Brian O. Casey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Richard M. Frank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Susan M. Byrne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Vice Chairman of the Board of Directors</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Ellen H. Masterson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Geoffrey R. Norman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2"/>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Raymond E. Wooldridge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Brian O. Casey </w:t>
      </w:r>
      <w:r>
        <w:rPr>
          <w:rFonts w:ascii="Arial" w:cs="Arial" w:eastAsia="Arial" w:hAnsi="Arial"/>
          <w:sz w:val="17"/>
          <w:szCs w:val="17"/>
          <w:color w:val="auto"/>
        </w:rPr>
        <w:t>has served Westwood as Chief Executive Officer of Westwood since January 2006, as President and a director since its inception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devoted exclusively to raising money for the Texas Scottish Rite Hospital for Children. From 2008 until 2017, he served on the board of the Baylor Health Care System Foundation, which helps raise money to support Baylor Health Care System's mission of patient care, education, research and community service. In 2011, he was appointed to the Board of the Cooper Institute, an organization dedicated to scientific research in the field of preventative medicine and public health.</w:t>
      </w:r>
    </w:p>
    <w:p>
      <w:pPr>
        <w:spacing w:after="0" w:line="14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As the Chief Executive Officer of the Company and with over 20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1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 xml:space="preserve">Richard M. Frank </w:t>
      </w:r>
      <w:r>
        <w:rPr>
          <w:rFonts w:ascii="Arial" w:cs="Arial" w:eastAsia="Arial" w:hAnsi="Arial"/>
          <w:sz w:val="16"/>
          <w:szCs w:val="16"/>
          <w:color w:val="auto"/>
        </w:rPr>
        <w:t>has served as a director of Westwood and Westwood Trust since February 2006, and as Chairman of the Board of Directors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1,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12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14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Susan M. Byrne </w:t>
      </w:r>
      <w:r>
        <w:rPr>
          <w:rFonts w:ascii="Arial" w:cs="Arial" w:eastAsia="Arial" w:hAnsi="Arial"/>
          <w:sz w:val="17"/>
          <w:szCs w:val="17"/>
          <w:color w:val="auto"/>
        </w:rPr>
        <w:t>has served as a director of Westwood since its inception in December 2001 and served as Chairman of the Board of Directors from</w:t>
      </w:r>
      <w:r>
        <w:rPr>
          <w:rFonts w:ascii="Arial" w:cs="Arial" w:eastAsia="Arial" w:hAnsi="Arial"/>
          <w:sz w:val="17"/>
          <w:szCs w:val="17"/>
          <w:i w:val="1"/>
          <w:iCs w:val="1"/>
          <w:color w:val="auto"/>
        </w:rPr>
        <w:t xml:space="preserve"> </w:t>
      </w:r>
      <w:r>
        <w:rPr>
          <w:rFonts w:ascii="Arial" w:cs="Arial" w:eastAsia="Arial" w:hAnsi="Arial"/>
          <w:sz w:val="17"/>
          <w:szCs w:val="17"/>
          <w:color w:val="auto"/>
        </w:rPr>
        <w:t>Westwood's inception through May 1, 2015, at which time she began serving as Vice Chairman of the Board of Directors, a position which she currently holds. Ms. Byrne also serves as a consultant to the Company under an agreement dated March 17, 2015. Ms. Byrne served as Director, Global Initiatives for Westwood from February 2012 to July 2015. She served Westwood as Co-Chief Investment Officer from January 2011 to February 2012, as Chief Investment Officer from January 2006 to January 2011, and as Chief Executive Officer from December 2001 to December 2005. Ms. Byrne is the founder of Westwood Management Corp., and has served as its Chairman of the Board since 1983, as Chief Investment Officer from 1983 to February 2012, as Chief Executive Officer from 1983 to 2005, and as President from 1983 to 2002. She served as a director of Westwood Trust from 1996 to 1999 and again since 2016. She is a Trustee of the Dallas Museum of Art, where she also serves on the Executive Committee and as Treasurer. She serves as a Trustee of the Impact Dallas Capital Board and as a Trustee of the Naval Postgraduate School Foundation, and she has previously served as a member of the Board of Presbyterian Communities &amp; Services Foundation, as a member of the Board of the University of Texas Investment Management Company, and as a member of the Board of Trustees for the City of Dallas Employees Retirement Fund.</w:t>
      </w:r>
    </w:p>
    <w:p>
      <w:pPr>
        <w:spacing w:after="0" w:line="14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4" w:name="page15"/>
    <w:bookmarkEnd w:id="14"/>
    <w:p>
      <w:pPr>
        <w:ind w:right="200" w:firstLine="405"/>
        <w:spacing w:after="0" w:line="290" w:lineRule="auto"/>
        <w:rPr>
          <w:sz w:val="20"/>
          <w:szCs w:val="20"/>
          <w:color w:val="auto"/>
        </w:rPr>
      </w:pPr>
      <w:r>
        <w:rPr>
          <w:rFonts w:ascii="Arial" w:cs="Arial" w:eastAsia="Arial" w:hAnsi="Arial"/>
          <w:sz w:val="16"/>
          <w:szCs w:val="16"/>
          <w:i w:val="1"/>
          <w:iCs w:val="1"/>
          <w:color w:val="auto"/>
        </w:rPr>
        <w:t xml:space="preserve">Ellen H. Masterson </w:t>
      </w:r>
      <w:r>
        <w:rPr>
          <w:rFonts w:ascii="Arial" w:cs="Arial" w:eastAsia="Arial" w:hAnsi="Arial"/>
          <w:sz w:val="16"/>
          <w:szCs w:val="16"/>
          <w:color w:val="auto"/>
        </w:rPr>
        <w:t>has served as a director of Westwood and Westwood Trust since 2014. She retired as a partner with PricewaterhouseCoopers</w:t>
      </w:r>
      <w:r>
        <w:rPr>
          <w:rFonts w:ascii="Arial" w:cs="Arial" w:eastAsia="Arial" w:hAnsi="Arial"/>
          <w:sz w:val="16"/>
          <w:szCs w:val="16"/>
          <w:i w:val="1"/>
          <w:iCs w:val="1"/>
          <w:color w:val="auto"/>
        </w:rPr>
        <w:t xml:space="preserve"> </w:t>
      </w:r>
      <w:r>
        <w:rPr>
          <w:rFonts w:ascii="Arial" w:cs="Arial" w:eastAsia="Arial" w:hAnsi="Arial"/>
          <w:sz w:val="16"/>
          <w:szCs w:val="16"/>
          <w:color w:val="auto"/>
        </w:rPr>
        <w:t>("PwC") in 2008, having served in such capacity since 1999 and also from 1985 to 1997. Ms. Masterson specialized in the audits of companies involved in the financial services industry, including investment management firms and public companies with a focus on mergers and acquisitions. She held senior leadership positions at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also on the Board of Governors of The Doctors Company, the largest doctor-owned medical malpractice insurer in the U.S. Since 1982, she has served on the boards of directors for several nonprofit and charitable organizations.</w:t>
      </w:r>
    </w:p>
    <w:p>
      <w:pPr>
        <w:spacing w:after="0" w:line="12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14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Geoffrey R. Norman </w:t>
      </w:r>
      <w:r>
        <w:rPr>
          <w:rFonts w:ascii="Arial" w:cs="Arial" w:eastAsia="Arial" w:hAnsi="Arial"/>
          <w:sz w:val="17"/>
          <w:szCs w:val="17"/>
          <w:color w:val="auto"/>
        </w:rPr>
        <w:t>has served as a director of Westwood and Westwood Trust since April 2007. He was employed by General Electric from 1968 to</w:t>
      </w:r>
      <w:r>
        <w:rPr>
          <w:rFonts w:ascii="Arial" w:cs="Arial" w:eastAsia="Arial" w:hAnsi="Arial"/>
          <w:sz w:val="17"/>
          <w:szCs w:val="17"/>
          <w:i w:val="1"/>
          <w:iCs w:val="1"/>
          <w:color w:val="auto"/>
        </w:rPr>
        <w:t xml:space="preserve"> </w:t>
      </w:r>
      <w:r>
        <w:rPr>
          <w:rFonts w:ascii="Arial" w:cs="Arial" w:eastAsia="Arial" w:hAnsi="Arial"/>
          <w:sz w:val="17"/>
          <w:szCs w:val="17"/>
          <w:color w:val="auto"/>
        </w:rPr>
        <w:t>2004, serving in various roles including Comptroller of GE Española, Chief Financial Officer of GE International Contractor Equipment, Vice President &amp; Treasurer of GE Capital, and from April 1998 to March 2004 as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132"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11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i w:val="1"/>
          <w:iCs w:val="1"/>
          <w:color w:val="auto"/>
        </w:rPr>
        <w:t xml:space="preserve">Raymond E. Wooldridge </w:t>
      </w:r>
      <w:r>
        <w:rPr>
          <w:rFonts w:ascii="Arial" w:cs="Arial" w:eastAsia="Arial" w:hAnsi="Arial"/>
          <w:sz w:val="16"/>
          <w:szCs w:val="16"/>
          <w:color w:val="auto"/>
        </w:rPr>
        <w:t>has served as a director of Westwood since it became a public company in December 2001. He has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Westwood Trust since 2000. Mr. Wooldridge is Chairman of the Board of Reeves Bancshares, Inc., a one-bank holding company whose principal subsidiary is Stockmans Bank serving southwestern Oklahoma and the Dallas area. He also serves as director and Investment Committee member of the Catholic Diocese Educational Endowment Trust Fund. Until February 2014, Mr. Wooldridge was a director of CEC, a Dallas-based company that operates a chain of pizza and children's entertainment restaurants. CEC was an NYSE-listed company until February 2014. He was also a director of Davidson Companies, Inc., a large financial services holding company headquartered in Montana, from 1994 to 2009. He also served as a director of Davidson Trust Company, a wealth management and trust firm, from 2001 to 2005. From 1986 to 1999, he was a director of SWS Group, Inc. ("SWS"); from 1996 to 1999, he served as the Vice Chairman and Chairman of the Executive Committee of SWS; from 1993 to 1996, he served as Chief Executive Officer of SWS; and from 1986 to 1993, he served as President and Chief Operating Officer of SWS. He is a past Chairman of the National Securities Clearing Corporation, a national clearing agency registered with the SEC, and past Vice Chairman of the Board of Governors of the National Association of Securities Dealers.</w:t>
      </w:r>
    </w:p>
    <w:p>
      <w:pPr>
        <w:spacing w:after="0" w:line="1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Mr. Wooldridge brings extensive financial, operational, regulatory and strategy expertise to the Board, having served in senior executive roles with SWS for over 13 years. In addition, as a former senior executive and director of SWS, our former parent company, Mr. Wooldridge developed intimate knowledge of the Company's operations, firm history and competitive landscape. Mr. Wooldridge brings valuable experience in business, governance, compensation and financial matters through his current and prior service as a director for other public and private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81"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The Board of Directors held seven meetings during 2018. All of the incumbent director nominees attended all of the meetings held in 2018. The standing committees of the Board of Directors currently consist of the Audit Committee, the Compensation Committee and the Governance/Nominating Committee. The membership and duties of these committees are described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Governance/Nominating</w:t>
            </w:r>
          </w:p>
        </w:tc>
      </w:tr>
      <w:tr>
        <w:trPr>
          <w:trHeight w:val="192"/>
        </w:trPr>
        <w:tc>
          <w:tcPr>
            <w:tcW w:w="55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8"/>
                <w:szCs w:val="8"/>
                <w:b w:val="1"/>
                <w:bCs w:val="1"/>
                <w:i w:val="1"/>
                <w:iCs w:val="1"/>
                <w:color w:val="auto"/>
              </w:rPr>
              <w:t>(1)</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Richard M. Frank</w:t>
            </w:r>
            <w:r>
              <w:rPr>
                <w:rFonts w:ascii="Arial" w:cs="Arial" w:eastAsia="Arial" w:hAnsi="Arial"/>
                <w:sz w:val="25"/>
                <w:szCs w:val="25"/>
                <w:color w:val="auto"/>
                <w:vertAlign w:val="superscript"/>
              </w:rPr>
              <w:t>(2)</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C</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5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Ellen H. Masterson</w:t>
            </w:r>
            <w:r>
              <w:rPr>
                <w:rFonts w:ascii="Arial" w:cs="Arial" w:eastAsia="Arial" w:hAnsi="Arial"/>
                <w:sz w:val="25"/>
                <w:szCs w:val="25"/>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D. McTeer</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5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Geoffrey R. Norman</w:t>
            </w:r>
            <w:r>
              <w:rPr>
                <w:rFonts w:ascii="Arial" w:cs="Arial" w:eastAsia="Arial" w:hAnsi="Arial"/>
                <w:sz w:val="25"/>
                <w:szCs w:val="25"/>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Martin J. Weiland</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M</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Raymond E. Wooldridge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rPr>
              <w:t>M</w:t>
            </w:r>
          </w:p>
        </w:tc>
        <w:tc>
          <w:tcPr>
            <w:tcW w:w="156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134"/>
        </w:trPr>
        <w:tc>
          <w:tcPr>
            <w:tcW w:w="550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ind w:right="10000" w:firstLine="8"/>
        <w:spacing w:after="0" w:line="283" w:lineRule="auto"/>
        <w:tabs>
          <w:tab w:leader="none" w:pos="272"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Committee member C Committee chair</w:t>
      </w:r>
    </w:p>
    <w:p>
      <w:pPr>
        <w:spacing w:after="0" w:line="1" w:lineRule="exact"/>
        <w:rPr>
          <w:sz w:val="20"/>
          <w:szCs w:val="20"/>
          <w:color w:val="auto"/>
        </w:rPr>
      </w:pPr>
    </w:p>
    <w:p>
      <w:pPr>
        <w:ind w:left="660" w:right="160" w:hanging="652"/>
        <w:spacing w:after="0" w:line="251"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ind w:left="660" w:hanging="652"/>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14" w:lineRule="exact"/>
        <w:rPr>
          <w:rFonts w:ascii="Arial" w:cs="Arial" w:eastAsia="Arial" w:hAnsi="Arial"/>
          <w:sz w:val="14"/>
          <w:szCs w:val="14"/>
          <w:color w:val="auto"/>
        </w:rPr>
      </w:pPr>
    </w:p>
    <w:p>
      <w:pPr>
        <w:ind w:left="660" w:right="140" w:hanging="652"/>
        <w:spacing w:after="0" w:line="263"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77"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operates pursuant to a charter approved by our Board of Directors, which the Audit Committee reviews</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The Audit Committee met five times during 2018. All members of the Audit Committee attended all of the meetings held in 2018.</w:t>
      </w:r>
    </w:p>
    <w:p>
      <w:pPr>
        <w:spacing w:after="0" w:line="14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operates pursuant to a charter approved by our Board of Directors, which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Compensation Committee authorizes and determines all compensation for our executive officers, administers our incentive 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and administers other matters relating to compensation and benefits. The Compensation Committee met seven times during 2018. All members of the Compensation Committee attended all of the meetings held in 2018.</w:t>
      </w:r>
    </w:p>
    <w:p>
      <w:pPr>
        <w:spacing w:after="0" w:line="12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Governance/Nominating Committee</w:t>
      </w:r>
      <w:r>
        <w:rPr>
          <w:rFonts w:ascii="Arial" w:cs="Arial" w:eastAsia="Arial" w:hAnsi="Arial"/>
          <w:sz w:val="17"/>
          <w:szCs w:val="17"/>
          <w:color w:val="auto"/>
        </w:rPr>
        <w:t>. The Governance/Nominating Committee operates pursuant to a charter approved by our Board of Directors,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Governance/Nominating 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four times during 2018. All members of the Governance/Nominating Committee attended all of the meetings held in 2018.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07" w:right="239" w:bottom="1440" w:gutter="0" w:footer="0" w:header="0"/>
        </w:sectPr>
      </w:pPr>
    </w:p>
    <w:bookmarkStart w:id="16" w:name="page17"/>
    <w:bookmarkEnd w:id="16"/>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77" w:lineRule="exact"/>
        <w:rPr>
          <w:sz w:val="20"/>
          <w:szCs w:val="20"/>
          <w:color w:val="auto"/>
        </w:rPr>
      </w:pPr>
    </w:p>
    <w:p>
      <w:pPr>
        <w:ind w:right="520" w:firstLine="405"/>
        <w:spacing w:after="0" w:line="312" w:lineRule="auto"/>
        <w:rPr>
          <w:sz w:val="20"/>
          <w:szCs w:val="20"/>
          <w:color w:val="auto"/>
        </w:rPr>
      </w:pPr>
      <w:r>
        <w:rPr>
          <w:rFonts w:ascii="Arial" w:cs="Arial" w:eastAsia="Arial" w:hAnsi="Arial"/>
          <w:sz w:val="16"/>
          <w:szCs w:val="16"/>
          <w:color w:val="auto"/>
        </w:rPr>
        <w:t>Our Board of Directors has adopted Corporate Governance Guidelines regarding director independence, among other matters. The full text of our Corporate Governance Guidelines is available on our website at westwoodgroup.com. In addition, a copy of our Corporate Governance Guidelines is available upon written request to our Corporate Secretary at our principal executive office (200 Crescent Court, Suite 1200, Dallas, Texas 75201).</w:t>
      </w:r>
    </w:p>
    <w:p>
      <w:pPr>
        <w:spacing w:after="0" w:line="106"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2018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12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a result, the Board affirmatively determined that Messrs. Frank, McTeer, Norman, Weiland and Wooldridge and Ms. Masterson are "independent" as defined under SEC and NYSE rules. Ms. Byrne, who currently serves as a consultant to the Company, and Mr. Casey, who served as an executive officer of the Company during 2018, are not independent directors.</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7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149"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7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&amp; Touche LLP, the Company's independent auditor. The Compensation Committee is responsible for overseeing risks relating to employment policies and the Company's compensation and benefits programs.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1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 Mr. Casey and Ms. Byrne serve on the Board, together with a supermajority of independent directors and three independent Board committees, provides the appropriate leadership structure to assist in effective risk oversight by the Board.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7" w:name="page18"/>
    <w:bookmarkEnd w:id="17"/>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77"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As part of its oversight of the Company's executive and non-executive compensation programs, the Compensation Committee considers the impact on our risk profile of our compensation programs, and the incentives created by the 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utilizes the following risk mitigating factors:</w:t>
      </w:r>
    </w:p>
    <w:p>
      <w:pPr>
        <w:spacing w:after="0" w:line="6" w:lineRule="exact"/>
        <w:rPr>
          <w:sz w:val="20"/>
          <w:szCs w:val="20"/>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76"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76"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Its discretionary authority to reduce annual cash incentive awards;</w:t>
      </w:r>
    </w:p>
    <w:p>
      <w:pPr>
        <w:spacing w:after="0" w:line="76"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of long-term equity incentive awards to reward executives and other key employees for driving sustainable, profitable growth for stockholders and clients;</w:t>
      </w:r>
    </w:p>
    <w:p>
      <w:pPr>
        <w:spacing w:after="0" w:line="21" w:lineRule="exact"/>
        <w:rPr>
          <w:rFonts w:ascii="Arial" w:cs="Arial" w:eastAsia="Arial" w:hAnsi="Arial"/>
          <w:sz w:val="18"/>
          <w:szCs w:val="18"/>
          <w:color w:val="auto"/>
        </w:rPr>
      </w:pPr>
    </w:p>
    <w:p>
      <w:pPr>
        <w:ind w:left="660" w:right="740" w:hanging="247"/>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 and</w:t>
      </w:r>
    </w:p>
    <w:p>
      <w:pPr>
        <w:spacing w:after="0" w:line="21"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internal control over financial reporting and other financial, operational and compliance policies and practices currently in place that are intended to prevent manipulation of performance.</w:t>
      </w:r>
    </w:p>
    <w:p>
      <w:pPr>
        <w:spacing w:after="0" w:line="143" w:lineRule="exact"/>
        <w:rPr>
          <w:sz w:val="20"/>
          <w:szCs w:val="20"/>
          <w:color w:val="auto"/>
        </w:rPr>
      </w:pPr>
    </w:p>
    <w:p>
      <w:pPr>
        <w:ind w:right="240" w:firstLine="446"/>
        <w:spacing w:after="0" w:line="309"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Nominees</w:t>
      </w:r>
    </w:p>
    <w:p>
      <w:pPr>
        <w:spacing w:after="0" w:line="77"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w:t>
      </w:r>
    </w:p>
    <w:p>
      <w:pPr>
        <w:spacing w:after="0" w:line="5" w:lineRule="exact"/>
        <w:rPr>
          <w:sz w:val="20"/>
          <w:szCs w:val="20"/>
          <w:color w:val="auto"/>
        </w:rPr>
      </w:pPr>
    </w:p>
    <w:p>
      <w:pPr>
        <w:ind w:right="60" w:firstLine="8"/>
        <w:spacing w:after="0" w:line="25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uses the criteria listed above. The Governance/Nominating Committee believes these criteria are the key factors in identifying qualified director candidates.</w:t>
      </w:r>
    </w:p>
    <w:p>
      <w:pPr>
        <w:spacing w:after="0" w:line="14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Governance/Nominating Committee has a policy for considering new director candidates recommended by our stockholders if such recommendations are made in compliance with the following procedures. A stockholder wishing to recommend a candidate for inclusion as a director nominee in the proxy statement for our annual meeting must submit a written notice of the recommendation to our Corporate Secretary at our principal executive office. The submission must be received at our principal executive office not fewer than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meeting, then the deadline will be a reasonable time before we begin to print and mail our proxy materials. For the 2020 annual meeting, the deadline is [November 18, 2019].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12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To be valid, a stockholder's notice to the Corporate Secretary must set forth (i) the name and address of the stockholder recommending such candidate, as such information appears on our books (if the stockholder is a record holder), (ii) the class and number of shares of Westwood stock beneficially owned by the stockholder, if any, (iii) the name, age, business address and residence address of each candidate proposed in the notice, (iv) each candidate's biographical data and qualifications, (v) the class and number of shares of Westwood stock beneficially owned by the candidate, if any, (vi) a description of all arrangements or understandings between the stockholder (or between any person(s) at whose request the stockholder is making the recommendation) and each candidate, and (vii) any other information required to be disclosed in solicitations of proxies for election of directors or otherwise required pursuant to Regulation 14A under the Exchange Act. The foregoing information must be provided with respect to any person that the stockholder proposes to recommend for election or re-election as a director. The prospective candidate's signed written consent to being named in the proxy statement as a nominee and to serving as a director if elected must also be provided.</w:t>
      </w:r>
    </w:p>
    <w:p>
      <w:pPr>
        <w:spacing w:after="0" w:line="14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For the 2019 Annual Meeting, our Governance/Nominating Committee has not received a candidate recommendation from any stockholder (or group of stockholders), including any stockholder (or group of stockholders) that beneficially owns more than five percent of our common stock.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11" w:right="259" w:bottom="1440" w:gutter="0" w:footer="0" w:header="0"/>
        </w:sectPr>
      </w:pPr>
    </w:p>
    <w:bookmarkStart w:id="18" w:name="page19"/>
    <w:bookmarkEnd w:id="18"/>
    <w:p>
      <w:pPr>
        <w:ind w:left="8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7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compliance@westwoodgroup.com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12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2018 annual meeting of stockholders.</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7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westwoodgroup.com.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148"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Our employees are required to report any conduct that they believe could in any way be construed as a fraudulent or illegal act or otherwise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2018, we paid each non-employee member of our Board of Directors a $70,000 annual retainer. The Chairman of the Board received an additional $20,000 annual retainer, the committee chairs for the Audit and Compensation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$90,000 on the date of the award.</w:t>
      </w:r>
    </w:p>
    <w:p>
      <w:pPr>
        <w:spacing w:after="0" w:line="15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significant decline in the price of the Company's common stock causes a non-employee director's holdings to fall below the applicable threshold, the non-employee director will not be required to purchase additional shares to meet the threshold but may not sell or transfer any shares until holdings above the threshold have again been achieved. Compliance with these stock ownership guidelines is evaluated periodically as determined by our Board of Directors. As of December 31, 2018, all of our non-employee directors were in compliance with, or were on target to meet, the requirements of this stock ownership policy within the established compliance time-frame.</w:t>
      </w:r>
    </w:p>
    <w:p>
      <w:pPr>
        <w:spacing w:after="0" w:line="14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68" w:right="27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2018 Director Summary Compensation Table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Fees Earned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267,643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432,643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18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Robert D. McTeer</w:t>
            </w:r>
          </w:p>
        </w:tc>
        <w:tc>
          <w:tcPr>
            <w:tcW w:w="118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Martin J. Weiland</w:t>
            </w:r>
          </w:p>
        </w:tc>
        <w:tc>
          <w:tcPr>
            <w:tcW w:w="11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40" w:type="dxa"/>
            <w:vAlign w:val="bottom"/>
          </w:tcPr>
          <w:p>
            <w:pPr>
              <w:spacing w:after="0" w:line="88" w:lineRule="exact"/>
              <w:rPr>
                <w:sz w:val="20"/>
                <w:szCs w:val="20"/>
                <w:color w:val="auto"/>
              </w:rPr>
            </w:pPr>
            <w:r>
              <w:rPr>
                <w:rFonts w:ascii="Arial" w:cs="Arial" w:eastAsia="Arial" w:hAnsi="Arial"/>
                <w:sz w:val="8"/>
                <w:szCs w:val="8"/>
                <w:color w:val="auto"/>
              </w:rPr>
              <w:t>_______________________________</w:t>
            </w: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Susan M. Byrne earned $262,643 as a consultant for the Company from January 1, 2018 to December 31, 2018. Each non-employee director also earns a $1,000 annual retainer and $1,000 for each regularly scheduled quarterly meeting for serving on the separate Board of Directors of Westwood Trust.</w:t>
      </w:r>
    </w:p>
    <w:p>
      <w:pPr>
        <w:ind w:left="340" w:right="20" w:hanging="332"/>
        <w:spacing w:after="0" w:line="24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2018 in accordance with Accounting Standards Codification Topic 718 ("ASC 718"), "Stock Compensation." The assumptions used in the valuation of the restricted stock awards are discussed in Note 10 "Employee Benefits" of our audited financial statements, which are included in our 2018 Annual Report on Form 10-K. All restricted stock grants were made under the Fifth Amended and Restated Westwood Holdings Group, Inc. Stock Incentive Plan and are subject to a one-year vesting period as described above.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our directors, other than Brian O. Casey, held the following unvested restricted stock:</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9"/>
        </w:trPr>
        <w:tc>
          <w:tcPr>
            <w:tcW w:w="614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92"/>
        </w:trPr>
        <w:tc>
          <w:tcPr>
            <w:tcW w:w="6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Susan M. Byrne</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Richard M. Frank</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Ellen H. Masterson</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Robert D. McTeer</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Geoffrey R. Norman</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Martin J. Weiland</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Raymond E. Wooldridge</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01"/>
        </w:trPr>
        <w:tc>
          <w:tcPr>
            <w:tcW w:w="6140" w:type="dxa"/>
            <w:vAlign w:val="bottom"/>
          </w:tcPr>
          <w:p>
            <w:pPr>
              <w:spacing w:after="0" w:line="101" w:lineRule="exact"/>
              <w:rPr>
                <w:sz w:val="20"/>
                <w:szCs w:val="20"/>
                <w:color w:val="auto"/>
              </w:rPr>
            </w:pPr>
            <w:r>
              <w:rPr>
                <w:rFonts w:ascii="Arial" w:cs="Arial" w:eastAsia="Arial" w:hAnsi="Arial"/>
                <w:sz w:val="9"/>
                <w:szCs w:val="9"/>
                <w:color w:val="auto"/>
              </w:rPr>
              <w:t>_______________________________</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Issued on April 25, 2018 and have a vesting date of April 25, 2019, subject to such director's continued service as a director through the vesting date.</w:t>
      </w:r>
    </w:p>
    <w:p>
      <w:pPr>
        <w:spacing w:after="0" w:line="33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February 2019, the Board changed its director compensation arrangements as a result of the Company's 2018 financial performance. Effective February 2019, we pay each non-employee member of our Board of Directors a $62,000 annual retainer. The Board maintained the Chairman of the Board's and committee chairs' annual retainers, the grant of $90,000 of restricted shares of our common stock upon election or re-election as a member of our Board of Directors and the policy that non-employee directors should own a minimum number of shares of our common stock equal to five times the dollar amount of their annual retainer within five years of their initial election or the establishment of this policy, whichever is later.</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607" w:right="299" w:bottom="1440" w:gutter="0" w:footer="0" w:header="0"/>
        </w:sectPr>
      </w:pPr>
    </w:p>
    <w:bookmarkStart w:id="20" w:name="page21"/>
    <w:bookmarkEnd w:id="20"/>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Biographical information regarding Westwood's executive officers and other key employees during the 2018 fiscal year is as follows: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55</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8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i w:val="1"/>
          <w:iCs w:val="1"/>
          <w:color w:val="auto"/>
        </w:rPr>
        <w:t xml:space="preserve">Murray "Terry" Forbes III, </w:t>
      </w:r>
      <w:r>
        <w:rPr>
          <w:rFonts w:ascii="Arial" w:cs="Arial" w:eastAsia="Arial" w:hAnsi="Arial"/>
          <w:sz w:val="18"/>
          <w:szCs w:val="18"/>
          <w:color w:val="auto"/>
        </w:rPr>
        <w:t>age 41, has served as Senior Vice President, Chief Financial Officer and Treasurer since November 2018. Prior to that,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Finance from December 2014 to October 2018. Prior to joining Westwood, Mr. Forbes served as Assistant Controller of CEC Entertainment, Inc. ("CEC"), a Dallas-based company that operates a chain of pizza and children's entertainment restaurants. CEC was an NYSE-listed company until February 2014. From 2000 to 2012, he was with KPMG LLP, most recently serving as a senior manager in the audit practice. Mr. Forbes earned a B.B.A. in Accounting from the University of Richmond. He is a Certified Public Accountant and is a member of the American Institute of Certified Public Accountants.</w:t>
      </w:r>
    </w:p>
    <w:p>
      <w:pPr>
        <w:spacing w:after="0" w:line="15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i w:val="1"/>
          <w:iCs w:val="1"/>
          <w:color w:val="auto"/>
        </w:rPr>
        <w:t xml:space="preserve">Fabian Gomez, </w:t>
      </w:r>
      <w:r>
        <w:rPr>
          <w:rFonts w:ascii="Arial" w:cs="Arial" w:eastAsia="Arial" w:hAnsi="Arial"/>
          <w:sz w:val="17"/>
          <w:szCs w:val="17"/>
          <w:color w:val="auto"/>
        </w:rPr>
        <w:t>age 52, has served as Senior Vice President, Chief Operating Officer since February 2018, and since joining Westwood in 2015 he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Chief Information Officer. Prior to joining Westwood, Mr. Gomez was Invesco Ltd.'s Global Head of Equity and Alternative Investment Applications, responsible for strategic planning, oversight of all major project initiatives and staff development at a global level. Previously, Mr. Gomez was McDonnell Investment Management's Managing Director and Chief Information Officer for six years. Mr. Gomez has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13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i w:val="1"/>
          <w:iCs w:val="1"/>
          <w:color w:val="auto"/>
        </w:rPr>
        <w:t xml:space="preserve">Julie K. Gerron, </w:t>
      </w:r>
      <w:r>
        <w:rPr>
          <w:rFonts w:ascii="Arial" w:cs="Arial" w:eastAsia="Arial" w:hAnsi="Arial"/>
          <w:sz w:val="17"/>
          <w:szCs w:val="17"/>
          <w:color w:val="auto"/>
        </w:rPr>
        <w:t>age 51, has served as Senior Vice President, General Counsel of Westwood since March 2013, Chief Compliance Officer since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2017 and Corporate Secretary since March 2014. Prior to that, she served as Vice President, General Counsel from July 2007 to March 2013, and as Vice President, Assistant General Counsel from July 2005 to July 2007. Ms. Gerron previously served as Vice President, Research Analyst from January 2004 to July 2005. From 1998 to 2004, Ms. Gerron served as a portfolio manager for Smith Asset Management Group, a Dallas-based investment management firm, where she managed various funds. From 1992 to 1998, she worked for various branches of the State of Oklahoma government, including as Assistant Attorney General, Deputy General Counsel of the Insurance Department, and as Special Counsel to the Executive Director of the House of Representatives. Ms. Gerron earned her J.D. from the University of Texas School of Law and her B.B.A. in Finance from the University of Texas at Austin. She is admitted to the bars of Texas and Oklahoma and is a member of the CFA Institute.</w:t>
      </w:r>
    </w:p>
    <w:p>
      <w:pPr>
        <w:spacing w:after="0" w:line="13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 xml:space="preserve">Steven Paddon, </w:t>
      </w:r>
      <w:r>
        <w:rPr>
          <w:rFonts w:ascii="Arial" w:cs="Arial" w:eastAsia="Arial" w:hAnsi="Arial"/>
          <w:sz w:val="17"/>
          <w:szCs w:val="17"/>
          <w:color w:val="auto"/>
        </w:rPr>
        <w:t>age 58, joined Westwood in 2018 and serves as Senior Vice President, Head of Institutional Sales. Prior to joining Westwood, 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Head of Institutional and International Sales at OppenheimerFunds, where he oversaw the institutional business teams and led the firm's international expansion. Mr. Paddon spent eight years leading Consultant Relations and Institutional Business at Investec Asset Management. Earlier in his career, he focused on institutional sales and client service at Credit Suisse Asset Management, State Street Research and MetLife. Mr. Paddon earned his B.A. in Economics from Wheaton College and holds his FINRA Series 7 and 24 licenses.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Mark R. Freeman, </w:t>
      </w:r>
      <w:r>
        <w:rPr>
          <w:rFonts w:ascii="Arial" w:cs="Arial" w:eastAsia="Arial" w:hAnsi="Arial"/>
          <w:sz w:val="17"/>
          <w:szCs w:val="17"/>
          <w:color w:val="auto"/>
        </w:rPr>
        <w:t>age 51, served as Executive Vice President and Chief Investment Officer from February 2012 to March 2019. Prior to that,</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Mr. Freeman served as Executive Vice President and Co-Chief Investment Officer from January 2011 to February 2012. He served as Senior Vice President and Portfolio Manager for Westwood from July 2006 to December 2010. He joined Westwood in 1999 as Assistant Vice President and served as Vice President and Portfolio Manager from July 2000 to July 2006. Mr. Freeman is a member of the American Economics Association, the CFA Institute, and the CFA Society of Dallas/Fort Worth. Additionally, he is a member of the Board of Trustees of Millsaps College and serves as a board member for the Wilson Fund.</w:t>
      </w:r>
    </w:p>
    <w:p>
      <w:pPr>
        <w:spacing w:after="0" w:line="15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Tiffany B. Kice, </w:t>
      </w:r>
      <w:r>
        <w:rPr>
          <w:rFonts w:ascii="Arial" w:cs="Arial" w:eastAsia="Arial" w:hAnsi="Arial"/>
          <w:sz w:val="18"/>
          <w:szCs w:val="18"/>
          <w:color w:val="auto"/>
        </w:rPr>
        <w:t>age 51, served as Senior Vice President, Chief Financial Officer and Treasurer from August 2014 to October 2018.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Westwood, Ms. Kice served as Chief Financial Officer and Treasurer of CEC Entertainment, Inc., a Dallas-based company that operates a chain of pizza and children's entertainment restaurants. From 1995 to 2010, she was with KPMG LLP where she became an Audit Partner in 2006. Ms. Kice is a Certified Public Accountant and is a member of the American Institute of Certified Public Accountants.</w:t>
      </w:r>
    </w:p>
    <w:p>
      <w:pPr>
        <w:spacing w:after="0" w:line="14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4"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2018 for the following executive officers of the Company (collectively, the "named executive officers"):</w:t>
      </w: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44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8640" w:type="dxa"/>
            <w:vAlign w:val="bottom"/>
          </w:tcPr>
          <w:p>
            <w:pPr>
              <w:ind w:left="40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Terry Forbes</w:t>
            </w:r>
          </w:p>
        </w:tc>
        <w:tc>
          <w:tcPr>
            <w:tcW w:w="864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Chief Operating Officer</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8640" w:type="dxa"/>
            <w:vAlign w:val="bottom"/>
          </w:tcPr>
          <w:p>
            <w:pPr>
              <w:ind w:left="2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Head of Institutional Sales</w:t>
            </w: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Mark R. Freeman</w:t>
            </w:r>
          </w:p>
        </w:tc>
        <w:tc>
          <w:tcPr>
            <w:tcW w:w="8640" w:type="dxa"/>
            <w:vAlign w:val="bottom"/>
          </w:tcPr>
          <w:p>
            <w:pPr>
              <w:ind w:left="20"/>
              <w:spacing w:after="0"/>
              <w:rPr>
                <w:sz w:val="20"/>
                <w:szCs w:val="20"/>
                <w:color w:val="auto"/>
              </w:rPr>
            </w:pPr>
            <w:r>
              <w:rPr>
                <w:rFonts w:ascii="Arial" w:cs="Arial" w:eastAsia="Arial" w:hAnsi="Arial"/>
                <w:sz w:val="18"/>
                <w:szCs w:val="18"/>
                <w:color w:val="auto"/>
              </w:rPr>
              <w:t>former Executive Vice President and Chief Investment Officer</w:t>
            </w: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43"/>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Tiffany B. Kice</w:t>
            </w:r>
          </w:p>
        </w:tc>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Senior Vice President, Chief Financial Officer and Treasurer</w:t>
            </w:r>
          </w:p>
        </w:tc>
      </w:tr>
      <w:tr>
        <w:trPr>
          <w:trHeight w:val="27"/>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Effective October 31, 2018, Terry Forbes was appointed Senior Vice President, Chief Financial Officer and Treasurer, replacing Tiffany B. Kice, who resigned effective October 31, 2018 to pursue other opportunities.</w:t>
      </w:r>
    </w:p>
    <w:p>
      <w:pPr>
        <w:spacing w:after="0" w:line="17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In June 2018, Mark R. Freeman informed us of his decision to transition out of his role as Executive Vice President and Chief Investment Officer over the next nine months to pursue his external philanthropic and business goals. We entered into an agreement with Mr. Freeman (the "Separation Agreement") detailing the terms of his transition and separation from the Company effective March 8,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intellectual capital of our employees is one of the most important assets of our firm. As an asset manager, our financial results are primarily based upon the amount of assets we manage, which is dependent on our ability to generate competitive long-term investment performance, build strong relationships with clients, investment consulting firms and other financial intermediaries, provide attentive client service and develop new client relationships, all of which depend, in part, on the intellectual capital of our employees, including the named executive officers.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2018 performance include the following:</w:t>
      </w:r>
    </w:p>
    <w:p>
      <w:pPr>
        <w:spacing w:after="0" w:line="185" w:lineRule="exact"/>
        <w:rPr>
          <w:sz w:val="20"/>
          <w:szCs w:val="20"/>
          <w:color w:val="auto"/>
        </w:rPr>
      </w:pPr>
    </w:p>
    <w:p>
      <w:pPr>
        <w:ind w:left="980" w:right="6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Assets under management as of December 31, 2018 were $16.6 billion, a 31% decrease compared to December 31, 2017. Quarterly average assets under management decreased 8% to $21.4 billion for 2018 compared to 2017, which contributed to the 9% decrease in total revenue from 2017.</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LargeCap Value, Emerging Markets Plus, SMidCap, SMidCap Plus, Emerging Markets, and Emerging Markets SMidCap strategies exhibited strong performance.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SmallCap strategy was selected to participate in the Morningstar U.S. Equity Fund.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effective tax rate decreased to 26.6% for 2018 compared to 41.0% for 2017 related to the Tax Reform Act enacted in December 2017.</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October 2018, our Board approved a 6% increase in our quarterly dividend to $0.72 per share for an annual rate of $2.88 per share, which results in a dividend yield of 8.5% using the year-end stock price of $34.00 per share.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repurchased 108,289 shares of our common stock for an aggregate purchase price of $4.0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$118.2 million and no debt as of December 31, 2018</w:t>
      </w:r>
      <w:r>
        <w:rPr>
          <w:rFonts w:ascii="Arial" w:cs="Arial" w:eastAsia="Arial" w:hAnsi="Arial"/>
          <w:sz w:val="17"/>
          <w:szCs w:val="17"/>
          <w:i w:val="1"/>
          <w:iCs w:val="1"/>
          <w:color w:val="auto"/>
        </w:rPr>
        <w:t>.</w:t>
      </w:r>
    </w:p>
    <w:p>
      <w:pPr>
        <w:spacing w:after="0" w:line="128" w:lineRule="exact"/>
        <w:rPr>
          <w:rFonts w:ascii="Arial" w:cs="Arial" w:eastAsia="Arial" w:hAnsi="Arial"/>
          <w:sz w:val="17"/>
          <w:szCs w:val="17"/>
          <w:color w:val="auto"/>
        </w:rPr>
      </w:pPr>
    </w:p>
    <w:p>
      <w:pPr>
        <w:ind w:left="980" w:right="60" w:hanging="324"/>
        <w:spacing w:after="0" w:line="277" w:lineRule="auto"/>
        <w:tabs>
          <w:tab w:leader="none" w:pos="980"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We closed the sale of our Omaha-based Private Wealth operations, received net proceeds of $10.0 million and recognized a $0.5 million gain on sale.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22" w:name="page23"/>
    <w:bookmarkEnd w:id="22"/>
    <w:p>
      <w:pPr>
        <w:ind w:right="40" w:firstLine="405"/>
        <w:spacing w:after="0" w:line="259" w:lineRule="auto"/>
        <w:rPr>
          <w:sz w:val="20"/>
          <w:szCs w:val="20"/>
          <w:color w:val="auto"/>
        </w:rPr>
      </w:pPr>
      <w:r>
        <w:rPr>
          <w:rFonts w:ascii="Arial" w:cs="Arial" w:eastAsia="Arial" w:hAnsi="Arial"/>
          <w:sz w:val="18"/>
          <w:szCs w:val="18"/>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long-term equity awards, and mutual fund awards) that attract, motivate and retain talented executives who can contribute to the success of our business.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believe it is important that our executive compensation program reflect strong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Aspects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100330</wp:posOffset>
            </wp:positionV>
            <wp:extent cx="3464560" cy="272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4560" cy="272732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5380" w:type="dxa"/>
            <w:vAlign w:val="bottom"/>
            <w:tcBorders>
              <w:top w:val="single" w:sz="8" w:color="auto"/>
            </w:tcBorders>
          </w:tcPr>
          <w:p>
            <w:pPr>
              <w:ind w:left="2240"/>
              <w:spacing w:after="0"/>
              <w:rPr>
                <w:sz w:val="20"/>
                <w:szCs w:val="20"/>
                <w:color w:val="auto"/>
              </w:rPr>
            </w:pPr>
            <w:r>
              <w:rPr>
                <w:rFonts w:ascii="Arial" w:cs="Arial" w:eastAsia="Arial" w:hAnsi="Arial"/>
                <w:sz w:val="18"/>
                <w:szCs w:val="18"/>
                <w:b w:val="1"/>
                <w:bCs w:val="1"/>
                <w:color w:val="auto"/>
              </w:rPr>
              <w:t>What We Do</w:t>
            </w:r>
          </w:p>
        </w:tc>
        <w:tc>
          <w:tcPr>
            <w:tcW w:w="55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rPr>
              <w:t>What We Do Not Do</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Variable "at risk" compensation accounts for a significantly larger</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û We do not provide significant perquisites to executives</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portion of pay than fixed base salary</w:t>
            </w:r>
          </w:p>
        </w:tc>
        <w:tc>
          <w:tcPr>
            <w:tcW w:w="5500" w:type="dxa"/>
            <w:vAlign w:val="bottom"/>
            <w:tcBorders>
              <w:right w:val="single" w:sz="8" w:color="auto"/>
            </w:tcBorders>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w w:val="95"/>
              </w:rPr>
              <w:t>ü Compensation outcomes are aligned with performance achievement</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û We prohibit hedging and short-sales of Company stock by executives</w:t>
            </w:r>
          </w:p>
        </w:tc>
      </w:tr>
      <w:tr>
        <w:trPr>
          <w:trHeight w:val="230"/>
        </w:trPr>
        <w:tc>
          <w:tcPr>
            <w:tcW w:w="5380" w:type="dxa"/>
            <w:vAlign w:val="bottom"/>
          </w:tcPr>
          <w:p>
            <w:pPr>
              <w:spacing w:after="0"/>
              <w:rPr>
                <w:sz w:val="20"/>
                <w:szCs w:val="20"/>
                <w:color w:val="auto"/>
              </w:rPr>
            </w:pPr>
          </w:p>
        </w:tc>
        <w:tc>
          <w:tcPr>
            <w:tcW w:w="5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and directors</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w w:val="90"/>
              </w:rPr>
              <w:t>ü Incentive plan payouts for executives have caps on the amount that can</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û We discourage executives and directors from pledging Company stock</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be earned</w:t>
            </w:r>
          </w:p>
        </w:tc>
        <w:tc>
          <w:tcPr>
            <w:tcW w:w="5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holding shares in a margin account</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Change-in-control severance is "double trigger" for our CEO</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û We do not pay dividends on unvested equity-based compensation</w:t>
            </w:r>
          </w:p>
        </w:tc>
      </w:tr>
      <w:tr>
        <w:trPr>
          <w:trHeight w:val="230"/>
        </w:trPr>
        <w:tc>
          <w:tcPr>
            <w:tcW w:w="5380" w:type="dxa"/>
            <w:vAlign w:val="bottom"/>
          </w:tcPr>
          <w:p>
            <w:pPr>
              <w:spacing w:after="0"/>
              <w:rPr>
                <w:sz w:val="20"/>
                <w:szCs w:val="20"/>
                <w:color w:val="auto"/>
              </w:rPr>
            </w:pPr>
          </w:p>
        </w:tc>
        <w:tc>
          <w:tcPr>
            <w:tcW w:w="5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awards</w:t>
            </w: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Officers and directors are required to own significant amounts of</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û We prohibit repricing of stock options without shareholder approval</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Company stock</w:t>
            </w:r>
          </w:p>
        </w:tc>
        <w:tc>
          <w:tcPr>
            <w:tcW w:w="5500" w:type="dxa"/>
            <w:vAlign w:val="bottom"/>
            <w:tcBorders>
              <w:right w:val="single" w:sz="8" w:color="auto"/>
            </w:tcBorders>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Pr>
          <w:p>
            <w:pPr>
              <w:ind w:left="40"/>
              <w:spacing w:after="0"/>
              <w:rPr>
                <w:sz w:val="20"/>
                <w:szCs w:val="20"/>
                <w:color w:val="auto"/>
              </w:rPr>
            </w:pPr>
            <w:r>
              <w:rPr>
                <w:rFonts w:ascii="Arial" w:cs="Arial" w:eastAsia="Arial" w:hAnsi="Arial"/>
                <w:sz w:val="18"/>
                <w:szCs w:val="18"/>
                <w:color w:val="auto"/>
              </w:rPr>
              <w:t>ü Clawback policy allowing recoupment of incentives for financial</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û We do not gross-up change-in-control related benefits for excise tax</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restatements due to misconduct or fraud</w:t>
            </w:r>
          </w:p>
        </w:tc>
        <w:tc>
          <w:tcPr>
            <w:tcW w:w="5500" w:type="dxa"/>
            <w:vAlign w:val="bottom"/>
            <w:tcBorders>
              <w:right w:val="single" w:sz="8" w:color="auto"/>
            </w:tcBorders>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13" w:lineRule="exact"/>
        <w:rPr>
          <w:sz w:val="20"/>
          <w:szCs w:val="20"/>
          <w:color w:val="auto"/>
        </w:rPr>
      </w:pPr>
    </w:p>
    <w:p>
      <w:pPr>
        <w:ind w:left="640" w:right="6600" w:hanging="321"/>
        <w:spacing w:after="0" w:line="277" w:lineRule="auto"/>
        <w:tabs>
          <w:tab w:leader="none" w:pos="4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post-employment and change-in-control arrangements</w:t>
      </w:r>
    </w:p>
    <w:p>
      <w:pPr>
        <w:spacing w:after="0" w:line="21" w:lineRule="exact"/>
        <w:rPr>
          <w:rFonts w:ascii="Arial" w:cs="Arial" w:eastAsia="Arial" w:hAnsi="Arial"/>
          <w:sz w:val="18"/>
          <w:szCs w:val="18"/>
          <w:color w:val="auto"/>
        </w:rPr>
      </w:pPr>
    </w:p>
    <w:p>
      <w:pPr>
        <w:ind w:left="640" w:right="5760" w:hanging="321"/>
        <w:spacing w:after="0" w:line="277" w:lineRule="auto"/>
        <w:tabs>
          <w:tab w:leader="none" w:pos="4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Committee reviews competitive compensation market data relative to our peer group and our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Advisory Vote on Executive Compensation</w:t>
      </w:r>
    </w:p>
    <w:p>
      <w:pPr>
        <w:spacing w:after="0" w:line="18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At our 2018 Annual Meeting of Stockholders held in April 2018, over 98% of the votes cast (excluding abstentions and broker non-votes) on the say-on-pay proposal at the meeting were voted in favor of the proposal. The Compensation Committee attributed the significant increase from the over 75% support received in 2017 to improvements we made in our executive compensation during 2016 and 2017, as well as discussions held during 2017 with nine stockholders and all employee stockholders to understand shareholder perspectives on our executive compensation program. During these discussions, stockholders and employees generally indicated support for the design of our executive compensation program. The Compensation Committee remains open to stockholder perspectives on our executive compensation program and will continue to consider the outcome of the Company's say-on-pay votes when making future compensation decisions for our executive officers.</w:t>
      </w:r>
    </w:p>
    <w:p>
      <w:pPr>
        <w:spacing w:after="0" w:line="13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continuously evaluate our pay practices and review performance metrics annually for rigor and relevance, reflecting meaningful drivers to create value for our stockholders. As further discussed in Proposal 4 of this proxy statement, we are conducting an advisory vote on our executive compensation at this year’s Annual Meeting of Stockholders.</w:t>
      </w:r>
    </w:p>
    <w:p>
      <w:pPr>
        <w:spacing w:after="0" w:line="14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last advisory vote on the frequency of executive compensation was held at our 2017 Annual Meeting of Stockholders, when a majority of the votes cast favored conducting an annual advisory vote on executive compensation. Therefore, the Board changed the vote frequency from once every three years to an annual vote in order to give our shareholders the opportunity to provide feedback on our executive compensation program on a more frequent basis.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544" w:right="29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i w:val="1"/>
          <w:iCs w:val="1"/>
          <w:color w:val="auto"/>
        </w:rPr>
        <w:t>CEO and CIO Realized Pay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pay of our Chief Executive Officer, Mr. Casey, and Chief Investment Officer, Mr. Freeman, as reported in the 2018 Summary Compensation Table, reflects the accounting value of long-term equity awards at grant dates and not the value actually realized by Messrs. Casey and Freeman from these awards. Since a significant portion of the reported compensation of Messrs. Casey and Freeman represents potential pay, we believe it is useful to supplement the information provided in the 2018 Summary Compensation Table by also looking at the pay that Messrs. Casey and Freeman actually realized during the year. The table below compares our Income before income taxes to "realized pay" of Messrs. Casey and Freeman for each of the last five years, illustrating the strong correlation between our financial performance and the pay actually received by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96520</wp:posOffset>
            </wp:positionV>
            <wp:extent cx="5419725" cy="4133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72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584"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1075055</wp:posOffset>
            </wp:positionH>
            <wp:positionV relativeFrom="page">
              <wp:posOffset>354965</wp:posOffset>
            </wp:positionV>
            <wp:extent cx="5419725" cy="4467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1972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8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22" w:lineRule="exact"/>
        <w:rPr>
          <w:sz w:val="20"/>
          <w:szCs w:val="20"/>
          <w:color w:val="auto"/>
        </w:rPr>
      </w:pPr>
    </w:p>
    <w:p>
      <w:pPr>
        <w:ind w:left="1300" w:right="60" w:hanging="320"/>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2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8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further discussed below, during 2017 and 2018 the Compensation Committee reviewed and considered market compensation data derived from the McLagan Survey and the Custom Peer Group (as defined below) to ensure, in its subjective judgment, that the named executive officers’ total direct compensation (i.e., base salary, annual cash incentive awards, long-term equity awards, and mutual fund awards in the case of Mr. Freeman) remained competitive in our marketplace for executive talent.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8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 2018, the Compensation Committee, in collaboration with Mr. Casey, formulated specific plans and awards designed to align our executive compensation program with our business objectives and strategies.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440" w:right="319" w:bottom="1440" w:gutter="0" w:footer="0" w:header="0"/>
        </w:sectPr>
      </w:pPr>
    </w:p>
    <w:bookmarkStart w:id="25" w:name="page26"/>
    <w:bookmarkEnd w:id="25"/>
    <w:p>
      <w:pPr>
        <w:ind w:right="20" w:firstLine="405"/>
        <w:spacing w:after="0" w:line="276" w:lineRule="auto"/>
        <w:rPr>
          <w:sz w:val="20"/>
          <w:szCs w:val="20"/>
          <w:color w:val="auto"/>
        </w:rPr>
      </w:pPr>
      <w:r>
        <w:rPr>
          <w:rFonts w:ascii="Arial" w:cs="Arial" w:eastAsia="Arial" w:hAnsi="Arial"/>
          <w:sz w:val="17"/>
          <w:szCs w:val="17"/>
          <w:color w:val="auto"/>
        </w:rPr>
        <w:t>The Compensation Committee has full discretion regarding the compensation of our executive officers. Mr. Casey provided the Compensation Committee with his recommendations on the level and form of compensation for Messrs. Forbes, Gomez, Paddon and Freeman and Mses. Gerron and Kice based upon his annual review of these executive officers’ individual performance and, where applicable, their contractual employment arrangements. In 2018, the Compensation Committee reviewed and approved Mr. Casey’s recommendations regarding the base salaries, annual cash incentive awards and long-term equity awards for Messrs. Forbes, Gomez</w:t>
      </w:r>
      <w:r>
        <w:rPr>
          <w:rFonts w:ascii="Arial" w:cs="Arial" w:eastAsia="Arial" w:hAnsi="Arial"/>
          <w:sz w:val="17"/>
          <w:szCs w:val="17"/>
          <w:b w:val="1"/>
          <w:bCs w:val="1"/>
          <w:color w:val="auto"/>
        </w:rPr>
        <w:t>,</w:t>
      </w:r>
      <w:r>
        <w:rPr>
          <w:rFonts w:ascii="Arial" w:cs="Arial" w:eastAsia="Arial" w:hAnsi="Arial"/>
          <w:sz w:val="17"/>
          <w:szCs w:val="17"/>
          <w:color w:val="auto"/>
        </w:rPr>
        <w:t xml:space="preserve"> Paddon and Freeman and Mses. Gerron and Kice.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Mr. Casey did not make recommendations to the Compensation Committee with respect to his own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81" w:lineRule="exact"/>
        <w:rPr>
          <w:sz w:val="20"/>
          <w:szCs w:val="20"/>
          <w:color w:val="auto"/>
        </w:rPr>
      </w:pPr>
    </w:p>
    <w:p>
      <w:pPr>
        <w:ind w:right="80" w:firstLine="405"/>
        <w:spacing w:after="0" w:line="325" w:lineRule="auto"/>
        <w:rPr>
          <w:sz w:val="20"/>
          <w:szCs w:val="20"/>
          <w:color w:val="auto"/>
        </w:rPr>
      </w:pPr>
      <w:r>
        <w:rPr>
          <w:rFonts w:ascii="Arial" w:cs="Arial" w:eastAsia="Arial" w:hAnsi="Arial"/>
          <w:sz w:val="16"/>
          <w:szCs w:val="16"/>
          <w:color w:val="auto"/>
        </w:rPr>
        <w:t>Based on the foregoing philosophy and objectives, the Compensation Committee aims to structure the executive compensation program to motivate our named executive officers to achieve the Company’s business objectives and strategies and to reward them for achieving such objectives and strategies.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7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Compensation Committee reviewed market compensation data from the McLagan 2017 Investment Management Survey–U.S., a widely-used source for compensation information within public and private investment firms (the "McLagan Survey") and a custom peer group of publicly-traded asset management companies (collectively, the "Custom Peer Group").</w:t>
      </w:r>
    </w:p>
    <w:p>
      <w:pPr>
        <w:spacing w:after="0" w:line="3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McLagan Survey provides detailed analyses of compensation in greater depth for investment management employees than those available from our public peers and specifically focuses on the asset management industry. The McLagan Survey provides market compensation data for approximately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 management and job function. Confidentiality obligations to McLagan Partners and its survey participants prevent the disclosure of the firms included in the survey.</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2018, the companies comprising our Custom Peer Group were:</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Artisan Partners Asset Management</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Manning &amp; Napier</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BrightSphere Investment Group</w:t>
            </w:r>
          </w:p>
        </w:tc>
        <w:tc>
          <w:tcPr>
            <w:tcW w:w="4560" w:type="dxa"/>
            <w:vAlign w:val="bottom"/>
            <w:gridSpan w:val="2"/>
          </w:tcPr>
          <w:p>
            <w:pPr>
              <w:ind w:left="1240"/>
              <w:spacing w:after="0"/>
              <w:rPr>
                <w:sz w:val="20"/>
                <w:szCs w:val="20"/>
                <w:color w:val="auto"/>
              </w:rPr>
            </w:pPr>
            <w:r>
              <w:rPr>
                <w:rFonts w:ascii="Arial" w:cs="Arial" w:eastAsia="Arial" w:hAnsi="Arial"/>
                <w:sz w:val="18"/>
                <w:szCs w:val="18"/>
                <w:color w:val="auto"/>
              </w:rPr>
              <w:t>•  Pzena Investment Management, Inc.</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  Cohen &amp; Steers, Inc.</w:t>
            </w:r>
          </w:p>
        </w:tc>
        <w:tc>
          <w:tcPr>
            <w:tcW w:w="4560" w:type="dxa"/>
            <w:vAlign w:val="bottom"/>
            <w:gridSpan w:val="2"/>
          </w:tcPr>
          <w:p>
            <w:pPr>
              <w:ind w:left="1240"/>
              <w:spacing w:after="0"/>
              <w:rPr>
                <w:sz w:val="20"/>
                <w:szCs w:val="20"/>
                <w:color w:val="auto"/>
              </w:rPr>
            </w:pPr>
            <w:r>
              <w:rPr>
                <w:rFonts w:ascii="Arial" w:cs="Arial" w:eastAsia="Arial" w:hAnsi="Arial"/>
                <w:sz w:val="18"/>
                <w:szCs w:val="18"/>
                <w:color w:val="auto"/>
                <w:w w:val="93"/>
              </w:rPr>
              <w:t>•  Silvercrest Asset Management Group, Inc.</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  Diamond Hill Investment Group, Inc.</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3160" w:type="dxa"/>
            <w:vAlign w:val="bottom"/>
          </w:tcPr>
          <w:p>
            <w:pPr>
              <w:ind w:left="80"/>
              <w:spacing w:after="0"/>
              <w:rPr>
                <w:sz w:val="20"/>
                <w:szCs w:val="20"/>
                <w:color w:val="auto"/>
              </w:rPr>
            </w:pPr>
            <w:r>
              <w:rPr>
                <w:rFonts w:ascii="Arial" w:cs="Arial" w:eastAsia="Arial" w:hAnsi="Arial"/>
                <w:sz w:val="18"/>
                <w:szCs w:val="18"/>
                <w:color w:val="auto"/>
              </w:rPr>
              <w:t>Victory Capital Holdings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GAMCO Investors, Inc.</w:t>
            </w:r>
          </w:p>
        </w:tc>
        <w:tc>
          <w:tcPr>
            <w:tcW w:w="4560" w:type="dxa"/>
            <w:vAlign w:val="bottom"/>
            <w:gridSpan w:val="2"/>
          </w:tcPr>
          <w:p>
            <w:pPr>
              <w:ind w:left="1240"/>
              <w:spacing w:after="0"/>
              <w:rPr>
                <w:sz w:val="20"/>
                <w:szCs w:val="20"/>
                <w:color w:val="auto"/>
              </w:rPr>
            </w:pPr>
            <w:r>
              <w:rPr>
                <w:rFonts w:ascii="Arial" w:cs="Arial" w:eastAsia="Arial" w:hAnsi="Arial"/>
                <w:sz w:val="18"/>
                <w:szCs w:val="18"/>
                <w:color w:val="auto"/>
              </w:rPr>
              <w:t>•  Virtus Investment Partners,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80" w:type="dxa"/>
            <w:vAlign w:val="bottom"/>
          </w:tcPr>
          <w:p>
            <w:pPr>
              <w:ind w:left="100"/>
              <w:spacing w:after="0"/>
              <w:rPr>
                <w:sz w:val="20"/>
                <w:szCs w:val="20"/>
                <w:color w:val="auto"/>
              </w:rPr>
            </w:pPr>
            <w:r>
              <w:rPr>
                <w:rFonts w:ascii="Arial" w:cs="Arial" w:eastAsia="Arial" w:hAnsi="Arial"/>
                <w:sz w:val="18"/>
                <w:szCs w:val="18"/>
                <w:color w:val="auto"/>
              </w:rPr>
              <w:t>Hennessy Advisors, Inc.</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3160" w:type="dxa"/>
            <w:vAlign w:val="bottom"/>
          </w:tcPr>
          <w:p>
            <w:pPr>
              <w:ind w:left="80"/>
              <w:spacing w:after="0"/>
              <w:rPr>
                <w:sz w:val="20"/>
                <w:szCs w:val="20"/>
                <w:color w:val="auto"/>
              </w:rPr>
            </w:pPr>
            <w:r>
              <w:rPr>
                <w:rFonts w:ascii="Arial" w:cs="Arial" w:eastAsia="Arial" w:hAnsi="Arial"/>
                <w:sz w:val="18"/>
                <w:szCs w:val="18"/>
                <w:color w:val="auto"/>
              </w:rPr>
              <w:t>WisdomTree Investments Inc.</w:t>
            </w:r>
          </w:p>
        </w:tc>
      </w:tr>
    </w:tbl>
    <w:p>
      <w:pPr>
        <w:spacing w:after="0" w:line="8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peer companies were selected primarily based upon their (i) industry (asset management or financial advisory services), (ii) equity market capitalization and (iii) assets under management, all based on publicly available information during 2016 to 2018. In 2018, we have updated our Custom Peer Group to include Hennessy Advisors, Inc. and Victory Capital Holdings and exclude Federated Investors, Inc. Hennessy Advisors, Inc. is a smaller U.S.-based publicly-traded asset management company primarily managing, servicing and marketing open-end mutual funds. Victory Capital Holdings is a multi-boutique asset manager that began publicly trading in February 2018. In the first quarter of 2018 OM Asset Management Plc rebranded as BrightSphere Investment Group. The Compensation Committee believes the relative size, nature and operations and assets under management provide meaningful compensation and performance information. Federated Investors, Inc. was removed from the Custom Peer Group due to its significantly larger assets under management, annual revenues and market capitalization as compared to Westwood.</w:t>
      </w:r>
    </w:p>
    <w:p>
      <w:pPr>
        <w:spacing w:after="0" w:line="30"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We have few direct peers that are public and are similar in size and complexity to us. As a result, most companies that comprise the Custom Peer Group are somewhat larger than us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considers the market compensation data derived from the McLagan Survey and the Custom Peer Group similarly relevant, with neither source of information being the determinative factor in setting executive compensation levels. The Compensation Committee uses both sources of information as a reference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4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2018 Executive Compensation Components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2018, the principal components of compensation for the named executive officers were:</w:t>
      </w:r>
    </w:p>
    <w:p>
      <w:pPr>
        <w:spacing w:after="0" w:line="138" w:lineRule="exact"/>
        <w:rPr>
          <w:sz w:val="20"/>
          <w:szCs w:val="20"/>
          <w:color w:val="auto"/>
        </w:rPr>
      </w:pPr>
    </w:p>
    <w:tbl>
      <w:tblPr>
        <w:tblLayout w:type="fixed"/>
        <w:tblInd w:w="730" w:type="dxa"/>
        <w:tblCellMar>
          <w:top w:w="0" w:type="dxa"/>
          <w:left w:w="0" w:type="dxa"/>
          <w:bottom w:w="0" w:type="dxa"/>
          <w:right w:w="0" w:type="dxa"/>
        </w:tblCellMar>
      </w:tblPr>
      <w:tr>
        <w:trPr>
          <w:trHeight w:val="257"/>
        </w:trPr>
        <w:tc>
          <w:tcPr>
            <w:tcW w:w="5020" w:type="dxa"/>
            <w:vAlign w:val="bottom"/>
            <w:tcBorders>
              <w:top w:val="single" w:sz="8" w:color="auto"/>
              <w:left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Component of Pay</w:t>
            </w:r>
          </w:p>
        </w:tc>
        <w:tc>
          <w:tcPr>
            <w:tcW w:w="500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Purpose and Rationale</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salary</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Fixed portion of compensation to pay for executing primary day-to-</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 duties and responsibilities</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cash incentive awards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Variable at-risk element of pay to reward for achieving specific pre-</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annual performance goals</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Mutual fund award</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Variable at-risk element of pay to motivate the CIO to maximize</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performance of a key investment strategy by achieving a pre-</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annual performance goal</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equity awards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Variable at-risk element of pay to drive performance that delivers</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long-term shareholder value and links the interests of our executives</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shareholders and retains critical talent</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22"/>
        </w:trPr>
        <w:tc>
          <w:tcPr>
            <w:tcW w:w="5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Employee and post-retirement benefits</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Market-competitive form of compensation to underpin the financial</w:t>
            </w:r>
          </w:p>
        </w:tc>
      </w:tr>
      <w:tr>
        <w:trPr>
          <w:trHeight w:val="216"/>
        </w:trPr>
        <w:tc>
          <w:tcPr>
            <w:tcW w:w="5020" w:type="dxa"/>
            <w:vAlign w:val="bottom"/>
            <w:tcBorders>
              <w:left w:val="single" w:sz="8" w:color="auto"/>
              <w:right w:val="single" w:sz="8" w:color="auto"/>
            </w:tcBorders>
          </w:tcPr>
          <w:p>
            <w:pPr>
              <w:spacing w:after="0"/>
              <w:rPr>
                <w:sz w:val="18"/>
                <w:szCs w:val="18"/>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security and health and welfare of our executives during and after</w:t>
            </w:r>
          </w:p>
        </w:tc>
      </w:tr>
      <w:tr>
        <w:trPr>
          <w:trHeight w:val="230"/>
        </w:trPr>
        <w:tc>
          <w:tcPr>
            <w:tcW w:w="5020" w:type="dxa"/>
            <w:vAlign w:val="bottom"/>
            <w:tcBorders>
              <w:left w:val="single" w:sz="8" w:color="auto"/>
              <w:right w:val="single" w:sz="8" w:color="auto"/>
            </w:tcBorders>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employment with Westwood</w:t>
            </w:r>
          </w:p>
        </w:tc>
      </w:tr>
      <w:tr>
        <w:trPr>
          <w:trHeight w:val="27"/>
        </w:trPr>
        <w:tc>
          <w:tcPr>
            <w:tcW w:w="5020" w:type="dxa"/>
            <w:vAlign w:val="bottom"/>
            <w:tcBorders>
              <w:left w:val="single" w:sz="8" w:color="auto"/>
              <w:bottom w:val="single" w:sz="8" w:color="auto"/>
              <w:right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is no pre-established target for the allocation between (i) cash and equity-based compensation and (ii) short-term and long-term incentive compensation. The Compensation Committee considers, among other things, Company performance, individual performance, and market compensation data from the McLagan Survey and Custom Peer Group, as well as its own subjective judgment to determine the appropriate level and mix of each component of the executive compensation program.</w:t>
      </w:r>
    </w:p>
    <w:p>
      <w:pPr>
        <w:spacing w:after="0" w:line="14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shown in the graph below, a significant portion of the named executive officers’ 2018 total direct compensation - ranging from approximately 50% to 82% - represented "at risk" compensation, delivered in the form of annual cash incentive awards and long-term equity awards. This range excludes Mr. Paddon, who was entitled to a minimum Annual Cash Incentive Award pursuant to the terms of his offer letter, and Ms. Kice, who forfeited a minimum Annual Cash Incentive Award upon her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wp:posOffset>
            </wp:positionV>
            <wp:extent cx="5368290" cy="3121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jc w:val="both"/>
        <w:ind w:right="340" w:firstLine="405"/>
        <w:spacing w:after="0" w:line="342" w:lineRule="auto"/>
        <w:rPr>
          <w:sz w:val="20"/>
          <w:szCs w:val="20"/>
          <w:color w:val="auto"/>
        </w:rPr>
      </w:pPr>
      <w:r>
        <w:rPr>
          <w:rFonts w:ascii="Arial" w:cs="Arial" w:eastAsia="Arial" w:hAnsi="Arial"/>
          <w:sz w:val="16"/>
          <w:szCs w:val="16"/>
          <w:color w:val="auto"/>
        </w:rPr>
        <w:t>Base salary is the fixed component of the named executive officers’ annual cash compensation. The Company provides its named executive officers with a base salary to compensate them for services rendered during the fiscal year and in recognition of their expertise, skills, knowledge and experience.</w:t>
      </w:r>
    </w:p>
    <w:p>
      <w:pPr>
        <w:spacing w:after="0" w:line="8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Salary levels are typically considered annually as part of our performance review process, as well as upon promotions, changes in job responsibilities, or in connection with the terms of initial employment.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 salaries of the named executive officers as of the beginning and end of 2018, including any adjustments made during the year, were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Base Salary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Base Salary</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16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Named Executive Officers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7"/>
              </w:rPr>
              <w:t>1/1/18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12/31/18</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8"/>
        </w:trPr>
        <w:tc>
          <w:tcPr>
            <w:tcW w:w="7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Brian O. Casey,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650,000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260" w:type="dxa"/>
            <w:vAlign w:val="bottom"/>
            <w:gridSpan w:val="2"/>
          </w:tcPr>
          <w:p>
            <w:pPr>
              <w:ind w:left="320"/>
              <w:spacing w:after="0"/>
              <w:rPr>
                <w:sz w:val="20"/>
                <w:szCs w:val="20"/>
                <w:color w:val="auto"/>
              </w:rPr>
            </w:pPr>
            <w:r>
              <w:rPr>
                <w:rFonts w:ascii="Arial" w:cs="Arial" w:eastAsia="Arial" w:hAnsi="Arial"/>
                <w:sz w:val="18"/>
                <w:szCs w:val="18"/>
                <w:color w:val="auto"/>
              </w:rPr>
              <w:t>Terry Forbes,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6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Senior Vice President, Chief Financial Officer &amp; Treasurer</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183,000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2"/>
                <w:szCs w:val="22"/>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Fabian Gomez,</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6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Senior Vice President and Chief Operating Officer</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235,000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29"/>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Julie K. Gerron,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0"/>
              <w:spacing w:after="0"/>
              <w:rPr>
                <w:sz w:val="20"/>
                <w:szCs w:val="20"/>
                <w:color w:val="auto"/>
              </w:rPr>
            </w:pPr>
            <w:r>
              <w:rPr>
                <w:rFonts w:ascii="Arial" w:cs="Arial" w:eastAsia="Arial" w:hAnsi="Arial"/>
                <w:sz w:val="18"/>
                <w:szCs w:val="18"/>
                <w:color w:val="auto"/>
                <w:w w:val="96"/>
              </w:rPr>
              <w:t>Senior Vice President, General Counsel, Chief Compliance Officer and Corporate Secretary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Steven Paddon,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Head of Institutional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Mark R. Freeman,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 Investment Officer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7260" w:type="dxa"/>
            <w:vAlign w:val="bottom"/>
            <w:gridSpan w:val="2"/>
          </w:tcPr>
          <w:p>
            <w:pPr>
              <w:ind w:left="320"/>
              <w:spacing w:after="0"/>
              <w:rPr>
                <w:sz w:val="20"/>
                <w:szCs w:val="20"/>
                <w:color w:val="auto"/>
              </w:rPr>
            </w:pPr>
            <w:r>
              <w:rPr>
                <w:rFonts w:ascii="Arial" w:cs="Arial" w:eastAsia="Arial" w:hAnsi="Arial"/>
                <w:sz w:val="18"/>
                <w:szCs w:val="18"/>
                <w:color w:val="auto"/>
              </w:rPr>
              <w:t>Tiffany B. Kice,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Chief Financial Officer &amp; Treasurer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w:t>
      </w:r>
    </w:p>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increases in base salary were related to the promotion of Messrs. Forbes and Gomez to their current roles.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i w:val="1"/>
          <w:iCs w:val="1"/>
          <w:color w:val="auto"/>
        </w:rPr>
        <w:t>Annual Cash Incentive Awards</w:t>
      </w:r>
    </w:p>
    <w:p>
      <w:pPr>
        <w:spacing w:after="0" w:line="7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 general, the Compensation Committee approves annual cash incentive awards to each of the named executive officers. These awards are intended to focus named executive officers on achieving short-term business objectives and strategies and to enable them to participate in our growth and profitability.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of Mr. Casey</w:t>
      </w:r>
    </w:p>
    <w:p>
      <w:pPr>
        <w:spacing w:after="0" w:line="18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For 2018, Mr. Casey had an annual incentive target of $1,350,000. Mr. Casey had the opportunity to earn 50% of target for achieving threshold performance and up to 185% of target for achieving maximum performance (with no payouts for performance below threshold levels). The annual incentive performance criteria were based on a scorecard with the following performance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98425</wp:posOffset>
            </wp:positionV>
            <wp:extent cx="5746115" cy="4116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11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Specific performance goals were established within each category. Based on the results for 2018 and the Compensation Committee's evaluation of Mr. Casey’s performance against the scorecard performance goals, Mr. Casey earned a $1,066,500 annual cash incentive award in 2018, 79% of his 2018 incentive target of $1,350,000, which was paid in March 2019 (listed in column (f) in the "2018 Summary Compensation Table" below).</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544" w:right="37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u w:val="single" w:color="auto"/>
          <w:color w:val="auto"/>
        </w:rPr>
        <w:t>Annual Cash Incentive Awards of Mr. Freeman</w:t>
      </w:r>
    </w:p>
    <w:p>
      <w:pPr>
        <w:spacing w:after="0" w:line="18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In accordance with the Separation Agreement, Mr. Freeman was eligible to receive a 2018 incentive compensation of not less than $650,000 and not more than $750,000, subject to his continued employment through his resignation date in March 2019. Based on the results for 2018 and the Compensation Committee's evaluation of Mr. Freeman's contributions through his resignation date, Mr. Freeman earned a $650,000 annual cash incentive award in 2018, which was paid in March 2019 (listed in column (f) in the "2018 Summary Compensation Table" below).</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Mutual Fund Award for Mr. Freeman</w:t>
      </w:r>
    </w:p>
    <w:p>
      <w:pPr>
        <w:spacing w:after="0" w:line="7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Mr. Freeman was eligible throughout the term of his employment agreement to receive "mutual fund share bonus awards" granted from time to time by our Board or the Compensation Committee. These annual mutual fund share bonus awards were conditioned on one or more of our mutual funds achieving one or more performance goals established by the Compensation Committee. The Compensation Committee created these awards to provide significant motivation for Mr. Freeman to maximize the performance of one or more of our mutual funds, which the Compensation Committee believed would benefit the Company and its stockholders by attracting investments into such fund(s). For 2018, Mr. Freeman and the Company entered into a Mutual Fund Share Incentive Agreement, dated April 4, 2018, with a target bonus amount of his then current base salary of $500,000, with the opportunity to earn up to $1 million for maximum performance. Subject to his Separation Agreement, Mr. Freeman forfeited his 2018 mutual fund share incentive award. Amounts earned for prior year mutual fund share incentive awards are listed in column (f) in the "2018 Summary Compensation Table".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for Messrs. Forbes, Gomez and Paddon and Ms. Gerron</w:t>
      </w:r>
    </w:p>
    <w:p>
      <w:pPr>
        <w:spacing w:after="0" w:line="7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maintain a Company bonus pool in which nearly every employee of the Company is eligible to participate. In 2018 the Company bonus pool totaled $11.3 million, representing approximately 31% of the Company’s 2018 Income before income taxes. The Compensation Committee reviews the bonus pool annually to ensure that, in its subjective judgment, levels reflect industry practices, will adequately fund potential bonuses and will provide sufficient capacity to reward extraordinary performance, if and when earned. The amount and calculation of the bonus pool are subject to change at the discretion of the Compensation Committee.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11" w:right="259" w:bottom="1440" w:gutter="0" w:footer="0" w:header="0"/>
        </w:sectPr>
      </w:pPr>
    </w:p>
    <w:bookmarkStart w:id="30" w:name="page31"/>
    <w:bookmarkEnd w:id="30"/>
    <w:p>
      <w:pPr>
        <w:ind w:left="420"/>
        <w:spacing w:after="0"/>
        <w:rPr>
          <w:sz w:val="20"/>
          <w:szCs w:val="20"/>
          <w:color w:val="auto"/>
        </w:rPr>
      </w:pPr>
      <w:r>
        <w:rPr>
          <w:rFonts w:ascii="Arial" w:cs="Arial" w:eastAsia="Arial" w:hAnsi="Arial"/>
          <w:sz w:val="16"/>
          <w:szCs w:val="16"/>
          <w:color w:val="auto"/>
        </w:rPr>
        <w:t>The following 2019 annual incentive payouts were all part of the 2018 bonus pool:</w:t>
      </w:r>
    </w:p>
    <w:p>
      <w:pPr>
        <w:sectPr>
          <w:pgSz w:w="11900" w:h="16838" w:orient="portrait"/>
          <w:cols w:equalWidth="0" w:num="1">
            <w:col w:w="11400"/>
          </w:cols>
          <w:pgMar w:left="240" w:top="530" w:right="2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Name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Terry Forbes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Fabian Gomez</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left="-27"/>
        <w:spacing w:after="0"/>
        <w:rPr>
          <w:sz w:val="20"/>
          <w:szCs w:val="20"/>
          <w:color w:val="auto"/>
        </w:rPr>
      </w:pPr>
      <w:r>
        <w:rPr>
          <w:rFonts w:ascii="Arial" w:cs="Arial" w:eastAsia="Arial" w:hAnsi="Arial"/>
          <w:sz w:val="13"/>
          <w:szCs w:val="13"/>
          <w:b w:val="1"/>
          <w:bCs w:val="1"/>
          <w:color w:val="auto"/>
        </w:rPr>
        <w:t>2018 Annual Incentive</w:t>
      </w:r>
    </w:p>
    <w:p>
      <w:pPr>
        <w:spacing w:after="0" w:line="15" w:lineRule="exact"/>
        <w:rPr>
          <w:sz w:val="20"/>
          <w:szCs w:val="20"/>
          <w:color w:val="auto"/>
        </w:rPr>
      </w:pPr>
    </w:p>
    <w:p>
      <w:pPr>
        <w:jc w:val="center"/>
        <w:ind w:left="-27"/>
        <w:spacing w:after="0"/>
        <w:rPr>
          <w:sz w:val="20"/>
          <w:szCs w:val="20"/>
          <w:color w:val="auto"/>
        </w:rPr>
      </w:pPr>
      <w:r>
        <w:rPr>
          <w:rFonts w:ascii="Arial" w:cs="Arial" w:eastAsia="Arial" w:hAnsi="Arial"/>
          <w:sz w:val="14"/>
          <w:szCs w:val="14"/>
          <w:b w:val="1"/>
          <w:bCs w:val="1"/>
          <w:color w:val="auto"/>
        </w:rPr>
        <w:t>Payout</w:t>
      </w:r>
    </w:p>
    <w:p>
      <w:pPr>
        <w:spacing w:after="0" w:line="47" w:lineRule="exact"/>
        <w:rPr>
          <w:sz w:val="20"/>
          <w:szCs w:val="20"/>
          <w:color w:val="auto"/>
        </w:rPr>
      </w:pPr>
    </w:p>
    <w:p>
      <w:pPr>
        <w:ind w:left="768" w:hanging="768"/>
        <w:spacing w:after="0"/>
        <w:tabs>
          <w:tab w:leader="none" w:pos="7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110,000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0" w:lineRule="exact"/>
        <w:rPr>
          <w:rFonts w:ascii="Arial" w:cs="Arial" w:eastAsia="Arial" w:hAnsi="Arial"/>
          <w:sz w:val="17"/>
          <w:szCs w:val="17"/>
          <w:color w:val="auto"/>
        </w:rPr>
      </w:pPr>
    </w:p>
    <w:p>
      <w:pPr>
        <w:ind w:left="768" w:hanging="768"/>
        <w:spacing w:after="0"/>
        <w:tabs>
          <w:tab w:leader="none" w:pos="7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200,000</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23495</wp:posOffset>
            </wp:positionV>
            <wp:extent cx="7246620" cy="977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11" w:lineRule="exact"/>
        <w:rPr>
          <w:sz w:val="20"/>
          <w:szCs w:val="20"/>
          <w:color w:val="auto"/>
        </w:rPr>
      </w:pPr>
    </w:p>
    <w:p>
      <w:pPr>
        <w:ind w:left="340" w:right="120" w:hanging="335"/>
        <w:spacing w:after="0" w:line="198" w:lineRule="auto"/>
        <w:tabs>
          <w:tab w:leader="none" w:pos="34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Contributions to the Company’s strategic initiatives, including corporate development, financial and tax planning;</w:t>
      </w:r>
    </w:p>
    <w:p>
      <w:pPr>
        <w:spacing w:after="0" w:line="40" w:lineRule="exact"/>
        <w:rPr>
          <w:rFonts w:ascii="Arial" w:cs="Arial" w:eastAsia="Arial" w:hAnsi="Arial"/>
          <w:sz w:val="29"/>
          <w:szCs w:val="29"/>
          <w:color w:val="auto"/>
          <w:vertAlign w:val="superscript"/>
        </w:rPr>
      </w:pPr>
    </w:p>
    <w:p>
      <w:pPr>
        <w:ind w:left="340" w:right="840" w:hanging="335"/>
        <w:spacing w:after="0" w:line="198" w:lineRule="auto"/>
        <w:tabs>
          <w:tab w:leader="none" w:pos="34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Membership on the Company’s Information Technology Steering Committee, Enterprise Risk Management Committee and Disclosure Committee; and</w:t>
      </w:r>
    </w:p>
    <w:p>
      <w:pPr>
        <w:spacing w:after="0" w:line="40" w:lineRule="exact"/>
        <w:rPr>
          <w:rFonts w:ascii="Arial" w:cs="Arial" w:eastAsia="Arial" w:hAnsi="Arial"/>
          <w:sz w:val="29"/>
          <w:szCs w:val="29"/>
          <w:color w:val="auto"/>
          <w:vertAlign w:val="superscript"/>
        </w:rPr>
      </w:pPr>
    </w:p>
    <w:p>
      <w:pPr>
        <w:ind w:left="340" w:right="480" w:hanging="335"/>
        <w:spacing w:after="0" w:line="198" w:lineRule="auto"/>
        <w:tabs>
          <w:tab w:leader="none" w:pos="34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Firm-wide oversight and enhancements of our financial reporting process and internal control over financial reporting.</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ind w:left="340" w:right="20"/>
        <w:spacing w:after="0" w:line="275" w:lineRule="auto"/>
        <w:rPr>
          <w:sz w:val="20"/>
          <w:szCs w:val="20"/>
          <w:color w:val="auto"/>
        </w:rPr>
      </w:pPr>
      <w:r>
        <w:rPr>
          <w:rFonts w:ascii="Arial" w:cs="Arial" w:eastAsia="Arial" w:hAnsi="Arial"/>
          <w:sz w:val="18"/>
          <w:szCs w:val="18"/>
          <w:color w:val="auto"/>
        </w:rPr>
        <w:t>Contributions to the Company's strategic initiatives, including strategic planning, information technology and investment operations;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sectPr>
          <w:pgSz w:w="11900" w:h="16838" w:orient="portrait"/>
          <w:cols w:equalWidth="0" w:num="3">
            <w:col w:w="1152" w:space="720"/>
            <w:col w:w="1408" w:space="180"/>
            <w:col w:w="7940"/>
          </w:cols>
          <w:pgMar w:left="240" w:top="530" w:right="259" w:bottom="1440" w:gutter="0" w:footer="0" w:header="0"/>
          <w:type w:val="continuous"/>
        </w:sectPr>
      </w:pPr>
    </w:p>
    <w:p>
      <w:pPr>
        <w:ind w:left="3800" w:right="600"/>
        <w:spacing w:after="0" w:line="275" w:lineRule="auto"/>
        <w:rPr>
          <w:sz w:val="20"/>
          <w:szCs w:val="20"/>
          <w:color w:val="auto"/>
        </w:rPr>
      </w:pPr>
      <w:r>
        <w:rPr>
          <w:rFonts w:ascii="Arial" w:cs="Arial" w:eastAsia="Arial" w:hAnsi="Arial"/>
          <w:sz w:val="18"/>
          <w:szCs w:val="18"/>
          <w:color w:val="auto"/>
        </w:rPr>
        <w:t>Membership on the Company's Information Technology Steering Committee and Enterprise Risk Management Committee;</w:t>
      </w:r>
    </w:p>
    <w:p>
      <w:pPr>
        <w:spacing w:after="0" w:line="5"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00"/>
          </w:cols>
          <w:pgMar w:left="240" w:top="530" w:right="259" w:bottom="1440" w:gutter="0" w:footer="0" w:header="0"/>
          <w:type w:val="continuous"/>
        </w:sectPr>
      </w:pPr>
    </w:p>
    <w:p>
      <w:pPr>
        <w:spacing w:after="0" w:line="289" w:lineRule="exact"/>
        <w:rPr>
          <w:sz w:val="20"/>
          <w:szCs w:val="20"/>
          <w:color w:val="auto"/>
        </w:rPr>
      </w:pPr>
    </w:p>
    <w:p>
      <w:pPr>
        <w:ind w:left="40"/>
        <w:spacing w:after="0"/>
        <w:tabs>
          <w:tab w:leader="none" w:pos="1860" w:val="left"/>
          <w:tab w:leader="none" w:pos="2620" w:val="left"/>
        </w:tabs>
        <w:rPr>
          <w:sz w:val="20"/>
          <w:szCs w:val="20"/>
          <w:color w:val="auto"/>
        </w:rPr>
      </w:pPr>
      <w:r>
        <w:rPr>
          <w:rFonts w:ascii="Arial" w:cs="Arial" w:eastAsia="Arial" w:hAnsi="Arial"/>
          <w:sz w:val="18"/>
          <w:szCs w:val="18"/>
          <w:color w:val="auto"/>
        </w:rPr>
        <w:t>Julie K. Gerron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1860" w:val="left"/>
          <w:tab w:leader="none" w:pos="2620" w:val="left"/>
        </w:tabs>
        <w:rPr>
          <w:sz w:val="20"/>
          <w:szCs w:val="20"/>
          <w:color w:val="auto"/>
        </w:rPr>
      </w:pPr>
      <w:r>
        <w:rPr>
          <w:rFonts w:ascii="Arial" w:cs="Arial" w:eastAsia="Arial" w:hAnsi="Arial"/>
          <w:sz w:val="18"/>
          <w:szCs w:val="18"/>
          <w:color w:val="auto"/>
        </w:rPr>
        <w:t>Steven Paddon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225,000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and oversight of our information technology and investment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30480</wp:posOffset>
            </wp:positionV>
            <wp:extent cx="7246620" cy="132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ind w:left="340" w:hanging="335"/>
        <w:spacing w:after="0" w:line="209" w:lineRule="auto"/>
        <w:tabs>
          <w:tab w:leader="none" w:pos="34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Management and oversight of our compliance with legal and regulatory requirements;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340" w:right="640"/>
        <w:spacing w:after="0" w:line="294" w:lineRule="auto"/>
        <w:rPr>
          <w:sz w:val="20"/>
          <w:szCs w:val="20"/>
          <w:color w:val="auto"/>
        </w:rPr>
      </w:pPr>
      <w:r>
        <w:rPr>
          <w:rFonts w:ascii="Arial" w:cs="Arial" w:eastAsia="Arial" w:hAnsi="Arial"/>
          <w:sz w:val="17"/>
          <w:szCs w:val="17"/>
          <w:color w:val="auto"/>
        </w:rPr>
        <w:t>Management and oversight of risk management issues, including review and negotiation of legal agreements and participation in internal risk management committees;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ind w:left="340" w:right="640"/>
        <w:spacing w:after="0" w:line="275" w:lineRule="auto"/>
        <w:rPr>
          <w:sz w:val="20"/>
          <w:szCs w:val="20"/>
          <w:color w:val="auto"/>
        </w:rPr>
      </w:pPr>
      <w:r>
        <w:rPr>
          <w:rFonts w:ascii="Arial" w:cs="Arial" w:eastAsia="Arial" w:hAnsi="Arial"/>
          <w:sz w:val="18"/>
          <w:szCs w:val="18"/>
          <w:color w:val="auto"/>
        </w:rPr>
        <w:t>Oversight of external counsel with a goal toward timely resolution of legal issues (e.g. litigation, trademark issues, corporate governance, etc.); and</w:t>
      </w:r>
    </w:p>
    <w:p>
      <w:pPr>
        <w:spacing w:after="0" w:line="10" w:lineRule="exact"/>
        <w:rPr>
          <w:sz w:val="20"/>
          <w:szCs w:val="20"/>
          <w:color w:val="auto"/>
        </w:rPr>
      </w:pPr>
    </w:p>
    <w:p>
      <w:pPr>
        <w:ind w:left="340" w:right="540" w:hanging="335"/>
        <w:spacing w:after="0" w:line="198" w:lineRule="auto"/>
        <w:tabs>
          <w:tab w:leader="none" w:pos="34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Effective representation of our legal and compliance program and processes to clients, investment consulting firms and other financial intermediaries.</w:t>
      </w:r>
    </w:p>
    <w:p>
      <w:pPr>
        <w:ind w:left="340" w:hanging="335"/>
        <w:spacing w:after="0" w:line="194" w:lineRule="auto"/>
        <w:tabs>
          <w:tab w:leader="none" w:pos="34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Management and oversight of our institutional sales and client service teams;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340" w:right="600"/>
        <w:spacing w:after="0" w:line="275" w:lineRule="auto"/>
        <w:rPr>
          <w:sz w:val="20"/>
          <w:szCs w:val="20"/>
          <w:color w:val="auto"/>
        </w:rPr>
      </w:pPr>
      <w:r>
        <w:rPr>
          <w:rFonts w:ascii="Arial" w:cs="Arial" w:eastAsia="Arial" w:hAnsi="Arial"/>
          <w:sz w:val="18"/>
          <w:szCs w:val="18"/>
          <w:color w:val="auto"/>
        </w:rPr>
        <w:t>Membership on the Company's Information Technology Steering Committee and Enterprise Risk Management Committee;</w:t>
      </w:r>
    </w:p>
    <w:p>
      <w:pPr>
        <w:spacing w:after="0" w:line="158" w:lineRule="exact"/>
        <w:rPr>
          <w:sz w:val="20"/>
          <w:szCs w:val="20"/>
          <w:color w:val="auto"/>
        </w:rPr>
      </w:pPr>
    </w:p>
    <w:p>
      <w:pPr>
        <w:sectPr>
          <w:pgSz w:w="11900" w:h="16838" w:orient="portrait"/>
          <w:cols w:equalWidth="0" w:num="2">
            <w:col w:w="3220" w:space="240"/>
            <w:col w:w="7940"/>
          </w:cols>
          <w:pgMar w:left="240" w:top="530" w:right="259" w:bottom="1440" w:gutter="0" w:footer="0" w:header="0"/>
          <w:type w:val="continuous"/>
        </w:sectPr>
      </w:pPr>
    </w:p>
    <w:p>
      <w:pPr>
        <w:ind w:right="360" w:firstLine="405"/>
        <w:spacing w:after="0" w:line="277" w:lineRule="auto"/>
        <w:rPr>
          <w:sz w:val="20"/>
          <w:szCs w:val="20"/>
          <w:color w:val="auto"/>
        </w:rPr>
      </w:pPr>
      <w:r>
        <w:rPr>
          <w:rFonts w:ascii="Arial" w:cs="Arial" w:eastAsia="Arial" w:hAnsi="Arial"/>
          <w:sz w:val="18"/>
          <w:szCs w:val="18"/>
          <w:color w:val="auto"/>
        </w:rPr>
        <w:t>Cash incentive awards earned in 2018 and paid in 2019 to Messrs. Forbes, Gomez and Paddon and Ms. Gerron are listed in column (d) in the "2018 Summary Compensation Table"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8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Each year, the Compensation Committee grants long-term equity awards to our named executive officers under the Fifth Amended and Restated Westwood Holdings Group, Inc. Stock Incentive Plan (the "Stock Incentive Plan"). These equity awards are intended to attract, retain and motivate our named executive officers as well as focus them on our long-term performance. The Compensation Committee determines long-term equity awards such that at-risk long-term equity compensation represents a significant portion of overall compensation and provides significant motivation for short- and long-term performance and financial results. The Compensation Committee also performs periodic benchmarking against our peers.</w:t>
      </w:r>
    </w:p>
    <w:p>
      <w:pPr>
        <w:spacing w:after="0" w:line="132"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While the Stock Incentive Plan authorizes the grant of several types of equity awards, the Compensation Committee currently expects that the named executive officers’ long-term equity awards will be limited to time-based restricted stock awards and performance-based restricted stock awards.</w:t>
      </w:r>
    </w:p>
    <w:p>
      <w:pPr>
        <w:spacing w:after="0" w:line="8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Unless the Compensation Committee determines otherwise, recipients of restricted stock awards will generally have the right to vote the underlying restricted shares. Dividends on restricted stock awards are accrued and payable to the recipient only when the underlying restricted shares vest. Any accrued dividends on forfeited shares are forfeited. No restricted shares may be sold, transferred, or pledged during the restricted period.</w:t>
      </w:r>
    </w:p>
    <w:p>
      <w:pPr>
        <w:spacing w:after="0" w:line="9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does not have a formal policy on timing equity compensation grants in connection with the release of material non-public information that may affect the value of compensation. In the event that material non-public information becomes known to the Compensation Committee prior to granting equity awards, the Committee will take the existence of such information under advisement and make an assessment on whether or not to delay the grant of the equity award in order to avoid any impropriety or appearance of impropriety.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type w:val="continuous"/>
        </w:sectPr>
      </w:pPr>
    </w:p>
    <w:bookmarkStart w:id="31" w:name="page32"/>
    <w:bookmarkEnd w:id="31"/>
    <w:p>
      <w:pPr>
        <w:ind w:left="420"/>
        <w:spacing w:after="0"/>
        <w:rPr>
          <w:sz w:val="20"/>
          <w:szCs w:val="20"/>
          <w:color w:val="auto"/>
        </w:rPr>
      </w:pPr>
      <w:r>
        <w:rPr>
          <w:rFonts w:ascii="Arial" w:cs="Arial" w:eastAsia="Arial" w:hAnsi="Arial"/>
          <w:sz w:val="17"/>
          <w:szCs w:val="17"/>
          <w:color w:val="auto"/>
        </w:rPr>
        <w:t>The Board has established stock ownership guidelines for the CEO and certain other executives requiring the following minimum holdings:</w:t>
      </w:r>
    </w:p>
    <w:p>
      <w:pPr>
        <w:spacing w:after="0" w:line="115" w:lineRule="exact"/>
        <w:rPr>
          <w:sz w:val="20"/>
          <w:szCs w:val="20"/>
          <w:color w:val="auto"/>
        </w:rPr>
      </w:pPr>
    </w:p>
    <w:p>
      <w:pPr>
        <w:ind w:left="1360" w:hanging="299"/>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CEO holdings equal 6x base salary; and</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Officers reporting directly to the CEO holdings equal 3x base salary.</w:t>
      </w:r>
    </w:p>
    <w:p>
      <w:pPr>
        <w:spacing w:after="0" w:line="18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each of the above, those subject to the stock ownership guidelines are required to hold 50% of net shares acquired through vesting of equity-based compensation programs until the minimum guideline level is met. Messrs. Casey, Gomez and Freeman and Ms. Gerron have met the stock ownership holding requirement as of March 4, 2019.</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Time-Based Restricted Stock Awards</w:t>
      </w:r>
    </w:p>
    <w:p>
      <w:pPr>
        <w:spacing w:after="0" w:line="18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 value of the awards is tied to the market value of our common stock. Time-based awards are generally subject to ratable vesting over four years based on the following vesting schedule:</w:t>
      </w:r>
    </w:p>
    <w:p>
      <w:pPr>
        <w:spacing w:after="0" w:line="60" w:lineRule="exact"/>
        <w:rPr>
          <w:sz w:val="20"/>
          <w:szCs w:val="20"/>
          <w:color w:val="auto"/>
        </w:rPr>
      </w:pPr>
    </w:p>
    <w:p>
      <w:pPr>
        <w:ind w:left="1360" w:hanging="299"/>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50% of awards vest upon the second anniversary of the grant date;</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25% of awards vest upon the third anniversary of the grant date; and</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25% of awards vest upon the fourth anniversary of the grant date.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February 2018, the Compensation Committee awarded the following time-based restricted stock grants to our named executive officers: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Restricted</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 Granted (#)</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of Shares ($) (1)</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Terry Forbes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106,314</w:t>
            </w:r>
          </w:p>
        </w:tc>
        <w:tc>
          <w:tcPr>
            <w:tcW w:w="0" w:type="dxa"/>
            <w:vAlign w:val="bottom"/>
          </w:tcPr>
          <w:p>
            <w:pPr>
              <w:spacing w:after="0"/>
              <w:rPr>
                <w:sz w:val="1"/>
                <w:szCs w:val="1"/>
                <w:color w:val="auto"/>
              </w:rPr>
            </w:pP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Fabian Gomez</w:t>
            </w:r>
          </w:p>
        </w:tc>
        <w:tc>
          <w:tcPr>
            <w:tcW w:w="146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Julie K. Gerron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199,310</w:t>
            </w:r>
          </w:p>
        </w:tc>
        <w:tc>
          <w:tcPr>
            <w:tcW w:w="0" w:type="dxa"/>
            <w:vAlign w:val="bottom"/>
          </w:tcPr>
          <w:p>
            <w:pPr>
              <w:spacing w:after="0"/>
              <w:rPr>
                <w:sz w:val="1"/>
                <w:szCs w:val="1"/>
                <w:color w:val="auto"/>
              </w:rPr>
            </w:pPr>
          </w:p>
        </w:tc>
      </w:tr>
      <w:tr>
        <w:trPr>
          <w:trHeight w:val="33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Tiffany B. Kice</w:t>
            </w:r>
            <w:r>
              <w:rPr>
                <w:rFonts w:ascii="Arial" w:cs="Arial" w:eastAsia="Arial" w:hAnsi="Arial"/>
                <w:sz w:val="25"/>
                <w:szCs w:val="25"/>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9"/>
          <w:szCs w:val="9"/>
          <w:color w:val="auto"/>
        </w:rPr>
        <w:t>___________________</w:t>
      </w:r>
    </w:p>
    <w:p>
      <w:pPr>
        <w:spacing w:after="0" w:line="52" w:lineRule="exact"/>
        <w:rPr>
          <w:sz w:val="20"/>
          <w:szCs w:val="20"/>
          <w:color w:val="auto"/>
        </w:rPr>
      </w:pPr>
    </w:p>
    <w:p>
      <w:pPr>
        <w:ind w:left="1480" w:right="120" w:hanging="824"/>
        <w:spacing w:after="0" w:line="252" w:lineRule="auto"/>
        <w:tabs>
          <w:tab w:leader="none" w:pos="8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reflect the grant date fair value of time-vested restricted stock awards granted to Messrs. Forbes and Gomez and Mses. Gerron and Kice in 2018, computed in accordance with ASC 718. The assumptions used in the valuation of the restricted stock awards are discussed in Note 10 "Employee Benefits" of our audited financial statements, included in our 2018 Form 10-K. The grant date fair value for these time-vested awards was based on $55.72 per share, which was the closing price of our common stock on the grant date of February 23, 2018, adjusted for the accrual of dividends on unvested shares.</w:t>
      </w:r>
    </w:p>
    <w:p>
      <w:pPr>
        <w:spacing w:after="0" w:line="39" w:lineRule="exact"/>
        <w:rPr>
          <w:rFonts w:ascii="Arial" w:cs="Arial" w:eastAsia="Arial" w:hAnsi="Arial"/>
          <w:sz w:val="14"/>
          <w:szCs w:val="14"/>
          <w:color w:val="auto"/>
        </w:rPr>
      </w:pPr>
    </w:p>
    <w:p>
      <w:pPr>
        <w:ind w:left="840" w:hanging="184"/>
        <w:spacing w:after="0"/>
        <w:tabs>
          <w:tab w:leader="none" w:pos="8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Kice forfeited her time-based restricted stock grant of 4,650 shares upon her departure in October 2018.</w:t>
      </w:r>
    </w:p>
    <w:p>
      <w:pPr>
        <w:spacing w:after="0" w:line="200" w:lineRule="exact"/>
        <w:rPr>
          <w:sz w:val="20"/>
          <w:szCs w:val="20"/>
          <w:color w:val="auto"/>
        </w:rPr>
      </w:pP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Performance-Based Restricted Stock Awards</w:t>
      </w:r>
    </w:p>
    <w:p>
      <w:pPr>
        <w:spacing w:after="0" w:line="7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Compensation Committee believes that granting performance-based restricted stock awards to Messrs. Casey and Freeman strengthens the alignment of their interests with our stockholders and clients.</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Compensation Committee selected Income before income taxes as the basis for our 2018 performance target because it believes that this measure is a meaningful indicator of our performance and profitability and aligns with the interests of our shareholders. Income before income taxes is determined based on the Company’s audited financial statements for the applicable Performance Cycle and equals the Company’s revenues minus expenses, excluding tax. In the sole discretion of the Committee, earnings before taxes may exclude start up, non-recurring, mergers and acquisitions, litigation or claim adjustments or settlements, lift outs and other similar expense items.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44" w:right="27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b w:val="1"/>
          <w:bCs w:val="1"/>
          <w:color w:val="auto"/>
        </w:rPr>
        <w:t>Chief Executive Officer</w:t>
      </w:r>
    </w:p>
    <w:p>
      <w:pPr>
        <w:spacing w:after="0" w:line="18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Long-term incentive awards for Mr. Casey are determined by the Compensation Committee on an annual basis. Mr. Casey’s long-term incentive awards for 2018 included:</w:t>
      </w:r>
    </w:p>
    <w:p>
      <w:pPr>
        <w:spacing w:after="0" w:line="8" w:lineRule="exact"/>
        <w:rPr>
          <w:sz w:val="20"/>
          <w:szCs w:val="20"/>
          <w:color w:val="auto"/>
        </w:rPr>
      </w:pPr>
    </w:p>
    <w:p>
      <w:pPr>
        <w:ind w:left="1060" w:hanging="323"/>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performance-based restricted stock award for 35,966 performance shares, earned as follows:</w:t>
      </w:r>
    </w:p>
    <w:p>
      <w:pPr>
        <w:spacing w:after="0" w:line="63" w:lineRule="exact"/>
        <w:rPr>
          <w:rFonts w:ascii="Arial" w:cs="Arial" w:eastAsia="Arial" w:hAnsi="Arial"/>
          <w:sz w:val="18"/>
          <w:szCs w:val="18"/>
          <w:color w:val="auto"/>
        </w:rPr>
      </w:pPr>
    </w:p>
    <w:p>
      <w:pPr>
        <w:ind w:left="1700" w:hanging="314"/>
        <w:spacing w:after="0" w:line="277" w:lineRule="auto"/>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goal of $20.0 million for 2018, which vest ratably over a three-year period, and</w:t>
      </w:r>
    </w:p>
    <w:p>
      <w:pPr>
        <w:spacing w:after="0" w:line="8" w:lineRule="exact"/>
        <w:rPr>
          <w:rFonts w:ascii="Arial" w:cs="Arial" w:eastAsia="Arial" w:hAnsi="Arial"/>
          <w:sz w:val="18"/>
          <w:szCs w:val="18"/>
          <w:color w:val="auto"/>
        </w:rPr>
      </w:pPr>
    </w:p>
    <w:p>
      <w:pPr>
        <w:ind w:left="1700" w:right="20" w:hanging="314"/>
        <w:spacing w:after="0" w:line="264" w:lineRule="auto"/>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target of $36.0 million for 2018, but ranges from 25% of target for threshold performance of $32.0 million to 185% of target for maximum performance of $44.5 million ("Target Performance shares"), which vest ratably over a three-year period.</w:t>
      </w:r>
    </w:p>
    <w:p>
      <w:pPr>
        <w:spacing w:after="0" w:line="19" w:lineRule="exact"/>
        <w:rPr>
          <w:sz w:val="20"/>
          <w:szCs w:val="20"/>
          <w:color w:val="auto"/>
        </w:rPr>
      </w:pPr>
    </w:p>
    <w:p>
      <w:pPr>
        <w:ind w:left="1060" w:hanging="323"/>
        <w:spacing w:after="0"/>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actual 2018 Income before income taxes of $36.5 million, the following table illustrates the performance shares Mr. Casey earned:</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04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Non-variable shares earned</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Target Performance shares: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Threshold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Target</w:t>
            </w:r>
          </w:p>
        </w:tc>
        <w:tc>
          <w:tcPr>
            <w:tcW w:w="920" w:type="dxa"/>
            <w:vAlign w:val="bottom"/>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93"/>
              </w:rPr>
              <w:t>Target Performance shares earned based on Income before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5120" w:type="dxa"/>
            <w:vAlign w:val="bottom"/>
          </w:tcPr>
          <w:p>
            <w:pPr>
              <w:ind w:left="40"/>
              <w:spacing w:after="0" w:line="257" w:lineRule="exact"/>
              <w:rPr>
                <w:sz w:val="20"/>
                <w:szCs w:val="20"/>
                <w:color w:val="auto"/>
              </w:rPr>
            </w:pPr>
            <w:r>
              <w:rPr>
                <w:rFonts w:ascii="Arial" w:cs="Arial" w:eastAsia="Arial" w:hAnsi="Arial"/>
                <w:sz w:val="18"/>
                <w:szCs w:val="18"/>
                <w:color w:val="auto"/>
              </w:rPr>
              <w:t>taxes</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18,703</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performance-based shares earned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36,686</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
        </w:trPr>
        <w:tc>
          <w:tcPr>
            <w:tcW w:w="5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0" w:lineRule="exact"/>
        <w:rPr>
          <w:sz w:val="20"/>
          <w:szCs w:val="20"/>
          <w:color w:val="auto"/>
        </w:rPr>
      </w:pPr>
    </w:p>
    <w:p>
      <w:pPr>
        <w:ind w:left="1700"/>
        <w:spacing w:after="0"/>
        <w:rPr>
          <w:sz w:val="20"/>
          <w:szCs w:val="20"/>
          <w:color w:val="auto"/>
        </w:rPr>
      </w:pPr>
      <w:r>
        <w:rPr>
          <w:rFonts w:ascii="Arial" w:cs="Arial" w:eastAsia="Arial" w:hAnsi="Arial"/>
          <w:sz w:val="9"/>
          <w:szCs w:val="9"/>
          <w:color w:val="auto"/>
        </w:rPr>
        <w:t>___________________</w:t>
      </w:r>
    </w:p>
    <w:p>
      <w:pPr>
        <w:spacing w:after="0" w:line="5" w:lineRule="exact"/>
        <w:rPr>
          <w:sz w:val="20"/>
          <w:szCs w:val="20"/>
          <w:color w:val="auto"/>
        </w:rPr>
      </w:pPr>
    </w:p>
    <w:p>
      <w:pPr>
        <w:ind w:left="2120" w:right="40" w:hanging="410"/>
        <w:spacing w:after="0" w:line="248" w:lineRule="auto"/>
        <w:tabs>
          <w:tab w:leader="none" w:pos="21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One third of these shares vested on March 8, 2019. The remainder will vest 50% on March 8, 2020 and 2021, subject to Mr. Casey’s continued employment with the Company through each vesting date. Any unvested shares will accelerate and become fully vested upon Mr. Casey’s death, disability, termination without cause or for good reason, or upon a change of control.</w:t>
      </w:r>
    </w:p>
    <w:p>
      <w:pPr>
        <w:spacing w:after="0" w:line="155" w:lineRule="exact"/>
        <w:rPr>
          <w:sz w:val="20"/>
          <w:szCs w:val="20"/>
          <w:color w:val="auto"/>
        </w:rPr>
      </w:pPr>
    </w:p>
    <w:p>
      <w:pPr>
        <w:ind w:left="1140" w:right="320" w:firstLine="486"/>
        <w:spacing w:after="0" w:line="342" w:lineRule="auto"/>
        <w:rPr>
          <w:sz w:val="20"/>
          <w:szCs w:val="20"/>
          <w:color w:val="auto"/>
        </w:rPr>
      </w:pPr>
      <w:r>
        <w:rPr>
          <w:rFonts w:ascii="Arial" w:cs="Arial" w:eastAsia="Arial" w:hAnsi="Arial"/>
          <w:sz w:val="16"/>
          <w:szCs w:val="16"/>
          <w:color w:val="auto"/>
        </w:rPr>
        <w:t>As allowed under the Stock Incentive Plan and approved by the Compensation Committee, Mr. Casey will surrender approximately 12,000 of the vested shares in order to partially satisfy tax withholding requirements due to the vesting of these shares.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0" w:right="2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b w:val="1"/>
          <w:bCs w:val="1"/>
          <w:color w:val="auto"/>
        </w:rPr>
        <w:t>Chief Investment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incentive awards for Mr. Freeman determined by the Compensation Committee o included:</w:t>
      </w:r>
    </w:p>
    <w:p>
      <w:pPr>
        <w:spacing w:after="0" w:line="63" w:lineRule="exact"/>
        <w:rPr>
          <w:sz w:val="20"/>
          <w:szCs w:val="20"/>
          <w:color w:val="auto"/>
        </w:rPr>
      </w:pPr>
    </w:p>
    <w:p>
      <w:pPr>
        <w:ind w:left="1060" w:hanging="32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performance-based restricted stock award for 17,983 performance shares, earned as follows:</w:t>
      </w:r>
    </w:p>
    <w:p>
      <w:pPr>
        <w:spacing w:after="0" w:line="63" w:lineRule="exact"/>
        <w:rPr>
          <w:rFonts w:ascii="Arial" w:cs="Arial" w:eastAsia="Arial" w:hAnsi="Arial"/>
          <w:sz w:val="18"/>
          <w:szCs w:val="18"/>
          <w:color w:val="auto"/>
        </w:rPr>
      </w:pPr>
    </w:p>
    <w:p>
      <w:pPr>
        <w:ind w:left="1700" w:hanging="314"/>
        <w:spacing w:after="0" w:line="277" w:lineRule="auto"/>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goal of $20.0 million for 2018, which vest ratably over a three-year period, and</w:t>
      </w:r>
    </w:p>
    <w:p>
      <w:pPr>
        <w:spacing w:after="0" w:line="8" w:lineRule="exact"/>
        <w:rPr>
          <w:rFonts w:ascii="Arial" w:cs="Arial" w:eastAsia="Arial" w:hAnsi="Arial"/>
          <w:sz w:val="18"/>
          <w:szCs w:val="18"/>
          <w:color w:val="auto"/>
        </w:rPr>
      </w:pPr>
    </w:p>
    <w:p>
      <w:pPr>
        <w:ind w:left="1700" w:right="20" w:hanging="314"/>
        <w:spacing w:after="0" w:line="264" w:lineRule="auto"/>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50% in performance shares based upon an Income before income taxes target of $36.0 million for 2018, but ranges from 25% of target for threshold performance of $32.0 million to 185% of target for maximum performance of $44.5 million ("Target Performance shares"), which vest ratably over a three-year period.</w:t>
      </w:r>
    </w:p>
    <w:p>
      <w:pPr>
        <w:spacing w:after="0" w:line="46" w:lineRule="exact"/>
        <w:rPr>
          <w:rFonts w:ascii="Arial" w:cs="Arial" w:eastAsia="Arial" w:hAnsi="Arial"/>
          <w:sz w:val="18"/>
          <w:szCs w:val="18"/>
          <w:color w:val="auto"/>
        </w:rPr>
      </w:pPr>
    </w:p>
    <w:p>
      <w:pPr>
        <w:ind w:left="1120" w:hanging="383"/>
        <w:spacing w:after="0"/>
        <w:tabs>
          <w:tab w:leader="none" w:pos="11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actual 2018 Income before income taxes of $36.5 million, the following table illustrates the performance shares Mr. Freeman earned:</w:t>
      </w:r>
    </w:p>
    <w:p>
      <w:pPr>
        <w:spacing w:after="0" w:line="276"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04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Non-variable shares earned</w:t>
            </w:r>
            <w:r>
              <w:rPr>
                <w:rFonts w:ascii="Arial" w:cs="Arial" w:eastAsia="Arial" w:hAnsi="Arial"/>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Target Performance shares: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Threshold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Target</w:t>
            </w:r>
          </w:p>
        </w:tc>
        <w:tc>
          <w:tcPr>
            <w:tcW w:w="920" w:type="dxa"/>
            <w:vAlign w:val="bottom"/>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93"/>
              </w:rPr>
              <w:t>Target Performance shares earned based on Income before income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5120" w:type="dxa"/>
            <w:vAlign w:val="bottom"/>
          </w:tcPr>
          <w:p>
            <w:pPr>
              <w:ind w:left="40"/>
              <w:spacing w:after="0" w:line="257" w:lineRule="exact"/>
              <w:rPr>
                <w:sz w:val="20"/>
                <w:szCs w:val="20"/>
                <w:color w:val="auto"/>
              </w:rPr>
            </w:pPr>
            <w:r>
              <w:rPr>
                <w:rFonts w:ascii="Arial" w:cs="Arial" w:eastAsia="Arial" w:hAnsi="Arial"/>
                <w:sz w:val="18"/>
                <w:szCs w:val="18"/>
                <w:color w:val="auto"/>
              </w:rPr>
              <w:t>taxes</w:t>
            </w:r>
            <w:r>
              <w:rPr>
                <w:rFonts w:ascii="Arial" w:cs="Arial" w:eastAsia="Arial" w:hAnsi="Arial"/>
                <w:sz w:val="25"/>
                <w:szCs w:val="25"/>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9,351</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performance-based shares earned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
        </w:trPr>
        <w:tc>
          <w:tcPr>
            <w:tcW w:w="5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0" w:lineRule="exact"/>
        <w:rPr>
          <w:sz w:val="20"/>
          <w:szCs w:val="20"/>
          <w:color w:val="auto"/>
        </w:rPr>
      </w:pPr>
    </w:p>
    <w:p>
      <w:pPr>
        <w:ind w:left="1700"/>
        <w:spacing w:after="0"/>
        <w:rPr>
          <w:sz w:val="20"/>
          <w:szCs w:val="20"/>
          <w:color w:val="auto"/>
        </w:rPr>
      </w:pPr>
      <w:r>
        <w:rPr>
          <w:rFonts w:ascii="Arial" w:cs="Arial" w:eastAsia="Arial" w:hAnsi="Arial"/>
          <w:sz w:val="9"/>
          <w:szCs w:val="9"/>
          <w:color w:val="auto"/>
        </w:rPr>
        <w:t>___________________</w:t>
      </w:r>
    </w:p>
    <w:p>
      <w:pPr>
        <w:spacing w:after="0" w:line="5" w:lineRule="exact"/>
        <w:rPr>
          <w:sz w:val="20"/>
          <w:szCs w:val="20"/>
          <w:color w:val="auto"/>
        </w:rPr>
      </w:pPr>
    </w:p>
    <w:p>
      <w:pPr>
        <w:ind w:left="2120" w:right="200" w:hanging="410"/>
        <w:spacing w:after="0" w:line="255" w:lineRule="auto"/>
        <w:tabs>
          <w:tab w:leader="none" w:pos="21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One third of these shares vested on March 8, 2019. Subject to his Separation Agreement, Mr. Freeman forfeited the remainder upon his departure on March 8, 2019.</w:t>
      </w:r>
    </w:p>
    <w:p>
      <w:pPr>
        <w:spacing w:after="0" w:line="150" w:lineRule="exact"/>
        <w:rPr>
          <w:sz w:val="20"/>
          <w:szCs w:val="20"/>
          <w:color w:val="auto"/>
        </w:rPr>
      </w:pPr>
    </w:p>
    <w:p>
      <w:pPr>
        <w:ind w:left="1140" w:right="120" w:firstLine="486"/>
        <w:spacing w:after="0" w:line="308" w:lineRule="auto"/>
        <w:rPr>
          <w:sz w:val="20"/>
          <w:szCs w:val="20"/>
          <w:color w:val="auto"/>
        </w:rPr>
      </w:pPr>
      <w:r>
        <w:rPr>
          <w:rFonts w:ascii="Arial" w:cs="Arial" w:eastAsia="Arial" w:hAnsi="Arial"/>
          <w:sz w:val="17"/>
          <w:szCs w:val="17"/>
          <w:color w:val="auto"/>
        </w:rPr>
        <w:t>As allowed under the Stock Incentive Plan and approved by the Compensation Committee, Mr. Freeman will surrender approximately 7,000 of the vested shares in order to partially satisfy tax withholding requirements due to the vesting of these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and Post-Retirement Benefits</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offer employee and post-retirement benefits to all full-time employees, including the named executive officers, in order to provide them with financial support in the event of injury, illness or disability and to help them accumulate retirement savings on a tax-favored basis. All employees are generally eligible to participate in benefit programs including medical, dental and vision insurance coverage, disability insurance and life insurance. In addition, all U.S. employees are generally eligible to participate in applicable health savings 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Savings Plan and Matching Contributions</w:t>
      </w:r>
    </w:p>
    <w:p>
      <w:pPr>
        <w:spacing w:after="0" w:line="7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Under the Company’s U.S. Westwood Holdings Group, Inc. Savings Plan (the "U.S. Savings Plan"), all U.S. based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Profit Sharing Contributions</w:t>
      </w:r>
    </w:p>
    <w:p>
      <w:pPr>
        <w:spacing w:after="0" w:line="7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Company’s U.S. Savings Plan also authorizes us to make discretionary annual contributions to U.S. employees’ Savings Plan accounts based on our profitability and performance. The profit sharing component of the Savings Plan is broad-based and all U.S. employees, including the named executive officers, are eligible for discretionary profit sharing contributions. Beginning with our 2017 discretionary contribution, profit sharing contributions are subject to a four-year graded vesting schedule based on an employee's years of service. Prior to 2017, profit sharing contributions were subject to a six-year graded vesting schedule based on an employee’s years of service. For 2018, we made a discretionary contribution for all eligible employees equal to 4% of their eligible compensation (subject to IRS limits).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0" w:right="239" w:bottom="1440" w:gutter="0" w:footer="0" w:header="0"/>
        </w:sectPr>
      </w:pPr>
    </w:p>
    <w:bookmarkStart w:id="34" w:name="page35"/>
    <w:bookmarkEnd w:id="34"/>
    <w:p>
      <w:pPr>
        <w:ind w:right="20" w:firstLine="405"/>
        <w:spacing w:after="0" w:line="264" w:lineRule="auto"/>
        <w:rPr>
          <w:sz w:val="20"/>
          <w:szCs w:val="20"/>
          <w:color w:val="auto"/>
        </w:rPr>
      </w:pPr>
      <w:r>
        <w:rPr>
          <w:rFonts w:ascii="Arial" w:cs="Arial" w:eastAsia="Arial" w:hAnsi="Arial"/>
          <w:sz w:val="18"/>
          <w:szCs w:val="18"/>
          <w:color w:val="auto"/>
        </w:rPr>
        <w:t>For 2018, the Company made 401(k) Company matching contributions and Company profit sharing contributions totaling $27,500 for each of Messrs. Casey, Forbes, Gomez and Freeman and Ms. Gerron and $15,817 for Mr. Paddon. Ms. Kice received 401(k) Company matching contributions of $10,945 but did not receive Company profit sharing contributions.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provide significant perquisites to our named executive officers during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Section 162(m) of the Internal Revenue Code (“Code”) limits the U.S. federal income tax deduction for compensation paid to our Chief Executive Officer and certain other highly compensated executive officers. Beginning in 2018, the maximum U.S. federal income tax deduction that we may receive for annual compensation paid to any officer, including the Chief Financial Officer, covered by Section 162(m) of the Code is $1 million per such covered officer. For years prior to 2018, we also were permitted to receive a tax deduction for “performance-based” compensation as defined under Section 162(m) of the Code without regard to the $1 million limitation. However, recent U.S. tax legislation eliminated the performance-based exception. These new rules were effective starting in fiscal 2018, except that certain equity awards that we granted on or before November 2, 2017, might still qualify as performance-based compensation. To the extent that in 2018, or any later year, the aggregate amount of any covered officer’s salary, bonus, and amount realized from equity awards and certain other compensation amounts that are recognized as taxable income by the covered officer exceeds $1 million in any year, we will not be entitled to a U.S. federal income tax deduction for the amount over $1 million in that year.</w:t>
      </w:r>
    </w:p>
    <w:p>
      <w:pPr>
        <w:spacing w:after="0" w:line="14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believes that, in establishing cash and equity incentive compensation plans and arrangements for our executive officers, the potential deductibility of the compensation payable under those plans and arrangements should be only one of the relevant factors taken into consideration. For that reason, the Compensation Committee may deem it appropriate to provide one or more executive officers with the opportunity to earn incentive compensation, whether through cash incentive awards or equity incentive awards, as well as other forms of compensation,, even if all or part of that compensation may not be deductible by provisions of the Code.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Actions for 2019</w:t>
      </w:r>
    </w:p>
    <w:p>
      <w:pPr>
        <w:spacing w:after="0" w:line="18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response to volatility and declines in the equity markets due to a number of geopolitical and economic factors present at the start of 2019, and in combination with higher than expected net outflows during 2018, Mr. Casey has offered to waive his ability to earn any short- or long-term incentive awards for at least the first half of 2019. The Compensation Committee has accepted Mr. Casey's offer and agrees to suspend the short-term incentive plan for Mr. Casey for at least the first half of 2019 and will not grant any new long-term incentive award to Mr. Casey during this period. The Committee will reevaluate mid-year whether or not to reinstate a short-term incentive plan for the remainder of 2019 or make equity-based long-term incentive awards. Should the Committee decide to reinstate incentives, any short- or long-term incentive opportunity will be prorated so as to only reward for the portion of the year that the incentive is in place.</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544"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COMPENSATION COMMITTEE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Frank, Chairman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J. Weiland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E. Wooldridge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Bonus</w:t>
            </w: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Position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02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1,994,314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1,066,500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3,738,314</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1,996,368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1,539,000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4,215,068</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3,954,038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5,980,538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Terry Forbes</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191,633</w:t>
            </w: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106,314</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435,447</w:t>
            </w: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w w:val="97"/>
              </w:rPr>
              <w:t>Senior Vice President, Chief Financial Officer &amp;</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Treasurer</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255,833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259,098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742,431</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Vice President, Chief Operating Officer</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Julie K. Gerron</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199,310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616,810</w:t>
            </w: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w w:val="99"/>
              </w:rPr>
              <w:t>Senior Vice President, General Counsel, Chief</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199,824</w:t>
            </w:r>
          </w:p>
        </w:tc>
        <w:tc>
          <w:tcPr>
            <w:tcW w:w="10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654,524</w:t>
            </w:r>
          </w:p>
        </w:tc>
        <w:tc>
          <w:tcPr>
            <w:tcW w:w="0" w:type="dxa"/>
            <w:vAlign w:val="bottom"/>
          </w:tcPr>
          <w:p>
            <w:pPr>
              <w:spacing w:after="0"/>
              <w:rPr>
                <w:sz w:val="1"/>
                <w:szCs w:val="1"/>
                <w:color w:val="auto"/>
              </w:rPr>
            </w:pPr>
          </w:p>
        </w:tc>
      </w:tr>
      <w:tr>
        <w:trPr>
          <w:trHeight w:val="284"/>
        </w:trPr>
        <w:tc>
          <w:tcPr>
            <w:tcW w:w="3900" w:type="dxa"/>
            <w:vAlign w:val="bottom"/>
          </w:tcPr>
          <w:p>
            <w:pPr>
              <w:ind w:left="200"/>
              <w:spacing w:after="0"/>
              <w:rPr>
                <w:sz w:val="20"/>
                <w:szCs w:val="20"/>
                <w:color w:val="auto"/>
              </w:rPr>
            </w:pPr>
            <w:r>
              <w:rPr>
                <w:rFonts w:ascii="Arial" w:cs="Arial" w:eastAsia="Arial" w:hAnsi="Arial"/>
                <w:sz w:val="18"/>
                <w:szCs w:val="18"/>
                <w:color w:val="auto"/>
              </w:rPr>
              <w:t>Compliance Officer and Corporate Secretary</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222,500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274,409</w:t>
            </w:r>
          </w:p>
        </w:tc>
        <w:tc>
          <w:tcPr>
            <w:tcW w:w="10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713,409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Steven Paddon</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158,173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412,842</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Senior Vice President, Head of Institutional Sales</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Mark R. Freeman</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997,157</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2,174,657</w:t>
            </w: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w w:val="98"/>
              </w:rPr>
              <w:t>Executive Vice President and Chief Investment</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2,093,438</w:t>
            </w:r>
          </w:p>
        </w:tc>
        <w:tc>
          <w:tcPr>
            <w:tcW w:w="10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1,772,500</w:t>
            </w:r>
          </w:p>
        </w:tc>
        <w:tc>
          <w:tcPr>
            <w:tcW w:w="1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4,395,638</w:t>
            </w:r>
          </w:p>
        </w:tc>
        <w:tc>
          <w:tcPr>
            <w:tcW w:w="0" w:type="dxa"/>
            <w:vAlign w:val="bottom"/>
          </w:tcPr>
          <w:p>
            <w:pPr>
              <w:spacing w:after="0"/>
              <w:rPr>
                <w:sz w:val="1"/>
                <w:szCs w:val="1"/>
                <w:color w:val="auto"/>
              </w:rPr>
            </w:pPr>
          </w:p>
        </w:tc>
      </w:tr>
      <w:tr>
        <w:trPr>
          <w:trHeight w:val="284"/>
        </w:trPr>
        <w:tc>
          <w:tcPr>
            <w:tcW w:w="3900" w:type="dxa"/>
            <w:vAlign w:val="bottom"/>
          </w:tcPr>
          <w:p>
            <w:pPr>
              <w:ind w:left="200"/>
              <w:spacing w:after="0"/>
              <w:rPr>
                <w:sz w:val="20"/>
                <w:szCs w:val="20"/>
                <w:color w:val="auto"/>
              </w:rPr>
            </w:pPr>
            <w:r>
              <w:rPr>
                <w:rFonts w:ascii="Arial" w:cs="Arial" w:eastAsia="Arial" w:hAnsi="Arial"/>
                <w:sz w:val="18"/>
                <w:szCs w:val="18"/>
                <w:color w:val="auto"/>
              </w:rPr>
              <w:t>Officer</w:t>
            </w:r>
          </w:p>
        </w:tc>
        <w:tc>
          <w:tcPr>
            <w:tcW w:w="700" w:type="dxa"/>
            <w:vAlign w:val="bottom"/>
            <w:gridSpan w:val="2"/>
          </w:tcPr>
          <w:p>
            <w:pPr>
              <w:jc w:val="right"/>
              <w:ind w:right="116"/>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1,118,400</w:t>
            </w:r>
          </w:p>
        </w:tc>
        <w:tc>
          <w:tcPr>
            <w:tcW w:w="10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1,822,091</w:t>
            </w:r>
          </w:p>
        </w:tc>
        <w:tc>
          <w:tcPr>
            <w:tcW w:w="1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3,466,991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Tiffany B. Kice</w:t>
            </w:r>
          </w:p>
        </w:tc>
        <w:tc>
          <w:tcPr>
            <w:tcW w:w="7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224,750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259,098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494,793</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Senior Vice President, Chief Financial Officer &amp;</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237,252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776,952</w:t>
            </w:r>
          </w:p>
        </w:tc>
        <w:tc>
          <w:tcPr>
            <w:tcW w:w="0" w:type="dxa"/>
            <w:vAlign w:val="bottom"/>
          </w:tcPr>
          <w:p>
            <w:pPr>
              <w:spacing w:after="0"/>
              <w:rPr>
                <w:sz w:val="1"/>
                <w:szCs w:val="1"/>
                <w:color w:val="auto"/>
              </w:rPr>
            </w:pPr>
          </w:p>
        </w:tc>
      </w:tr>
      <w:tr>
        <w:trPr>
          <w:trHeight w:val="284"/>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Treasurer</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245,833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249,566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759,399</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9"/>
          <w:szCs w:val="9"/>
          <w:color w:val="auto"/>
        </w:rPr>
        <w:t>___________________</w:t>
      </w:r>
    </w:p>
    <w:p>
      <w:pPr>
        <w:spacing w:after="0" w:line="4" w:lineRule="exact"/>
        <w:rPr>
          <w:sz w:val="20"/>
          <w:szCs w:val="20"/>
          <w:color w:val="auto"/>
        </w:rPr>
      </w:pPr>
    </w:p>
    <w:p>
      <w:pPr>
        <w:ind w:left="660" w:right="300" w:hanging="652"/>
        <w:spacing w:after="0" w:line="268" w:lineRule="auto"/>
        <w:tabs>
          <w:tab w:leader="none" w:pos="6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This column represents base compensation earned during each of the fiscal years presented. Since a significant portion of the reported compensation of Messrs. Casey and Freeman represents potential pay, we believe it is useful to supplement the information provided in the above table by also looking at the pay that Messrs. Casey and Freeman actually realized during the year. See "Compensation Discussion and Analysis - CEO Realized Pay" and "Compensation Discussion and Analysis - CIO Realized Pay."</w:t>
      </w:r>
    </w:p>
    <w:p>
      <w:pPr>
        <w:spacing w:after="0" w:line="1" w:lineRule="exact"/>
        <w:rPr>
          <w:rFonts w:ascii="Arial" w:cs="Arial" w:eastAsia="Arial" w:hAnsi="Arial"/>
          <w:sz w:val="13"/>
          <w:szCs w:val="13"/>
          <w:color w:val="auto"/>
        </w:rPr>
      </w:pPr>
    </w:p>
    <w:p>
      <w:pPr>
        <w:ind w:left="660" w:right="160" w:hanging="652"/>
        <w:spacing w:after="0" w:line="248"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2018, the amounts for Messrs. Forbes, Gomez and Paddon and Ms. Gerron reflect the cash payments made under our employee bonus pool. Pursuant to the terms of Mr. Paddon's Offer Letter, he was entitled to a minimum cash bonus target of $160,500 for 2018. Pursuant to the terms of Ms. Kice’s Offer Letter, she was entitled to a minimum cash bonus target of $225,000 for 2017 and 2016.</w:t>
      </w:r>
    </w:p>
    <w:p>
      <w:pPr>
        <w:ind w:left="660" w:right="180" w:hanging="652"/>
        <w:spacing w:after="0" w:line="245"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2018, the amounts contained in column (e) reflect (i) for Mr. Casey, the grant date fair value of his 2018 performance-based restricted stock awards based on target performance (35,966 shares), whereby the maximum threshold is 51,252 shares, or $2,841,923, (ii) for Mr. Forbes, the grant date fair value of his time-vested restricted stock award granted in 2018 (1,908 shares), (iii) for Mr. Gomez, the grant date fair value of his time-vested restricted stock award granted in 2018 (4,650 shares), (iv) for Ms. Gerron, the grant date fair value of her time-vested restricted stock award granted in 2018 (3,577 shares) (v) for Mr. Freeman, the grant date fair value of his 2018 performance-based restricted stock awards based on target performance (17,983 shares), whereby the maximum threshold is 25,625 shares, or $1,420,906 and (vi) for Ms. Kice, the grant date fair value of her time-vested restricted stock award granted in 2018 (4,650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6" w:name="page37"/>
    <w:bookmarkEnd w:id="36"/>
    <w:p>
      <w:pPr>
        <w:ind w:left="660" w:right="120"/>
        <w:spacing w:after="0" w:line="268" w:lineRule="auto"/>
        <w:rPr>
          <w:sz w:val="20"/>
          <w:szCs w:val="20"/>
          <w:color w:val="auto"/>
        </w:rPr>
      </w:pPr>
      <w:r>
        <w:rPr>
          <w:rFonts w:ascii="Arial" w:cs="Arial" w:eastAsia="Arial" w:hAnsi="Arial"/>
          <w:sz w:val="13"/>
          <w:szCs w:val="13"/>
          <w:color w:val="auto"/>
        </w:rPr>
        <w:t>For 2017, the amounts contained in column (e) reflect (i) for Mr. Casey, the grant date fair value of his 2017 performance-based restricted stock awards based on target performance (36,490 shares), whereby the maximum threshold is 51,998 shares, or $2,844,811, (ii) for Ms. Gerron, the grant date fair value of her time-vested restricted stock award granted in 2017 (3,246 shares), (iii) for Mr. Freeman, the grant date fair value of his 2017 performance-based restricted stock award based on target performance (38,246 shares), whereby the maximum threshold is 46,001 shares, or $2,517,715 and (iv) for Ms. Kice, the grant date fair value of her time-vested restricted stock award granted in 2017 3,854 shares).</w:t>
      </w:r>
    </w:p>
    <w:p>
      <w:pPr>
        <w:spacing w:after="0" w:line="1" w:lineRule="exact"/>
        <w:rPr>
          <w:sz w:val="20"/>
          <w:szCs w:val="20"/>
          <w:color w:val="auto"/>
        </w:rPr>
      </w:pPr>
    </w:p>
    <w:p>
      <w:pPr>
        <w:ind w:left="660" w:right="320" w:firstLine="648"/>
        <w:spacing w:after="0" w:line="265" w:lineRule="auto"/>
        <w:rPr>
          <w:sz w:val="20"/>
          <w:szCs w:val="20"/>
          <w:color w:val="auto"/>
        </w:rPr>
      </w:pPr>
      <w:r>
        <w:rPr>
          <w:rFonts w:ascii="Arial" w:cs="Arial" w:eastAsia="Arial" w:hAnsi="Arial"/>
          <w:sz w:val="13"/>
          <w:szCs w:val="13"/>
          <w:color w:val="auto"/>
        </w:rPr>
        <w:t>For 2016, the amounts contained in column (e) reflect (i) for Mr. Casey, the grant date fair value of his 2016 performance-based restricted stock awards based on target performance (70,766 shares), whereby the maximum threshold is 86,011 shares, or $4,805,607, (ii) for Ms. Gerron, the grant date fair value of her time-vested restricted stock award granted in 2016 (4,044 shares), (iii) for Mr. Freeman, the grant date fair value of the tranche of his 2012 performance-based restricted stock award that was subject to vesting in 2016 (20,000 shares) and (iv) for Ms. Kice, the grant date fair value of her time-vested restricted stock award granted in 2016 (3,640 shares).</w:t>
      </w:r>
    </w:p>
    <w:p>
      <w:pPr>
        <w:spacing w:after="0" w:line="1" w:lineRule="exact"/>
        <w:rPr>
          <w:sz w:val="20"/>
          <w:szCs w:val="20"/>
          <w:color w:val="auto"/>
        </w:rPr>
      </w:pPr>
    </w:p>
    <w:p>
      <w:pPr>
        <w:ind w:left="660" w:right="40" w:firstLine="648"/>
        <w:spacing w:after="0" w:line="267" w:lineRule="auto"/>
        <w:rPr>
          <w:sz w:val="20"/>
          <w:szCs w:val="20"/>
          <w:color w:val="auto"/>
        </w:rPr>
      </w:pPr>
      <w:r>
        <w:rPr>
          <w:rFonts w:ascii="Arial" w:cs="Arial" w:eastAsia="Arial" w:hAnsi="Arial"/>
          <w:sz w:val="13"/>
          <w:szCs w:val="13"/>
          <w:color w:val="auto"/>
        </w:rPr>
        <w:t>The above grant date fair values reported in column (e) were calculated in accordance with Accounting Standards Codification Topic 718 ("ASC 718"), "Stock Compensation." The assumptions used in the valuation of the performance-based and time-vested restricted stock awards are discussed in Note 9 "Employee Benefits" of our audited financial statements, which are included in our 2018 Form 10-K. See the "Compensation Discussion and Analysis" section above for a further description of these restricted stock awards.</w:t>
      </w:r>
    </w:p>
    <w:p>
      <w:pPr>
        <w:spacing w:after="0" w:line="1" w:lineRule="exact"/>
        <w:rPr>
          <w:sz w:val="20"/>
          <w:szCs w:val="20"/>
          <w:color w:val="auto"/>
        </w:rPr>
      </w:pPr>
    </w:p>
    <w:p>
      <w:pPr>
        <w:ind w:left="660" w:right="200" w:hanging="652"/>
        <w:spacing w:after="0" w:line="251"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2018, the amounts in column (f) reflect the cash payment to Mr. Casey, in accordance with his annual cash incentive award. The amount for Mr. Freeman reflects the cash payment made under his annual cash incentive award in accordance with his Separation Agreement.</w:t>
      </w:r>
    </w:p>
    <w:p>
      <w:pPr>
        <w:ind w:left="660" w:right="120" w:firstLine="648"/>
        <w:spacing w:after="0" w:line="244" w:lineRule="auto"/>
        <w:rPr>
          <w:rFonts w:ascii="Arial" w:cs="Arial" w:eastAsia="Arial" w:hAnsi="Arial"/>
          <w:sz w:val="14"/>
          <w:szCs w:val="14"/>
          <w:color w:val="auto"/>
        </w:rPr>
      </w:pPr>
      <w:r>
        <w:rPr>
          <w:rFonts w:ascii="Arial" w:cs="Arial" w:eastAsia="Arial" w:hAnsi="Arial"/>
          <w:sz w:val="14"/>
          <w:szCs w:val="14"/>
          <w:color w:val="auto"/>
        </w:rPr>
        <w:t>For 2017, the amounts in column (f) reflect the cash payment to Mr. Casey, in accordance with his annual cash incentive award. The amounts for Mses. Gerron and Kice reflect the cash payments made under our Umbrella Bonus Pool. The amount for Mr. Freeman includes: cash payment to Mr. Freeman, in accordance with his annual cash incentive award; and $1.0 million in mutual fund shares earned under the terms of the Mutual Fund Share Incentive Agreement dated March 23, 2017 (the "2017 MFSI Agreement") as a result of the Westwood Income Opportunity Fund receiving a 4-star overall rating by Morningstar. Per the terms of the 2017 MFSI Agreement, this $1 million award was credited on January 16, 2018 to a notional account maintained by the Company and was deemed invested in 62,133 shares of the Westwood Income Opportunity Fund. Mr. Freeman vested in 50% of the award on December 31, 2018, which was funded in Fund shares, subject to any applicable tax withholding, in January 2019. Mr. Freeman forfeited the remaining 50% of the award per his Separation Agreement effective March 8, 2019.</w:t>
      </w:r>
    </w:p>
    <w:p>
      <w:pPr>
        <w:spacing w:after="0" w:line="2" w:lineRule="exact"/>
        <w:rPr>
          <w:rFonts w:ascii="Arial" w:cs="Arial" w:eastAsia="Arial" w:hAnsi="Arial"/>
          <w:sz w:val="14"/>
          <w:szCs w:val="14"/>
          <w:color w:val="auto"/>
        </w:rPr>
      </w:pPr>
    </w:p>
    <w:p>
      <w:pPr>
        <w:ind w:left="660" w:right="40" w:firstLine="648"/>
        <w:spacing w:after="0" w:line="263" w:lineRule="auto"/>
        <w:rPr>
          <w:rFonts w:ascii="Arial" w:cs="Arial" w:eastAsia="Arial" w:hAnsi="Arial"/>
          <w:sz w:val="14"/>
          <w:szCs w:val="14"/>
          <w:color w:val="auto"/>
        </w:rPr>
      </w:pPr>
      <w:r>
        <w:rPr>
          <w:rFonts w:ascii="Arial" w:cs="Arial" w:eastAsia="Arial" w:hAnsi="Arial"/>
          <w:sz w:val="13"/>
          <w:szCs w:val="13"/>
          <w:color w:val="auto"/>
        </w:rPr>
        <w:t>For 2016, the amounts in column (f) reflect the cash payment to Mr. Casey, in accordance with his annual cash incentive award. The amounts for Mses. Gerron and Kice reflect the cash payments made under our Umbrella Bonus Pool. The amount for Mr. Freeman includes: cash payment of 1.5% of our previous performance measure as determined by the Compensation Committee, as defined, for the respective year; and $1.0 million in mutual fund shares earned under the terms of the Mutual Fund Share Incentive Agreement dated March 10, 2016 (the "2016 MFSI Agreement") as a result of the Westwood Income Opportunity Fund receiving a 4-star overall rating by Morningstar. Per the terms of the 2016 MFSI Agreement, this $1 million award was credited on January 6, 2017 to a notional account maintained by the Company and was deemed invested in 67,397 shares of the Westwood Income Opportunity Fund. Mr. Freeman vested in the award on December 31, 2017, which was funded in Fund shares, subject to any applicable tax withholding, in January 2018.</w:t>
      </w:r>
    </w:p>
    <w:p>
      <w:pPr>
        <w:spacing w:after="0" w:line="2" w:lineRule="exact"/>
        <w:rPr>
          <w:rFonts w:ascii="Arial" w:cs="Arial" w:eastAsia="Arial" w:hAnsi="Arial"/>
          <w:sz w:val="14"/>
          <w:szCs w:val="14"/>
          <w:color w:val="auto"/>
        </w:rPr>
      </w:pPr>
    </w:p>
    <w:p>
      <w:pPr>
        <w:ind w:left="660" w:right="560" w:firstLine="648"/>
        <w:spacing w:after="0" w:line="251" w:lineRule="auto"/>
        <w:rPr>
          <w:rFonts w:ascii="Arial" w:cs="Arial" w:eastAsia="Arial" w:hAnsi="Arial"/>
          <w:sz w:val="14"/>
          <w:szCs w:val="14"/>
          <w:color w:val="auto"/>
        </w:rPr>
      </w:pPr>
      <w:r>
        <w:rPr>
          <w:rFonts w:ascii="Arial" w:cs="Arial" w:eastAsia="Arial" w:hAnsi="Arial"/>
          <w:sz w:val="14"/>
          <w:szCs w:val="14"/>
          <w:color w:val="auto"/>
        </w:rPr>
        <w:t>The Company’s previous performance measure as determined by the Compensation Committee, as defined, for 2016 aggregated approximately $54.8 million. See the "Compensation Discussion &amp; Analysis" section above for a further description of these cash incentive awards.</w:t>
      </w:r>
    </w:p>
    <w:p>
      <w:pPr>
        <w:ind w:left="660" w:right="140" w:hanging="652"/>
        <w:spacing w:after="0" w:line="252"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2018. Pursuant to the terms of Mr. Paddon's offer letter, he was also entitled to reimbursement of his relocation expenses of $13,852.</w:t>
      </w:r>
    </w:p>
    <w:p>
      <w:pPr>
        <w:spacing w:after="0" w:line="166"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We currently have an employment agreement with Mr. Casey. Under his agreement, Mr. Casey receives a minimum base salary, is eligible to receive performance-based and discretionary bonuses, receives service-based and performance-based restricted shares, could become fully vested in his unvested equity compensation (depending on the cause of termination of employment), and could receive salary and benefits for up to two years after the termination of his employment (depending on the cause of termination of employment). In accordance with the terms of his employment agreement, Mr. Casey was paid an annual salary of $650,000 in 2018 and was eligible to receive an annual cash incentive award, as described above. Mr. Casey's agreement renewed automatically on January 1, 2019 for a term through December 31, 2019 and is auto-renewable for subsequent one-year periods.</w:t>
      </w:r>
    </w:p>
    <w:p>
      <w:pPr>
        <w:spacing w:after="0" w:line="124"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June 2018, Mark R. Freeman informed the Company of his decision to transition from his role of Executive Vice President and Chief Investment Officer over the next nine months to pursue his external philanthropic and business goals. The Company entered into a Separation Agreement with Mr. Freeman that details the terms of his transition and separation from the Company. In accordance with the terms of his employment agreement, Mr. Freeman was paid an annual salary of $260,000 in 2018 and was eligible to receive an annual incentive award, as described above. Mr. Freeman's agreement, set to expire on December 31, 2019 and auto-renewable for subsequent one-year periods, was terminated on his separation date. See the "Employment and Related Agreements" section set forth below for further discussion of these employment agreements.</w:t>
      </w:r>
    </w:p>
    <w:p>
      <w:pPr>
        <w:spacing w:after="0" w:line="12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October 2018, we entered into an Offer Letter with Mr. Forbes in connection with his promotion to Chief Financial Officer. The Company will pay Mr. Forbes an annual base salary of $225,000, and he is eligible for a target annual variable compensation bonus opportunity of $300,000 split between cash and shares of Company stock. Mr. Forbes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1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May 2018, we entered into an Offer Letter with Mr. Paddon in connection with his hire as our Head of Institutional Sales. The Company paid Mr. Paddon $13,852 in relocation expenses and will pay him an annual base salary of $250,000. He is eligible for a target annual variable compensation bonus opportunity of $550,000 split between cash and shares of Company stock beginning in 2019. For 2018, the Company agreed to pay Mr. Paddon a minimum of $321,000, split between cash and shares of Company stock. Mr. Paddon is eligible to participate in all compensation and incentive plans generally available to Company employees, including (i) annual cash incentive awards as approved by the Compensation Committee, (ii) long-term equity incentive awards granted pursuant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7" w:name="page38"/>
    <w:bookmarkEnd w:id="37"/>
    <w:p>
      <w:pPr>
        <w:ind w:right="360"/>
        <w:spacing w:after="0" w:line="277" w:lineRule="auto"/>
        <w:rPr>
          <w:sz w:val="20"/>
          <w:szCs w:val="20"/>
          <w:color w:val="auto"/>
        </w:rPr>
      </w:pPr>
      <w:r>
        <w:rPr>
          <w:rFonts w:ascii="Arial" w:cs="Arial" w:eastAsia="Arial" w:hAnsi="Arial"/>
          <w:sz w:val="18"/>
          <w:szCs w:val="18"/>
          <w:color w:val="auto"/>
        </w:rPr>
        <w:t>to the Stock Incentive Plan, and (iii) employee and post-retirement benefits, including those under the Savings Plan. Future cash bonus awards and future restricted stock awards are subject to the approval of the Compensation Committee.</w:t>
      </w:r>
    </w:p>
    <w:p>
      <w:pPr>
        <w:spacing w:after="0" w:line="13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August 2014, we entered into an Offer Letter with Ms. Kice in connection with her hire as our Chief Financial Officer. The Company agreed to pay Ms. Kice an annual base salary of not less than $225,000, a minimum annual cash bonus of $225,000 and an annual restricted stock award grant of the Company's common stock valued at an amount not less than $225,000.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believe our executive compensation program must be consistent and equitable to motivate our employees to perform in ways that enhance shareholder value. We are committed to internal pay equity, and the Compensation Committee carefully monitors the relationship between the pay of our executive officers and the pay of our non-executive employees. The Compensation Committee reviewed a comparison of our CEO’s annual total compensation in 2018 to that of all other Company employees for the same period. The calculation of annual total compensation of all employees was determined in the same manner as the total compensation shown for our CEO in the "2018 Summary Compensation Table" above. The pay elements included in the annual total compensation for each employee are:</w:t>
      </w:r>
    </w:p>
    <w:p>
      <w:pPr>
        <w:spacing w:after="0" w:line="112" w:lineRule="exact"/>
        <w:rPr>
          <w:sz w:val="20"/>
          <w:szCs w:val="20"/>
          <w:color w:val="auto"/>
        </w:rPr>
      </w:pPr>
    </w:p>
    <w:p>
      <w:pPr>
        <w:ind w:left="1360" w:hanging="299"/>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Salary and overtime received in 2018;</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2018;</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 date fair value of restricted stock awards granted in 2018; and</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Company matching contributions and Company profit sharing contributions under our 401(k) Plan or Registered Retirement Savings Plan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2018.</w:t>
      </w:r>
    </w:p>
    <w:p>
      <w:pPr>
        <w:spacing w:after="0" w:line="13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Our calculation includes all employees as of December 31, 2018. We applied a Canadian dollar to U.S. dollar exchange rate to the compensation elements paid in Canadian dollars.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determined the compensation of our median employee as follows: (i) calculated the consistently applied compensation measure ("CACM") for each of our employees; (ii) ranked the CACM of all employees except the CEO from lowest to highest (a list of 182 employees); and (iii) determined the CACM of the employee ranked 92nd on the list ("Median Employee").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pay elements included in the CACM are:</w:t>
      </w:r>
    </w:p>
    <w:p>
      <w:pPr>
        <w:spacing w:after="0" w:line="144" w:lineRule="exact"/>
        <w:rPr>
          <w:sz w:val="20"/>
          <w:szCs w:val="20"/>
          <w:color w:val="auto"/>
        </w:rPr>
      </w:pPr>
    </w:p>
    <w:p>
      <w:pPr>
        <w:ind w:left="1360" w:hanging="299"/>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Salary and overtime received in 2018;</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2018; and</w:t>
      </w:r>
    </w:p>
    <w:p>
      <w:pPr>
        <w:spacing w:after="0" w:line="157" w:lineRule="exact"/>
        <w:rPr>
          <w:rFonts w:ascii="Arial" w:cs="Arial" w:eastAsia="Arial" w:hAnsi="Arial"/>
          <w:sz w:val="18"/>
          <w:szCs w:val="18"/>
          <w:color w:val="auto"/>
        </w:rPr>
      </w:pPr>
    </w:p>
    <w:p>
      <w:pPr>
        <w:ind w:left="1360" w:hanging="299"/>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Grant date fair value of restricted stock awards earned in 2018.</w:t>
      </w:r>
    </w:p>
    <w:p>
      <w:pPr>
        <w:spacing w:after="0" w:line="13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annual total compensation for 2018 for our CEO was $3,738,314 and for our Median Employee was $185,254, resulting in a ratio of our CEO's pay to the pay of our Median Employee of 20 to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Grants of Plan-Based Awards in 2018</w:t>
      </w:r>
    </w:p>
    <w:p>
      <w:pPr>
        <w:spacing w:after="0" w:line="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2018. The equity plan-based awards set forth below consisted solely of restricted shares of our common stock granted under the Stock Incentive Plan.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4"/>
              </w:rPr>
              <w:t>Estimated Future Payouts Under Non-Equity</w:t>
            </w:r>
          </w:p>
        </w:tc>
        <w:tc>
          <w:tcPr>
            <w:tcW w:w="3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 Equity Incentive</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4"/>
              </w:rPr>
              <w:t>Incentive Plan Awards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Plan Awards</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Stock Awards: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9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Target</w:t>
            </w: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9"/>
              </w:rPr>
              <w:t>Maximum</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Threshold</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Target</w:t>
            </w:r>
          </w:p>
        </w:tc>
        <w:tc>
          <w:tcPr>
            <w:tcW w:w="10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4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Stock ($)</w:t>
            </w:r>
          </w:p>
        </w:tc>
        <w:tc>
          <w:tcPr>
            <w:tcW w:w="0" w:type="dxa"/>
            <w:vAlign w:val="bottom"/>
          </w:tcPr>
          <w:p>
            <w:pPr>
              <w:spacing w:after="0"/>
              <w:rPr>
                <w:sz w:val="1"/>
                <w:szCs w:val="1"/>
                <w:color w:val="auto"/>
              </w:rPr>
            </w:pPr>
          </w:p>
        </w:tc>
      </w:tr>
      <w:tr>
        <w:trPr>
          <w:trHeight w:val="149"/>
        </w:trPr>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(d)</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 (i)</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(h)</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Brian O. Casey</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2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1,350,000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2,497,500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1,996,368</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Terry Forbes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106,314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9"/>
              </w:rPr>
              <w:t>Julie K. Gerron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199,310</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17,983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25,625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997,157</w:t>
            </w:r>
          </w:p>
        </w:tc>
        <w:tc>
          <w:tcPr>
            <w:tcW w:w="0" w:type="dxa"/>
            <w:vAlign w:val="bottom"/>
          </w:tcPr>
          <w:p>
            <w:pPr>
              <w:spacing w:after="0"/>
              <w:rPr>
                <w:sz w:val="1"/>
                <w:szCs w:val="1"/>
                <w:color w:val="auto"/>
              </w:rPr>
            </w:pPr>
          </w:p>
        </w:tc>
      </w:tr>
      <w:tr>
        <w:trPr>
          <w:trHeight w:val="291"/>
        </w:trPr>
        <w:tc>
          <w:tcPr>
            <w:tcW w:w="1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Freeman</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1,000,000</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Tiffany B. Kice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259,098</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33" w:lineRule="exact"/>
        <w:rPr>
          <w:sz w:val="20"/>
          <w:szCs w:val="20"/>
          <w:color w:val="auto"/>
        </w:rPr>
      </w:pPr>
    </w:p>
    <w:p>
      <w:pPr>
        <w:ind w:left="660" w:right="300" w:hanging="652"/>
        <w:spacing w:after="0" w:line="250"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in column (d) reflect target performance payout to Messrs. Casey and Freeman in accordance with the 2018 cash incentive awards and target performance payout to Mr. Freeman under his 2018 MFSI Agreement.</w:t>
      </w:r>
    </w:p>
    <w:p>
      <w:pPr>
        <w:ind w:left="660" w:right="620" w:firstLine="648"/>
        <w:spacing w:after="0" w:line="241" w:lineRule="auto"/>
        <w:rPr>
          <w:rFonts w:ascii="Arial" w:cs="Arial" w:eastAsia="Arial" w:hAnsi="Arial"/>
          <w:sz w:val="14"/>
          <w:szCs w:val="14"/>
          <w:color w:val="auto"/>
        </w:rPr>
      </w:pPr>
      <w:r>
        <w:rPr>
          <w:rFonts w:ascii="Arial" w:cs="Arial" w:eastAsia="Arial" w:hAnsi="Arial"/>
          <w:sz w:val="14"/>
          <w:szCs w:val="14"/>
          <w:color w:val="auto"/>
        </w:rPr>
        <w:t>Based on 2018 Company performance, Mr. Casey earned $1,066,500 and Mr. Freeman earned $650,000 under the terms of their 2018 cash incentive awards. See the "Compensation Discussion and Analysis" section above for further description of cash incentive awards.</w:t>
      </w:r>
    </w:p>
    <w:p>
      <w:pPr>
        <w:ind w:left="1300" w:right="1420"/>
        <w:spacing w:after="0" w:line="241" w:lineRule="auto"/>
        <w:rPr>
          <w:rFonts w:ascii="Arial" w:cs="Arial" w:eastAsia="Arial" w:hAnsi="Arial"/>
          <w:sz w:val="14"/>
          <w:szCs w:val="14"/>
          <w:color w:val="auto"/>
        </w:rPr>
      </w:pPr>
      <w:r>
        <w:rPr>
          <w:rFonts w:ascii="Arial" w:cs="Arial" w:eastAsia="Arial" w:hAnsi="Arial"/>
          <w:sz w:val="14"/>
          <w:szCs w:val="14"/>
          <w:color w:val="auto"/>
        </w:rPr>
        <w:t>In connection with his Separation Agreement, Mr. Freeman forfeited his 2018 MFSI Agreement for the performance period ended December 31, 2018. See the "Compensation Discussion and Analysis" section above for a further description of these cash incentive awards.</w:t>
      </w:r>
    </w:p>
    <w:p>
      <w:pPr>
        <w:ind w:left="660" w:right="40" w:hanging="652"/>
        <w:spacing w:after="0" w:line="241"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in column (e) reflect maximum performance payout to Messrs. Casey and Freeman in accordance with the 2018 cash incentive awards and maximum performance payout to Mr. Freeman under his 2018 MFSI Agreement.</w:t>
      </w:r>
    </w:p>
    <w:p>
      <w:pPr>
        <w:ind w:left="660" w:right="100" w:hanging="652"/>
        <w:spacing w:after="0" w:line="241"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in column (g) reflect Messrs. Casey's and Freeman's 2018 performance-based restricted stock awards subject to vesting upon our Income before income taxes for 2018. See the "Compensation Discussion and Analysis" section above for a further description of performance-based restricted stock incentive awards.</w:t>
      </w:r>
    </w:p>
    <w:p>
      <w:pPr>
        <w:ind w:left="660" w:right="40" w:hanging="652"/>
        <w:spacing w:after="0" w:line="241"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Messrs. Forbes and Gomez and Mses. Gerron and Kice in 2018. The shares vest as follows: 50% after two years; 75% after three years; and 100% after four years. Ms. Kice forfeited her shares upon departure.</w:t>
      </w:r>
    </w:p>
    <w:p>
      <w:pPr>
        <w:ind w:left="660" w:hanging="652"/>
        <w:spacing w:after="0"/>
        <w:tabs>
          <w:tab w:leader="none" w:pos="6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in column (j) reflect the grant date fair value of (i) the tranche of Messrs. Casey’s and Freeman’s performance-based restricted stock award subject to vesting, and</w:t>
      </w:r>
    </w:p>
    <w:p>
      <w:pPr>
        <w:spacing w:after="0" w:line="12" w:lineRule="exact"/>
        <w:rPr>
          <w:rFonts w:ascii="Arial" w:cs="Arial" w:eastAsia="Arial" w:hAnsi="Arial"/>
          <w:sz w:val="13"/>
          <w:szCs w:val="13"/>
          <w:color w:val="auto"/>
        </w:rPr>
      </w:pPr>
    </w:p>
    <w:p>
      <w:pPr>
        <w:ind w:left="660" w:right="140"/>
        <w:spacing w:after="0" w:line="268" w:lineRule="auto"/>
        <w:rPr>
          <w:rFonts w:ascii="Arial" w:cs="Arial" w:eastAsia="Arial" w:hAnsi="Arial"/>
          <w:sz w:val="13"/>
          <w:szCs w:val="13"/>
          <w:color w:val="auto"/>
        </w:rPr>
      </w:pPr>
      <w:r>
        <w:rPr>
          <w:rFonts w:ascii="Arial" w:cs="Arial" w:eastAsia="Arial" w:hAnsi="Arial"/>
          <w:sz w:val="13"/>
          <w:szCs w:val="13"/>
          <w:color w:val="auto"/>
        </w:rPr>
        <w:t>(ii) Messrs. Forbes and Gomez and Mses. Kice’s and Gerron’s time-vested restricted stock awards granted in 2018, computed in accordance with ASC 718. The assumptions used in the valuation of the restricted stock awards are discussed in Note 10 "Employee Benefits" of our audited financial statements, included in our 2018 Form 10-K. The grant date fair value for Messrs. Forbes and Gomez and Mses. Kice's and Gerron’s time–vested awards was based on $55.72 per share, which was the closing price of our common stock on the grant date of February 23, 2018, adjusted for the accrual of dividends on unvested shares. The grant date fair value for Messrs. Casey's and Freeman's award was $54.71, which was based on the closing price of our common stock on the grant date of March 8, 2018, adjusted for the accrual of dividends.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w:t>
      </w:r>
    </w:p>
    <w:p>
      <w:pPr>
        <w:spacing w:after="0" w:line="81"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All equity-based incentive awards, except those granted under the Share Award Plan of Westwood Holdings Group, Inc. for Service Provided in Canada to its Subsidiaries, are governed by the Fifth Amended and Restated Westwood Holdings Group, Inc. Stock Incentive Plan (the "Stock Incentive Plan").</w:t>
      </w:r>
    </w:p>
    <w:p>
      <w:pPr>
        <w:spacing w:after="0" w:line="8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2018,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14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Stock Incentive Plan authorizes the grant of several types of equity-based awards, including incentive stock options ("ISOs"), nonstatutory stock options ("NSOs"), restricted stock, stock purchase rights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To date, the Compensation Committee has limited its equity-based awards under the Stock Incentive Plan to NSOs and restricted stock; however, the Sixth Amended and Restated Westwood Holdings Group, Inc. Stock Incentive Plan approved by the Board of Directors and included in Proposal 3 to this proxy statement would allow stock appreciation rights ("SARs"), restricted stock units ("RSUs") and other stock-based awards to be awarded under the Plan. The Compensation Committee believes that restricted stock awards are the most effective vehicle to align the interests of employees with stockholders and clients. Unless the Compensation Committee determines otherwise, the recipient of restricted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99" w:right="239" w:bottom="1440" w:gutter="0" w:footer="0" w:header="0"/>
        </w:sectPr>
      </w:pPr>
    </w:p>
    <w:bookmarkStart w:id="39" w:name="page40"/>
    <w:bookmarkEnd w:id="39"/>
    <w:p>
      <w:pPr>
        <w:ind w:right="40"/>
        <w:spacing w:after="0" w:line="276" w:lineRule="auto"/>
        <w:rPr>
          <w:sz w:val="20"/>
          <w:szCs w:val="20"/>
          <w:color w:val="auto"/>
        </w:rPr>
      </w:pPr>
      <w:r>
        <w:rPr>
          <w:rFonts w:ascii="Arial" w:cs="Arial" w:eastAsia="Arial" w:hAnsi="Arial"/>
          <w:sz w:val="17"/>
          <w:szCs w:val="17"/>
          <w:color w:val="auto"/>
        </w:rPr>
        <w:t>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132"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14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Time-vested restricted stock awards are generally subject to the following four-year vesting schedule: 50% after two years, 75% after three years and 100% after four years. The Compensation Committee believes that this long-term vesting schedule is effective in acting as a retention tool for Messrs. Forbes, Gomez and Paddon, Ms. Gerron and other non-executive employees. All employees are eligible to receive time-vested restricted stock awards.</w:t>
      </w:r>
    </w:p>
    <w:p>
      <w:pPr>
        <w:spacing w:after="0" w:line="10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2018,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8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which auto-renewed for an additional one-year period on January 1, 2019 and is subject to potential automatic renewals for subsequent one-year periods.</w:t>
      </w:r>
    </w:p>
    <w:p>
      <w:pPr>
        <w:spacing w:after="0" w:line="2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Mr. Casey's employment agreement broadly addresses the term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125"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In October 2016, the Compensation Committee entered into a new employment agreement with Mr. Freeman effective January 1, 2017 through December 31, 2019. Mr. Freeman's employment agreement terminated effective March 8, 2019 in accordance with the terms of his Separation Agreement.</w:t>
      </w:r>
    </w:p>
    <w:p>
      <w:pPr>
        <w:spacing w:after="0" w:line="8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There is no written employment agreement with Mr. Forbes; however, Mr. Forbes and the Company entered into an employee confidentiality and non-compete agreement effective November 1, 2018 providing that Mr. Forbes may terminate his employment with the Company upon six months' prior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In addition, the agreement contains a non-competition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13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There is no written employment agreement with Mr. Gomez; however, in connection with his appointment as Chief Operating Officer on February 9, 2018, the Company and Mr. Gomez entered into a severance benefit agreement providing for continued vesting of Mr. Gomez’s outstanding unvested restricted stock awards upon his involuntary termination of employment by the Company without “cause” (as defined in the agreement) or his voluntary termination of employment with the Company for “good reason” (as defined in the agreement), provided he (a) complies fully with all obligations under his agreement and the employee confidentiality and non-compete agreement between the Company and Mr. Gomez dated February 8, 2018, and (b) executes and does not revoke a general release of all claims arising out of or related to his employment with the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outstanding equity awards held by our named executive officers as of December 31, 2018.</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 Awards</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Have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(h)</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77,678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2,641,052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Terry Forbes</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1"/>
                <w:szCs w:val="21"/>
                <w:color w:val="auto"/>
              </w:rPr>
            </w:pP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168,470</w:t>
            </w:r>
          </w:p>
        </w:tc>
        <w:tc>
          <w:tcPr>
            <w:tcW w:w="1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13,357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454,138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10,728</w:t>
            </w:r>
          </w:p>
        </w:tc>
        <w:tc>
          <w:tcPr>
            <w:tcW w:w="100" w:type="dxa"/>
            <w:vAlign w:val="bottom"/>
          </w:tcPr>
          <w:p>
            <w:pPr>
              <w:spacing w:after="0"/>
              <w:rPr>
                <w:sz w:val="21"/>
                <w:szCs w:val="21"/>
                <w:color w:val="auto"/>
              </w:rPr>
            </w:pP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364,752</w:t>
            </w:r>
          </w:p>
        </w:tc>
        <w:tc>
          <w:tcPr>
            <w:tcW w:w="1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R. Freeman</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42,878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1,457,852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Tiffany B. Kice</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right="340" w:hanging="652"/>
        <w:spacing w:after="0" w:line="273"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according to the following schedule provided that the individual is still employed by us on the vesting date. Ms. Kice forfeited 12,046 unvested shares upon her departure on October 31, 2018.</w:t>
      </w:r>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Shares scheduled to vest</w:t>
            </w:r>
          </w:p>
        </w:tc>
        <w:tc>
          <w:tcPr>
            <w:tcW w:w="76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Terry Forbes</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Fabian Gomez</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5,603</w:t>
            </w:r>
          </w:p>
        </w:tc>
        <w:tc>
          <w:tcPr>
            <w:tcW w:w="12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4,495</w:t>
            </w:r>
          </w:p>
        </w:tc>
        <w:tc>
          <w:tcPr>
            <w:tcW w:w="1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1,163</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Julie K. Gerron</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4,047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w:t>
            </w:r>
          </w:p>
        </w:tc>
      </w:tr>
      <w:tr>
        <w:trPr>
          <w:trHeight w:val="27"/>
        </w:trPr>
        <w:tc>
          <w:tcPr>
            <w:tcW w:w="5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ind w:left="660" w:right="20" w:hanging="611"/>
        <w:spacing w:after="0" w:line="289"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shares in column (i) represent an unearned, performance-based restricted stock incentive award granted to Messrs. Casey and Freeman in 2016, 2017 and 2018, which will vest according to the following schedule, provided that Messrs. Casey and Freeman are, in most cases, still employed by us on the vesting date. Each year, the Compensation Committee establishs a specific goal for that year’s restricted shares grant. The performance goals are based upon criteria set forth in the Stock Incentive Plan. The specific performance goal for each year were established no later than March 31 of the grant year. See the "Compensation Discussion and Analysis" section above for a further description of this performance-based restricted stock incentive award.</w:t>
      </w:r>
    </w:p>
    <w:p>
      <w:pPr>
        <w:spacing w:after="0" w:line="310" w:lineRule="exact"/>
        <w:rPr>
          <w:sz w:val="20"/>
          <w:szCs w:val="20"/>
          <w:color w:val="auto"/>
        </w:rPr>
      </w:pPr>
    </w:p>
    <w:tbl>
      <w:tblPr>
        <w:tblLayout w:type="fixed"/>
        <w:tblInd w:w="262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7"/>
              </w:rPr>
              <w:t>Shares scheduled to vest</w:t>
            </w:r>
          </w:p>
        </w:tc>
        <w:tc>
          <w:tcPr>
            <w:tcW w:w="560" w:type="dxa"/>
            <w:vAlign w:val="bottom"/>
            <w:tcBorders>
              <w:bottom w:val="single" w:sz="8" w:color="auto"/>
            </w:tcBorders>
          </w:tcPr>
          <w:p>
            <w:pPr>
              <w:spacing w:after="0"/>
              <w:rPr>
                <w:sz w:val="16"/>
                <w:szCs w:val="16"/>
                <w:color w:val="auto"/>
              </w:rPr>
            </w:pPr>
          </w:p>
        </w:tc>
      </w:tr>
      <w:tr>
        <w:trPr>
          <w:trHeight w:val="264"/>
        </w:trPr>
        <w:tc>
          <w:tcPr>
            <w:tcW w:w="34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89"/>
              </w:rPr>
              <w:t>2021</w:t>
            </w: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38,686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26,764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12,228</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Mark Freeman</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23,382</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13,382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6,114</w:t>
            </w:r>
          </w:p>
        </w:tc>
      </w:tr>
    </w:tbl>
    <w:p>
      <w:pPr>
        <w:spacing w:after="0" w:line="62" w:lineRule="exact"/>
        <w:rPr>
          <w:sz w:val="20"/>
          <w:szCs w:val="20"/>
          <w:color w:val="auto"/>
        </w:rPr>
      </w:pPr>
    </w:p>
    <w:p>
      <w:pPr>
        <w:ind w:left="660" w:hanging="616"/>
        <w:spacing w:after="0" w:line="257"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$34.00, the closing market price of our common stock as of December 31, 2018, the last business day in 2018. Subject to his Separation Agreement, Mr. Freeman forfeited the shares scheduled to vest in 2020 and 2021 upon his departure on March 8,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Stock Vested in 2018</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7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49"/>
        </w:trPr>
        <w:tc>
          <w:tcPr>
            <w:tcW w:w="608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Vesting (#)</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2,444,449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Terry Forbes</w:t>
            </w:r>
          </w:p>
        </w:tc>
        <w:tc>
          <w:tcPr>
            <w:tcW w:w="144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81,587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Fabian Gomez</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278,146</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440" w:type="dxa"/>
            <w:vAlign w:val="bottom"/>
          </w:tcPr>
          <w:p>
            <w:pPr>
              <w:jc w:val="right"/>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291,064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R. Freeman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960,273</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Tiffany B. Kice</w:t>
            </w:r>
          </w:p>
        </w:tc>
        <w:tc>
          <w:tcPr>
            <w:tcW w:w="1440" w:type="dxa"/>
            <w:vAlign w:val="bottom"/>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212,261</w:t>
            </w:r>
          </w:p>
        </w:tc>
        <w:tc>
          <w:tcPr>
            <w:tcW w:w="0" w:type="dxa"/>
            <w:vAlign w:val="bottom"/>
          </w:tcPr>
          <w:p>
            <w:pPr>
              <w:spacing w:after="0"/>
              <w:rPr>
                <w:sz w:val="1"/>
                <w:szCs w:val="1"/>
                <w:color w:val="auto"/>
              </w:rPr>
            </w:pPr>
          </w:p>
        </w:tc>
      </w:tr>
      <w:tr>
        <w:trPr>
          <w:trHeight w:val="134"/>
        </w:trPr>
        <w:tc>
          <w:tcPr>
            <w:tcW w:w="6080" w:type="dxa"/>
            <w:vAlign w:val="bottom"/>
          </w:tcPr>
          <w:p>
            <w:pPr>
              <w:spacing w:after="0"/>
              <w:rPr>
                <w:sz w:val="20"/>
                <w:szCs w:val="20"/>
                <w:color w:val="auto"/>
              </w:rPr>
            </w:pPr>
            <w:r>
              <w:rPr>
                <w:rFonts w:ascii="Arial" w:cs="Arial" w:eastAsia="Arial" w:hAnsi="Arial"/>
                <w:sz w:val="9"/>
                <w:szCs w:val="9"/>
                <w:color w:val="auto"/>
              </w:rPr>
              <w:t>___________________</w:t>
            </w: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660" w:right="80" w:hanging="652"/>
        <w:spacing w:after="0" w:line="283" w:lineRule="auto"/>
        <w:tabs>
          <w:tab w:leader="none" w:pos="6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Values in column (b) reflect shares that vested as of February 23, 2018 at a market value of $55.92 per share, except for Messrs. Casey's and Freeman's shares, which vested as of March 8, 2018 at a market value of $55.61 per share and Ms. Kice's 319 shares, which vested as of October 24, 2018 at a market value of $44.49 per share. Shares vested for Messrs. Casey and Freeman represent performance-based restricted stock and shares vested for Messrs. Forbes and Gomez and Mses. Gerron and Kice represent time-vested restricted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Set forth below is a summary of the compensation and benefits payable to Messrs. Casey, Forbes, Gomez and Paddon and Ms. Gerron in the event their employment is terminated. For purposes of this disclosure, we have calculated benefits assuming a December 31, 2018 termination date. As of December 31, 2018, executive employment agreements were in effect with Messrs. Casey and Freeman. Mr. Freeman's employment agreement terminated effective March 8, 2019 in accordance with his Separation Agreement. For further information on the employment agreements, see "Employment and Related Agreements" above.</w:t>
      </w:r>
    </w:p>
    <w:p>
      <w:pPr>
        <w:spacing w:after="0" w:line="14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Under the terms of our Stock Incentive Plan, in the event of their death or a "change in control" of the Company, unvested time-vested restricted stock awards would vest for Messrs. Forbes and Gomez and Ms. Gerron. These shares had a value of $168,470 for Mr. Forbes, $454,138 for Mr. Gomez and $364,752 for Ms. Gerron as of December 31, 2018. Other than the terms of Mr. Forbes' employee confidentiality and non-compete agreement and Mr. Gomez's severance benefit agreement discussed in "Employment and Related Agreements" above and the acceleration of restricted stock awards for Messrs. Forbes, Gomez and Paddon and Ms. Gerron upon death or a "change in control," they are not contractually entitled to any other severance payments upon their termination or a "change in control" of the Company.</w:t>
      </w:r>
    </w:p>
    <w:p>
      <w:pPr>
        <w:spacing w:after="0" w:line="15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the employment agreement in place, payments to Mr. Casey could vary depending on the cause of termination and whether or not the Board of Directors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immediately below.</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07" w:right="25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252"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right="80" w:hanging="158"/>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48" w:lineRule="exact"/>
        <w:rPr>
          <w:rFonts w:ascii="Arial" w:cs="Arial" w:eastAsia="Arial" w:hAnsi="Arial"/>
          <w:sz w:val="18"/>
          <w:szCs w:val="18"/>
          <w:color w:val="auto"/>
        </w:rPr>
      </w:pPr>
    </w:p>
    <w:p>
      <w:pPr>
        <w:ind w:left="1360" w:hanging="218"/>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90" w:lineRule="exact"/>
        <w:rPr>
          <w:rFonts w:ascii="Arial" w:cs="Arial" w:eastAsia="Arial" w:hAnsi="Arial"/>
          <w:sz w:val="18"/>
          <w:szCs w:val="18"/>
          <w:color w:val="auto"/>
        </w:rPr>
      </w:pPr>
    </w:p>
    <w:p>
      <w:pPr>
        <w:ind w:left="1300" w:hanging="158"/>
        <w:spacing w:after="0" w:line="270"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right="80" w:hanging="158"/>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4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90" w:lineRule="exact"/>
        <w:rPr>
          <w:rFonts w:ascii="Arial" w:cs="Arial" w:eastAsia="Arial" w:hAnsi="Arial"/>
          <w:sz w:val="18"/>
          <w:szCs w:val="18"/>
          <w:color w:val="auto"/>
        </w:rPr>
      </w:pPr>
    </w:p>
    <w:p>
      <w:pPr>
        <w:ind w:left="1300" w:hanging="158"/>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21"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76" w:lineRule="exact"/>
        <w:rPr>
          <w:rFonts w:ascii="Arial" w:cs="Arial" w:eastAsia="Arial" w:hAnsi="Arial"/>
          <w:sz w:val="18"/>
          <w:szCs w:val="18"/>
          <w:color w:val="auto"/>
        </w:rPr>
      </w:pPr>
    </w:p>
    <w:p>
      <w:pPr>
        <w:ind w:left="1300" w:hanging="158"/>
        <w:spacing w:after="0" w:line="291"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2018,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 (b) if the change in control occurs after the end of the performance cycle, all Category 1 Shares and Category 2 Shares will fully vest to the extent then earned based on the Company's actual performance for the performance cycle.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77" w:lineRule="exact"/>
        <w:rPr>
          <w:sz w:val="20"/>
          <w:szCs w:val="20"/>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04" w:lineRule="exact"/>
        <w:rPr>
          <w:sz w:val="20"/>
          <w:szCs w:val="20"/>
          <w:color w:val="auto"/>
        </w:rPr>
      </w:pPr>
    </w:p>
    <w:p>
      <w:pPr>
        <w:ind w:left="1360" w:hanging="218"/>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60" w:hanging="218"/>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90"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364" w:right="29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color w:val="auto"/>
        </w:rPr>
        <w:t>The following table shows the amounts that Mr. Casey would receive under different severance and change in control scenarios: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For cause, voluntary</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Without cause,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Terminated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due to</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9"/>
              </w:rPr>
              <w:t>Benefits/payments upon termination</w:t>
            </w:r>
          </w:p>
        </w:tc>
        <w:tc>
          <w:tcPr>
            <w:tcW w:w="100" w:type="dxa"/>
            <w:vAlign w:val="bottom"/>
            <w:vMerge w:val="restart"/>
          </w:tcPr>
          <w:p>
            <w:pPr>
              <w:spacing w:after="0"/>
              <w:rPr>
                <w:sz w:val="12"/>
                <w:szCs w:val="12"/>
                <w:color w:val="auto"/>
              </w:rPr>
            </w:pPr>
          </w:p>
        </w:tc>
        <w:tc>
          <w:tcPr>
            <w:tcW w:w="23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good reason or non-renewal by the</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non-renewal</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9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Death</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7"/>
              </w:rPr>
              <w:t>executive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 control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Non-compete enforced?</w:t>
            </w:r>
          </w:p>
        </w:tc>
        <w:tc>
          <w:tcPr>
            <w:tcW w:w="260" w:type="dxa"/>
            <w:vAlign w:val="bottom"/>
          </w:tcPr>
          <w:p>
            <w:pPr>
              <w:spacing w:after="0"/>
              <w:rPr>
                <w:sz w:val="22"/>
                <w:szCs w:val="22"/>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Y</w:t>
            </w:r>
          </w:p>
        </w:tc>
        <w:tc>
          <w:tcPr>
            <w:tcW w:w="36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N</w:t>
            </w:r>
          </w:p>
        </w:tc>
        <w:tc>
          <w:tcPr>
            <w:tcW w:w="200" w:type="dxa"/>
            <w:vAlign w:val="bottom"/>
          </w:tcPr>
          <w:p>
            <w:pPr>
              <w:spacing w:after="0"/>
              <w:rPr>
                <w:sz w:val="22"/>
                <w:szCs w:val="2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rPr>
              <w:t>Y</w:t>
            </w:r>
          </w:p>
        </w:tc>
        <w:tc>
          <w:tcPr>
            <w:tcW w:w="16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rPr>
              <w:t>Y</w:t>
            </w:r>
          </w:p>
        </w:tc>
        <w:tc>
          <w:tcPr>
            <w:tcW w:w="180" w:type="dxa"/>
            <w:vAlign w:val="bottom"/>
          </w:tcPr>
          <w:p>
            <w:pPr>
              <w:spacing w:after="0"/>
              <w:rPr>
                <w:sz w:val="22"/>
                <w:szCs w:val="2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5"/>
        </w:trPr>
        <w:tc>
          <w:tcPr>
            <w:tcW w:w="2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Base salary for an additional</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629,993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1,300,000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Annual bonus for an additional</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1,599,750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2,133,000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 shares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2,641,041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2,641,041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2,641,041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2,641,041</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Medical benefits</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30,011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30,011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30,011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20,007</w:t>
            </w: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5,245,802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6,104,052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2,671,052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2,661,048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01" w:lineRule="exact"/>
        <w:rPr>
          <w:sz w:val="20"/>
          <w:szCs w:val="20"/>
          <w:color w:val="auto"/>
        </w:rPr>
      </w:pPr>
    </w:p>
    <w:p>
      <w:pPr>
        <w:ind w:left="660" w:hanging="652"/>
        <w:spacing w:after="0" w:line="249"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reflect one year’s base salary, less the amount of medical insurance premiums Mr. Casey would have paid had he remained employed with the Company, for termination for cause, voluntary termination without good reason or non-renewal by Mr. Casey. Amounts reflect 1.5 times Mr. Casey's annual base salary, less the amount of medical insurance premiums Mr. Casey would have paid had he remained employed with the Company, for termination without cause, for good reason or non-renewal by the Company. Amounts reflect 2 times Mr. Casey's annual base salary, less the amount of medical insurance premiums Mr. Casey would have paid had he remained employed with the Company, for termination due to change in control.</w:t>
      </w:r>
    </w:p>
    <w:p>
      <w:pPr>
        <w:spacing w:after="0" w:line="42" w:lineRule="exact"/>
        <w:rPr>
          <w:rFonts w:ascii="Arial" w:cs="Arial" w:eastAsia="Arial" w:hAnsi="Arial"/>
          <w:sz w:val="14"/>
          <w:szCs w:val="14"/>
          <w:color w:val="auto"/>
        </w:rPr>
      </w:pPr>
    </w:p>
    <w:p>
      <w:pPr>
        <w:ind w:left="660" w:right="100" w:hanging="652"/>
        <w:spacing w:after="0" w:line="273"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spacing w:after="0" w:line="25" w:lineRule="exact"/>
        <w:rPr>
          <w:rFonts w:ascii="Arial" w:cs="Arial" w:eastAsia="Arial" w:hAnsi="Arial"/>
          <w:sz w:val="14"/>
          <w:szCs w:val="14"/>
          <w:color w:val="auto"/>
        </w:rPr>
      </w:pPr>
    </w:p>
    <w:p>
      <w:pPr>
        <w:ind w:left="660" w:hanging="652"/>
        <w:spacing w:after="0" w:line="257"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reflect the estimated value of the acceleration of Mr. Casey’s outstanding performance-based restricted stock awards (77,678 shares, which are equal to the number of outstanding performance-based restricted stock shares that are reported in the "Outstanding Equity Awards at December 31, 2018" table), using our closing stock price of $34.00 per share as of the last day of business in 2018.</w:t>
      </w:r>
    </w:p>
    <w:p>
      <w:pPr>
        <w:spacing w:after="0" w:line="36" w:lineRule="exact"/>
        <w:rPr>
          <w:rFonts w:ascii="Arial" w:cs="Arial" w:eastAsia="Arial" w:hAnsi="Arial"/>
          <w:sz w:val="14"/>
          <w:szCs w:val="14"/>
          <w:color w:val="auto"/>
        </w:rPr>
      </w:pPr>
    </w:p>
    <w:p>
      <w:pPr>
        <w:ind w:left="660" w:right="420" w:hanging="652"/>
        <w:spacing w:after="0" w:line="257"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Mr. Casey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36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amounts shown in the preceding table do not include payments and benefits to the extent they are paid to all employees upon termination of employment, including:</w:t>
      </w:r>
    </w:p>
    <w:p>
      <w:pPr>
        <w:spacing w:after="0" w:line="49" w:lineRule="exact"/>
        <w:rPr>
          <w:sz w:val="20"/>
          <w:szCs w:val="20"/>
          <w:color w:val="auto"/>
        </w:rPr>
      </w:pPr>
    </w:p>
    <w:p>
      <w:pPr>
        <w:ind w:left="1360" w:hanging="299"/>
        <w:spacing w:after="0"/>
        <w:tabs>
          <w:tab w:leader="none" w:pos="1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7" w:lineRule="exact"/>
        <w:rPr>
          <w:rFonts w:ascii="Arial" w:cs="Arial" w:eastAsia="Arial" w:hAnsi="Arial"/>
          <w:sz w:val="18"/>
          <w:szCs w:val="18"/>
          <w:color w:val="auto"/>
        </w:rPr>
      </w:pPr>
    </w:p>
    <w:p>
      <w:pPr>
        <w:ind w:left="1360" w:hanging="299"/>
        <w:spacing w:after="0"/>
        <w:tabs>
          <w:tab w:leader="none" w:pos="1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90" w:lineRule="exact"/>
        <w:rPr>
          <w:rFonts w:ascii="Arial" w:cs="Arial" w:eastAsia="Arial" w:hAnsi="Arial"/>
          <w:sz w:val="18"/>
          <w:szCs w:val="18"/>
          <w:color w:val="auto"/>
        </w:rPr>
      </w:pPr>
    </w:p>
    <w:p>
      <w:pPr>
        <w:ind w:left="1300" w:hanging="239"/>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paid under other benefit plans, including our family and medical leave of absence and long-term disability programs.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4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77" w:lineRule="exact"/>
        <w:rPr>
          <w:sz w:val="20"/>
          <w:szCs w:val="20"/>
          <w:color w:val="auto"/>
        </w:rPr>
      </w:pPr>
    </w:p>
    <w:p>
      <w:pPr>
        <w:ind w:left="1300" w:hanging="239"/>
        <w:spacing w:after="0" w:line="311" w:lineRule="auto"/>
        <w:tabs>
          <w:tab w:leader="none" w:pos="1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ind w:left="1300" w:hanging="239"/>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76" w:lineRule="exact"/>
        <w:rPr>
          <w:rFonts w:ascii="Arial" w:cs="Arial" w:eastAsia="Arial" w:hAnsi="Arial"/>
          <w:sz w:val="18"/>
          <w:szCs w:val="18"/>
          <w:color w:val="auto"/>
        </w:rPr>
      </w:pPr>
    </w:p>
    <w:p>
      <w:pPr>
        <w:ind w:left="1300" w:right="240" w:hanging="239"/>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21" w:lineRule="exact"/>
        <w:rPr>
          <w:rFonts w:ascii="Arial" w:cs="Arial" w:eastAsia="Arial" w:hAnsi="Arial"/>
          <w:sz w:val="18"/>
          <w:szCs w:val="18"/>
          <w:color w:val="auto"/>
        </w:rPr>
      </w:pPr>
    </w:p>
    <w:p>
      <w:pPr>
        <w:ind w:left="1300" w:right="40" w:hanging="239"/>
        <w:spacing w:after="0" w:line="288" w:lineRule="auto"/>
        <w:tabs>
          <w:tab w:leader="none" w:pos="1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 Employment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77" w:lineRule="exact"/>
        <w:rPr>
          <w:sz w:val="20"/>
          <w:szCs w:val="20"/>
          <w:color w:val="auto"/>
        </w:rPr>
      </w:pPr>
    </w:p>
    <w:p>
      <w:pPr>
        <w:ind w:left="1300" w:hanging="239"/>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76" w:lineRule="exact"/>
        <w:rPr>
          <w:rFonts w:ascii="Arial" w:cs="Arial" w:eastAsia="Arial" w:hAnsi="Arial"/>
          <w:sz w:val="18"/>
          <w:szCs w:val="18"/>
          <w:color w:val="auto"/>
        </w:rPr>
      </w:pPr>
    </w:p>
    <w:p>
      <w:pPr>
        <w:jc w:val="both"/>
        <w:ind w:left="1300" w:right="20" w:hanging="239"/>
        <w:spacing w:after="0" w:line="264"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32" w:lineRule="exact"/>
        <w:rPr>
          <w:rFonts w:ascii="Arial" w:cs="Arial" w:eastAsia="Arial" w:hAnsi="Arial"/>
          <w:sz w:val="18"/>
          <w:szCs w:val="18"/>
          <w:color w:val="auto"/>
        </w:rPr>
      </w:pPr>
    </w:p>
    <w:p>
      <w:pPr>
        <w:ind w:left="1300" w:hanging="239"/>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wrongful misappropriation by the executive of any money, assets, or other property of the Company or of a client of the Company;</w:t>
      </w:r>
    </w:p>
    <w:p>
      <w:pPr>
        <w:spacing w:after="0" w:line="88" w:lineRule="exact"/>
        <w:rPr>
          <w:rFonts w:ascii="Arial" w:cs="Arial" w:eastAsia="Arial" w:hAnsi="Arial"/>
          <w:sz w:val="17"/>
          <w:szCs w:val="17"/>
          <w:color w:val="auto"/>
        </w:rPr>
      </w:pPr>
    </w:p>
    <w:p>
      <w:pPr>
        <w:ind w:left="1300" w:right="20" w:hanging="239"/>
        <w:spacing w:after="0" w:line="311" w:lineRule="auto"/>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ind w:left="1300" w:hanging="239"/>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76"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85" w:lineRule="exact"/>
        <w:rPr>
          <w:sz w:val="20"/>
          <w:szCs w:val="20"/>
          <w:color w:val="auto"/>
        </w:rPr>
      </w:pPr>
    </w:p>
    <w:p>
      <w:pPr>
        <w:ind w:left="1300" w:hanging="239"/>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84" w:lineRule="exact"/>
        <w:rPr>
          <w:rFonts w:ascii="Arial" w:cs="Arial" w:eastAsia="Arial" w:hAnsi="Arial"/>
          <w:sz w:val="18"/>
          <w:szCs w:val="18"/>
          <w:color w:val="auto"/>
        </w:rPr>
      </w:pPr>
    </w:p>
    <w:p>
      <w:pPr>
        <w:ind w:left="1300" w:right="20" w:hanging="239"/>
        <w:spacing w:after="0" w:line="259"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146"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129" w:lineRule="exact"/>
        <w:rPr>
          <w:rFonts w:ascii="Arial" w:cs="Arial" w:eastAsia="Arial" w:hAnsi="Arial"/>
          <w:sz w:val="18"/>
          <w:szCs w:val="18"/>
          <w:color w:val="auto"/>
        </w:rPr>
      </w:pPr>
    </w:p>
    <w:p>
      <w:pPr>
        <w:ind w:left="1300" w:right="80" w:hanging="239"/>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129" w:lineRule="exact"/>
        <w:rPr>
          <w:rFonts w:ascii="Arial" w:cs="Arial" w:eastAsia="Arial" w:hAnsi="Arial"/>
          <w:sz w:val="18"/>
          <w:szCs w:val="18"/>
          <w:color w:val="auto"/>
        </w:rPr>
      </w:pPr>
    </w:p>
    <w:p>
      <w:pPr>
        <w:ind w:left="1300" w:right="440" w:hanging="239"/>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requiring the executive to be principally based at any office or location more than 40 miles from the current offices of the Company in Dallas, Texas.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4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77" w:lineRule="exact"/>
        <w:rPr>
          <w:sz w:val="20"/>
          <w:szCs w:val="20"/>
          <w:color w:val="auto"/>
        </w:rPr>
      </w:pPr>
    </w:p>
    <w:p>
      <w:pPr>
        <w:ind w:left="1300" w:right="80" w:hanging="239"/>
        <w:spacing w:after="0" w:line="288" w:lineRule="auto"/>
        <w:tabs>
          <w:tab w:leader="none" w:pos="1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w:t>
      </w:r>
    </w:p>
    <w:p>
      <w:pPr>
        <w:ind w:left="1300" w:right="220"/>
        <w:spacing w:after="0" w:line="261" w:lineRule="auto"/>
        <w:rPr>
          <w:rFonts w:ascii="Arial" w:cs="Arial" w:eastAsia="Arial" w:hAnsi="Arial"/>
          <w:sz w:val="16"/>
          <w:szCs w:val="16"/>
          <w:color w:val="auto"/>
        </w:rPr>
      </w:pPr>
      <w:r>
        <w:rPr>
          <w:rFonts w:ascii="Arial" w:cs="Arial" w:eastAsia="Arial" w:hAnsi="Arial"/>
          <w:sz w:val="18"/>
          <w:szCs w:val="18"/>
          <w:color w:val="auto"/>
        </w:rPr>
        <w:t>(A) any entity that owns, directly or indirectly, the stock of the Company, (B) any entity with which the Company has merged, or (C) any entity that owns an entity with which the Company has merged;</w:t>
      </w:r>
    </w:p>
    <w:p>
      <w:pPr>
        <w:spacing w:after="0" w:line="35" w:lineRule="exact"/>
        <w:rPr>
          <w:rFonts w:ascii="Arial" w:cs="Arial" w:eastAsia="Arial" w:hAnsi="Arial"/>
          <w:sz w:val="16"/>
          <w:szCs w:val="16"/>
          <w:color w:val="auto"/>
        </w:rPr>
      </w:pPr>
    </w:p>
    <w:p>
      <w:pPr>
        <w:ind w:left="1300" w:hanging="239"/>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76" w:lineRule="exact"/>
        <w:rPr>
          <w:rFonts w:ascii="Arial" w:cs="Arial" w:eastAsia="Arial" w:hAnsi="Arial"/>
          <w:sz w:val="18"/>
          <w:szCs w:val="18"/>
          <w:color w:val="auto"/>
        </w:rPr>
      </w:pPr>
    </w:p>
    <w:p>
      <w:pPr>
        <w:ind w:left="1300" w:hanging="239"/>
        <w:spacing w:after="0"/>
        <w:tabs>
          <w:tab w:leader="none" w:pos="1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transfer of all or substantially all of the assets of the Company in one or more related transactions to one or more other persons or entities;</w:t>
      </w:r>
    </w:p>
    <w:p>
      <w:pPr>
        <w:spacing w:after="0" w:line="99" w:lineRule="exact"/>
        <w:rPr>
          <w:rFonts w:ascii="Arial" w:cs="Arial" w:eastAsia="Arial" w:hAnsi="Arial"/>
          <w:sz w:val="16"/>
          <w:szCs w:val="16"/>
          <w:color w:val="auto"/>
        </w:rPr>
      </w:pPr>
    </w:p>
    <w:p>
      <w:pPr>
        <w:ind w:left="1300" w:right="40" w:hanging="239"/>
        <w:spacing w:after="0" w:line="325" w:lineRule="auto"/>
        <w:tabs>
          <w:tab w:leader="none" w:pos="1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1" w:lineRule="exact"/>
        <w:rPr>
          <w:rFonts w:ascii="Arial" w:cs="Arial" w:eastAsia="Arial" w:hAnsi="Arial"/>
          <w:sz w:val="16"/>
          <w:szCs w:val="16"/>
          <w:color w:val="auto"/>
        </w:rPr>
      </w:pPr>
    </w:p>
    <w:p>
      <w:pPr>
        <w:ind w:left="1300" w:hanging="239"/>
        <w:spacing w:after="0" w:line="25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during any period of two consecutive years commencing on or after January 1, 2016 (in the case of Mr. Casey),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4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44" w:right="25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8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Audit Committee has appointed Deloitte &amp; Touche LLP as our independent auditors for 2019. Representatives of Deloitte &amp; Touche LLP will attend the annual meeting to answer appropriate questions and may make a statement if they so desire.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 &amp; Touche LLP</w:t>
      </w:r>
    </w:p>
    <w:p>
      <w:pPr>
        <w:spacing w:after="0" w:line="81"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Deloitte &amp; Touche LLP has served as independent auditor for the Company since 2015. In addition to performing the audit of the Company's consolidated financial statements, Deloitte &amp; Touche LLP also provides various other services to the Company and to common trust funds sponsored by Westwood Trust. The following table presents aggregate fees billed to the Company and the common trust funds in 2018 and 2017.</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367,040</w:t>
            </w:r>
          </w:p>
        </w:tc>
      </w:tr>
      <w:tr>
        <w:trPr>
          <w:trHeight w:val="270"/>
        </w:trPr>
        <w:tc>
          <w:tcPr>
            <w:tcW w:w="7080" w:type="dxa"/>
            <w:vAlign w:val="bottom"/>
          </w:tcPr>
          <w:p>
            <w:pPr>
              <w:ind w:left="2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398,000</w:t>
            </w:r>
          </w:p>
        </w:tc>
      </w:tr>
      <w:tr>
        <w:trPr>
          <w:trHeight w:val="270"/>
        </w:trPr>
        <w:tc>
          <w:tcPr>
            <w:tcW w:w="7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765,040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820"/>
        <w:spacing w:after="0"/>
        <w:rPr>
          <w:sz w:val="20"/>
          <w:szCs w:val="20"/>
          <w:color w:val="auto"/>
        </w:rPr>
      </w:pPr>
      <w:r>
        <w:rPr>
          <w:rFonts w:ascii="Arial" w:cs="Arial" w:eastAsia="Arial" w:hAnsi="Arial"/>
          <w:sz w:val="9"/>
          <w:szCs w:val="9"/>
          <w:color w:val="auto"/>
        </w:rPr>
        <w:t>_______________</w:t>
      </w:r>
    </w:p>
    <w:p>
      <w:pPr>
        <w:spacing w:after="0" w:line="60" w:lineRule="exact"/>
        <w:rPr>
          <w:sz w:val="20"/>
          <w:szCs w:val="20"/>
          <w:color w:val="auto"/>
        </w:rPr>
      </w:pPr>
    </w:p>
    <w:p>
      <w:pPr>
        <w:ind w:left="1380" w:right="80" w:hanging="562"/>
        <w:spacing w:after="0" w:line="257" w:lineRule="auto"/>
        <w:tabs>
          <w:tab w:leader="none" w:pos="1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spacing w:after="0" w:line="36" w:lineRule="exact"/>
        <w:rPr>
          <w:rFonts w:ascii="Arial" w:cs="Arial" w:eastAsia="Arial" w:hAnsi="Arial"/>
          <w:sz w:val="14"/>
          <w:szCs w:val="14"/>
          <w:color w:val="auto"/>
        </w:rPr>
      </w:pPr>
    </w:p>
    <w:p>
      <w:pPr>
        <w:ind w:left="1380" w:right="40" w:hanging="562"/>
        <w:spacing w:after="0" w:line="273" w:lineRule="auto"/>
        <w:tabs>
          <w:tab w:leader="none" w:pos="1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the aggregate fees billed for financial audit services to common trust funds sponsored by Westwood Trust. These fees are not paid by Westwood but are paid by the common trust funds, with the exception of approximately $60,000 fees paid by Westwood for additional fees related to 2017.</w:t>
      </w:r>
    </w:p>
    <w:p>
      <w:pPr>
        <w:spacing w:after="0" w:line="25" w:lineRule="exact"/>
        <w:rPr>
          <w:rFonts w:ascii="Arial" w:cs="Arial" w:eastAsia="Arial" w:hAnsi="Arial"/>
          <w:sz w:val="14"/>
          <w:szCs w:val="14"/>
          <w:color w:val="auto"/>
        </w:rPr>
      </w:pPr>
    </w:p>
    <w:p>
      <w:pPr>
        <w:ind w:left="1380" w:right="40" w:hanging="562"/>
        <w:spacing w:after="0" w:line="273" w:lineRule="auto"/>
        <w:tabs>
          <w:tab w:leader="none" w:pos="1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the aggregate fees billed for tax services provided to the common trust funds for the year ended December 31, 2018. These fees were not paid by Westwood but are paid by the common trust funds. Deloitte &amp; Touche LLP did not provide any tax services for the year ended December 31, 2017.</w:t>
      </w:r>
    </w:p>
    <w:p>
      <w:pPr>
        <w:spacing w:after="0" w:line="138"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i w:val="1"/>
          <w:iCs w:val="1"/>
          <w:color w:val="auto"/>
        </w:rPr>
        <w:t xml:space="preserve">Pre-approval policies and procedures for audit and non-audit services. </w:t>
      </w:r>
      <w:r>
        <w:rPr>
          <w:rFonts w:ascii="Arial" w:cs="Arial" w:eastAsia="Arial" w:hAnsi="Arial"/>
          <w:sz w:val="16"/>
          <w:szCs w:val="16"/>
          <w:color w:val="auto"/>
        </w:rPr>
        <w:t>The Audit Committee has established a policy regarding pre-approval of all</w:t>
      </w:r>
      <w:r>
        <w:rPr>
          <w:rFonts w:ascii="Arial" w:cs="Arial" w:eastAsia="Arial" w:hAnsi="Arial"/>
          <w:sz w:val="16"/>
          <w:szCs w:val="16"/>
          <w:i w:val="1"/>
          <w:iCs w:val="1"/>
          <w:color w:val="auto"/>
        </w:rPr>
        <w:t xml:space="preserve"> </w:t>
      </w:r>
      <w:r>
        <w:rPr>
          <w:rFonts w:ascii="Arial" w:cs="Arial" w:eastAsia="Arial" w:hAnsi="Arial"/>
          <w:sz w:val="16"/>
          <w:szCs w:val="16"/>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provided, the Committee must ratify any such actions by the chairperson.</w:t>
      </w:r>
    </w:p>
    <w:p>
      <w:pPr>
        <w:spacing w:after="0" w:line="124"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Audit Committee or the chairperson acting on its behalf pre-approved all services provided by Deloitte &amp; Touche LLP for the years ended December 31, 2018 and 2017.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Although stockholder action on this matter is not required, the appointment of Deloitte &amp; Touche LLP is being recommended to the stockholders for ratification. The affirmative "FOR" vote of a majority of the votes cast at the annual meeting is needed to ratify the appointment of Deloitte &amp; Touche LLP as independent auditors for 2019. Abstentions will not affect the outcome of a vote on this proposal.</w:t>
      </w:r>
    </w:p>
    <w:p>
      <w:pPr>
        <w:spacing w:after="0" w:line="137" w:lineRule="exact"/>
        <w:rPr>
          <w:sz w:val="20"/>
          <w:szCs w:val="20"/>
          <w:color w:val="auto"/>
        </w:rPr>
      </w:pPr>
    </w:p>
    <w:p>
      <w:pPr>
        <w:jc w:val="center"/>
        <w:ind w:left="300" w:right="340"/>
        <w:spacing w:after="0" w:line="28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&amp; TOUCHE LLP AS OUR INDEPENDENT AUDITORS FOR 2019.</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364" w:right="29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Sixth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5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Compensation Committee and the Board of Directors of Westwood have approved and have proposed that our shareholders approve the Sixth Amended and Restated Westwood Holdings Group, Inc. Stock Incentive Plan (the "Plan") at the annual meeting. Westwood originally adopted the Stock Incentive Plan on February 1, 2002. Following Westwood's spin-off from SWS Group, Inc. on June 30, 2002, Westwood's public stockholders approved an amended Stock Incentive Plan on April 24, 2003, with a reserve of 948,100 shares of common stock. On February 8, 2005, the Compensation Committee adopted the Second Amended and Restated Plan, which contained certain non-material amendments not requiring stockholder approval. On April 27, 2006, our stockholders approved the Third Amended and Restated Plan (effective as of January 1, 2006), with a reserve of 1,948,100 shares of common stock. The Third Amended and Restated Plan was subsequently amended pursuant to an Amendment of the Plan (effective July 22, 2010), the Second Amendment to the Plan (effective July 22, 2010), the Third Amendment to the Plan (effective March 4, 2015) and the Fourth Amendment to the Plan (effective April 27, 2016). On April 26, 2017, our stockholders approved the Fourth Amended and Restated Plan (effective as of March 10, 2017), with a reserve of 250,000 shares of common stock. On April 27, 2018, our stockholders approved the Fifth Amended and Restated Plan (effective as of March 9, 2018), with a reserve of 200,000 shares of common stock. These amendments increased the maximum number of shares available for issuance to 4,848,100 shares and clarified compliance with Section 162(m) of the Internal Revenue Code of 1986, as amended ("Section 162(m)").</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material revisions in the Sixth Amended and Restated Plan:</w:t>
      </w:r>
    </w:p>
    <w:p>
      <w:pPr>
        <w:spacing w:after="0" w:line="23" w:lineRule="exact"/>
        <w:rPr>
          <w:sz w:val="20"/>
          <w:szCs w:val="20"/>
          <w:color w:val="auto"/>
        </w:rPr>
      </w:pPr>
    </w:p>
    <w:p>
      <w:pPr>
        <w:ind w:left="1140" w:hanging="322"/>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Plan by 200,000 shares;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Allow stock appreciation rights, restricted stock units and other stock-based awards to be awarded under the Plan.</w:t>
      </w:r>
    </w:p>
    <w:p>
      <w:pPr>
        <w:spacing w:after="0" w:line="15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13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Awards under the Plan are a major component of our long-term incentive program for our employees, consultants and members of our Board. As noted in the "Compensation Discussion and Analysis," we recognize that having an ownership interest in the Company is critical to aligning the financial interests of our employees and shareholders. The Compensation Committee believes it is important to authorize an additional 200,000 shares for grant under the Plan. As of March 4, 2019, approximately 4,570,059 shares had been issued under the Plan, leaving 278,041 shares available under the Plan for issuance. The Compensation Committee does not believe that this amount is sufficient to meet the Company's anticipated grants of awards through the date of our 2021 Annual Meeting of Shareholders. If shareholders do not approve the Plan, it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2018, 2017 and 2016, the number of shares of common stock underlying equity awards granted was approximately 245,000, 246,000 and 296,000, respectively. The Compensation Committee expects to continue to grant awards under the Plan consistent with the Company's historical share utilization rates.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Description of the Sixth Amended and Restated Plan</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A summary of the material features of the Plan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1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Key Features of the Plan</w:t>
      </w:r>
      <w:r>
        <w:rPr>
          <w:rFonts w:ascii="Arial" w:cs="Arial" w:eastAsia="Arial" w:hAnsi="Arial"/>
          <w:sz w:val="16"/>
          <w:szCs w:val="16"/>
          <w:color w:val="auto"/>
        </w:rPr>
        <w:t>. Awards under the Plan will consist of cash or Westwood's authorized common stock. The fair market value of Westwood's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as of March 4, 2019 was $39.42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consultants or advisors. There are currently 167 employees of Westwood who may be eligible to receive awards under the Plan, and there are five non-employee directors who may be eligible to receive awards under the Plan. The total number of shares of common stock available for delivery pursuant to awards under the Plan over its entire term is 200,000 plus (a) any shares of common stock that remain available for grant under the Fifth Amended and Restated Plan, and (b) any shares of common stock that are represented by awards under the Fifth Amended and Restated Plan, that are forfeited, terminated, expired, or canceled without delivery of shares of common stock. As a result, the aggregate maximum number of shares of common stock for which awards may be granted under the Plan is 5,048,100.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be available for issuance under the Plan. Subject to adjustment, no more than 316,033 shares of common stock may be covered by stock-based awards granted to any participant under the Plan in a calendar year.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71"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Plan authorizes the grant of several types of stock-based awards, including, without limitation, incentive stock options ("ISOs"),</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NSOs and restricted stock.</w:t>
      </w:r>
    </w:p>
    <w:p>
      <w:pPr>
        <w:spacing w:after="0" w:line="10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up to 5% of the aggregate shares available for issuance under the Plan.</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18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Unless our Board of Directors determines otherwise, the Plan will be administered by the Compensation Committee, whose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determinations will be final and binding on any interested person. Such determinations include selecting participants, determining the awards that will be made under the Plan, interpreting plan provisions, and deciding the terms and conditions of any award.</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13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consultant or non-employee director of Westwood or any of its parents or subsidiaries will be eligible to be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as a participant and receive an award under the Plan by the Compensation Committee, acting in its discretion. However, ISOs will be granted only to participants who are employees of Westwood or a subsidiary thereof.</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ten (10) days prior to the date of the change in control.</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71" w:lineRule="exact"/>
        <w:rPr>
          <w:sz w:val="20"/>
          <w:szCs w:val="20"/>
          <w:color w:val="auto"/>
        </w:rPr>
      </w:pPr>
    </w:p>
    <w:p>
      <w:pPr>
        <w:ind w:right="100" w:firstLine="392"/>
        <w:spacing w:after="0" w:line="270"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ISOs and NSOs are both stock options allowing the recipient to purchase a fixed number of shares of common stock at a fixed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128" w:lineRule="exact"/>
        <w:rPr>
          <w:sz w:val="20"/>
          <w:szCs w:val="20"/>
          <w:color w:val="auto"/>
        </w:rPr>
      </w:pPr>
    </w:p>
    <w:p>
      <w:pPr>
        <w:ind w:right="160" w:firstLine="392"/>
        <w:spacing w:after="0" w:line="279"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50" w:name="page51"/>
    <w:bookmarkEnd w:id="50"/>
    <w:p>
      <w:pPr>
        <w:ind w:firstLine="432"/>
        <w:spacing w:after="0" w:line="270"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The Compensation Committee may also make awards of restricted shares of our stock. The vesting of restricted stock may be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Compensation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12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also make awards of SARs. SARs allow the recipient to exercise all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SAR to receive from the Company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Compensation Committee. Dividends and dividend equivalents will not be payable with respect to SARs.</w:t>
      </w:r>
    </w:p>
    <w:p>
      <w:pPr>
        <w:spacing w:after="0" w:line="13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Compensation Committee may also make awards of RSUs. The settlement of RSUs may be satisfied by delivery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stock, cash in an amount equal to the fair market value of the specified number of shares of our stock or a combination thereof, as determined by the Compensation Committee. Dividends and dividend equivalents will not be payable with respect to RSUs. However, the Compensation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may also make awards that may be denominated or payable in, valued in whole or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or otherwise based on, or related to, shares of our stock, including without limitation purchase rights for shares of our stock, awards with value and payment contingent upon performance of the Company or any other factors designated by the Compensation Committee, and awards valued by reference to the book value of a share of our stock.</w:t>
      </w:r>
    </w:p>
    <w:p>
      <w:pPr>
        <w:spacing w:after="0" w:line="13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i w:val="1"/>
          <w:iCs w:val="1"/>
          <w:color w:val="auto"/>
        </w:rPr>
        <w:t xml:space="preserve">Awards to Non-Employee Directors. </w:t>
      </w:r>
      <w:r>
        <w:rPr>
          <w:rFonts w:ascii="Arial" w:cs="Arial" w:eastAsia="Arial" w:hAnsi="Arial"/>
          <w:sz w:val="16"/>
          <w:szCs w:val="16"/>
          <w:color w:val="auto"/>
        </w:rPr>
        <w:t>Non-employee directors are eligible to receive any type of award under the Plan other than ISOs. The grant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9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i w:val="1"/>
          <w:iCs w:val="1"/>
          <w:color w:val="auto"/>
        </w:rPr>
        <w:t>Annual Incentive Awards</w:t>
      </w:r>
      <w:r>
        <w:rPr>
          <w:rFonts w:ascii="Arial" w:cs="Arial" w:eastAsia="Arial" w:hAnsi="Arial"/>
          <w:sz w:val="16"/>
          <w:szCs w:val="16"/>
          <w:color w:val="auto"/>
        </w:rPr>
        <w:t>. The Compensation Committee may also grant annual incentive awards of stock, cash or any combination of stock and cash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annual incentive award payable to any participating employee during a year.</w:t>
      </w:r>
    </w:p>
    <w:p>
      <w:pPr>
        <w:spacing w:after="0" w:line="100" w:lineRule="exact"/>
        <w:rPr>
          <w:sz w:val="20"/>
          <w:szCs w:val="20"/>
          <w:color w:val="auto"/>
        </w:rPr>
      </w:pPr>
    </w:p>
    <w:p>
      <w:pPr>
        <w:ind w:right="20" w:firstLine="392"/>
        <w:spacing w:after="0" w:line="283" w:lineRule="auto"/>
        <w:rPr>
          <w:sz w:val="20"/>
          <w:szCs w:val="20"/>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The Plan allows the Compensation Committee to grant awards the vesting, exercise or settlement of which is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Compensation Committee; and/or</w:t>
      </w:r>
    </w:p>
    <w:p>
      <w:pPr>
        <w:spacing w:after="0" w:line="2" w:lineRule="exact"/>
        <w:rPr>
          <w:sz w:val="20"/>
          <w:szCs w:val="20"/>
          <w:color w:val="auto"/>
        </w:rPr>
      </w:pPr>
    </w:p>
    <w:p>
      <w:pPr>
        <w:ind w:right="80" w:firstLine="8"/>
        <w:spacing w:after="0" w:line="253" w:lineRule="auto"/>
        <w:tabs>
          <w:tab w:leader="none" w:pos="3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30" w:right="25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that was designed to qualify as "performance-based compensation" under Section 162(m) of the Internal Revenue Code (as in effect prior to the Tax Cute and Jobs Act of 2017).</w:t>
      </w:r>
    </w:p>
    <w:p>
      <w:pPr>
        <w:spacing w:after="0" w:line="116"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i w:val="1"/>
          <w:iCs w:val="1"/>
          <w:color w:val="auto"/>
        </w:rPr>
        <w:t>Discretionary Bonus Awards</w:t>
      </w:r>
      <w:r>
        <w:rPr>
          <w:rFonts w:ascii="Arial" w:cs="Arial" w:eastAsia="Arial" w:hAnsi="Arial"/>
          <w:sz w:val="16"/>
          <w:szCs w:val="16"/>
          <w:color w:val="auto"/>
        </w:rPr>
        <w:t>. The Compensation Committee may also grant discretionary bonus awards of stock, cash or any combination of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to our officers and key employees in such amounts and subject to such terms and conditions as the Compensation Committee may determine.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13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generally not recognize any taxable income upon either the grant or exercise of an ISO. However,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 (ii) 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11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127" w:lineRule="exact"/>
        <w:rPr>
          <w:sz w:val="20"/>
          <w:szCs w:val="20"/>
          <w:color w:val="auto"/>
        </w:rPr>
      </w:pPr>
    </w:p>
    <w:p>
      <w:pPr>
        <w:ind w:right="400" w:firstLine="432"/>
        <w:spacing w:after="0" w:line="291" w:lineRule="auto"/>
        <w:rPr>
          <w:sz w:val="20"/>
          <w:szCs w:val="20"/>
          <w:color w:val="auto"/>
        </w:rPr>
      </w:pPr>
      <w:r>
        <w:rPr>
          <w:rFonts w:ascii="Arial" w:cs="Arial" w:eastAsia="Arial" w:hAnsi="Arial"/>
          <w:sz w:val="16"/>
          <w:szCs w:val="16"/>
          <w:i w:val="1"/>
          <w:iCs w:val="1"/>
          <w:color w:val="auto"/>
        </w:rPr>
        <w:t xml:space="preserve">Annual Incentive Awards, Performance-Based Awards and Discretionary Bonus Awards. </w:t>
      </w:r>
      <w:r>
        <w:rPr>
          <w:rFonts w:ascii="Arial" w:cs="Arial" w:eastAsia="Arial" w:hAnsi="Arial"/>
          <w:sz w:val="16"/>
          <w:szCs w:val="16"/>
          <w:color w:val="auto"/>
        </w:rPr>
        <w:t>In general, a participant who receives cash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made under the Plan will recognize ordinary income equal to the amount of cash that is received. Except as discussed below in the section</w:t>
      </w:r>
    </w:p>
    <w:p>
      <w:pPr>
        <w:ind w:right="100"/>
        <w:spacing w:after="0" w:line="261" w:lineRule="auto"/>
        <w:rPr>
          <w:sz w:val="20"/>
          <w:szCs w:val="20"/>
          <w:color w:val="auto"/>
        </w:rPr>
      </w:pPr>
      <w:r>
        <w:rPr>
          <w:rFonts w:ascii="Arial" w:cs="Arial" w:eastAsia="Arial" w:hAnsi="Arial"/>
          <w:sz w:val="18"/>
          <w:szCs w:val="18"/>
          <w:color w:val="auto"/>
        </w:rPr>
        <w:t xml:space="preserve">entitled </w:t>
      </w:r>
      <w:r>
        <w:rPr>
          <w:rFonts w:ascii="Arial" w:cs="Arial" w:eastAsia="Arial" w:hAnsi="Arial"/>
          <w:sz w:val="18"/>
          <w:szCs w:val="18"/>
          <w:i w:val="1"/>
          <w:iCs w:val="1"/>
          <w:color w:val="auto"/>
        </w:rPr>
        <w:t>"Common Stock Subject to a Substantial Risk of Forfeiture,"</w:t>
      </w:r>
      <w:r>
        <w:rPr>
          <w:rFonts w:ascii="Arial" w:cs="Arial" w:eastAsia="Arial" w:hAnsi="Arial"/>
          <w:sz w:val="18"/>
          <w:szCs w:val="18"/>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13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Common Stock Subject to a Substantial Risk of Forfeiture. </w:t>
      </w:r>
      <w:r>
        <w:rPr>
          <w:rFonts w:ascii="Arial" w:cs="Arial" w:eastAsia="Arial" w:hAnsi="Arial"/>
          <w:sz w:val="17"/>
          <w:szCs w:val="17"/>
          <w:color w:val="auto"/>
        </w:rPr>
        <w:t>In general, if a participant receives common stock pursuant to an award made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1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119"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30" w:right="25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2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Future awards that may be made to eligible participants under the Plan are subject to the discretion of the Compensation Committee, and, therefore, cannot be determined with certainty at this time. Awards made under the Plan in 2018 to our Named Executive Officers are set forth under the "2018 Grants of Plan Based Awards" table.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a vote against this Proposal.</w:t>
      </w:r>
    </w:p>
    <w:p>
      <w:pPr>
        <w:spacing w:after="0" w:line="204" w:lineRule="exact"/>
        <w:rPr>
          <w:sz w:val="20"/>
          <w:szCs w:val="20"/>
          <w:color w:val="auto"/>
        </w:rPr>
      </w:pPr>
    </w:p>
    <w:p>
      <w:pPr>
        <w:jc w:val="center"/>
        <w:ind w:left="420" w:right="144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SIXTH AMENDED AND RESTATED WESTWOOD HOLDINGS GROUP, INC. STOCK INCENTIVE PLAN</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611" w:right="4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8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1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has structured our executive compensation program to reflect our "pay-for-performance" philosophy. The compensation opportunities provided to the named executive officers are significantly dependent on the Company’s financial performance and the named executive officers’ individual performance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You have the opportunity to vote "FOR" or "AGAINST" or to "ABSTAIN" from voting on the following non-binding resolution relating to executive compensation:</w:t>
      </w:r>
    </w:p>
    <w:p>
      <w:pPr>
        <w:spacing w:after="0" w:line="130" w:lineRule="exact"/>
        <w:rPr>
          <w:sz w:val="20"/>
          <w:szCs w:val="20"/>
          <w:color w:val="auto"/>
        </w:rPr>
      </w:pPr>
    </w:p>
    <w:p>
      <w:pPr>
        <w:jc w:val="both"/>
        <w:ind w:left="420" w:right="540"/>
        <w:spacing w:after="0" w:line="286"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2019 Annual Meeting of Stockholders pursuant to Item 402 of Regulation S-K, including the compensation discussion and analysis, the compensation tables, and the narrative discussion."</w:t>
      </w:r>
    </w:p>
    <w:p>
      <w:pPr>
        <w:spacing w:after="0" w:line="1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141" w:lineRule="exact"/>
        <w:rPr>
          <w:sz w:val="20"/>
          <w:szCs w:val="20"/>
          <w:color w:val="auto"/>
        </w:rPr>
      </w:pPr>
    </w:p>
    <w:p>
      <w:pPr>
        <w:ind w:left="1300" w:right="80" w:hanging="644"/>
        <w:spacing w:after="0" w:line="264"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approximately 50% to 82% (excluding Mr. Paddon and Ms. Kice as discussed above in "Compensation Discussion and Analysis") -- was "at risk" compensation in 2018, delivered in the form of an annual cash incentive award and an annual equity incentive award.</w:t>
      </w:r>
    </w:p>
    <w:p>
      <w:pPr>
        <w:spacing w:after="0" w:line="140"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annual incentive award to the Chief Executive Officer is based on a scorecard with four performance categories (investment performance, service and sales, financial results and strategic goals). The Chief Executive Officer has the opportunity to earn 50% of target for achieving threshold performance and up to 185% of target for achieving maximum performance (with no payouts for performance below threshold levels).</w:t>
      </w:r>
    </w:p>
    <w:p>
      <w:pPr>
        <w:spacing w:after="0" w:line="146" w:lineRule="exact"/>
        <w:rPr>
          <w:rFonts w:ascii="Arial" w:cs="Arial" w:eastAsia="Arial" w:hAnsi="Arial"/>
          <w:sz w:val="18"/>
          <w:szCs w:val="18"/>
          <w:color w:val="auto"/>
        </w:rPr>
      </w:pPr>
    </w:p>
    <w:p>
      <w:pPr>
        <w:ind w:left="1300" w:right="80" w:hanging="644"/>
        <w:spacing w:after="0" w:line="255"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annual performance-based restricted stock awards to the Chief Executive Officer and Chief Investment Officer are based upon annual, pre-determined performance goals, the criteria for which were approved by our stockholders in 2006. An expanded list of performance measures upon which performance goals may be based was approved by our stockholders in 2009, 2011, 2016 and 2017. The Chief Executive Officer and Chief Investment Officer have the opportunity to earn 25% of target for achieving threshold performance and up to 185% of target for achieving maximum performance (with no payouts for performance below threshold levels). The awards vest ratably on the first, second and third anniversary of the grant date.</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significant perquisites.</w:t>
      </w:r>
    </w:p>
    <w:p>
      <w:pPr>
        <w:spacing w:after="0" w:line="184" w:lineRule="exact"/>
        <w:rPr>
          <w:rFonts w:ascii="Arial" w:cs="Arial" w:eastAsia="Arial" w:hAnsi="Arial"/>
          <w:sz w:val="18"/>
          <w:szCs w:val="18"/>
          <w:color w:val="auto"/>
        </w:rPr>
      </w:pPr>
    </w:p>
    <w:p>
      <w:pPr>
        <w:ind w:left="1300" w:right="220" w:hanging="644"/>
        <w:spacing w:after="0" w:line="25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Compensation Committee endeavors to structure the Company's executive compensation program to motivate and reward our executive officers for taking appropriate business risks, while avoiding pay practices that incentivize excessive risk-taking. In connection with the Compensation Committee's review of our compensation policies and practices for all employees in February 2019, the Compensation Committee concluded that these policies and practices do not create risks that are reasonably likely to have a material adverse effect on the Company.</w:t>
      </w:r>
    </w:p>
    <w:p>
      <w:pPr>
        <w:spacing w:after="0" w:line="148" w:lineRule="exact"/>
        <w:rPr>
          <w:sz w:val="20"/>
          <w:szCs w:val="20"/>
          <w:color w:val="auto"/>
        </w:rPr>
      </w:pPr>
    </w:p>
    <w:p>
      <w:pPr>
        <w:jc w:val="both"/>
        <w:ind w:right="460" w:firstLine="405"/>
        <w:spacing w:after="0" w:line="264" w:lineRule="auto"/>
        <w:rPr>
          <w:sz w:val="20"/>
          <w:szCs w:val="20"/>
          <w:color w:val="auto"/>
        </w:rPr>
      </w:pPr>
      <w:r>
        <w:rPr>
          <w:rFonts w:ascii="Arial" w:cs="Arial" w:eastAsia="Arial" w:hAnsi="Arial"/>
          <w:sz w:val="18"/>
          <w:szCs w:val="18"/>
          <w:color w:val="auto"/>
        </w:rPr>
        <w:t>While your vote on this proposal is advisory and will not be binding on the Compensation Committee, the Board of Directors or the Company, the Compensation Committee values the opinions of our stockholders on executive compensation matters and will take the results of this advisory vote into consideration when making future decisions regarding our executive compensation program.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4"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19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Amendments to the Certificate of Incorporation and Bylaws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Reasons for Amendments</w:t>
      </w:r>
    </w:p>
    <w:p>
      <w:pPr>
        <w:spacing w:after="0" w:line="18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April 10, 2018, the Board of Directors unanimously determined that it is in the best interests of the Company and its stockholders to amend Section 8 of the Amended and Restated Certificate of Incorporation, as amended (the "Certificate of Incorporation"), and Article III Section 4 of the Amended and Restated Bylaws, as amended (the "Bylaws") to permit stockholders to remove any of the Company's directors or its entire board of directors, with or without cause, by affirmative vote of the holders of a simple majority of the shares then entitled to vote at an election of directors. On February 21, 2019, the Board of Directors, by unanimous resolution, adopted and approved a certificate of amendment to the Certificate of Incorporation (the "Certificate of Amendment"), in the form set forth in Appendix B to this proxy statement, and an amendment to the Bylaws (the "Bylaws Amendment"), in the form set forth in Appendix C to this proxy statement, subject to the approval of the Company's stockholders at the 2019 Annual Meeting of Stockholders.</w:t>
      </w:r>
    </w:p>
    <w:p>
      <w:pPr>
        <w:spacing w:after="0" w:line="12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Our Certificate of Incorporation and Bylaws currently provide that a director or the entire board may be removed, with or without cause, by a vote of the holders of two-thirds (2/3) of the shares then entitled to vote at an election of directors. The rights of stockholders to remove directors are governed by Section 141(k) of the Delaware General Corporation Law ("DGCL"). On January 24, 2017, the Delaware Chancery Court issued an opinion in </w:t>
      </w:r>
      <w:r>
        <w:rPr>
          <w:rFonts w:ascii="Arial" w:cs="Arial" w:eastAsia="Arial" w:hAnsi="Arial"/>
          <w:sz w:val="17"/>
          <w:szCs w:val="17"/>
          <w:i w:val="1"/>
          <w:iCs w:val="1"/>
          <w:color w:val="auto"/>
        </w:rPr>
        <w:t>Frechter v.</w:t>
      </w:r>
      <w:r>
        <w:rPr>
          <w:rFonts w:ascii="Arial" w:cs="Arial" w:eastAsia="Arial" w:hAnsi="Arial"/>
          <w:sz w:val="17"/>
          <w:szCs w:val="17"/>
          <w:color w:val="auto"/>
        </w:rPr>
        <w:t xml:space="preserve"> </w:t>
      </w:r>
      <w:r>
        <w:rPr>
          <w:rFonts w:ascii="Arial" w:cs="Arial" w:eastAsia="Arial" w:hAnsi="Arial"/>
          <w:sz w:val="17"/>
          <w:szCs w:val="17"/>
          <w:i w:val="1"/>
          <w:iCs w:val="1"/>
          <w:color w:val="auto"/>
        </w:rPr>
        <w:t>Zier, C.A. No. 12038-VCG</w:t>
      </w:r>
      <w:r>
        <w:rPr>
          <w:rFonts w:ascii="Arial" w:cs="Arial" w:eastAsia="Arial" w:hAnsi="Arial"/>
          <w:sz w:val="17"/>
          <w:szCs w:val="17"/>
          <w:color w:val="auto"/>
        </w:rPr>
        <w:t>, invalidating a provision of a Delaware corporation's bylaws that required a supermajority stockholder vote to remove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corporation in the </w:t>
      </w:r>
      <w:r>
        <w:rPr>
          <w:rFonts w:ascii="Arial" w:cs="Arial" w:eastAsia="Arial" w:hAnsi="Arial"/>
          <w:sz w:val="17"/>
          <w:szCs w:val="17"/>
          <w:i w:val="1"/>
          <w:iCs w:val="1"/>
          <w:color w:val="auto"/>
        </w:rPr>
        <w:t>Frechter</w:t>
      </w:r>
      <w:r>
        <w:rPr>
          <w:rFonts w:ascii="Arial" w:cs="Arial" w:eastAsia="Arial" w:hAnsi="Arial"/>
          <w:sz w:val="17"/>
          <w:szCs w:val="17"/>
          <w:color w:val="auto"/>
        </w:rPr>
        <w:t xml:space="preserve"> case did not have such a provision in both its certificate of incorporation and in its bylaws. The Chancery Court held that the supermajority in the corporation's bylaw provision was invalid because it conflicted with Section 141(k) of the DGCL, which provides that a director may be removed by a vote of a simple majority of the shares then entitled to vote at an election of directors. The court in the </w:t>
      </w:r>
      <w:r>
        <w:rPr>
          <w:rFonts w:ascii="Arial" w:cs="Arial" w:eastAsia="Arial" w:hAnsi="Arial"/>
          <w:sz w:val="17"/>
          <w:szCs w:val="17"/>
          <w:i w:val="1"/>
          <w:iCs w:val="1"/>
          <w:color w:val="auto"/>
        </w:rPr>
        <w:t>Frechter</w:t>
      </w:r>
      <w:r>
        <w:rPr>
          <w:rFonts w:ascii="Arial" w:cs="Arial" w:eastAsia="Arial" w:hAnsi="Arial"/>
          <w:sz w:val="17"/>
          <w:szCs w:val="17"/>
          <w:color w:val="auto"/>
        </w:rPr>
        <w:t xml:space="preserve"> case also noted, however, that "Section 102(b)(4) [of the DGCL]...provides that a certificate of incorporation may require 'for any corporate action...a larger portion of the stock...than is required by'" the other provisions of the DGCL.</w:t>
      </w:r>
    </w:p>
    <w:p>
      <w:pPr>
        <w:spacing w:after="0" w:line="14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contrast to the </w:t>
      </w:r>
      <w:r>
        <w:rPr>
          <w:rFonts w:ascii="Arial" w:cs="Arial" w:eastAsia="Arial" w:hAnsi="Arial"/>
          <w:sz w:val="17"/>
          <w:szCs w:val="17"/>
          <w:i w:val="1"/>
          <w:iCs w:val="1"/>
          <w:color w:val="auto"/>
        </w:rPr>
        <w:t>Frechter</w:t>
      </w:r>
      <w:r>
        <w:rPr>
          <w:rFonts w:ascii="Arial" w:cs="Arial" w:eastAsia="Arial" w:hAnsi="Arial"/>
          <w:sz w:val="17"/>
          <w:szCs w:val="17"/>
          <w:color w:val="auto"/>
        </w:rPr>
        <w:t xml:space="preserve"> case, both the Company's Certificate of Incorporation and Bylaws contain provisions that require a vote of the holders of two-thirds (2/3) of the shares then entitled to vote at an election of directors in order to remove a director. Notwithstanding this distinguishing factor, the Company's Board of Directors nevertheless determined that it is in the best interests of the Company and its stockholders to amend the Certificate of Incorporation and the Bylaws, as described above. Moreover, as disclosed previously in a Form 8-K filed by the Company on April 10, 2018, our Board has approved a resolution instructing the Company not to enforce the two-thirds (2/3) voting requirement until the stockholders have approved corrective amendments to the Certificate of Incorporation and Bylaws. As a result, we are now seeking to amend the Certificate of Incorporation, which requires stockholder approval under the DGCL and in accordance with our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Amendments</w:t>
      </w:r>
    </w:p>
    <w:p>
      <w:pPr>
        <w:spacing w:after="0" w:line="18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are requesting that our stockholders approve and ratify the Certificate of Amendment, in the form set forth in Appendix B to this proxy statement, which amends Section 8 of the Certificate of Incorporation.</w:t>
      </w:r>
    </w:p>
    <w:p>
      <w:pPr>
        <w:spacing w:after="0" w:line="13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amendment to Section 8 changes the required vote to remove any director or the entire Board of Directors from a two-thirds (2/3) vote to a simple majority vote, so that Section 8 will read in its entirety as follows:</w:t>
      </w:r>
    </w:p>
    <w:p>
      <w:pPr>
        <w:spacing w:after="0" w:line="130" w:lineRule="exact"/>
        <w:rPr>
          <w:sz w:val="20"/>
          <w:szCs w:val="20"/>
          <w:color w:val="auto"/>
        </w:rPr>
      </w:pPr>
    </w:p>
    <w:p>
      <w:pPr>
        <w:ind w:left="340" w:right="140" w:firstLine="567"/>
        <w:spacing w:after="0" w:line="277" w:lineRule="auto"/>
        <w:rPr>
          <w:sz w:val="20"/>
          <w:szCs w:val="20"/>
          <w:color w:val="auto"/>
        </w:rPr>
      </w:pPr>
      <w:r>
        <w:rPr>
          <w:rFonts w:ascii="Arial" w:cs="Arial" w:eastAsia="Arial" w:hAnsi="Arial"/>
          <w:sz w:val="18"/>
          <w:szCs w:val="18"/>
          <w:color w:val="auto"/>
        </w:rPr>
        <w:t>"Section 8. Any director or the entire Board of Directors may be removed, with or without cause, by the vote of the holders of a simple majority of the securities of the Corporation then entitled to vote at an election of directors voting together as a single class."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description is qualified in its entirety by the Certificate of Amendment attached as Appendix B hereto.</w:t>
      </w:r>
    </w:p>
    <w:p>
      <w:pPr>
        <w:spacing w:after="0" w:line="1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addition, we are requesting our stockholders to approve and ratify the Bylaws Amendment, in the form set forth in Appendix C to this proxy statement, which amends Article III Section 4 by changing the vote requirement to remove any director or the entire Board of Directors from a vote of the holders of two-thirds (2/3) of the shares then entitled to vote, to a vote of the holders of a simple majority of the shares then entitled to vote, so that Article III Section 4 will read in its entirety as follows:</w:t>
      </w:r>
    </w:p>
    <w:p>
      <w:pPr>
        <w:spacing w:after="0" w:line="146" w:lineRule="exact"/>
        <w:rPr>
          <w:sz w:val="20"/>
          <w:szCs w:val="20"/>
          <w:color w:val="auto"/>
        </w:rPr>
      </w:pPr>
    </w:p>
    <w:p>
      <w:pPr>
        <w:ind w:left="340" w:right="160" w:firstLine="567"/>
        <w:spacing w:after="0" w:line="264" w:lineRule="auto"/>
        <w:rPr>
          <w:sz w:val="20"/>
          <w:szCs w:val="20"/>
          <w:color w:val="auto"/>
        </w:rPr>
      </w:pPr>
      <w:r>
        <w:rPr>
          <w:rFonts w:ascii="Arial" w:cs="Arial" w:eastAsia="Arial" w:hAnsi="Arial"/>
          <w:sz w:val="18"/>
          <w:szCs w:val="18"/>
          <w:color w:val="auto"/>
        </w:rPr>
        <w:t>"Section 4. Removal of Directors. At any meeting of stockholders called expressly for the purpose of removing a director or directors, any director or the entire Board of Directors may be removed, with or without cause, by a vote of the holders of a simple majority of the shares then entitled to vote at an election of directors."</w:t>
      </w:r>
    </w:p>
    <w:p>
      <w:pPr>
        <w:spacing w:after="0" w:line="14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We note that stockholder approval of the Bylaws Amendment is not required under the DGCL and that our Board has the sole authority to amend the Bylaws without stockholder approval. However, given that this amendment is inextricably linked to the proposed amendment to the Certificate of Incorporation, the Board believes that it is appropriate and prudent to seek stockholder approval of the Bylaws Amendment. The foregoing description is qualified in its entirety by the Bylaws Amendment attached as Appendix C hereto.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Effects of Stockholder Approval of Proposed Amendments</w:t>
      </w:r>
    </w:p>
    <w:p>
      <w:pPr>
        <w:spacing w:after="0" w:line="189"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If the proposed amendments are approved and adopted, our stockholders will have the right to remove any and all of the directors, with or without cause, by affirmative vote of the holders of a simple majority of the shares then entitled to vote at an election of directors. As discussed above, even if the proposed amendments are not approved by our stockholders, our Board has approved a resolution not to enforce the current director removal provisions.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89" w:lineRule="exact"/>
        <w:rPr>
          <w:sz w:val="20"/>
          <w:szCs w:val="20"/>
          <w:color w:val="auto"/>
        </w:rPr>
      </w:pPr>
    </w:p>
    <w:p>
      <w:pPr>
        <w:ind w:right="660" w:firstLine="405"/>
        <w:spacing w:after="0" w:line="286" w:lineRule="auto"/>
        <w:rPr>
          <w:sz w:val="20"/>
          <w:szCs w:val="20"/>
          <w:color w:val="auto"/>
        </w:rPr>
      </w:pPr>
      <w:r>
        <w:rPr>
          <w:rFonts w:ascii="Arial" w:cs="Arial" w:eastAsia="Arial" w:hAnsi="Arial"/>
          <w:sz w:val="17"/>
          <w:szCs w:val="17"/>
          <w:color w:val="auto"/>
        </w:rPr>
        <w:t>The affirmative "FOR" vote of the holders of not less than two-thirds (2/3) of the outstanding common stock is needed to approve and ratify the amendment to our Certificate of Incorporation and related Bylaws amendment. The amendment to the Certificate of Incorporation will be effective immediately upon acceptance of filing by the Secretary of State of Delaware following stockholder approval of this proposal.</w:t>
      </w:r>
    </w:p>
    <w:p>
      <w:pPr>
        <w:spacing w:after="0" w:line="18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AND RATIFICATION OF THE AMENDMENTS TO EACH OF THE COMPANY'S AMENDED AND RESTATED CERTIFICATE OF INCORPORATION, AS AMENDED AND AMENDED AND RESTATED BYLAWS, AS AMEDED.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2018, the members of our Compensation Committee were Messrs. Frank (Chairman), Weiland and Wooldridge.</w:t>
      </w:r>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2018 and received total compensation of $601,775. He currently serves as President of Westwood Trust (Dallas) and is compensated in a manner consistent with our policies that apply to all employees.</w:t>
      </w:r>
    </w:p>
    <w:p>
      <w:pPr>
        <w:spacing w:after="0" w:line="1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$302,000 during fiscal year 2018 in connection with subadvisory services provided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8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13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0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of March 4, 2019, there were 9,034,902 shares of common stock issued and entitled to vote at the annual meeting. Except where otherwise indicated, the following table sets forth certain information as of March 4, 2019 regarding beneficial ownership of the common stock and the percentage of total voting power held by:</w:t>
      </w:r>
    </w:p>
    <w:p>
      <w:pPr>
        <w:spacing w:after="0" w:line="141"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8620" w:type="dxa"/>
            <w:vAlign w:val="bottom"/>
            <w:vMerge w:val="restart"/>
          </w:tcPr>
          <w:p>
            <w:pPr>
              <w:ind w:left="3760"/>
              <w:spacing w:after="0"/>
              <w:rPr>
                <w:sz w:val="20"/>
                <w:szCs w:val="20"/>
                <w:color w:val="auto"/>
              </w:rPr>
            </w:pPr>
            <w:r>
              <w:rPr>
                <w:rFonts w:ascii="Arial" w:cs="Arial" w:eastAsia="Arial" w:hAnsi="Arial"/>
                <w:sz w:val="14"/>
                <w:szCs w:val="14"/>
                <w:b w:val="1"/>
                <w:bCs w:val="1"/>
                <w:color w:val="auto"/>
              </w:rPr>
              <w:t>Beneficial Owners</w:t>
            </w:r>
          </w:p>
        </w:tc>
        <w:tc>
          <w:tcPr>
            <w:tcW w:w="120" w:type="dxa"/>
            <w:vAlign w:val="bottom"/>
            <w:vMerge w:val="restart"/>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(2)(3)</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732,202</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Wells Fargo &amp; Company</w:t>
            </w:r>
            <w:r>
              <w:rPr>
                <w:rFonts w:ascii="Arial" w:cs="Arial" w:eastAsia="Arial" w:hAnsi="Arial"/>
                <w:sz w:val="25"/>
                <w:szCs w:val="25"/>
                <w:color w:val="auto"/>
                <w:vertAlign w:val="superscript"/>
              </w:rPr>
              <w:t>(2)(4)</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726,363</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8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GAMCO Investors, Inc.</w:t>
            </w:r>
            <w:r>
              <w:rPr>
                <w:rFonts w:ascii="Arial" w:cs="Arial" w:eastAsia="Arial" w:hAnsi="Arial"/>
                <w:sz w:val="25"/>
                <w:szCs w:val="25"/>
                <w:color w:val="auto"/>
                <w:vertAlign w:val="superscript"/>
              </w:rPr>
              <w:t>(2)(5)</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563,191</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Conestoga Capital Advisors, LLC</w:t>
            </w:r>
            <w:r>
              <w:rPr>
                <w:rFonts w:ascii="Arial" w:cs="Arial" w:eastAsia="Arial" w:hAnsi="Arial"/>
                <w:sz w:val="25"/>
                <w:szCs w:val="25"/>
                <w:color w:val="auto"/>
                <w:vertAlign w:val="superscript"/>
              </w:rPr>
              <w:t>(2)(6)</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508,836</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5"/>
                <w:szCs w:val="25"/>
                <w:color w:val="auto"/>
                <w:vertAlign w:val="superscript"/>
              </w:rPr>
              <w:t>(2)(7)</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494,392</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5"/>
                <w:szCs w:val="25"/>
                <w:b w:val="1"/>
                <w:bCs w:val="1"/>
                <w:color w:val="auto"/>
                <w:vertAlign w:val="superscript"/>
              </w:rPr>
              <w:t>(1)</w:t>
            </w: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Brian O. Casey</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338,537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Terry Forbes</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Fabian Gomez</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20,817</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Paddon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Julie K. Gerron</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33,417</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R. Freeman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92,758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Tiffany B. Kice</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Frank</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30,868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Susan M. Byrne</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244,715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Ellen H. Masterson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Robert D. McTeer</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19,368</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Geoffrey R. Norman</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Martin J. Weiland</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Raymond E. Wooldridge</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All directors and named executive officers as a group (14 Persons)</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880,542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34"/>
        </w:trPr>
        <w:tc>
          <w:tcPr>
            <w:tcW w:w="8620" w:type="dxa"/>
            <w:vAlign w:val="bottom"/>
          </w:tcPr>
          <w:p>
            <w:pPr>
              <w:ind w:left="40"/>
              <w:spacing w:after="0"/>
              <w:rPr>
                <w:sz w:val="20"/>
                <w:szCs w:val="20"/>
                <w:color w:val="auto"/>
              </w:rPr>
            </w:pPr>
            <w:r>
              <w:rPr>
                <w:rFonts w:ascii="Arial" w:cs="Arial" w:eastAsia="Arial" w:hAnsi="Arial"/>
                <w:sz w:val="9"/>
                <w:szCs w:val="9"/>
                <w:color w:val="auto"/>
              </w:rPr>
              <w:t>___________________</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12" w:lineRule="exact"/>
        <w:rPr>
          <w:rFonts w:ascii="Arial" w:cs="Arial" w:eastAsia="Arial" w:hAnsi="Arial"/>
          <w:sz w:val="13"/>
          <w:szCs w:val="13"/>
          <w:color w:val="auto"/>
        </w:rPr>
      </w:pPr>
    </w:p>
    <w:p>
      <w:pPr>
        <w:ind w:left="500" w:right="360" w:hanging="492"/>
        <w:spacing w:after="0" w:line="241" w:lineRule="auto"/>
        <w:tabs>
          <w:tab w:leader="none" w:pos="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of BlackRock, Inc. is 55 East 52</w:t>
      </w:r>
      <w:r>
        <w:rPr>
          <w:rFonts w:ascii="Arial" w:cs="Arial" w:eastAsia="Arial" w:hAnsi="Arial"/>
          <w:sz w:val="8"/>
          <w:szCs w:val="8"/>
          <w:color w:val="auto"/>
        </w:rPr>
        <w:t>nd</w:t>
      </w:r>
      <w:r>
        <w:rPr>
          <w:rFonts w:ascii="Arial" w:cs="Arial" w:eastAsia="Arial" w:hAnsi="Arial"/>
          <w:sz w:val="14"/>
          <w:szCs w:val="14"/>
          <w:color w:val="auto"/>
        </w:rPr>
        <w:t xml:space="preserve"> Street, New York, New York 10055. On February 6, 2019, BlackRock, Inc. reported its beneficial ownership, indicating that it held sole voting power over 702,207 shares and sole dispositive power over 732,202 shares.</w:t>
      </w:r>
    </w:p>
    <w:p>
      <w:pPr>
        <w:ind w:left="500" w:right="140" w:hanging="492"/>
        <w:spacing w:after="0" w:line="241" w:lineRule="auto"/>
        <w:tabs>
          <w:tab w:leader="none" w:pos="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of Wells Fargo &amp; Company is 420 Montgomery Street, San Francisco, CA 94163. On January 22, 2019, Wells Fargo &amp; Company reported its beneficial ownership, indicating that it held sole voting and sole dispositive power over 7,843 shares and shared dispositive power over 718,520 shares.</w:t>
      </w:r>
    </w:p>
    <w:p>
      <w:pPr>
        <w:ind w:left="500" w:right="80" w:hanging="492"/>
        <w:spacing w:after="0" w:line="241" w:lineRule="auto"/>
        <w:tabs>
          <w:tab w:leader="none" w:pos="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January 30, 2019, GAMCO reported its beneficial ownership, indicating that it held sole voting power over 563,191 shares.</w:t>
      </w:r>
    </w:p>
    <w:p>
      <w:pPr>
        <w:ind w:left="500" w:right="220" w:hanging="492"/>
        <w:spacing w:after="0" w:line="241" w:lineRule="auto"/>
        <w:tabs>
          <w:tab w:leader="none" w:pos="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of Conestoga Capital Advisors, LLC is 550 E. Swedesford Road, Suite 120, Wayne, PA 19087. On January 8, 2019, Conestoga Capital Advisors, LLC reported its beneficial ownership, indicating that it held sole voting power over 461,026 shares and sole dispositive power over 508,836 shares.</w:t>
      </w:r>
    </w:p>
    <w:p>
      <w:pPr>
        <w:ind w:left="500" w:right="460" w:hanging="492"/>
        <w:spacing w:after="0" w:line="293" w:lineRule="auto"/>
        <w:tabs>
          <w:tab w:leader="none" w:pos="5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address of Renaissance Technologies LLC is 800 Third Avenue, New York, NY 10022. On February 13, 2019, Renaissance Technologies LLC reported its beneficial ownership, indicating that it held sole voting power over 469,900 shares, sole dispositive power over 479,306 shares and shared dispositive power over 15,086 shares.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64"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westwoodgroup.com under the corporate governance section. The Audit Committee reviews the adequacy of and compliance with such charter annually.</w:t>
      </w:r>
    </w:p>
    <w:p>
      <w:pPr>
        <w:spacing w:after="0" w:line="13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2018 with management and the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The independent auditor is responsible for auditing those financial statements, and expressing an opinion on the conformity of the financial statements with GAAP, as well as opining on the effectiveness of our system of internal control over financial reporting.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our independent auditor. As part of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the independent auditor the overall scope and plan for their audits and met with the firm throughout the year, with and without management present, to monitor the firm's progress and results obtained from their audits.</w:t>
      </w:r>
    </w:p>
    <w:p>
      <w:pPr>
        <w:spacing w:after="0" w:line="13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Audit Committee received from Deloitte &amp; Touche LLP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134"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Audit Committee discussed with management, Westwood’s internal auditors and the independent auditors the quality and adequacy of Westwood’s internal controls over financial reporting and the audit scope and plans for audits performed by the internal auditors and the independent auditors.</w:t>
      </w:r>
    </w:p>
    <w:p>
      <w:pPr>
        <w:spacing w:after="0" w:line="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127"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For the fiscal year 2018,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the independent auditors. At the conclusion of the process, management provided the Audit Committee with a report on management’s assessment of the effectiveness of Westwood’s internal control over financial reporting as of December 31, 2018.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the independent auditors prior to earnings announcements throughout the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9" w:name="page60"/>
    <w:bookmarkEnd w:id="59"/>
    <w:p>
      <w:pPr>
        <w:ind w:firstLine="432"/>
        <w:spacing w:after="0" w:line="264"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2018,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Ellen H. Masterson, Chairperson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Frank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530" w:right="3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ind w:right="380" w:firstLine="405"/>
        <w:spacing w:after="0" w:line="312"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10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Included in the Proxy Statement</w:t>
      </w:r>
    </w:p>
    <w:p>
      <w:pPr>
        <w:spacing w:after="0" w:line="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To be considered for inclusion in next year's proxy statement, stockholder proposals must be received at our principal executive offices no later than the close of business on [November 18, 2019]. Proposals should be submitted in writing to 200 Crescent Court, Suite 1200, Dallas, Texas 75201, Attn: Corporate Secretary. In order to be included in next year's proxy statement, stockholder proposals must comply with all applicable legal requirements, including Rule 14a-8 under the Exchange Act. Timely submission of a proposal does not guarantee that such proposal will be included.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Not Included in Proxy Statement</w:t>
      </w:r>
    </w:p>
    <w:p>
      <w:pPr>
        <w:spacing w:after="0" w:line="2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If Westwood does not receive notice of a stockholder proposal at least 45 calendar days before the mailing date of the proxy statement for the prior year's annual meeting, then your proxy will confer discretionary authority on the person(s) named in the form of proxy for the annual meeting to vote on the proposal if it is properly presented for consideration at a meeting.</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w:t>
      </w:r>
    </w:p>
    <w:p>
      <w:pPr>
        <w:spacing w:after="0" w:line="1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2018 Annual Report to Stockholders, which includes our consolidated financial statements as of and for the year ended December 31, 2018, is being mailed to you along with this proxy statement. Upon written request, we are pleased to provide, without charge to any stockholder, a copy of our 2018 Form 10-K, including the financial statements and financial statement schedules to such report. Such request should be directed to 200 Crescent Court, Suite 1200, Dallas, Texas 75201, Attn: Corporate Secretary.</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HOUSEHOLDING OF PROXY MATERIALS</w:t>
      </w:r>
    </w:p>
    <w:p>
      <w:pPr>
        <w:spacing w:after="0" w:line="18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of the stockholders would like to receive only a single set of our disclosure documents, they should follow these instructions:</w:t>
      </w:r>
    </w:p>
    <w:p>
      <w:pPr>
        <w:spacing w:after="0" w:line="124" w:lineRule="exact"/>
        <w:rPr>
          <w:sz w:val="20"/>
          <w:szCs w:val="20"/>
          <w:color w:val="auto"/>
        </w:rPr>
      </w:pPr>
    </w:p>
    <w:p>
      <w:pPr>
        <w:ind w:left="980" w:right="440" w:hanging="324"/>
        <w:spacing w:after="0" w:line="308" w:lineRule="auto"/>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106" w:lineRule="exact"/>
        <w:rPr>
          <w:rFonts w:ascii="Arial" w:cs="Arial" w:eastAsia="Arial" w:hAnsi="Arial"/>
          <w:sz w:val="17"/>
          <w:szCs w:val="17"/>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364" w:right="299" w:bottom="1440" w:gutter="0" w:footer="0" w:header="0"/>
        </w:sectPr>
      </w:pPr>
    </w:p>
    <w:bookmarkStart w:id="61" w:name="page62"/>
    <w:bookmarkEnd w:id="61"/>
    <w:p>
      <w:pPr>
        <w:jc w:val="center"/>
        <w:ind w:right="-33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97790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240" w:top="715" w:right="55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Appendix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 WESTWOOD HOLDINGS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Sixth Amended and Restated Westwood Holdings Group, Inc.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March 8,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122"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126" w:lineRule="exact"/>
        <w:rPr>
          <w:rFonts w:ascii="Arial" w:cs="Arial" w:eastAsia="Arial" w:hAnsi="Arial"/>
          <w:sz w:val="18"/>
          <w:szCs w:val="18"/>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Whenever used herein, the following terms shall have their respective meanings set forth below:</w:t>
      </w:r>
    </w:p>
    <w:p>
      <w:pPr>
        <w:spacing w:after="0" w:line="175" w:lineRule="exact"/>
        <w:rPr>
          <w:rFonts w:ascii="Arial" w:cs="Arial" w:eastAsia="Arial" w:hAnsi="Arial"/>
          <w:sz w:val="18"/>
          <w:szCs w:val="18"/>
          <w:color w:val="auto"/>
        </w:rPr>
      </w:pPr>
    </w:p>
    <w:p>
      <w:pPr>
        <w:ind w:left="1960" w:hanging="655"/>
        <w:spacing w:after="0"/>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17.2.</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11.1.</w:t>
      </w:r>
    </w:p>
    <w:p>
      <w:pPr>
        <w:spacing w:after="0" w:line="17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127"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Options awarded pursuant to Sections 6;</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Stock Appreciation Rights awarded pursuant to Section 7;</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Restricted Stock Units awarded pursuant to Section 10.</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Other Stock-Based Awards awarded pursuant to Section 14.</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11;</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12; and</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3"/>
          <w:numId w:val="94"/>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13.</w:t>
      </w:r>
    </w:p>
    <w:p>
      <w:pPr>
        <w:spacing w:after="0" w:line="17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an Award granted to the Participant.</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71"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of the following: (i) the Participant’s theft of a Participating Company’s property or falsification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63" w:name="page64"/>
    <w:bookmarkEnd w:id="63"/>
    <w:p>
      <w:pPr>
        <w:ind w:left="760"/>
        <w:spacing w:after="0" w:line="324" w:lineRule="auto"/>
        <w:rPr>
          <w:sz w:val="20"/>
          <w:szCs w:val="20"/>
          <w:color w:val="auto"/>
        </w:rPr>
      </w:pPr>
      <w:r>
        <w:rPr>
          <w:rFonts w:ascii="Arial" w:cs="Arial" w:eastAsia="Arial" w:hAnsi="Arial"/>
          <w:sz w:val="18"/>
          <w:szCs w:val="18"/>
          <w:i w:val="1"/>
          <w:iCs w:val="1"/>
          <w:color w:val="auto"/>
        </w:rPr>
        <w:t>nolo contendere</w:t>
      </w:r>
      <w:r>
        <w:rPr>
          <w:rFonts w:ascii="Arial" w:cs="Arial" w:eastAsia="Arial" w:hAnsi="Arial"/>
          <w:sz w:val="18"/>
          <w:szCs w:val="18"/>
          <w:color w:val="auto"/>
        </w:rPr>
        <w:t>) of any felony or any other criminal act which impairs the Participant’s ability to perform his or her duties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Group or any Participating Company.</w:t>
      </w:r>
    </w:p>
    <w:p>
      <w:pPr>
        <w:spacing w:after="0" w:line="89" w:lineRule="exact"/>
        <w:rPr>
          <w:sz w:val="20"/>
          <w:szCs w:val="20"/>
          <w:color w:val="auto"/>
        </w:rPr>
      </w:pPr>
    </w:p>
    <w:p>
      <w:pPr>
        <w:ind w:left="760" w:hanging="655"/>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17.1.</w:t>
      </w:r>
    </w:p>
    <w:p>
      <w:pPr>
        <w:spacing w:after="0" w:line="171" w:lineRule="exact"/>
        <w:rPr>
          <w:rFonts w:ascii="Arial" w:cs="Arial" w:eastAsia="Arial" w:hAnsi="Arial"/>
          <w:sz w:val="18"/>
          <w:szCs w:val="18"/>
          <w:color w:val="auto"/>
        </w:rPr>
      </w:pPr>
    </w:p>
    <w:p>
      <w:pPr>
        <w:ind w:left="760" w:hanging="655"/>
        <w:spacing w:after="0"/>
        <w:tabs>
          <w:tab w:leader="none" w:pos="76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182" w:lineRule="exact"/>
        <w:rPr>
          <w:rFonts w:ascii="Arial" w:cs="Arial" w:eastAsia="Arial" w:hAnsi="Arial"/>
          <w:sz w:val="17"/>
          <w:szCs w:val="17"/>
          <w:color w:val="auto"/>
        </w:rPr>
      </w:pPr>
    </w:p>
    <w:p>
      <w:pPr>
        <w:jc w:val="both"/>
        <w:ind w:left="760" w:hanging="655"/>
        <w:spacing w:after="0" w:line="255" w:lineRule="auto"/>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139" w:lineRule="exact"/>
        <w:rPr>
          <w:rFonts w:ascii="Arial" w:cs="Arial" w:eastAsia="Arial" w:hAnsi="Arial"/>
          <w:sz w:val="18"/>
          <w:szCs w:val="18"/>
          <w:color w:val="auto"/>
        </w:rPr>
      </w:pPr>
    </w:p>
    <w:p>
      <w:pPr>
        <w:ind w:left="760" w:hanging="655"/>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71" w:lineRule="exact"/>
        <w:rPr>
          <w:rFonts w:ascii="Arial" w:cs="Arial" w:eastAsia="Arial" w:hAnsi="Arial"/>
          <w:sz w:val="18"/>
          <w:szCs w:val="18"/>
          <w:color w:val="auto"/>
        </w:rPr>
      </w:pPr>
    </w:p>
    <w:p>
      <w:pPr>
        <w:jc w:val="both"/>
        <w:ind w:left="760" w:hanging="655"/>
        <w:spacing w:after="0" w:line="297" w:lineRule="auto"/>
        <w:tabs>
          <w:tab w:leader="none" w:pos="76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person engaged to provide consulting or advisory services (other than as an Employee or a Director) to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104" w:lineRule="exact"/>
        <w:rPr>
          <w:rFonts w:ascii="Arial" w:cs="Arial" w:eastAsia="Arial" w:hAnsi="Arial"/>
          <w:sz w:val="16"/>
          <w:szCs w:val="16"/>
          <w:color w:val="auto"/>
        </w:rPr>
      </w:pPr>
    </w:p>
    <w:p>
      <w:pPr>
        <w:ind w:left="760" w:hanging="655"/>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71" w:lineRule="exact"/>
        <w:rPr>
          <w:rFonts w:ascii="Arial" w:cs="Arial" w:eastAsia="Arial" w:hAnsi="Arial"/>
          <w:sz w:val="18"/>
          <w:szCs w:val="18"/>
          <w:color w:val="auto"/>
        </w:rPr>
      </w:pPr>
    </w:p>
    <w:p>
      <w:pPr>
        <w:ind w:left="760" w:hanging="655"/>
        <w:spacing w:after="0"/>
        <w:tabs>
          <w:tab w:leader="none" w:pos="76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82"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records of a Participating Company and, with respect to any Incentive Stock Option granted to such person, who is an employee for purposes of Section 422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service as a Director nor payment of a director’s fee shall be sufficient to constitute employment for purposes of the Plan.</w:t>
      </w:r>
    </w:p>
    <w:p>
      <w:pPr>
        <w:spacing w:after="0" w:line="132" w:lineRule="exact"/>
        <w:rPr>
          <w:rFonts w:ascii="Arial" w:cs="Arial" w:eastAsia="Arial" w:hAnsi="Arial"/>
          <w:sz w:val="18"/>
          <w:szCs w:val="18"/>
          <w:color w:val="auto"/>
        </w:rPr>
      </w:pPr>
    </w:p>
    <w:p>
      <w:pPr>
        <w:ind w:left="760" w:hanging="655"/>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71"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 its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or by the Company, in its discretion, if such determination is expressly allocated to the Company herein, subject to the following:</w:t>
      </w:r>
    </w:p>
    <w:p>
      <w:pPr>
        <w:spacing w:after="0" w:line="127" w:lineRule="exact"/>
        <w:rPr>
          <w:rFonts w:ascii="Arial" w:cs="Arial" w:eastAsia="Arial" w:hAnsi="Arial"/>
          <w:sz w:val="18"/>
          <w:szCs w:val="18"/>
          <w:color w:val="auto"/>
        </w:rPr>
      </w:pPr>
    </w:p>
    <w:p>
      <w:pPr>
        <w:jc w:val="both"/>
        <w:ind w:left="1400" w:hanging="647"/>
        <w:spacing w:after="0" w:line="271" w:lineRule="auto"/>
        <w:tabs>
          <w:tab w:leader="none" w:pos="14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124" w:lineRule="exact"/>
        <w:rPr>
          <w:rFonts w:ascii="Arial" w:cs="Arial" w:eastAsia="Arial" w:hAnsi="Arial"/>
          <w:sz w:val="17"/>
          <w:szCs w:val="17"/>
          <w:color w:val="auto"/>
        </w:rPr>
      </w:pPr>
    </w:p>
    <w:p>
      <w:pPr>
        <w:jc w:val="both"/>
        <w:ind w:left="1400" w:right="20" w:hanging="647"/>
        <w:spacing w:after="0" w:line="279" w:lineRule="auto"/>
        <w:tabs>
          <w:tab w:leader="none" w:pos="14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117"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resignation occurring within ninety (90) days following a Change in Control; (ii) the relocation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the Participant’s responsibilities.</w:t>
      </w: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557" w:right="239" w:bottom="1440" w:gutter="0" w:footer="0" w:header="0"/>
        </w:sectPr>
      </w:pPr>
    </w:p>
    <w:bookmarkStart w:id="64" w:name="page65"/>
    <w:bookmarkEnd w:id="64"/>
    <w:p>
      <w:pPr>
        <w:ind w:left="76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116"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 16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w:t>
      </w:r>
    </w:p>
    <w:p>
      <w:pPr>
        <w:spacing w:after="0" w:line="116"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member of the Board who is not an active Employee of the Company or any Subsidiary.</w:t>
      </w:r>
    </w:p>
    <w:p>
      <w:pPr>
        <w:spacing w:after="0" w:line="182"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116"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eligible person under Section 14 hereof.</w:t>
      </w:r>
    </w:p>
    <w:p>
      <w:pPr>
        <w:spacing w:after="0" w:line="171"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(subject to adjustment as provided in Section 4.3) pursuant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An Option may be either an Incentive Stock Option or a Nonstatutory Stock Option.</w:t>
      </w:r>
    </w:p>
    <w:p>
      <w:pPr>
        <w:spacing w:after="0" w:line="116"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Agreement setting forth the terms, conditions and restrictions of an Option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132" w:lineRule="exact"/>
        <w:rPr>
          <w:rFonts w:ascii="Arial" w:cs="Arial" w:eastAsia="Arial" w:hAnsi="Arial"/>
          <w:sz w:val="18"/>
          <w:szCs w:val="18"/>
          <w:color w:val="auto"/>
        </w:rPr>
      </w:pPr>
    </w:p>
    <w:p>
      <w:pPr>
        <w:ind w:left="760" w:hanging="655"/>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6.4(a)(i).</w:t>
      </w:r>
    </w:p>
    <w:p>
      <w:pPr>
        <w:spacing w:after="0" w:line="171" w:lineRule="exact"/>
        <w:rPr>
          <w:sz w:val="20"/>
          <w:szCs w:val="20"/>
          <w:color w:val="auto"/>
        </w:rPr>
      </w:pPr>
    </w:p>
    <w:p>
      <w:pPr>
        <w:ind w:left="760" w:hanging="655"/>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17.1.</w:t>
      </w:r>
    </w:p>
    <w:p>
      <w:pPr>
        <w:spacing w:after="0" w:line="171" w:lineRule="exact"/>
        <w:rPr>
          <w:sz w:val="20"/>
          <w:szCs w:val="20"/>
          <w:color w:val="auto"/>
        </w:rPr>
      </w:pPr>
    </w:p>
    <w:p>
      <w:pPr>
        <w:jc w:val="both"/>
        <w:ind w:left="760" w:hanging="659"/>
        <w:spacing w:after="0" w:line="297" w:lineRule="auto"/>
        <w:tabs>
          <w:tab w:leader="none" w:pos="740" w:val="left"/>
        </w:tabs>
        <w:rPr>
          <w:sz w:val="20"/>
          <w:szCs w:val="20"/>
          <w:color w:val="auto"/>
        </w:rPr>
      </w:pPr>
      <w:r>
        <w:rPr>
          <w:rFonts w:ascii="Arial" w:cs="Arial" w:eastAsia="Arial" w:hAnsi="Arial"/>
          <w:sz w:val="16"/>
          <w:szCs w:val="16"/>
          <w:color w:val="auto"/>
        </w:rPr>
        <w:t>(ab)</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(i) any “parent corporation” as defined in Section 424(e) of the Code and any successor provisions; (ii)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104"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7"/>
          <w:szCs w:val="17"/>
          <w:color w:val="auto"/>
        </w:rPr>
        <w:t>(ac)</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83"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71" w:lineRule="exact"/>
        <w:rPr>
          <w:sz w:val="20"/>
          <w:szCs w:val="20"/>
          <w:color w:val="auto"/>
        </w:rPr>
      </w:pPr>
    </w:p>
    <w:p>
      <w:pPr>
        <w:jc w:val="both"/>
        <w:ind w:left="760" w:hanging="659"/>
        <w:spacing w:after="0" w:line="277" w:lineRule="auto"/>
        <w:tabs>
          <w:tab w:leader="none" w:pos="74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116" w:lineRule="exact"/>
        <w:rPr>
          <w:sz w:val="20"/>
          <w:szCs w:val="20"/>
          <w:color w:val="auto"/>
        </w:rPr>
      </w:pPr>
    </w:p>
    <w:p>
      <w:pPr>
        <w:jc w:val="both"/>
        <w:ind w:left="760" w:hanging="659"/>
        <w:spacing w:after="0" w:line="259" w:lineRule="auto"/>
        <w:tabs>
          <w:tab w:leader="none" w:pos="74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133" w:lineRule="exact"/>
        <w:rPr>
          <w:sz w:val="20"/>
          <w:szCs w:val="20"/>
          <w:color w:val="auto"/>
        </w:rPr>
      </w:pPr>
    </w:p>
    <w:p>
      <w:pPr>
        <w:jc w:val="both"/>
        <w:ind w:left="760" w:right="20" w:hanging="659"/>
        <w:spacing w:after="0" w:line="277" w:lineRule="auto"/>
        <w:tabs>
          <w:tab w:leader="none" w:pos="74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each calendar year, unless otherwise designated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w:t>
      </w:r>
    </w:p>
    <w:p>
      <w:pPr>
        <w:spacing w:after="0" w:line="116" w:lineRule="exact"/>
        <w:rPr>
          <w:sz w:val="20"/>
          <w:szCs w:val="20"/>
          <w:color w:val="auto"/>
        </w:rPr>
      </w:pPr>
    </w:p>
    <w:p>
      <w:pPr>
        <w:jc w:val="both"/>
        <w:ind w:left="760" w:hanging="659"/>
        <w:spacing w:after="0" w:line="264" w:lineRule="auto"/>
        <w:tabs>
          <w:tab w:leader="none" w:pos="74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12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71"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71" w:lineRule="exact"/>
        <w:rPr>
          <w:sz w:val="20"/>
          <w:szCs w:val="20"/>
          <w:color w:val="auto"/>
        </w:rPr>
      </w:pPr>
    </w:p>
    <w:p>
      <w:pPr>
        <w:jc w:val="both"/>
        <w:ind w:left="760" w:hanging="659"/>
        <w:spacing w:after="0" w:line="276" w:lineRule="auto"/>
        <w:tabs>
          <w:tab w:leader="none" w:pos="740" w:val="left"/>
        </w:tabs>
        <w:rPr>
          <w:sz w:val="20"/>
          <w:szCs w:val="20"/>
          <w:color w:val="auto"/>
        </w:rPr>
      </w:pPr>
      <w:r>
        <w:rPr>
          <w:rFonts w:ascii="Arial" w:cs="Arial" w:eastAsia="Arial" w:hAnsi="Arial"/>
          <w:sz w:val="17"/>
          <w:szCs w:val="17"/>
          <w:color w:val="auto"/>
        </w:rPr>
        <w:t>(ak)</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member of a Participant’s immediate family, trusts for the exclusive benefit of such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2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530" w:right="239" w:bottom="1440" w:gutter="0" w:footer="0" w:header="0"/>
        </w:sectPr>
      </w:pPr>
    </w:p>
    <w:bookmarkStart w:id="65" w:name="page66"/>
    <w:bookmarkEnd w:id="65"/>
    <w:p>
      <w:pPr>
        <w:ind w:left="644"/>
        <w:spacing w:after="0"/>
        <w:tabs>
          <w:tab w:leader="none" w:pos="1283"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71" w:lineRule="exact"/>
        <w:rPr>
          <w:sz w:val="20"/>
          <w:szCs w:val="20"/>
          <w:color w:val="auto"/>
        </w:rPr>
      </w:pPr>
    </w:p>
    <w:p>
      <w:pPr>
        <w:jc w:val="both"/>
        <w:ind w:left="1304" w:hanging="659"/>
        <w:spacing w:after="0" w:line="264" w:lineRule="auto"/>
        <w:tabs>
          <w:tab w:leader="none" w:pos="1283"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Section 162(m) of the Code</w:t>
      </w:r>
      <w:r>
        <w:rPr>
          <w:rFonts w:ascii="Arial" w:cs="Arial" w:eastAsia="Arial" w:hAnsi="Arial"/>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127"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(an)</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71"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71" w:lineRule="exact"/>
        <w:rPr>
          <w:sz w:val="20"/>
          <w:szCs w:val="20"/>
          <w:color w:val="auto"/>
        </w:rPr>
      </w:pPr>
    </w:p>
    <w:p>
      <w:pPr>
        <w:jc w:val="both"/>
        <w:ind w:left="1304" w:right="20" w:hanging="659"/>
        <w:spacing w:after="0" w:line="277" w:lineRule="auto"/>
        <w:tabs>
          <w:tab w:leader="none" w:pos="1283"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pursuant to Section 10 and shall be evidenced by a bookkeeping entry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equivalent of one share of Stock.</w:t>
      </w:r>
    </w:p>
    <w:p>
      <w:pPr>
        <w:spacing w:after="0" w:line="116"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7"/>
          <w:szCs w:val="17"/>
          <w:color w:val="auto"/>
        </w:rPr>
        <w:t>(aq)</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Rule 16b</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means Rule 16b-3 under the Exchange Act, as amended from time to time, or any successor rule or regulation.</w:t>
      </w:r>
    </w:p>
    <w:p>
      <w:pPr>
        <w:spacing w:after="0" w:line="183"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71" w:lineRule="exact"/>
        <w:rPr>
          <w:sz w:val="20"/>
          <w:szCs w:val="20"/>
          <w:color w:val="auto"/>
        </w:rPr>
      </w:pPr>
    </w:p>
    <w:p>
      <w:pPr>
        <w:jc w:val="both"/>
        <w:ind w:left="1304" w:hanging="659"/>
        <w:spacing w:after="0" w:line="286" w:lineRule="auto"/>
        <w:tabs>
          <w:tab w:leader="none" w:pos="1283" w:val="left"/>
        </w:tabs>
        <w:rPr>
          <w:sz w:val="20"/>
          <w:szCs w:val="20"/>
          <w:color w:val="auto"/>
        </w:rPr>
      </w:pPr>
      <w:r>
        <w:rPr>
          <w:rFonts w:ascii="Arial" w:cs="Arial" w:eastAsia="Arial" w:hAnsi="Arial"/>
          <w:sz w:val="16"/>
          <w:szCs w:val="16"/>
          <w:color w:val="auto"/>
        </w:rPr>
        <w:t>(as)</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Participant’s employment or service with the Participating Company Group, whether in the capacity of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21" w:lineRule="exact"/>
        <w:rPr>
          <w:sz w:val="20"/>
          <w:szCs w:val="20"/>
          <w:color w:val="auto"/>
        </w:rPr>
      </w:pPr>
    </w:p>
    <w:p>
      <w:pPr>
        <w:jc w:val="both"/>
        <w:ind w:left="1304" w:hanging="659"/>
        <w:spacing w:after="0" w:line="264" w:lineRule="auto"/>
        <w:tabs>
          <w:tab w:leader="none" w:pos="1283"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pursuant to Section 7 to receive a payment equal to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specified number of shares of Stock on the date the SAR is exercised over the grant price of the SAR, as set forth in the applicable Award Agreement.</w:t>
      </w:r>
    </w:p>
    <w:p>
      <w:pPr>
        <w:spacing w:after="0" w:line="127"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4.3.</w:t>
      </w:r>
    </w:p>
    <w:p>
      <w:pPr>
        <w:spacing w:after="0" w:line="171" w:lineRule="exact"/>
        <w:rPr>
          <w:sz w:val="20"/>
          <w:szCs w:val="20"/>
          <w:color w:val="auto"/>
        </w:rPr>
      </w:pPr>
    </w:p>
    <w:p>
      <w:pPr>
        <w:jc w:val="both"/>
        <w:ind w:left="1304" w:hanging="659"/>
        <w:spacing w:after="0" w:line="255" w:lineRule="auto"/>
        <w:tabs>
          <w:tab w:leader="none" w:pos="1283" w:val="left"/>
        </w:tabs>
        <w:rPr>
          <w:sz w:val="20"/>
          <w:szCs w:val="20"/>
          <w:color w:val="auto"/>
        </w:rPr>
      </w:pPr>
      <w:r>
        <w:rPr>
          <w:rFonts w:ascii="Arial" w:cs="Arial" w:eastAsia="Arial" w:hAnsi="Arial"/>
          <w:sz w:val="18"/>
          <w:szCs w:val="18"/>
          <w:color w:val="auto"/>
        </w:rPr>
        <w:t>(av)</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139" w:lineRule="exact"/>
        <w:rPr>
          <w:sz w:val="20"/>
          <w:szCs w:val="20"/>
          <w:color w:val="auto"/>
        </w:rPr>
      </w:pPr>
    </w:p>
    <w:p>
      <w:pPr>
        <w:jc w:val="both"/>
        <w:ind w:left="1304" w:hanging="659"/>
        <w:spacing w:after="0" w:line="264" w:lineRule="auto"/>
        <w:tabs>
          <w:tab w:leader="none" w:pos="1283"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123" w:lineRule="exact"/>
        <w:rPr>
          <w:sz w:val="20"/>
          <w:szCs w:val="20"/>
          <w:color w:val="auto"/>
        </w:rPr>
      </w:pPr>
    </w:p>
    <w:p>
      <w:pPr>
        <w:jc w:val="both"/>
        <w:ind w:left="644" w:right="20" w:hanging="644"/>
        <w:spacing w:after="0" w:line="266" w:lineRule="auto"/>
        <w:tabs>
          <w:tab w:leader="none" w:pos="644"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0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30" w:right="239" w:bottom="1440" w:gutter="0" w:footer="0" w:header="0"/>
        </w:sectPr>
      </w:pPr>
    </w:p>
    <w:bookmarkStart w:id="66" w:name="page67"/>
    <w:bookmarkEnd w:id="66"/>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or of any Award shall be determined by the Committee, and such determinations shall be final and binding upon all persons having an interest in the Plan.</w:t>
      </w:r>
    </w:p>
    <w:p>
      <w:pPr>
        <w:spacing w:after="0" w:line="122" w:lineRule="exact"/>
        <w:rPr>
          <w:rFonts w:ascii="Arial" w:cs="Arial" w:eastAsia="Arial" w:hAnsi="Arial"/>
          <w:sz w:val="18"/>
          <w:szCs w:val="18"/>
          <w:color w:val="auto"/>
        </w:rPr>
      </w:pPr>
    </w:p>
    <w:p>
      <w:pPr>
        <w:jc w:val="both"/>
        <w:ind w:left="1300" w:hanging="644"/>
        <w:spacing w:after="0" w:line="289" w:lineRule="auto"/>
        <w:tabs>
          <w:tab w:leader="none" w:pos="1300" w:val="left"/>
        </w:tabs>
        <w:numPr>
          <w:ilvl w:val="1"/>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Authority of Officers. </w:t>
      </w:r>
      <w:r>
        <w:rPr>
          <w:rFonts w:ascii="Arial" w:cs="Arial" w:eastAsia="Arial" w:hAnsi="Arial"/>
          <w:sz w:val="17"/>
          <w:szCs w:val="17"/>
          <w:color w:val="auto"/>
        </w:rPr>
        <w:t>Any officer of a Participating Company shall have the authority to act on behalf of the Company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104" w:lineRule="exact"/>
        <w:rPr>
          <w:rFonts w:ascii="Arial" w:cs="Arial" w:eastAsia="Arial" w:hAnsi="Arial"/>
          <w:sz w:val="17"/>
          <w:szCs w:val="17"/>
          <w:color w:val="auto"/>
        </w:rPr>
      </w:pPr>
    </w:p>
    <w:p>
      <w:pPr>
        <w:ind w:left="1300" w:right="20" w:hanging="644"/>
        <w:spacing w:after="0" w:line="282"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final power and authority, in its discretion:</w:t>
      </w:r>
    </w:p>
    <w:p>
      <w:pPr>
        <w:spacing w:after="0" w:line="111" w:lineRule="exact"/>
        <w:rPr>
          <w:rFonts w:ascii="Arial" w:cs="Arial" w:eastAsia="Arial" w:hAnsi="Arial"/>
          <w:sz w:val="18"/>
          <w:szCs w:val="18"/>
          <w:color w:val="auto"/>
        </w:rPr>
      </w:pPr>
    </w:p>
    <w:p>
      <w:pPr>
        <w:ind w:left="1960" w:right="20" w:hanging="655"/>
        <w:spacing w:after="0" w:line="277" w:lineRule="auto"/>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71" w:lineRule="exact"/>
        <w:rPr>
          <w:rFonts w:ascii="Arial" w:cs="Arial" w:eastAsia="Arial" w:hAnsi="Arial"/>
          <w:sz w:val="18"/>
          <w:szCs w:val="18"/>
          <w:color w:val="auto"/>
        </w:rPr>
      </w:pPr>
    </w:p>
    <w:p>
      <w:pPr>
        <w:jc w:val="both"/>
        <w:ind w:left="1960" w:hanging="655"/>
        <w:spacing w:after="0" w:line="290" w:lineRule="auto"/>
        <w:tabs>
          <w:tab w:leader="none" w:pos="19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112" w:lineRule="exact"/>
        <w:rPr>
          <w:rFonts w:ascii="Arial" w:cs="Arial" w:eastAsia="Arial" w:hAnsi="Arial"/>
          <w:sz w:val="16"/>
          <w:szCs w:val="16"/>
          <w:color w:val="auto"/>
        </w:rPr>
      </w:pPr>
    </w:p>
    <w:p>
      <w:pPr>
        <w:ind w:left="1960" w:hanging="655"/>
        <w:spacing w:after="0"/>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approve one or more forms of Award Agreement or Option Agreement;</w:t>
      </w:r>
    </w:p>
    <w:p>
      <w:pPr>
        <w:spacing w:after="0" w:line="171" w:lineRule="exact"/>
        <w:rPr>
          <w:rFonts w:ascii="Arial" w:cs="Arial" w:eastAsia="Arial" w:hAnsi="Arial"/>
          <w:sz w:val="18"/>
          <w:szCs w:val="18"/>
          <w:color w:val="auto"/>
        </w:rPr>
      </w:pPr>
    </w:p>
    <w:p>
      <w:pPr>
        <w:jc w:val="both"/>
        <w:ind w:left="1960" w:hanging="655"/>
        <w:spacing w:after="0" w:line="291" w:lineRule="auto"/>
        <w:tabs>
          <w:tab w:leader="none" w:pos="19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in this Plan to the contrary:</w:t>
      </w:r>
    </w:p>
    <w:p>
      <w:pPr>
        <w:jc w:val="both"/>
        <w:ind w:left="1960" w:hanging="7"/>
        <w:spacing w:after="0" w:line="281" w:lineRule="auto"/>
        <w:tabs>
          <w:tab w:leader="none" w:pos="2208" w:val="left"/>
        </w:tabs>
        <w:numPr>
          <w:ilvl w:val="3"/>
          <w:numId w:val="99"/>
        </w:numPr>
        <w:rPr>
          <w:rFonts w:ascii="Arial" w:cs="Arial" w:eastAsia="Arial" w:hAnsi="Arial"/>
          <w:sz w:val="16"/>
          <w:szCs w:val="16"/>
          <w:color w:val="auto"/>
        </w:rPr>
      </w:pPr>
      <w:r>
        <w:rPr>
          <w:rFonts w:ascii="Arial" w:cs="Arial" w:eastAsia="Arial" w:hAnsi="Arial"/>
          <w:sz w:val="16"/>
          <w:szCs w:val="16"/>
          <w:color w:val="auto"/>
        </w:rPr>
        <w:t>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w:t>
      </w:r>
    </w:p>
    <w:p>
      <w:pPr>
        <w:spacing w:after="0" w:line="4" w:lineRule="exact"/>
        <w:rPr>
          <w:rFonts w:ascii="Arial" w:cs="Arial" w:eastAsia="Arial" w:hAnsi="Arial"/>
          <w:sz w:val="16"/>
          <w:szCs w:val="16"/>
          <w:color w:val="auto"/>
        </w:rPr>
      </w:pPr>
    </w:p>
    <w:p>
      <w:pPr>
        <w:ind w:left="1960"/>
        <w:spacing w:after="0" w:line="261" w:lineRule="auto"/>
        <w:rPr>
          <w:rFonts w:ascii="Arial" w:cs="Arial" w:eastAsia="Arial" w:hAnsi="Arial"/>
          <w:sz w:val="16"/>
          <w:szCs w:val="16"/>
          <w:color w:val="auto"/>
        </w:rPr>
      </w:pPr>
      <w:r>
        <w:rPr>
          <w:rFonts w:ascii="Arial" w:cs="Arial" w:eastAsia="Arial" w:hAnsi="Arial"/>
          <w:sz w:val="18"/>
          <w:szCs w:val="18"/>
          <w:color w:val="auto"/>
        </w:rPr>
        <w:t>(E) take any other action with respect to an Option or SAR that would be treated as a “repricing” under generally accepted accounting principles;</w:t>
      </w:r>
    </w:p>
    <w:p>
      <w:pPr>
        <w:spacing w:after="0" w:line="129" w:lineRule="exact"/>
        <w:rPr>
          <w:rFonts w:ascii="Arial" w:cs="Arial" w:eastAsia="Arial" w:hAnsi="Arial"/>
          <w:sz w:val="16"/>
          <w:szCs w:val="16"/>
          <w:color w:val="auto"/>
        </w:rPr>
      </w:pPr>
    </w:p>
    <w:p>
      <w:pPr>
        <w:ind w:left="1960" w:hanging="655"/>
        <w:spacing w:after="0" w:line="308" w:lineRule="auto"/>
        <w:tabs>
          <w:tab w:leader="none" w:pos="1960" w:val="left"/>
        </w:tabs>
        <w:numPr>
          <w:ilvl w:val="2"/>
          <w:numId w:val="99"/>
        </w:numPr>
        <w:rPr>
          <w:rFonts w:ascii="Arial" w:cs="Arial" w:eastAsia="Arial" w:hAnsi="Arial"/>
          <w:sz w:val="17"/>
          <w:szCs w:val="17"/>
          <w:color w:val="auto"/>
        </w:rPr>
      </w:pPr>
      <w:r>
        <w:rPr>
          <w:rFonts w:ascii="Arial" w:cs="Arial" w:eastAsia="Arial" w:hAnsi="Arial"/>
          <w:sz w:val="17"/>
          <w:szCs w:val="17"/>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92"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2"/>
          <w:numId w:val="99"/>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111"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67" w:name="page68"/>
    <w:bookmarkEnd w:id="67"/>
    <w:p>
      <w:pPr>
        <w:jc w:val="both"/>
        <w:ind w:left="1960" w:hanging="655"/>
        <w:spacing w:after="0" w:line="264" w:lineRule="auto"/>
        <w:tabs>
          <w:tab w:leader="none" w:pos="19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123"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registered pursuant to Section 12 of the Exchange Act, the Plan shall be administered in compliance with the requirements, if any, of Rule 16b-3.</w:t>
      </w:r>
    </w:p>
    <w:p>
      <w:pPr>
        <w:spacing w:after="0" w:line="122"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1"/>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19" w:lineRule="exact"/>
        <w:rPr>
          <w:rFonts w:ascii="Arial" w:cs="Arial" w:eastAsia="Arial" w:hAnsi="Arial"/>
          <w:sz w:val="17"/>
          <w:szCs w:val="17"/>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Maximum Number of Shares Issuable. </w:t>
      </w:r>
      <w:r>
        <w:rPr>
          <w:rFonts w:ascii="Arial" w:cs="Arial" w:eastAsia="Arial" w:hAnsi="Arial"/>
          <w:sz w:val="17"/>
          <w:szCs w:val="17"/>
          <w:color w:val="auto"/>
        </w:rPr>
        <w:t>Subject to adjustment as provided in Section 4.3, the maximum aggregate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that may be issued under the Plan shall be </w:t>
      </w:r>
      <w:r>
        <w:rPr>
          <w:rFonts w:ascii="Arial" w:cs="Arial" w:eastAsia="Arial" w:hAnsi="Arial"/>
          <w:sz w:val="17"/>
          <w:szCs w:val="17"/>
          <w:b w:val="1"/>
          <w:bCs w:val="1"/>
          <w:color w:val="auto"/>
        </w:rPr>
        <w:t>5,048,100</w:t>
      </w:r>
      <w:r>
        <w:rPr>
          <w:rFonts w:ascii="Arial" w:cs="Arial" w:eastAsia="Arial" w:hAnsi="Arial"/>
          <w:sz w:val="17"/>
          <w:szCs w:val="17"/>
          <w:color w:val="auto"/>
        </w:rPr>
        <w:t>.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125"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Award Limits. </w:t>
      </w:r>
      <w:r>
        <w:rPr>
          <w:rFonts w:ascii="Arial" w:cs="Arial" w:eastAsia="Arial" w:hAnsi="Arial"/>
          <w:sz w:val="18"/>
          <w:szCs w:val="18"/>
          <w:color w:val="auto"/>
        </w:rPr>
        <w:t>Subject to adjustment as provided in Section 4.3, the maximum aggregate number of shares of Stock with respect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126" w:lineRule="exact"/>
        <w:rPr>
          <w:rFonts w:ascii="Arial" w:cs="Arial" w:eastAsia="Arial" w:hAnsi="Arial"/>
          <w:sz w:val="18"/>
          <w:szCs w:val="18"/>
          <w:color w:val="auto"/>
        </w:rPr>
      </w:pPr>
    </w:p>
    <w:p>
      <w:pPr>
        <w:ind w:left="1300" w:hanging="644"/>
        <w:spacing w:after="0"/>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Arial" w:cs="Arial" w:eastAsia="Arial" w:hAnsi="Arial"/>
          <w:sz w:val="16"/>
          <w:szCs w:val="16"/>
          <w:b w:val="1"/>
          <w:bCs w:val="1"/>
          <w:i w:val="1"/>
          <w:iCs w:val="1"/>
          <w:color w:val="auto"/>
        </w:rPr>
        <w:t>New Shares</w:t>
      </w:r>
      <w:r>
        <w:rPr>
          <w:rFonts w:ascii="Arial" w:cs="Arial" w:eastAsia="Arial" w:hAnsi="Arial"/>
          <w:sz w:val="16"/>
          <w:szCs w:val="16"/>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68" w:name="page69"/>
    <w:bookmarkEnd w:id="68"/>
    <w:p>
      <w:pPr>
        <w:jc w:val="both"/>
        <w:ind w:left="1960" w:hanging="655"/>
        <w:spacing w:after="0" w:line="288" w:lineRule="auto"/>
        <w:tabs>
          <w:tab w:leader="none" w:pos="196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115"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123" w:lineRule="exact"/>
        <w:rPr>
          <w:rFonts w:ascii="Arial" w:cs="Arial" w:eastAsia="Arial" w:hAnsi="Arial"/>
          <w:sz w:val="18"/>
          <w:szCs w:val="18"/>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1"/>
          <w:numId w:val="104"/>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(1) Award.</w:t>
      </w:r>
    </w:p>
    <w:p>
      <w:pPr>
        <w:spacing w:after="0" w:line="110"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Option Grant Restrictions. </w:t>
      </w:r>
      <w:r>
        <w:rPr>
          <w:rFonts w:ascii="Arial" w:cs="Arial" w:eastAsia="Arial" w:hAnsi="Arial"/>
          <w:sz w:val="18"/>
          <w:szCs w:val="18"/>
          <w:color w:val="auto"/>
        </w:rPr>
        <w:t>Any person who is not an Employee on the effective date of the grant of an Option to such person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126" w:lineRule="exact"/>
        <w:rPr>
          <w:rFonts w:ascii="Arial" w:cs="Arial" w:eastAsia="Arial" w:hAnsi="Arial"/>
          <w:sz w:val="18"/>
          <w:szCs w:val="18"/>
          <w:color w:val="auto"/>
        </w:rPr>
      </w:pPr>
    </w:p>
    <w:p>
      <w:pPr>
        <w:jc w:val="both"/>
        <w:ind w:left="1300" w:hanging="644"/>
        <w:spacing w:after="0" w:line="288" w:lineRule="auto"/>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Limitation. </w:t>
      </w:r>
      <w:r>
        <w:rPr>
          <w:rFonts w:ascii="Arial" w:cs="Arial" w:eastAsia="Arial" w:hAnsi="Arial"/>
          <w:sz w:val="16"/>
          <w:szCs w:val="16"/>
          <w:color w:val="auto"/>
        </w:rPr>
        <w:t>To the extent that Options designated as Incentive Stock Options (granted under all stock option plans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110" w:lineRule="exact"/>
        <w:rPr>
          <w:rFonts w:ascii="Arial" w:cs="Arial" w:eastAsia="Arial" w:hAnsi="Arial"/>
          <w:sz w:val="16"/>
          <w:szCs w:val="16"/>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Options shall be evidenced by Option Agreements specifying the number of shares of Stock covered thereby, in such form as the Committee shall</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348" w:lineRule="exact"/>
        <w:rPr>
          <w:sz w:val="20"/>
          <w:szCs w:val="20"/>
          <w:color w:val="auto"/>
        </w:rPr>
      </w:pPr>
    </w:p>
    <w:p>
      <w:pPr>
        <w:jc w:val="both"/>
        <w:ind w:left="1300" w:hanging="644"/>
        <w:spacing w:after="0" w:line="273" w:lineRule="auto"/>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exercise price for each Option shall be established in the discretion of the Committee; provided, however, that (a)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69" w:name="page70"/>
    <w:bookmarkEnd w:id="69"/>
    <w:p>
      <w:pPr>
        <w:jc w:val="both"/>
        <w:ind w:left="644" w:hanging="644"/>
        <w:spacing w:after="0" w:line="254" w:lineRule="auto"/>
        <w:tabs>
          <w:tab w:leader="none" w:pos="644"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Exercisability and Term of Options. </w:t>
      </w:r>
      <w:r>
        <w:rPr>
          <w:rFonts w:ascii="Arial" w:cs="Arial" w:eastAsia="Arial" w:hAnsi="Arial"/>
          <w:sz w:val="18"/>
          <w:szCs w:val="18"/>
          <w:color w:val="auto"/>
        </w:rPr>
        <w:t>Options shall be exercisable at such time or times, or upon such event or events,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135" w:lineRule="exact"/>
        <w:rPr>
          <w:rFonts w:ascii="Arial" w:cs="Arial" w:eastAsia="Arial" w:hAnsi="Arial"/>
          <w:sz w:val="18"/>
          <w:szCs w:val="18"/>
          <w:color w:val="auto"/>
        </w:rPr>
      </w:pPr>
    </w:p>
    <w:p>
      <w:pPr>
        <w:ind w:left="644" w:hanging="644"/>
        <w:spacing w:after="0"/>
        <w:tabs>
          <w:tab w:leader="none" w:pos="644"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71" w:lineRule="exact"/>
        <w:rPr>
          <w:rFonts w:ascii="Arial" w:cs="Arial" w:eastAsia="Arial" w:hAnsi="Arial"/>
          <w:sz w:val="18"/>
          <w:szCs w:val="18"/>
          <w:color w:val="auto"/>
        </w:rPr>
      </w:pPr>
    </w:p>
    <w:p>
      <w:pPr>
        <w:jc w:val="both"/>
        <w:ind w:left="1304" w:hanging="655"/>
        <w:spacing w:after="0" w:line="286" w:lineRule="auto"/>
        <w:tabs>
          <w:tab w:leader="none" w:pos="1304" w:val="left"/>
        </w:tabs>
        <w:numPr>
          <w:ilvl w:val="1"/>
          <w:numId w:val="106"/>
        </w:numPr>
        <w:rPr>
          <w:rFonts w:ascii="Arial" w:cs="Arial" w:eastAsia="Arial" w:hAnsi="Arial"/>
          <w:sz w:val="16"/>
          <w:szCs w:val="16"/>
          <w:color w:val="auto"/>
        </w:rPr>
      </w:pPr>
      <w:r>
        <w:rPr>
          <w:rFonts w:ascii="Arial" w:cs="Arial" w:eastAsia="Arial" w:hAnsi="Arial"/>
          <w:sz w:val="16"/>
          <w:szCs w:val="16"/>
          <w:b w:val="1"/>
          <w:bCs w:val="1"/>
          <w:color w:val="auto"/>
        </w:rPr>
        <w:t>Forms of Consideration Authorized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payment of the exercise price for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6"/>
          <w:szCs w:val="16"/>
          <w:b w:val="1"/>
          <w:bCs w:val="1"/>
          <w:i w:val="1"/>
          <w:iCs w:val="1"/>
          <w:color w:val="auto"/>
        </w:rPr>
        <w:t>Cashless Exercise</w:t>
      </w:r>
      <w:r>
        <w:rPr>
          <w:rFonts w:ascii="Arial" w:cs="Arial" w:eastAsia="Arial" w:hAnsi="Arial"/>
          <w:sz w:val="16"/>
          <w:szCs w:val="16"/>
          <w:i w:val="1"/>
          <w:iCs w:val="1"/>
          <w:color w:val="auto"/>
        </w:rPr>
        <w:t>”</w:t>
      </w:r>
      <w:r>
        <w:rPr>
          <w:rFonts w:ascii="Arial" w:cs="Arial" w:eastAsia="Arial" w:hAnsi="Arial"/>
          <w:sz w:val="16"/>
          <w:szCs w:val="16"/>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117" w:lineRule="exact"/>
        <w:rPr>
          <w:rFonts w:ascii="Arial" w:cs="Arial" w:eastAsia="Arial" w:hAnsi="Arial"/>
          <w:sz w:val="16"/>
          <w:szCs w:val="16"/>
          <w:color w:val="auto"/>
        </w:rPr>
      </w:pPr>
    </w:p>
    <w:p>
      <w:pPr>
        <w:ind w:left="1304" w:hanging="655"/>
        <w:spacing w:after="0"/>
        <w:tabs>
          <w:tab w:leader="none" w:pos="1304"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71" w:lineRule="exact"/>
        <w:rPr>
          <w:rFonts w:ascii="Arial" w:cs="Arial" w:eastAsia="Arial" w:hAnsi="Arial"/>
          <w:sz w:val="18"/>
          <w:szCs w:val="18"/>
          <w:color w:val="auto"/>
        </w:rPr>
      </w:pPr>
    </w:p>
    <w:p>
      <w:pPr>
        <w:jc w:val="both"/>
        <w:ind w:left="1944" w:hanging="647"/>
        <w:spacing w:after="0" w:line="289" w:lineRule="auto"/>
        <w:tabs>
          <w:tab w:leader="none" w:pos="1944" w:val="left"/>
        </w:tabs>
        <w:numPr>
          <w:ilvl w:val="2"/>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Tender of Stock. </w:t>
      </w:r>
      <w:r>
        <w:rPr>
          <w:rFonts w:ascii="Arial" w:cs="Arial" w:eastAsia="Arial" w:hAnsi="Arial"/>
          <w:sz w:val="17"/>
          <w:szCs w:val="17"/>
          <w:color w:val="auto"/>
        </w:rPr>
        <w:t>Notwithstanding the foregoing, an Option may not be exercised by tender to the Company, or attestation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ownership, of shares of Stock to the extent such tender or attestation would constitute a violation of the provisions of any law, regulation or agreement restricting the redemption of the Company’s stock.</w:t>
      </w:r>
    </w:p>
    <w:p>
      <w:pPr>
        <w:spacing w:after="0" w:line="104" w:lineRule="exact"/>
        <w:rPr>
          <w:rFonts w:ascii="Arial" w:cs="Arial" w:eastAsia="Arial" w:hAnsi="Arial"/>
          <w:sz w:val="17"/>
          <w:szCs w:val="17"/>
          <w:color w:val="auto"/>
        </w:rPr>
      </w:pPr>
    </w:p>
    <w:p>
      <w:pPr>
        <w:jc w:val="both"/>
        <w:ind w:left="1944" w:hanging="647"/>
        <w:spacing w:after="0" w:line="266" w:lineRule="auto"/>
        <w:tabs>
          <w:tab w:leader="none" w:pos="1944" w:val="left"/>
        </w:tabs>
        <w:numPr>
          <w:ilvl w:val="2"/>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decline to approve or terminate any program or procedures for the exercise of Options by means of a Cashless Exercise.</w:t>
      </w:r>
    </w:p>
    <w:p>
      <w:pPr>
        <w:spacing w:after="0" w:line="122" w:lineRule="exact"/>
        <w:rPr>
          <w:rFonts w:ascii="Arial" w:cs="Arial" w:eastAsia="Arial" w:hAnsi="Arial"/>
          <w:sz w:val="18"/>
          <w:szCs w:val="18"/>
          <w:color w:val="auto"/>
        </w:rPr>
      </w:pPr>
    </w:p>
    <w:p>
      <w:pPr>
        <w:ind w:left="644" w:hanging="644"/>
        <w:spacing w:after="0"/>
        <w:tabs>
          <w:tab w:leader="none" w:pos="644"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71" w:lineRule="exact"/>
        <w:rPr>
          <w:rFonts w:ascii="Arial" w:cs="Arial" w:eastAsia="Arial" w:hAnsi="Arial"/>
          <w:sz w:val="18"/>
          <w:szCs w:val="18"/>
          <w:color w:val="auto"/>
        </w:rPr>
      </w:pPr>
    </w:p>
    <w:p>
      <w:pPr>
        <w:jc w:val="both"/>
        <w:ind w:left="1304" w:hanging="655"/>
        <w:spacing w:after="0" w:line="261" w:lineRule="auto"/>
        <w:tabs>
          <w:tab w:leader="none" w:pos="1304"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earlier termination of the Option as otherwise provided herein and unless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126" w:lineRule="exact"/>
        <w:rPr>
          <w:rFonts w:ascii="Arial" w:cs="Arial" w:eastAsia="Arial" w:hAnsi="Arial"/>
          <w:sz w:val="18"/>
          <w:szCs w:val="18"/>
          <w:color w:val="auto"/>
        </w:rPr>
      </w:pPr>
    </w:p>
    <w:p>
      <w:pPr>
        <w:jc w:val="both"/>
        <w:ind w:left="1944" w:hanging="647"/>
        <w:spacing w:after="0" w:line="274" w:lineRule="auto"/>
        <w:tabs>
          <w:tab w:leader="none" w:pos="1944" w:val="left"/>
        </w:tabs>
        <w:numPr>
          <w:ilvl w:val="2"/>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If the Participant’s Service with the Participating Company Group terminates because of the Disability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Arial" w:cs="Arial" w:eastAsia="Arial" w:hAnsi="Arial"/>
          <w:sz w:val="17"/>
          <w:szCs w:val="17"/>
          <w:b w:val="1"/>
          <w:bCs w:val="1"/>
          <w:i w:val="1"/>
          <w:iCs w:val="1"/>
          <w:color w:val="auto"/>
        </w:rPr>
        <w:t>Option Expiration Date</w:t>
      </w:r>
      <w:r>
        <w:rPr>
          <w:rFonts w:ascii="Arial" w:cs="Arial" w:eastAsia="Arial" w:hAnsi="Arial"/>
          <w:sz w:val="17"/>
          <w:szCs w:val="17"/>
          <w:i w:val="1"/>
          <w:iCs w:val="1"/>
          <w:color w:val="auto"/>
        </w:rPr>
        <w:t>”).</w:t>
      </w:r>
    </w:p>
    <w:p>
      <w:pPr>
        <w:spacing w:after="0" w:line="119" w:lineRule="exact"/>
        <w:rPr>
          <w:rFonts w:ascii="Arial" w:cs="Arial" w:eastAsia="Arial" w:hAnsi="Arial"/>
          <w:sz w:val="17"/>
          <w:szCs w:val="17"/>
          <w:color w:val="auto"/>
        </w:rPr>
      </w:pPr>
    </w:p>
    <w:p>
      <w:pPr>
        <w:jc w:val="both"/>
        <w:ind w:left="1944" w:hanging="647"/>
        <w:spacing w:after="0" w:line="258" w:lineRule="auto"/>
        <w:tabs>
          <w:tab w:leader="none" w:pos="1944" w:val="left"/>
        </w:tabs>
        <w:numPr>
          <w:ilvl w:val="2"/>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If the Participant’s Service with the Participating Company Group terminates because of the death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w:t>
      </w:r>
    </w:p>
    <w:p>
      <w:pPr>
        <w:spacing w:after="0" w:line="21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4"/>
          </w:cols>
          <w:pgMar w:left="896" w:top="526" w:right="239" w:bottom="1440" w:gutter="0" w:footer="0" w:header="0"/>
        </w:sectPr>
      </w:pPr>
    </w:p>
    <w:bookmarkStart w:id="70" w:name="page71"/>
    <w:bookmarkEnd w:id="70"/>
    <w:p>
      <w:pPr>
        <w:jc w:val="both"/>
        <w:ind w:left="2600"/>
        <w:spacing w:after="0" w:line="306" w:lineRule="auto"/>
        <w:rPr>
          <w:sz w:val="20"/>
          <w:szCs w:val="20"/>
          <w:color w:val="auto"/>
        </w:rPr>
      </w:pPr>
      <w:r>
        <w:rPr>
          <w:rFonts w:ascii="Arial" w:cs="Arial" w:eastAsia="Arial" w:hAnsi="Arial"/>
          <w:sz w:val="18"/>
          <w:szCs w:val="18"/>
          <w:color w:val="auto"/>
        </w:rPr>
        <w:t>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102" w:lineRule="exact"/>
        <w:rPr>
          <w:sz w:val="20"/>
          <w:szCs w:val="20"/>
          <w:color w:val="auto"/>
        </w:rPr>
      </w:pPr>
    </w:p>
    <w:p>
      <w:pPr>
        <w:ind w:left="2600" w:hanging="647"/>
        <w:spacing w:after="0" w:line="282" w:lineRule="auto"/>
        <w:tabs>
          <w:tab w:leader="none" w:pos="2600" w:val="left"/>
        </w:tabs>
        <w:numPr>
          <w:ilvl w:val="3"/>
          <w:numId w:val="107"/>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107" w:lineRule="exact"/>
        <w:rPr>
          <w:rFonts w:ascii="Arial" w:cs="Arial" w:eastAsia="Arial" w:hAnsi="Arial"/>
          <w:sz w:val="18"/>
          <w:szCs w:val="18"/>
          <w:color w:val="auto"/>
        </w:rPr>
      </w:pPr>
    </w:p>
    <w:p>
      <w:pPr>
        <w:jc w:val="both"/>
        <w:ind w:left="2600" w:hanging="647"/>
        <w:spacing w:after="0" w:line="289" w:lineRule="auto"/>
        <w:tabs>
          <w:tab w:leader="none" w:pos="2600" w:val="left"/>
        </w:tabs>
        <w:numPr>
          <w:ilvl w:val="3"/>
          <w:numId w:val="107"/>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the Participant’s Service with the Participating Company Group terminates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Disability, death or Cause, the Option, to the extent unexercised and exercisable by the Participant on the date on which the Participant’s Service terminated, may be exercised by the Participant at any time prior to the expiration of three</w:t>
      </w:r>
    </w:p>
    <w:p>
      <w:pPr>
        <w:spacing w:after="0" w:line="1" w:lineRule="exact"/>
        <w:rPr>
          <w:rFonts w:ascii="Arial" w:cs="Arial" w:eastAsia="Arial" w:hAnsi="Arial"/>
          <w:sz w:val="16"/>
          <w:szCs w:val="16"/>
          <w:color w:val="auto"/>
        </w:rPr>
      </w:pPr>
    </w:p>
    <w:p>
      <w:pPr>
        <w:ind w:left="2600" w:right="20"/>
        <w:spacing w:after="0" w:line="261" w:lineRule="auto"/>
        <w:rPr>
          <w:rFonts w:ascii="Arial" w:cs="Arial" w:eastAsia="Arial" w:hAnsi="Arial"/>
          <w:sz w:val="16"/>
          <w:szCs w:val="16"/>
          <w:color w:val="auto"/>
        </w:rPr>
      </w:pPr>
      <w:r>
        <w:rPr>
          <w:rFonts w:ascii="Arial" w:cs="Arial" w:eastAsia="Arial" w:hAnsi="Arial"/>
          <w:sz w:val="18"/>
          <w:szCs w:val="18"/>
          <w:color w:val="auto"/>
        </w:rPr>
        <w:t>(3) months (or such other period of time as determined by the Committee, in its discretion) after the date on which the Participant’s Service terminated, but in any event no later than the Option Expiration Date.</w:t>
      </w:r>
    </w:p>
    <w:p>
      <w:pPr>
        <w:spacing w:after="0" w:line="125" w:lineRule="exact"/>
        <w:rPr>
          <w:rFonts w:ascii="Arial" w:cs="Arial" w:eastAsia="Arial" w:hAnsi="Arial"/>
          <w:sz w:val="16"/>
          <w:szCs w:val="16"/>
          <w:color w:val="auto"/>
        </w:rPr>
      </w:pPr>
    </w:p>
    <w:p>
      <w:pPr>
        <w:jc w:val="both"/>
        <w:ind w:left="1960" w:hanging="655"/>
        <w:spacing w:after="0" w:line="303" w:lineRule="auto"/>
        <w:tabs>
          <w:tab w:leader="none" w:pos="1960" w:val="left"/>
        </w:tabs>
        <w:numPr>
          <w:ilvl w:val="2"/>
          <w:numId w:val="108"/>
        </w:numPr>
        <w:rPr>
          <w:rFonts w:ascii="Arial" w:cs="Arial" w:eastAsia="Arial" w:hAnsi="Arial"/>
          <w:sz w:val="16"/>
          <w:szCs w:val="16"/>
          <w:color w:val="auto"/>
        </w:rPr>
      </w:pPr>
      <w:r>
        <w:rPr>
          <w:rFonts w:ascii="Arial" w:cs="Arial" w:eastAsia="Arial" w:hAnsi="Arial"/>
          <w:sz w:val="16"/>
          <w:szCs w:val="16"/>
          <w:b w:val="1"/>
          <w:bCs w:val="1"/>
          <w:color w:val="auto"/>
        </w:rPr>
        <w:t>Extension if Exercise Prevented by Law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if the exercise of an Option within the applicable time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97" w:lineRule="exact"/>
        <w:rPr>
          <w:rFonts w:ascii="Arial" w:cs="Arial" w:eastAsia="Arial" w:hAnsi="Arial"/>
          <w:sz w:val="16"/>
          <w:szCs w:val="16"/>
          <w:color w:val="auto"/>
        </w:rPr>
      </w:pPr>
    </w:p>
    <w:p>
      <w:pPr>
        <w:jc w:val="both"/>
        <w:ind w:left="1960" w:hanging="655"/>
        <w:spacing w:after="0" w:line="251" w:lineRule="auto"/>
        <w:tabs>
          <w:tab w:leader="none" w:pos="1960" w:val="left"/>
        </w:tabs>
        <w:numPr>
          <w:ilvl w:val="2"/>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4"/>
          <w:szCs w:val="24"/>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136" w:lineRule="exact"/>
        <w:rPr>
          <w:rFonts w:ascii="Arial" w:cs="Arial" w:eastAsia="Arial" w:hAnsi="Arial"/>
          <w:sz w:val="17"/>
          <w:szCs w:val="17"/>
          <w:color w:val="auto"/>
        </w:rPr>
      </w:pPr>
    </w:p>
    <w:p>
      <w:pPr>
        <w:jc w:val="both"/>
        <w:ind w:left="1960" w:right="20" w:hanging="655"/>
        <w:spacing w:after="0" w:line="289" w:lineRule="auto"/>
        <w:tabs>
          <w:tab w:leader="none" w:pos="1960" w:val="left"/>
        </w:tabs>
        <w:numPr>
          <w:ilvl w:val="2"/>
          <w:numId w:val="108"/>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320" w:lineRule="exact"/>
        <w:rPr>
          <w:rFonts w:ascii="Arial" w:cs="Arial" w:eastAsia="Arial" w:hAnsi="Arial"/>
          <w:sz w:val="17"/>
          <w:szCs w:val="17"/>
          <w:color w:val="auto"/>
        </w:rPr>
      </w:pPr>
    </w:p>
    <w:p>
      <w:pPr>
        <w:ind w:left="1300" w:hanging="644"/>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Standard Forms of Option Agreement.</w:t>
      </w:r>
    </w:p>
    <w:p>
      <w:pPr>
        <w:spacing w:after="0" w:line="171" w:lineRule="exact"/>
        <w:rPr>
          <w:rFonts w:ascii="Arial" w:cs="Arial" w:eastAsia="Arial" w:hAnsi="Arial"/>
          <w:sz w:val="18"/>
          <w:szCs w:val="18"/>
          <w:color w:val="auto"/>
        </w:rPr>
      </w:pPr>
    </w:p>
    <w:p>
      <w:pPr>
        <w:jc w:val="both"/>
        <w:ind w:left="1960" w:hanging="655"/>
        <w:spacing w:after="0" w:line="266" w:lineRule="auto"/>
        <w:tabs>
          <w:tab w:leader="none" w:pos="1960" w:val="left"/>
        </w:tabs>
        <w:numPr>
          <w:ilvl w:val="2"/>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the terms and conditions set forth in the form of Option Agreement approved by the Committee concurrently with its adoption of the Plan and as amended from time to time</w:t>
      </w:r>
    </w:p>
    <w:p>
      <w:pPr>
        <w:spacing w:after="0" w:line="122" w:lineRule="exact"/>
        <w:rPr>
          <w:rFonts w:ascii="Arial" w:cs="Arial" w:eastAsia="Arial" w:hAnsi="Arial"/>
          <w:sz w:val="18"/>
          <w:szCs w:val="18"/>
          <w:color w:val="auto"/>
        </w:rPr>
      </w:pPr>
    </w:p>
    <w:p>
      <w:pPr>
        <w:jc w:val="both"/>
        <w:ind w:left="1960" w:hanging="655"/>
        <w:spacing w:after="0" w:line="281" w:lineRule="auto"/>
        <w:tabs>
          <w:tab w:leader="none" w:pos="1960" w:val="left"/>
        </w:tabs>
        <w:numPr>
          <w:ilvl w:val="2"/>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Authority to Vary Terms. </w:t>
      </w:r>
      <w:r>
        <w:rPr>
          <w:rFonts w:ascii="Arial" w:cs="Arial" w:eastAsia="Arial" w:hAnsi="Arial"/>
          <w:sz w:val="17"/>
          <w:szCs w:val="17"/>
          <w:color w:val="auto"/>
        </w:rPr>
        <w:t>The Committee shall have the authority from time to time to vary the terms of any standard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110" w:lineRule="exact"/>
        <w:rPr>
          <w:rFonts w:ascii="Arial" w:cs="Arial" w:eastAsia="Arial" w:hAnsi="Arial"/>
          <w:sz w:val="17"/>
          <w:szCs w:val="17"/>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APPRECIATION RIGHTS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Grant of Stock Appreciation Rights.</w:t>
      </w:r>
    </w:p>
    <w:p>
      <w:pPr>
        <w:spacing w:after="0" w:line="17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10"/>
        </w:numPr>
        <w:rPr>
          <w:rFonts w:ascii="Arial" w:cs="Arial" w:eastAsia="Arial" w:hAnsi="Arial"/>
          <w:sz w:val="17"/>
          <w:szCs w:val="17"/>
          <w:color w:val="auto"/>
        </w:rPr>
      </w:pPr>
      <w:r>
        <w:rPr>
          <w:rFonts w:ascii="Arial" w:cs="Arial" w:eastAsia="Arial" w:hAnsi="Arial"/>
          <w:sz w:val="17"/>
          <w:szCs w:val="17"/>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111" w:lineRule="exact"/>
        <w:rPr>
          <w:rFonts w:ascii="Arial" w:cs="Arial" w:eastAsia="Arial" w:hAnsi="Arial"/>
          <w:sz w:val="17"/>
          <w:szCs w:val="17"/>
          <w:color w:val="auto"/>
        </w:rPr>
      </w:pPr>
    </w:p>
    <w:p>
      <w:pPr>
        <w:jc w:val="both"/>
        <w:ind w:left="1960" w:hanging="655"/>
        <w:spacing w:after="0" w:line="255" w:lineRule="auto"/>
        <w:tabs>
          <w:tab w:leader="none" w:pos="19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71" w:name="page72"/>
    <w:bookmarkEnd w:id="71"/>
    <w:p>
      <w:pPr>
        <w:jc w:val="both"/>
        <w:ind w:left="1960" w:hanging="655"/>
        <w:spacing w:after="0" w:line="264" w:lineRule="auto"/>
        <w:tabs>
          <w:tab w:leader="none" w:pos="196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 xml:space="preserve">The grant price per share of Stock subject to a Stock Appreciation Right shall be determined by the Committee and set forth in the Award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grant price for any Stock Appreciation Right shall not be less than 100% of the Fair Market Value of a share of Stock on the date of grant.</w:t>
      </w:r>
    </w:p>
    <w:p>
      <w:pPr>
        <w:spacing w:after="0" w:line="127"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provisions set forth in Section 6.4 with respect to the exercise of Options following termination of employment shall apply as well to such exercise of SARs.</w:t>
      </w:r>
    </w:p>
    <w:p>
      <w:pPr>
        <w:spacing w:after="0" w:line="112"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Payment and Limitations on Exercise. </w:t>
      </w:r>
      <w:r>
        <w:rPr>
          <w:rFonts w:ascii="Arial" w:cs="Arial" w:eastAsia="Arial" w:hAnsi="Arial"/>
          <w:sz w:val="18"/>
          <w:szCs w:val="18"/>
          <w:color w:val="auto"/>
        </w:rPr>
        <w:t>Payment of the amounts determined under Section 7.1(b) hereof shall be in cash, in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Fair Market Value as of the date the Stock Appreciation Right is exercised) or a combination of both, as determined by the Committee.</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SARs.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AWARDS TO NON-EMPLOYEE DIRECTORS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Non-Employee Directors are eligible to receive any type of Award under this Plan other than Incentive Stock Options. The grant of an Award to a</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 (b) $500,000 in total value in the case of the Chairman of the Board. For the avoidance of doubt, Awards granted to Non-Employee Directors shall be subject to all of the other limitations set forth in the Plan.</w:t>
      </w: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AND DELIVERY OF RESTRICTED STOCK</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At the time an award of Restricted Stock is made, the Committee shall establish a period or periods of time (each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w:t>
      </w:r>
      <w:r>
        <w:rPr>
          <w:rFonts w:ascii="Arial" w:cs="Arial" w:eastAsia="Arial" w:hAnsi="Arial"/>
          <w:sz w:val="18"/>
          <w:szCs w:val="18"/>
          <w:color w:val="auto"/>
        </w:rPr>
        <w:t>) or such other restrictions on the vesting of the Restricted Stock as it shall deem appropriate or applicable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131"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b w:val="1"/>
          <w:bCs w:val="1"/>
          <w:color w:val="auto"/>
        </w:rPr>
        <w:t xml:space="preserve">Rights and Privileges. </w:t>
      </w:r>
      <w:r>
        <w:rPr>
          <w:rFonts w:ascii="Arial" w:cs="Arial" w:eastAsia="Arial" w:hAnsi="Arial"/>
          <w:sz w:val="16"/>
          <w:szCs w:val="16"/>
          <w:color w:val="auto"/>
        </w:rPr>
        <w:t>At the time a grant of Restricted Stock is made to a Participant, a stock certificate representing a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72" w:name="page73"/>
    <w:bookmarkEnd w:id="72"/>
    <w:p>
      <w:pPr>
        <w:ind w:left="1300"/>
        <w:spacing w:after="0" w:line="324" w:lineRule="auto"/>
        <w:rPr>
          <w:sz w:val="20"/>
          <w:szCs w:val="20"/>
          <w:color w:val="auto"/>
        </w:rPr>
      </w:pPr>
      <w:r>
        <w:rPr>
          <w:rFonts w:ascii="Arial" w:cs="Arial" w:eastAsia="Arial" w:hAnsi="Arial"/>
          <w:sz w:val="18"/>
          <w:szCs w:val="18"/>
          <w:color w:val="auto"/>
        </w:rPr>
        <w:t>of Restricted Stock (including, without limitation, shares of Restricted Stock issued as dividends), such forfeited shares of Restricted Stock shall be transferred to the Company without further action by the Participant.</w:t>
      </w:r>
    </w:p>
    <w:p>
      <w:pPr>
        <w:spacing w:after="0" w:line="85" w:lineRule="exact"/>
        <w:rPr>
          <w:sz w:val="20"/>
          <w:szCs w:val="20"/>
          <w:color w:val="auto"/>
        </w:rPr>
      </w:pPr>
    </w:p>
    <w:p>
      <w:pPr>
        <w:jc w:val="both"/>
        <w:ind w:left="1300" w:hanging="644"/>
        <w:spacing w:after="0" w:line="292" w:lineRule="auto"/>
        <w:tabs>
          <w:tab w:leader="none" w:pos="1300"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Expiration of Restricted Period. </w:t>
      </w:r>
      <w:r>
        <w:rPr>
          <w:rFonts w:ascii="Arial" w:cs="Arial" w:eastAsia="Arial" w:hAnsi="Arial"/>
          <w:sz w:val="16"/>
          <w:szCs w:val="16"/>
          <w:color w:val="auto"/>
        </w:rPr>
        <w:t>Upon the expiration or termination of the Restricted Period applicable to Restricted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107" w:lineRule="exact"/>
        <w:rPr>
          <w:rFonts w:ascii="Arial" w:cs="Arial" w:eastAsia="Arial" w:hAnsi="Arial"/>
          <w:sz w:val="16"/>
          <w:szCs w:val="16"/>
          <w:color w:val="auto"/>
        </w:rPr>
      </w:pPr>
    </w:p>
    <w:p>
      <w:pPr>
        <w:jc w:val="both"/>
        <w:ind w:left="1300" w:hanging="644"/>
        <w:spacing w:after="0" w:line="26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122" w:lineRule="exact"/>
        <w:rPr>
          <w:rFonts w:ascii="Arial" w:cs="Arial" w:eastAsia="Arial" w:hAnsi="Arial"/>
          <w:sz w:val="18"/>
          <w:szCs w:val="18"/>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Committee is authorized to grant Restricted Stock Units to eligible persons, subject to the following terms and conditions:</w:t>
      </w:r>
    </w:p>
    <w:p>
      <w:pPr>
        <w:spacing w:after="0" w:line="383"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Award and Restrictions. </w:t>
      </w:r>
      <w:r>
        <w:rPr>
          <w:rFonts w:ascii="Arial" w:cs="Arial" w:eastAsia="Arial" w:hAnsi="Arial"/>
          <w:sz w:val="18"/>
          <w:szCs w:val="18"/>
          <w:color w:val="auto"/>
        </w:rPr>
        <w:t>Restricted Stock Units shall be subject to such restrictions (which may include a risk of forfeiture)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126"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of Restricted Stock Units shall occur upon expiration of the deferral period specified for such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129"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Dividends on Restricted Stock Units. </w:t>
      </w:r>
      <w:r>
        <w:rPr>
          <w:rFonts w:ascii="Arial" w:cs="Arial" w:eastAsia="Arial" w:hAnsi="Arial"/>
          <w:sz w:val="18"/>
          <w:szCs w:val="18"/>
          <w:color w:val="auto"/>
        </w:rPr>
        <w:t>The Committee may, in its sole discretion and as would be set forth in the applicable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p>
    <w:p>
      <w:pPr>
        <w:spacing w:after="0" w:line="17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127"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the Employee terminates employment by reason of death, all of his or her shares of Restricted Stock shall become 100% vested upon the date of death.</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INCENTIVE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133"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73" w:name="page74"/>
    <w:bookmarkEnd w:id="73"/>
    <w:p>
      <w:pPr>
        <w:ind w:left="1960" w:hanging="655"/>
        <w:spacing w:after="0" w:line="277" w:lineRule="auto"/>
        <w:tabs>
          <w:tab w:leader="none" w:pos="196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pacing w:after="0" w:line="116"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111" w:lineRule="exact"/>
        <w:rPr>
          <w:rFonts w:ascii="Arial" w:cs="Arial" w:eastAsia="Arial" w:hAnsi="Arial"/>
          <w:sz w:val="17"/>
          <w:szCs w:val="17"/>
          <w:color w:val="auto"/>
        </w:rPr>
      </w:pPr>
    </w:p>
    <w:p>
      <w:pPr>
        <w:ind w:left="1960" w:hanging="655"/>
        <w:spacing w:after="0" w:line="277" w:lineRule="auto"/>
        <w:tabs>
          <w:tab w:leader="none" w:pos="196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the Plan (including but not limited to Options, Restricted Stock, Annual Incentive Awards and Discretionary Bonus Awards) as conditioned on the achievement of specified Performance Measures (each such Award a “</w:t>
      </w:r>
      <w:r>
        <w:rPr>
          <w:rFonts w:ascii="Arial" w:cs="Arial" w:eastAsia="Arial" w:hAnsi="Arial"/>
          <w:sz w:val="18"/>
          <w:szCs w:val="18"/>
          <w:b w:val="1"/>
          <w:bCs w:val="1"/>
          <w:i w:val="1"/>
          <w:iCs w:val="1"/>
          <w:color w:val="auto"/>
        </w:rPr>
        <w:t>Performance-Based Award</w:t>
      </w:r>
      <w:r>
        <w:rPr>
          <w:rFonts w:ascii="Arial" w:cs="Arial" w:eastAsia="Arial" w:hAnsi="Arial"/>
          <w:sz w:val="18"/>
          <w:szCs w:val="18"/>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Arial" w:cs="Arial" w:eastAsia="Arial" w:hAnsi="Arial"/>
          <w:sz w:val="18"/>
          <w:szCs w:val="18"/>
          <w:b w:val="1"/>
          <w:bCs w:val="1"/>
          <w:color w:val="auto"/>
        </w:rPr>
        <w:t>.</w:t>
      </w:r>
    </w:p>
    <w:p>
      <w:pPr>
        <w:spacing w:after="0" w:line="133"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and Performance Measures. </w:t>
      </w:r>
      <w:r>
        <w:rPr>
          <w:rFonts w:ascii="Arial" w:cs="Arial" w:eastAsia="Arial" w:hAnsi="Arial"/>
          <w:sz w:val="18"/>
          <w:szCs w:val="18"/>
          <w:color w:val="auto"/>
        </w:rPr>
        <w:t>A Performance Goal established in connection with a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 must be based on any one or more of the following performance measures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(which may be applied to an individual, a subsidiary, a business unit or division, or the Company and any one or more of its subsidiaries as a whole, as determined by the Committee):</w:t>
      </w:r>
    </w:p>
    <w:p>
      <w:pPr>
        <w:spacing w:after="0" w:line="130"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7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116"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Performance of one or more of our investment products on an absolute basis or relative to a benchmark or peer group;</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71"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74" w:name="page75"/>
    <w:bookmarkEnd w:id="74"/>
    <w:p>
      <w:pPr>
        <w:jc w:val="both"/>
        <w:ind w:left="1960" w:hanging="655"/>
        <w:spacing w:after="0" w:line="264" w:lineRule="auto"/>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127"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criteria as determined by the Committee in its sole discretion; and/or</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71"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331" w:lineRule="exact"/>
        <w:rPr>
          <w:sz w:val="20"/>
          <w:szCs w:val="20"/>
          <w:color w:val="auto"/>
        </w:rPr>
      </w:pPr>
    </w:p>
    <w:p>
      <w:pPr>
        <w:jc w:val="both"/>
        <w:ind w:left="1300" w:hanging="644"/>
        <w:spacing w:after="0" w:line="258"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Calculation of Performance-Based Award. </w:t>
      </w:r>
      <w:r>
        <w:rPr>
          <w:rFonts w:ascii="Arial" w:cs="Arial" w:eastAsia="Arial" w:hAnsi="Arial"/>
          <w:sz w:val="18"/>
          <w:szCs w:val="18"/>
          <w:color w:val="auto"/>
        </w:rPr>
        <w:t>At the expiration of the applicable performance period, the Committee shall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i w:val="1"/>
          <w:iCs w:val="1"/>
          <w:color w:val="auto"/>
        </w:rPr>
        <w:t>Discretionary Bonus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as the Committee in its discretion may determine.</w:t>
      </w:r>
    </w:p>
    <w:p>
      <w:pPr>
        <w:spacing w:after="0" w:line="12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Committee is authorized, subject to limitations under applicable law, to grant to eligible persons such other Awards that may be denominated or</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121"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VESTING LIMITATIONS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135"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12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Except as provided in Section 16.3 below, no Award and no right under any such Award may be assigned, alienated, pledged, attached, sold or otherwise transferred or encumbered by a Participant and any such purported assignment,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75" w:name="page76"/>
    <w:bookmarkEnd w:id="75"/>
    <w:p>
      <w:pPr>
        <w:ind w:left="1300"/>
        <w:spacing w:after="0"/>
        <w:rPr>
          <w:sz w:val="20"/>
          <w:szCs w:val="20"/>
          <w:color w:val="auto"/>
        </w:rPr>
      </w:pPr>
      <w:r>
        <w:rPr>
          <w:rFonts w:ascii="Arial" w:cs="Arial" w:eastAsia="Arial" w:hAnsi="Arial"/>
          <w:sz w:val="16"/>
          <w:szCs w:val="16"/>
          <w:color w:val="auto"/>
        </w:rPr>
        <w:t>alienation, pledge, attachment, sale, transfer or encumbrance shall be void and unenforceable against the Company or any Subsidiary.</w:t>
      </w:r>
    </w:p>
    <w:p>
      <w:pPr>
        <w:spacing w:after="0" w:line="208" w:lineRule="exact"/>
        <w:rPr>
          <w:sz w:val="20"/>
          <w:szCs w:val="20"/>
          <w:color w:val="auto"/>
        </w:rPr>
      </w:pPr>
    </w:p>
    <w:p>
      <w:pPr>
        <w:ind w:left="1300" w:hanging="644"/>
        <w:spacing w:after="0" w:line="277"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134" w:lineRule="exact"/>
        <w:rPr>
          <w:rFonts w:ascii="Arial" w:cs="Arial" w:eastAsia="Arial" w:hAnsi="Arial"/>
          <w:sz w:val="18"/>
          <w:szCs w:val="18"/>
          <w:color w:val="auto"/>
        </w:rPr>
      </w:pPr>
    </w:p>
    <w:p>
      <w:pPr>
        <w:jc w:val="both"/>
        <w:ind w:left="1960" w:hanging="655"/>
        <w:spacing w:after="0" w:line="285" w:lineRule="auto"/>
        <w:tabs>
          <w:tab w:leader="none" w:pos="1960" w:val="left"/>
        </w:tabs>
        <w:numPr>
          <w:ilvl w:val="2"/>
          <w:numId w:val="125"/>
        </w:numPr>
        <w:rPr>
          <w:rFonts w:ascii="Arial" w:cs="Arial" w:eastAsia="Arial" w:hAnsi="Arial"/>
          <w:sz w:val="16"/>
          <w:szCs w:val="16"/>
          <w:color w:val="auto"/>
        </w:rPr>
      </w:pPr>
      <w:r>
        <w:rPr>
          <w:rFonts w:ascii="Arial" w:cs="Arial" w:eastAsia="Arial" w:hAnsi="Arial"/>
          <w:sz w:val="16"/>
          <w:szCs w:val="16"/>
          <w:i w:val="1"/>
          <w:iCs w:val="1"/>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(i) a merger or consolidation of the Company with or into another corporation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114" w:lineRule="exact"/>
        <w:rPr>
          <w:rFonts w:ascii="Arial" w:cs="Arial" w:eastAsia="Arial" w:hAnsi="Arial"/>
          <w:sz w:val="16"/>
          <w:szCs w:val="16"/>
          <w:color w:val="auto"/>
        </w:rPr>
      </w:pPr>
    </w:p>
    <w:p>
      <w:pPr>
        <w:jc w:val="both"/>
        <w:ind w:left="1300" w:hanging="644"/>
        <w:spacing w:after="0" w:line="267" w:lineRule="auto"/>
        <w:tabs>
          <w:tab w:leader="none" w:pos="1300" w:val="left"/>
        </w:tabs>
        <w:numPr>
          <w:ilvl w:val="1"/>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Effect of Change in Control on Awards. </w:t>
      </w:r>
      <w:r>
        <w:rPr>
          <w:rFonts w:ascii="Arial" w:cs="Arial" w:eastAsia="Arial" w:hAnsi="Arial"/>
          <w:sz w:val="17"/>
          <w:szCs w:val="17"/>
          <w:color w:val="auto"/>
        </w:rPr>
        <w:t>Upon a Change in Control, each outstanding Award shall become 100% vested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Arial" w:cs="Arial" w:eastAsia="Arial" w:hAnsi="Arial"/>
          <w:sz w:val="17"/>
          <w:szCs w:val="17"/>
          <w:b w:val="1"/>
          <w:bCs w:val="1"/>
          <w:i w:val="1"/>
          <w:iCs w:val="1"/>
          <w:color w:val="auto"/>
        </w:rPr>
        <w:t>Acquiring Corporation</w:t>
      </w:r>
      <w:r>
        <w:rPr>
          <w:rFonts w:ascii="Arial" w:cs="Arial" w:eastAsia="Arial" w:hAnsi="Arial"/>
          <w:sz w:val="17"/>
          <w:szCs w:val="17"/>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7" w:right="239" w:bottom="1440" w:gutter="0" w:footer="0" w:header="0"/>
        </w:sectPr>
      </w:pPr>
    </w:p>
    <w:bookmarkStart w:id="76" w:name="page77"/>
    <w:bookmarkEnd w:id="76"/>
    <w:p>
      <w:pPr>
        <w:ind w:left="1300"/>
        <w:spacing w:after="0" w:line="324" w:lineRule="auto"/>
        <w:rPr>
          <w:sz w:val="20"/>
          <w:szCs w:val="20"/>
          <w:color w:val="auto"/>
        </w:rPr>
      </w:pPr>
      <w:r>
        <w:rPr>
          <w:rFonts w:ascii="Arial" w:cs="Arial" w:eastAsia="Arial" w:hAnsi="Arial"/>
          <w:sz w:val="18"/>
          <w:szCs w:val="18"/>
          <w:color w:val="auto"/>
        </w:rPr>
        <w:t>unless the Committee otherwise provides in its discretion. For the avoidance of doubt, all Restricted Stock awards prior to the Effective Date are hereby amended to incorporate these terms.</w:t>
      </w:r>
    </w:p>
    <w:p>
      <w:pPr>
        <w:spacing w:after="0" w:line="8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32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329"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38"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350"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57" w:right="239" w:bottom="1440" w:gutter="0" w:footer="0" w:header="0"/>
          <w:type w:val="continuous"/>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9460" w:type="dxa"/>
            <w:vAlign w:val="bottom"/>
            <w:gridSpan w:val="3"/>
          </w:tcPr>
          <w:p>
            <w:pPr>
              <w:ind w:left="3080"/>
              <w:spacing w:after="0"/>
              <w:rPr>
                <w:sz w:val="20"/>
                <w:szCs w:val="20"/>
                <w:color w:val="auto"/>
              </w:rPr>
            </w:pPr>
            <w:r>
              <w:rPr>
                <w:rFonts w:ascii="Arial" w:cs="Arial" w:eastAsia="Arial" w:hAnsi="Arial"/>
                <w:sz w:val="18"/>
                <w:szCs w:val="18"/>
                <w:b w:val="1"/>
                <w:bCs w:val="1"/>
                <w:color w:val="auto"/>
              </w:rPr>
              <w:t>PLAN HISTORY</w:t>
            </w:r>
          </w:p>
        </w:tc>
      </w:tr>
      <w:tr>
        <w:trPr>
          <w:trHeight w:val="20"/>
        </w:trPr>
        <w:tc>
          <w:tcPr>
            <w:tcW w:w="1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669"/>
        </w:trPr>
        <w:tc>
          <w:tcPr>
            <w:tcW w:w="1960" w:type="dxa"/>
            <w:vAlign w:val="bottom"/>
          </w:tcPr>
          <w:p>
            <w:pPr>
              <w:spacing w:after="0"/>
              <w:rPr>
                <w:sz w:val="20"/>
                <w:szCs w:val="20"/>
                <w:color w:val="auto"/>
              </w:rPr>
            </w:pPr>
            <w:r>
              <w:rPr>
                <w:rFonts w:ascii="Arial" w:cs="Arial" w:eastAsia="Arial" w:hAnsi="Arial"/>
                <w:sz w:val="18"/>
                <w:szCs w:val="18"/>
                <w:color w:val="auto"/>
              </w:rPr>
              <w:t>February 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Plan, with an initial reserve of 948.35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8,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Stockholders approve Plan, with an initial reserve of 948.35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May 21,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amended Plan, with a reserve of 948,100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May 24,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Stockholders approve amended Plan, with a reserve of 948,100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July 1, 2002</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Board adopts amended Plan; including discretionary bonus awards.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8, 2005</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adopts Second Amended and Restated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23, 2006</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6"/>
              </w:rPr>
              <w:t>Compensation Committee adopts Third Amended and Restated Plan, increasing the reserve by 1,000,000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February 25, 2009</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4"/>
              </w:rPr>
              <w:t>Compensation Committee amends Third Amended and Restated Plan, increasing the reserve by 700,000 shares and</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providing for performance-based awards, approved by stockholders at their 2009 annual meeting.</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July 22, 2010</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5"/>
              </w:rPr>
              <w:t>Board amends the Plan to allow for Compensation Committee discretion with regard to the payment of dividends on</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restricted stock grants.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February 23, 2011</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89"/>
              </w:rPr>
              <w:t>Compensation Committee amends Third Amended and Restated Plan, increasing the reserve by 750,000 shares. The Plan</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6"/>
              </w:rPr>
              <w:t>was also amended to clarify the Compensation Committee’s authority to prescribe adjustments to the performance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measures set forth in Section 12.2 of the Plan, which are used to set performance goals for incentive awards under the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Plan that are intended to be exempt from the deduction limitation provisions of Section 162(m) of the Internal Revenue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Code of 1986.</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February 22, 2013</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amends Third Amended and Restated Plan, increasing the reserve by 500,000 shares.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March 4, 2015</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amends Third Amended and Restated Plan, increasing the reserve by 500,000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April 27, 2016</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Amend the material terms of the Plan to expand the possible performance measures that can be established by the Board</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2"/>
              </w:rPr>
              <w:t>or the Compensation Committee of the Board (the “Compensation Committee”) with respect to annual incentive awards</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1"/>
              </w:rPr>
              <w:t>or performance-based awards. The Fourth Amendment also permits the Board or the Compensation Committee to adjust</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1"/>
              </w:rPr>
              <w:t>the performance measures in a manner that complies with Treasury Regulations governing modifications to performance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2"/>
              </w:rPr>
              <w:t>measures under Section 162(m) of the Internal Revenue Code. Additionally, under the Fourth Amendment, the Board or</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Compensation Committee may designate any awards available under the Plan as performance-based awards. Finally, the</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89"/>
              </w:rPr>
              <w:t>Fourth Amendment restricts the number of shares of the Company’s common stock that can be settled, or cash that can be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paid, in respect of a performance-based award in a single calendar year to any Plan participant.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March 10, 2017</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7"/>
              </w:rPr>
              <w:t>Compensation Committee adopts Fourth Amended and Restated Plan, increasing the reserve by 250,000 shares.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March 8, 2018</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5"/>
              </w:rPr>
              <w:t>Compensation Committee adopts Fifth Amended and Restated Plan, increasing the reserve by 200,000 shares and</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prohibiting the accrual and payment of dividends on option awards granted under the Plan.</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March 7, 2019</w:t>
            </w: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0"/>
              </w:rPr>
              <w:t xml:space="preserve">Compensation Committee adopts Sixth Amended and Restated Plan, increasing the reserve by </w:t>
            </w:r>
            <w:r>
              <w:rPr>
                <w:rFonts w:ascii="Arial" w:cs="Arial" w:eastAsia="Arial" w:hAnsi="Arial"/>
                <w:sz w:val="18"/>
                <w:szCs w:val="18"/>
                <w:b w:val="1"/>
                <w:bCs w:val="1"/>
                <w:color w:val="auto"/>
                <w:w w:val="90"/>
              </w:rPr>
              <w:t>200,000</w:t>
            </w:r>
            <w:r>
              <w:rPr>
                <w:rFonts w:ascii="Arial" w:cs="Arial" w:eastAsia="Arial" w:hAnsi="Arial"/>
                <w:sz w:val="18"/>
                <w:szCs w:val="18"/>
                <w:color w:val="auto"/>
                <w:w w:val="90"/>
              </w:rPr>
              <w:t xml:space="preserve"> shares. The Plan</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was also amended to (a) include Stock Appreciation Rights, Restricted Stock Units, and Other Stock-Based Awards as</w:t>
            </w:r>
          </w:p>
        </w:tc>
      </w:tr>
      <w:tr>
        <w:trPr>
          <w:trHeight w:val="216"/>
        </w:trPr>
        <w:tc>
          <w:tcPr>
            <w:tcW w:w="1960" w:type="dxa"/>
            <w:vAlign w:val="bottom"/>
          </w:tcPr>
          <w:p>
            <w:pPr>
              <w:spacing w:after="0"/>
              <w:rPr>
                <w:sz w:val="18"/>
                <w:szCs w:val="18"/>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w w:val="93"/>
              </w:rPr>
              <w:t>types of Awards available for issuance under the Plan, (b) conform the Plan to changes made to Section 162(m) of the</w:t>
            </w:r>
          </w:p>
        </w:tc>
      </w:tr>
      <w:tr>
        <w:trPr>
          <w:trHeight w:val="230"/>
        </w:trPr>
        <w:tc>
          <w:tcPr>
            <w:tcW w:w="1960" w:type="dxa"/>
            <w:vAlign w:val="bottom"/>
          </w:tcPr>
          <w:p>
            <w:pPr>
              <w:spacing w:after="0"/>
              <w:rPr>
                <w:sz w:val="20"/>
                <w:szCs w:val="20"/>
                <w:color w:val="auto"/>
              </w:rPr>
            </w:pPr>
          </w:p>
        </w:tc>
        <w:tc>
          <w:tcPr>
            <w:tcW w:w="9460" w:type="dxa"/>
            <w:vAlign w:val="bottom"/>
            <w:gridSpan w:val="3"/>
          </w:tcPr>
          <w:p>
            <w:pPr>
              <w:ind w:left="640"/>
              <w:spacing w:after="0"/>
              <w:rPr>
                <w:sz w:val="20"/>
                <w:szCs w:val="20"/>
                <w:color w:val="auto"/>
              </w:rPr>
            </w:pPr>
            <w:r>
              <w:rPr>
                <w:rFonts w:ascii="Arial" w:cs="Arial" w:eastAsia="Arial" w:hAnsi="Arial"/>
                <w:sz w:val="18"/>
                <w:szCs w:val="18"/>
                <w:color w:val="auto"/>
              </w:rPr>
              <w:t>Code by the Tax Cuts and Jobs Act of 2017, and (c) to make certain other clarifying and ministerial changes.</w:t>
            </w:r>
          </w:p>
        </w:tc>
      </w:tr>
      <w:tr>
        <w:trPr>
          <w:trHeight w:val="459"/>
        </w:trPr>
        <w:tc>
          <w:tcPr>
            <w:tcW w:w="1960" w:type="dxa"/>
            <w:vAlign w:val="bottom"/>
          </w:tcPr>
          <w:p>
            <w:pPr>
              <w:spacing w:after="0"/>
              <w:rPr>
                <w:sz w:val="24"/>
                <w:szCs w:val="24"/>
                <w:color w:val="auto"/>
              </w:rPr>
            </w:pPr>
          </w:p>
        </w:tc>
        <w:tc>
          <w:tcPr>
            <w:tcW w:w="4440" w:type="dxa"/>
            <w:vAlign w:val="bottom"/>
            <w:gridSpan w:val="2"/>
          </w:tcPr>
          <w:p>
            <w:pPr>
              <w:ind w:left="3660"/>
              <w:spacing w:after="0"/>
              <w:rPr>
                <w:sz w:val="20"/>
                <w:szCs w:val="20"/>
                <w:color w:val="auto"/>
              </w:rPr>
            </w:pPr>
            <w:r>
              <w:rPr>
                <w:rFonts w:ascii="Arial" w:cs="Arial" w:eastAsia="Arial" w:hAnsi="Arial"/>
                <w:sz w:val="18"/>
                <w:szCs w:val="18"/>
                <w:color w:val="auto"/>
              </w:rPr>
              <w:t>17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Appendix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200" w:lineRule="exact"/>
        <w:rPr>
          <w:sz w:val="20"/>
          <w:szCs w:val="20"/>
          <w:color w:val="auto"/>
        </w:rPr>
      </w:pPr>
    </w:p>
    <w:p>
      <w:pPr>
        <w:spacing w:after="0" w:line="22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provisions of Section 242 of the Delaware General Corporation Law ("DGCL"), Westwood Holdings Group, Inc. (the “Company”) files the following Certificate of Amendment to its Amended and Restated Certificate of Incorporation.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Company is Westwood Holdings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8 of the Amended and Restated Certificate of Incorporation of the Company is hereby amended and restated in its entirety to read as follows:</w:t>
      </w:r>
    </w:p>
    <w:p>
      <w:pPr>
        <w:spacing w:after="0" w:line="2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8. Any director or the entire Board of Directors may be removed, with or without cause, by the vote of the holders of a simple majority of the securities of the Corporation then entitled to vote at an election of directors voting together as a single class.”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Said amendment was duly adopted in accordance with the provisions of Section 242 of the Delaware General Corporation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HEREUNTO SET MY HAND THIS THE ___ day of __________, 2019.</w:t>
      </w: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WESTWOOD HOLDINGS GROUP, INC.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By:_______________________________</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Name:_____________________________</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Appendix 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(Effective ______________, 2019)</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Article III Section 4 of the Amended and Restated Bylaws of Westwood Holdings Group, Inc. is hereby amended and restated in its entirety to read as follows:</w:t>
      </w:r>
    </w:p>
    <w:p>
      <w:pPr>
        <w:spacing w:after="0" w:line="130" w:lineRule="exact"/>
        <w:rPr>
          <w:sz w:val="20"/>
          <w:szCs w:val="20"/>
          <w:color w:val="auto"/>
        </w:rPr>
      </w:pPr>
    </w:p>
    <w:p>
      <w:pPr>
        <w:ind w:left="660" w:right="260" w:firstLine="405"/>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At any meeting of stockholders called expressly for the purpose of removing a director or directors, any director or the entire Board of Directors may be removed, with or without cause, by a vote of the holders of a simple majority of the shares then entitled to vote at an election of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81" w:name="page82"/>
    <w:bookmarkEnd w:id="81"/>
    <w:p>
      <w:pPr>
        <w:ind w:left="11280"/>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WESTWOOD HOLDINGS GROUP,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7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PROXY SOLICITED BY THE BOARD OF DIRECTORS FOR</w:t>
      </w:r>
    </w:p>
    <w:p>
      <w:pPr>
        <w:spacing w:after="0" w:line="28"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THE ANNUAL MEETING TO BE HELD ON [APRIL 24, 2019]</w:t>
      </w:r>
    </w:p>
    <w:p>
      <w:pPr>
        <w:spacing w:after="0" w:line="209"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The undersigned hereby appoints Brian O. Casey and Terry Forbes,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The Crescent Club, 200 Crescent Court, Suite 1700, Dallas, Texas 75201, on Wednesday, [April 24, 2019], at 10:00 a.m., Central Time, and any postponements or adjournments thereof, as fully as the undersigned could if personally present, revoking any proxy or proxies heretofore given.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3" w:right="239" w:bottom="1440" w:gutter="0" w:footer="0" w:header="0"/>
        </w:sectPr>
      </w:pPr>
    </w:p>
    <w:bookmarkStart w:id="82" w:name="page83"/>
    <w:bookmarkEnd w:id="82"/>
    <w:p>
      <w:pPr>
        <w:ind w:left="40"/>
        <w:spacing w:after="0"/>
        <w:tabs>
          <w:tab w:leader="none" w:pos="1126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86295" cy="40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4 and 5.</w:t>
      </w:r>
    </w:p>
    <w:p>
      <w:pPr>
        <w:spacing w:after="0" w:line="123" w:lineRule="exact"/>
        <w:rPr>
          <w:sz w:val="20"/>
          <w:szCs w:val="20"/>
          <w:color w:val="auto"/>
        </w:rPr>
      </w:pPr>
    </w:p>
    <w:p>
      <w:pPr>
        <w:jc w:val="center"/>
        <w:ind w:right="-259"/>
        <w:spacing w:after="0"/>
        <w:tabs>
          <w:tab w:leader="none" w:pos="120" w:val="left"/>
        </w:tabs>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 SHOWN HERE</w:t>
      </w:r>
      <w:r>
        <w:rPr>
          <w:sz w:val="20"/>
          <w:szCs w:val="20"/>
          <w:color w:val="auto"/>
        </w:rPr>
        <w:tab/>
      </w:r>
      <w:r>
        <w:rPr>
          <w:rFonts w:ascii="Arial" w:cs="Arial" w:eastAsia="Arial" w:hAnsi="Arial"/>
          <w:sz w:val="14"/>
          <w:szCs w:val="14"/>
          <w:color w:val="auto"/>
        </w:rPr>
        <w:t>x</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320" w:type="dxa"/>
            <w:vAlign w:val="bottom"/>
            <w:tcBorders>
              <w:top w:val="single" w:sz="8" w:color="auto"/>
              <w:right w:val="single" w:sz="8" w:color="auto"/>
            </w:tcBorders>
          </w:tcPr>
          <w:p>
            <w:pPr>
              <w:spacing w:after="0"/>
              <w:rPr>
                <w:sz w:val="22"/>
                <w:szCs w:val="22"/>
                <w:color w:val="auto"/>
              </w:rPr>
            </w:pPr>
          </w:p>
        </w:tc>
        <w:tc>
          <w:tcPr>
            <w:tcW w:w="35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jc w:val="center"/>
              <w:ind w:right="17"/>
              <w:spacing w:after="0"/>
              <w:rPr>
                <w:sz w:val="20"/>
                <w:szCs w:val="20"/>
                <w:color w:val="auto"/>
              </w:rPr>
            </w:pPr>
            <w:r>
              <w:rPr>
                <w:rFonts w:ascii="Arial" w:cs="Arial" w:eastAsia="Arial" w:hAnsi="Arial"/>
                <w:sz w:val="11"/>
                <w:szCs w:val="11"/>
                <w:color w:val="auto"/>
                <w:w w:val="85"/>
              </w:rPr>
              <w:t>FOR</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5"/>
              </w:rPr>
              <w:t>AGAINST</w:t>
            </w:r>
          </w:p>
        </w:tc>
        <w:tc>
          <w:tcPr>
            <w:tcW w:w="1420" w:type="dxa"/>
            <w:vAlign w:val="bottom"/>
            <w:tcBorders>
              <w:top w:val="single" w:sz="8" w:color="auto"/>
            </w:tcBorders>
          </w:tcPr>
          <w:p>
            <w:pPr>
              <w:jc w:val="center"/>
              <w:ind w:right="557"/>
              <w:spacing w:after="0"/>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79"/>
        </w:trPr>
        <w:tc>
          <w:tcPr>
            <w:tcW w:w="4720" w:type="dxa"/>
            <w:vAlign w:val="bottom"/>
            <w:gridSpan w:val="7"/>
          </w:tcPr>
          <w:p>
            <w:pPr>
              <w:ind w:left="40"/>
              <w:spacing w:after="0"/>
              <w:rPr>
                <w:sz w:val="20"/>
                <w:szCs w:val="20"/>
                <w:color w:val="auto"/>
              </w:rPr>
            </w:pPr>
            <w:r>
              <w:rPr>
                <w:rFonts w:ascii="Arial" w:cs="Arial" w:eastAsia="Arial" w:hAnsi="Arial"/>
                <w:sz w:val="14"/>
                <w:szCs w:val="14"/>
                <w:color w:val="auto"/>
              </w:rPr>
              <w:t>1. Election of six directors to hold office until the next annual meeting of</w:t>
            </w: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2.   Ratification of the appointment of Deloitte &amp;</w:t>
            </w:r>
          </w:p>
        </w:tc>
        <w:tc>
          <w:tcPr>
            <w:tcW w:w="460" w:type="dxa"/>
            <w:vAlign w:val="bottom"/>
            <w:vMerge w:val="restart"/>
          </w:tcPr>
          <w:p>
            <w:pPr>
              <w:jc w:val="center"/>
              <w:ind w:right="17"/>
              <w:spacing w:after="0"/>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149"/>
        </w:trPr>
        <w:tc>
          <w:tcPr>
            <w:tcW w:w="4720" w:type="dxa"/>
            <w:vAlign w:val="bottom"/>
            <w:gridSpan w:val="7"/>
          </w:tcPr>
          <w:p>
            <w:pPr>
              <w:ind w:left="40"/>
              <w:spacing w:after="0" w:line="149" w:lineRule="exact"/>
              <w:rPr>
                <w:sz w:val="20"/>
                <w:szCs w:val="20"/>
                <w:color w:val="auto"/>
              </w:rPr>
            </w:pPr>
            <w:r>
              <w:rPr>
                <w:rFonts w:ascii="Arial" w:cs="Arial" w:eastAsia="Arial" w:hAnsi="Arial"/>
                <w:sz w:val="14"/>
                <w:szCs w:val="14"/>
                <w:color w:val="auto"/>
                <w:w w:val="95"/>
              </w:rPr>
              <w:t>Westwood’s stockholders and until their respective successors shall have been</w:t>
            </w:r>
          </w:p>
        </w:tc>
        <w:tc>
          <w:tcPr>
            <w:tcW w:w="320" w:type="dxa"/>
            <w:vAlign w:val="bottom"/>
            <w:tcBorders>
              <w:right w:val="single" w:sz="8" w:color="auto"/>
            </w:tcBorders>
          </w:tcPr>
          <w:p>
            <w:pPr>
              <w:spacing w:after="0"/>
              <w:rPr>
                <w:sz w:val="12"/>
                <w:szCs w:val="12"/>
                <w:color w:val="auto"/>
              </w:rPr>
            </w:pPr>
          </w:p>
        </w:tc>
        <w:tc>
          <w:tcPr>
            <w:tcW w:w="3560" w:type="dxa"/>
            <w:vAlign w:val="bottom"/>
          </w:tcPr>
          <w:p>
            <w:pPr>
              <w:ind w:left="140"/>
              <w:spacing w:after="0" w:line="149" w:lineRule="exact"/>
              <w:rPr>
                <w:sz w:val="20"/>
                <w:szCs w:val="20"/>
                <w:color w:val="auto"/>
              </w:rPr>
            </w:pPr>
            <w:r>
              <w:rPr>
                <w:rFonts w:ascii="Arial" w:cs="Arial" w:eastAsia="Arial" w:hAnsi="Arial"/>
                <w:sz w:val="14"/>
                <w:szCs w:val="14"/>
                <w:color w:val="auto"/>
              </w:rPr>
              <w:t>Touche LLP as Westwood’s independent auditors for</w:t>
            </w:r>
          </w:p>
        </w:tc>
        <w:tc>
          <w:tcPr>
            <w:tcW w:w="4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20" w:type="dxa"/>
            <w:vAlign w:val="bottom"/>
            <w:gridSpan w:val="5"/>
          </w:tcPr>
          <w:p>
            <w:pPr>
              <w:ind w:left="40"/>
              <w:spacing w:after="0"/>
              <w:rPr>
                <w:sz w:val="20"/>
                <w:szCs w:val="20"/>
                <w:color w:val="auto"/>
              </w:rPr>
            </w:pPr>
            <w:r>
              <w:rPr>
                <w:rFonts w:ascii="Arial" w:cs="Arial" w:eastAsia="Arial" w:hAnsi="Arial"/>
                <w:sz w:val="14"/>
                <w:szCs w:val="14"/>
                <w:color w:val="auto"/>
              </w:rPr>
              <w:t>duly elected and qualified.</w:t>
            </w: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the year ending December 31, 2019.</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NOMINEES:</w:t>
            </w:r>
          </w:p>
        </w:tc>
        <w:tc>
          <w:tcPr>
            <w:tcW w:w="320" w:type="dxa"/>
            <w:vAlign w:val="bottom"/>
            <w:tcBorders>
              <w:right w:val="single" w:sz="8" w:color="auto"/>
            </w:tcBorders>
          </w:tcPr>
          <w:p>
            <w:pPr>
              <w:spacing w:after="0"/>
              <w:rPr>
                <w:sz w:val="23"/>
                <w:szCs w:val="23"/>
                <w:color w:val="auto"/>
              </w:rPr>
            </w:pPr>
          </w:p>
        </w:tc>
        <w:tc>
          <w:tcPr>
            <w:tcW w:w="3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12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FOR ALL NOMINEES</w:t>
            </w:r>
          </w:p>
        </w:tc>
        <w:tc>
          <w:tcPr>
            <w:tcW w:w="54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2160" w:type="dxa"/>
            <w:vAlign w:val="bottom"/>
          </w:tcPr>
          <w:p>
            <w:pPr>
              <w:ind w:left="80"/>
              <w:spacing w:after="0"/>
              <w:rPr>
                <w:sz w:val="20"/>
                <w:szCs w:val="20"/>
                <w:color w:val="auto"/>
              </w:rPr>
            </w:pPr>
            <w:r>
              <w:rPr>
                <w:rFonts w:ascii="Arial" w:cs="Arial" w:eastAsia="Arial" w:hAnsi="Arial"/>
                <w:sz w:val="14"/>
                <w:szCs w:val="14"/>
                <w:color w:val="auto"/>
              </w:rPr>
              <w:t>Brian O. Casey</w:t>
            </w:r>
          </w:p>
        </w:tc>
        <w:tc>
          <w:tcPr>
            <w:tcW w:w="320" w:type="dxa"/>
            <w:vAlign w:val="bottom"/>
            <w:tcBorders>
              <w:right w:val="single" w:sz="8" w:color="auto"/>
            </w:tcBorders>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3.  To  approve  the  Sixth  Amended  and  Restated</w:t>
            </w:r>
          </w:p>
        </w:tc>
        <w:tc>
          <w:tcPr>
            <w:tcW w:w="460" w:type="dxa"/>
            <w:vAlign w:val="bottom"/>
            <w:vMerge w:val="restart"/>
          </w:tcPr>
          <w:p>
            <w:pPr>
              <w:jc w:val="center"/>
              <w:ind w:right="17"/>
              <w:spacing w:after="0"/>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78"/>
        </w:trPr>
        <w:tc>
          <w:tcPr>
            <w:tcW w:w="24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O</w:t>
            </w:r>
          </w:p>
        </w:tc>
        <w:tc>
          <w:tcPr>
            <w:tcW w:w="216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Richard M. Frank</w:t>
            </w:r>
          </w:p>
        </w:tc>
        <w:tc>
          <w:tcPr>
            <w:tcW w:w="320" w:type="dxa"/>
            <w:vAlign w:val="bottom"/>
            <w:tcBorders>
              <w:right w:val="single" w:sz="8" w:color="auto"/>
            </w:tcBorders>
          </w:tcPr>
          <w:p>
            <w:pPr>
              <w:spacing w:after="0"/>
              <w:rPr>
                <w:sz w:val="6"/>
                <w:szCs w:val="6"/>
                <w:color w:val="auto"/>
              </w:rPr>
            </w:pPr>
          </w:p>
        </w:tc>
        <w:tc>
          <w:tcPr>
            <w:tcW w:w="356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Westwood Holdings Group, Inc. Stock Incentive Plan.</w:t>
            </w:r>
          </w:p>
        </w:tc>
        <w:tc>
          <w:tcPr>
            <w:tcW w:w="4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4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160" w:type="dxa"/>
            <w:vAlign w:val="bottom"/>
            <w:vMerge w:val="continue"/>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35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1780" w:type="dxa"/>
            <w:vAlign w:val="bottom"/>
            <w:gridSpan w:val="3"/>
          </w:tcPr>
          <w:p>
            <w:pPr>
              <w:ind w:left="120"/>
              <w:spacing w:after="0"/>
              <w:rPr>
                <w:sz w:val="20"/>
                <w:szCs w:val="20"/>
                <w:color w:val="auto"/>
              </w:rPr>
            </w:pPr>
            <w:r>
              <w:rPr>
                <w:rFonts w:ascii="Arial" w:cs="Arial" w:eastAsia="Arial" w:hAnsi="Arial"/>
                <w:sz w:val="11"/>
                <w:szCs w:val="11"/>
                <w:b w:val="1"/>
                <w:bCs w:val="1"/>
                <w:color w:val="auto"/>
              </w:rPr>
              <w:t>WITHHOLD AUTHORITY</w:t>
            </w:r>
          </w:p>
        </w:tc>
        <w:tc>
          <w:tcPr>
            <w:tcW w:w="540" w:type="dxa"/>
            <w:vAlign w:val="bottom"/>
          </w:tcPr>
          <w:p>
            <w:pPr>
              <w:ind w:left="340"/>
              <w:spacing w:after="0"/>
              <w:rPr>
                <w:sz w:val="20"/>
                <w:szCs w:val="20"/>
                <w:color w:val="auto"/>
              </w:rPr>
            </w:pPr>
            <w:r>
              <w:rPr>
                <w:rFonts w:ascii="Arial" w:cs="Arial" w:eastAsia="Arial" w:hAnsi="Arial"/>
                <w:sz w:val="14"/>
                <w:szCs w:val="14"/>
                <w:color w:val="auto"/>
              </w:rPr>
              <w:t>O</w:t>
            </w:r>
          </w:p>
        </w:tc>
        <w:tc>
          <w:tcPr>
            <w:tcW w:w="2160" w:type="dxa"/>
            <w:vAlign w:val="bottom"/>
          </w:tcPr>
          <w:p>
            <w:pPr>
              <w:ind w:left="80"/>
              <w:spacing w:after="0"/>
              <w:rPr>
                <w:sz w:val="20"/>
                <w:szCs w:val="20"/>
                <w:color w:val="auto"/>
              </w:rPr>
            </w:pPr>
            <w:r>
              <w:rPr>
                <w:rFonts w:ascii="Arial" w:cs="Arial" w:eastAsia="Arial" w:hAnsi="Arial"/>
                <w:sz w:val="14"/>
                <w:szCs w:val="14"/>
                <w:color w:val="auto"/>
              </w:rPr>
              <w:t>Susan M. Byrne</w:t>
            </w:r>
          </w:p>
        </w:tc>
        <w:tc>
          <w:tcPr>
            <w:tcW w:w="320" w:type="dxa"/>
            <w:vAlign w:val="bottom"/>
            <w:tcBorders>
              <w:right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 w:type="dxa"/>
            <w:vAlign w:val="bottom"/>
            <w:gridSpan w:val="2"/>
            <w:vMerge w:val="continue"/>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FOR ALL NOMINEES</w:t>
            </w:r>
          </w:p>
        </w:tc>
        <w:tc>
          <w:tcPr>
            <w:tcW w:w="540" w:type="dxa"/>
            <w:vAlign w:val="bottom"/>
          </w:tcPr>
          <w:p>
            <w:pPr>
              <w:spacing w:after="0"/>
              <w:rPr>
                <w:sz w:val="11"/>
                <w:szCs w:val="11"/>
                <w:color w:val="auto"/>
              </w:rPr>
            </w:pPr>
          </w:p>
        </w:tc>
        <w:tc>
          <w:tcPr>
            <w:tcW w:w="540" w:type="dxa"/>
            <w:vAlign w:val="bottom"/>
          </w:tcPr>
          <w:p>
            <w:pPr>
              <w:ind w:left="340"/>
              <w:spacing w:after="0" w:line="130" w:lineRule="exact"/>
              <w:rPr>
                <w:sz w:val="20"/>
                <w:szCs w:val="20"/>
                <w:color w:val="auto"/>
              </w:rPr>
            </w:pPr>
            <w:r>
              <w:rPr>
                <w:rFonts w:ascii="Arial" w:cs="Arial" w:eastAsia="Arial" w:hAnsi="Arial"/>
                <w:sz w:val="14"/>
                <w:szCs w:val="14"/>
                <w:color w:val="auto"/>
              </w:rPr>
              <w:t>O</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Ellen H. Masterson</w:t>
            </w:r>
          </w:p>
        </w:tc>
        <w:tc>
          <w:tcPr>
            <w:tcW w:w="320" w:type="dxa"/>
            <w:vAlign w:val="bottom"/>
            <w:tcBorders>
              <w:right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O</w:t>
            </w:r>
          </w:p>
        </w:tc>
        <w:tc>
          <w:tcPr>
            <w:tcW w:w="2160" w:type="dxa"/>
            <w:vAlign w:val="bottom"/>
          </w:tcPr>
          <w:p>
            <w:pPr>
              <w:ind w:left="80"/>
              <w:spacing w:after="0" w:line="149" w:lineRule="exact"/>
              <w:rPr>
                <w:sz w:val="20"/>
                <w:szCs w:val="20"/>
                <w:color w:val="auto"/>
              </w:rPr>
            </w:pPr>
            <w:r>
              <w:rPr>
                <w:rFonts w:ascii="Arial" w:cs="Arial" w:eastAsia="Arial" w:hAnsi="Arial"/>
                <w:sz w:val="14"/>
                <w:szCs w:val="14"/>
                <w:color w:val="auto"/>
              </w:rPr>
              <w:t>Geoffrey R. Norman</w:t>
            </w:r>
          </w:p>
        </w:tc>
        <w:tc>
          <w:tcPr>
            <w:tcW w:w="320" w:type="dxa"/>
            <w:vAlign w:val="bottom"/>
            <w:tcBorders>
              <w:right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FOR ALL EXCEPT</w:t>
            </w:r>
          </w:p>
        </w:tc>
        <w:tc>
          <w:tcPr>
            <w:tcW w:w="540" w:type="dxa"/>
            <w:vAlign w:val="bottom"/>
          </w:tcPr>
          <w:p>
            <w:pPr>
              <w:spacing w:after="0"/>
              <w:rPr>
                <w:sz w:val="13"/>
                <w:szCs w:val="13"/>
                <w:color w:val="auto"/>
              </w:rPr>
            </w:pPr>
          </w:p>
        </w:tc>
        <w:tc>
          <w:tcPr>
            <w:tcW w:w="540" w:type="dxa"/>
            <w:vAlign w:val="bottom"/>
          </w:tcPr>
          <w:p>
            <w:pPr>
              <w:ind w:left="340"/>
              <w:spacing w:after="0" w:line="157" w:lineRule="exact"/>
              <w:rPr>
                <w:sz w:val="20"/>
                <w:szCs w:val="20"/>
                <w:color w:val="auto"/>
              </w:rPr>
            </w:pPr>
            <w:r>
              <w:rPr>
                <w:rFonts w:ascii="Arial" w:cs="Arial" w:eastAsia="Arial" w:hAnsi="Arial"/>
                <w:sz w:val="14"/>
                <w:szCs w:val="14"/>
                <w:color w:val="auto"/>
              </w:rPr>
              <w:t>O</w:t>
            </w:r>
          </w:p>
        </w:tc>
        <w:tc>
          <w:tcPr>
            <w:tcW w:w="2160" w:type="dxa"/>
            <w:vAlign w:val="bottom"/>
          </w:tcPr>
          <w:p>
            <w:pPr>
              <w:ind w:left="80"/>
              <w:spacing w:after="0" w:line="157" w:lineRule="exact"/>
              <w:rPr>
                <w:sz w:val="20"/>
                <w:szCs w:val="20"/>
                <w:color w:val="auto"/>
              </w:rPr>
            </w:pPr>
            <w:r>
              <w:rPr>
                <w:rFonts w:ascii="Arial" w:cs="Arial" w:eastAsia="Arial" w:hAnsi="Arial"/>
                <w:sz w:val="14"/>
                <w:szCs w:val="14"/>
                <w:color w:val="auto"/>
              </w:rPr>
              <w:t>Raymond E. Wooldridge</w:t>
            </w:r>
          </w:p>
        </w:tc>
        <w:tc>
          <w:tcPr>
            <w:tcW w:w="320" w:type="dxa"/>
            <w:vAlign w:val="bottom"/>
            <w:tcBorders>
              <w:right w:val="single" w:sz="8" w:color="auto"/>
            </w:tcBorders>
          </w:tcPr>
          <w:p>
            <w:pPr>
              <w:spacing w:after="0"/>
              <w:rPr>
                <w:sz w:val="13"/>
                <w:szCs w:val="13"/>
                <w:color w:val="auto"/>
              </w:rPr>
            </w:pP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40" w:type="dxa"/>
            <w:vAlign w:val="bottom"/>
            <w:gridSpan w:val="2"/>
            <w:vMerge w:val="continue"/>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color w:val="auto"/>
                <w:w w:val="93"/>
              </w:rPr>
              <w:t>(See instructions below)</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560" w:type="dxa"/>
            <w:vAlign w:val="bottom"/>
            <w:vMerge w:val="restart"/>
          </w:tcPr>
          <w:p>
            <w:pPr>
              <w:ind w:left="140"/>
              <w:spacing w:after="0"/>
              <w:rPr>
                <w:sz w:val="20"/>
                <w:szCs w:val="20"/>
                <w:color w:val="auto"/>
              </w:rPr>
            </w:pPr>
            <w:r>
              <w:rPr>
                <w:rFonts w:ascii="Arial" w:cs="Arial" w:eastAsia="Arial" w:hAnsi="Arial"/>
                <w:sz w:val="14"/>
                <w:szCs w:val="14"/>
                <w:color w:val="auto"/>
              </w:rPr>
              <w:t>4. To cast a non-binding, advisory vote on Westwood's</w:t>
            </w:r>
          </w:p>
        </w:tc>
        <w:tc>
          <w:tcPr>
            <w:tcW w:w="460" w:type="dxa"/>
            <w:vAlign w:val="bottom"/>
            <w:vMerge w:val="restart"/>
          </w:tcPr>
          <w:p>
            <w:pPr>
              <w:jc w:val="center"/>
              <w:ind w:right="17"/>
              <w:spacing w:after="0" w:line="192" w:lineRule="exact"/>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line="192" w:lineRule="exact"/>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5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executive compensation.</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4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INSTRUCTIONS:</w:t>
            </w:r>
          </w:p>
        </w:tc>
        <w:tc>
          <w:tcPr>
            <w:tcW w:w="3240" w:type="dxa"/>
            <w:vAlign w:val="bottom"/>
            <w:gridSpan w:val="3"/>
          </w:tcPr>
          <w:p>
            <w:pPr>
              <w:ind w:left="20"/>
              <w:spacing w:after="0"/>
              <w:rPr>
                <w:sz w:val="20"/>
                <w:szCs w:val="20"/>
                <w:color w:val="auto"/>
              </w:rPr>
            </w:pPr>
            <w:r>
              <w:rPr>
                <w:rFonts w:ascii="Arial" w:cs="Arial" w:eastAsia="Arial" w:hAnsi="Arial"/>
                <w:sz w:val="14"/>
                <w:szCs w:val="14"/>
                <w:color w:val="auto"/>
              </w:rPr>
              <w:t>To withhold authority to vote for any</w:t>
            </w:r>
          </w:p>
        </w:tc>
        <w:tc>
          <w:tcPr>
            <w:tcW w:w="320" w:type="dxa"/>
            <w:vAlign w:val="bottom"/>
            <w:tcBorders>
              <w:right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480" w:type="dxa"/>
            <w:vAlign w:val="bottom"/>
            <w:gridSpan w:val="4"/>
            <w:vMerge w:val="continue"/>
          </w:tcPr>
          <w:p>
            <w:pPr>
              <w:spacing w:after="0"/>
              <w:rPr>
                <w:sz w:val="6"/>
                <w:szCs w:val="6"/>
                <w:color w:val="auto"/>
              </w:rPr>
            </w:pPr>
          </w:p>
        </w:tc>
        <w:tc>
          <w:tcPr>
            <w:tcW w:w="3240" w:type="dxa"/>
            <w:vAlign w:val="bottom"/>
            <w:gridSpan w:val="3"/>
            <w:vMerge w:val="restart"/>
          </w:tcPr>
          <w:p>
            <w:pPr>
              <w:ind w:left="20"/>
              <w:spacing w:after="0" w:line="153" w:lineRule="exact"/>
              <w:rPr>
                <w:sz w:val="20"/>
                <w:szCs w:val="20"/>
                <w:color w:val="auto"/>
              </w:rPr>
            </w:pPr>
            <w:r>
              <w:rPr>
                <w:rFonts w:ascii="Arial" w:cs="Arial" w:eastAsia="Arial" w:hAnsi="Arial"/>
                <w:sz w:val="14"/>
                <w:szCs w:val="14"/>
                <w:color w:val="auto"/>
              </w:rPr>
              <w:t xml:space="preserve">individual nominee(s), mark “ </w:t>
            </w:r>
            <w:r>
              <w:rPr>
                <w:rFonts w:ascii="Arial" w:cs="Arial" w:eastAsia="Arial" w:hAnsi="Arial"/>
                <w:sz w:val="14"/>
                <w:szCs w:val="14"/>
                <w:b w:val="1"/>
                <w:bCs w:val="1"/>
                <w:color w:val="auto"/>
              </w:rPr>
              <w:t>FOR ALL EXCEPT</w:t>
            </w:r>
            <w:r>
              <w:rPr>
                <w:rFonts w:ascii="Arial" w:cs="Arial" w:eastAsia="Arial" w:hAnsi="Arial"/>
                <w:sz w:val="14"/>
                <w:szCs w:val="14"/>
                <w:color w:val="auto"/>
              </w:rPr>
              <w:t xml:space="preserve"> ”</w:t>
            </w:r>
          </w:p>
        </w:tc>
        <w:tc>
          <w:tcPr>
            <w:tcW w:w="320" w:type="dxa"/>
            <w:vAlign w:val="bottom"/>
            <w:tcBorders>
              <w:right w:val="single" w:sz="8" w:color="auto"/>
            </w:tcBorders>
          </w:tcPr>
          <w:p>
            <w:pPr>
              <w:spacing w:after="0"/>
              <w:rPr>
                <w:sz w:val="6"/>
                <w:szCs w:val="6"/>
                <w:color w:val="auto"/>
              </w:rPr>
            </w:pPr>
          </w:p>
        </w:tc>
        <w:tc>
          <w:tcPr>
            <w:tcW w:w="3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240" w:type="dxa"/>
            <w:vAlign w:val="bottom"/>
            <w:gridSpan w:val="3"/>
            <w:vMerge w:val="continue"/>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3560" w:type="dxa"/>
            <w:vAlign w:val="bottom"/>
            <w:vMerge w:val="restart"/>
          </w:tcPr>
          <w:p>
            <w:pPr>
              <w:ind w:left="140"/>
              <w:spacing w:after="0"/>
              <w:rPr>
                <w:sz w:val="20"/>
                <w:szCs w:val="20"/>
                <w:color w:val="auto"/>
              </w:rPr>
            </w:pPr>
            <w:r>
              <w:rPr>
                <w:rFonts w:ascii="Arial" w:cs="Arial" w:eastAsia="Arial" w:hAnsi="Arial"/>
                <w:sz w:val="14"/>
                <w:szCs w:val="14"/>
                <w:color w:val="auto"/>
                <w:w w:val="98"/>
              </w:rPr>
              <w:t>5. To approve an amendment to each of the Company's</w:t>
            </w: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gridSpan w:val="3"/>
          </w:tcPr>
          <w:p>
            <w:pPr>
              <w:ind w:left="20"/>
              <w:spacing w:after="0" w:line="141" w:lineRule="exact"/>
              <w:rPr>
                <w:sz w:val="20"/>
                <w:szCs w:val="20"/>
                <w:color w:val="auto"/>
              </w:rPr>
            </w:pPr>
            <w:r>
              <w:rPr>
                <w:rFonts w:ascii="Arial" w:cs="Arial" w:eastAsia="Arial" w:hAnsi="Arial"/>
                <w:sz w:val="14"/>
                <w:szCs w:val="14"/>
                <w:color w:val="auto"/>
                <w:w w:val="97"/>
              </w:rPr>
              <w:t>and fill in the circle next to each nominee you wish to</w:t>
            </w:r>
          </w:p>
        </w:tc>
        <w:tc>
          <w:tcPr>
            <w:tcW w:w="320" w:type="dxa"/>
            <w:vAlign w:val="bottom"/>
            <w:tcBorders>
              <w:right w:val="single" w:sz="8" w:color="auto"/>
            </w:tcBorders>
          </w:tcPr>
          <w:p>
            <w:pPr>
              <w:spacing w:after="0"/>
              <w:rPr>
                <w:sz w:val="12"/>
                <w:szCs w:val="12"/>
                <w:color w:val="auto"/>
              </w:rPr>
            </w:pPr>
          </w:p>
        </w:tc>
        <w:tc>
          <w:tcPr>
            <w:tcW w:w="35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withhold, as shown here:  l</w:t>
            </w:r>
          </w:p>
        </w:tc>
        <w:tc>
          <w:tcPr>
            <w:tcW w:w="320" w:type="dxa"/>
            <w:vAlign w:val="bottom"/>
            <w:tcBorders>
              <w:right w:val="single" w:sz="8" w:color="auto"/>
            </w:tcBorders>
          </w:tcPr>
          <w:p>
            <w:pPr>
              <w:spacing w:after="0"/>
              <w:rPr>
                <w:sz w:val="12"/>
                <w:szCs w:val="12"/>
                <w:color w:val="auto"/>
              </w:rPr>
            </w:pPr>
          </w:p>
        </w:tc>
        <w:tc>
          <w:tcPr>
            <w:tcW w:w="3560" w:type="dxa"/>
            <w:vAlign w:val="bottom"/>
          </w:tcPr>
          <w:p>
            <w:pPr>
              <w:ind w:left="140"/>
              <w:spacing w:after="0" w:line="149" w:lineRule="exact"/>
              <w:rPr>
                <w:sz w:val="20"/>
                <w:szCs w:val="20"/>
                <w:color w:val="auto"/>
              </w:rPr>
            </w:pPr>
            <w:r>
              <w:rPr>
                <w:rFonts w:ascii="Arial" w:cs="Arial" w:eastAsia="Arial" w:hAnsi="Arial"/>
                <w:sz w:val="14"/>
                <w:szCs w:val="14"/>
                <w:color w:val="auto"/>
              </w:rPr>
              <w:t>Amended and Restated Certificate of Incorporation, as</w:t>
            </w:r>
          </w:p>
        </w:tc>
        <w:tc>
          <w:tcPr>
            <w:tcW w:w="460" w:type="dxa"/>
            <w:vAlign w:val="bottom"/>
            <w:vMerge w:val="restart"/>
          </w:tcPr>
          <w:p>
            <w:pPr>
              <w:jc w:val="center"/>
              <w:ind w:right="17"/>
              <w:spacing w:after="0"/>
              <w:rPr>
                <w:sz w:val="20"/>
                <w:szCs w:val="20"/>
                <w:color w:val="auto"/>
              </w:rPr>
            </w:pPr>
            <w:r>
              <w:rPr>
                <w:rFonts w:ascii="Arial" w:cs="Arial" w:eastAsia="Arial" w:hAnsi="Arial"/>
                <w:sz w:val="18"/>
                <w:szCs w:val="18"/>
                <w:color w:val="auto"/>
                <w:w w:val="79"/>
              </w:rPr>
              <w:t>o</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1420" w:type="dxa"/>
            <w:vAlign w:val="bottom"/>
            <w:vMerge w:val="restart"/>
          </w:tcPr>
          <w:p>
            <w:pPr>
              <w:jc w:val="center"/>
              <w:ind w:right="537"/>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560" w:type="dxa"/>
            <w:vAlign w:val="bottom"/>
          </w:tcPr>
          <w:p>
            <w:pPr>
              <w:ind w:left="140"/>
              <w:spacing w:after="0" w:line="130" w:lineRule="exact"/>
              <w:rPr>
                <w:sz w:val="20"/>
                <w:szCs w:val="20"/>
                <w:color w:val="auto"/>
              </w:rPr>
            </w:pPr>
            <w:r>
              <w:rPr>
                <w:rFonts w:ascii="Arial" w:cs="Arial" w:eastAsia="Arial" w:hAnsi="Arial"/>
                <w:sz w:val="14"/>
                <w:szCs w:val="14"/>
                <w:color w:val="auto"/>
              </w:rPr>
              <w:t>amended and Amended and Restated Bylaws, as</w:t>
            </w: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amended.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280" w:type="dxa"/>
            <w:vAlign w:val="bottom"/>
            <w:gridSpan w:val="4"/>
          </w:tcPr>
          <w:p>
            <w:pPr>
              <w:ind w:left="140"/>
              <w:spacing w:after="0"/>
              <w:rPr>
                <w:sz w:val="20"/>
                <w:szCs w:val="20"/>
                <w:color w:val="auto"/>
              </w:rPr>
            </w:pPr>
            <w:r>
              <w:rPr>
                <w:rFonts w:ascii="Arial" w:cs="Arial" w:eastAsia="Arial" w:hAnsi="Arial"/>
                <w:sz w:val="14"/>
                <w:szCs w:val="14"/>
                <w:color w:val="auto"/>
              </w:rPr>
              <w:t>6. IN THEIR DISCRETION, THE PROXIES ARE AUTHORIZED TO VOTE UPON SUCH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28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MATTERS AS MAY PROPERLY COME BEFORE THE ANNUAL MEETING OR ANY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w w:val="97"/>
              </w:rPr>
              <w:t>POSTPONEMENTS OR ADJOURNMENTS THEREOF.</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4720" w:type="dxa"/>
            <w:vAlign w:val="bottom"/>
            <w:gridSpan w:val="7"/>
          </w:tcPr>
          <w:p>
            <w:pPr>
              <w:ind w:left="40"/>
              <w:spacing w:after="0"/>
              <w:rPr>
                <w:sz w:val="20"/>
                <w:szCs w:val="20"/>
                <w:color w:val="auto"/>
              </w:rPr>
            </w:pPr>
            <w:r>
              <w:rPr>
                <w:rFonts w:ascii="Arial" w:cs="Arial" w:eastAsia="Arial" w:hAnsi="Arial"/>
                <w:sz w:val="14"/>
                <w:szCs w:val="14"/>
                <w:color w:val="auto"/>
              </w:rPr>
              <w:t>To change the address on your account, please check the box at right and</w:t>
            </w:r>
          </w:p>
        </w:tc>
        <w:tc>
          <w:tcPr>
            <w:tcW w:w="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w:t>
            </w:r>
          </w:p>
        </w:tc>
        <w:tc>
          <w:tcPr>
            <w:tcW w:w="6280" w:type="dxa"/>
            <w:vAlign w:val="bottom"/>
            <w:gridSpan w:val="4"/>
          </w:tcPr>
          <w:p>
            <w:pPr>
              <w:ind w:left="140"/>
              <w:spacing w:after="0"/>
              <w:rPr>
                <w:sz w:val="20"/>
                <w:szCs w:val="20"/>
                <w:color w:val="auto"/>
              </w:rPr>
            </w:pPr>
            <w:r>
              <w:rPr>
                <w:rFonts w:ascii="Arial" w:cs="Arial" w:eastAsia="Arial" w:hAnsi="Arial"/>
                <w:sz w:val="13"/>
                <w:szCs w:val="13"/>
                <w:b w:val="1"/>
                <w:bCs w:val="1"/>
                <w:color w:val="auto"/>
              </w:rPr>
              <w:t>THIS PROXY, WHEN PROPERLY EXECUTED, WILL BE VOTED IN ACCORDANCE WITH THE</w:t>
            </w:r>
          </w:p>
        </w:tc>
        <w:tc>
          <w:tcPr>
            <w:tcW w:w="0" w:type="dxa"/>
            <w:vAlign w:val="bottom"/>
          </w:tcPr>
          <w:p>
            <w:pPr>
              <w:spacing w:after="0"/>
              <w:rPr>
                <w:sz w:val="1"/>
                <w:szCs w:val="1"/>
                <w:color w:val="auto"/>
              </w:rPr>
            </w:pPr>
          </w:p>
        </w:tc>
      </w:tr>
      <w:tr>
        <w:trPr>
          <w:trHeight w:val="149"/>
        </w:trPr>
        <w:tc>
          <w:tcPr>
            <w:tcW w:w="4720" w:type="dxa"/>
            <w:vAlign w:val="bottom"/>
            <w:gridSpan w:val="7"/>
          </w:tcPr>
          <w:p>
            <w:pPr>
              <w:ind w:left="40"/>
              <w:spacing w:after="0" w:line="149" w:lineRule="exact"/>
              <w:rPr>
                <w:sz w:val="20"/>
                <w:szCs w:val="20"/>
                <w:color w:val="auto"/>
              </w:rPr>
            </w:pPr>
            <w:r>
              <w:rPr>
                <w:rFonts w:ascii="Arial" w:cs="Arial" w:eastAsia="Arial" w:hAnsi="Arial"/>
                <w:sz w:val="14"/>
                <w:szCs w:val="14"/>
                <w:color w:val="auto"/>
                <w:w w:val="92"/>
              </w:rPr>
              <w:t>indicate your new address in the address space above. Please note that changes</w:t>
            </w:r>
          </w:p>
        </w:tc>
        <w:tc>
          <w:tcPr>
            <w:tcW w:w="320" w:type="dxa"/>
            <w:vAlign w:val="bottom"/>
            <w:tcBorders>
              <w:right w:val="single" w:sz="8" w:color="auto"/>
            </w:tcBorders>
          </w:tcPr>
          <w:p>
            <w:pPr>
              <w:spacing w:after="0"/>
              <w:rPr>
                <w:sz w:val="12"/>
                <w:szCs w:val="12"/>
                <w:color w:val="auto"/>
              </w:rPr>
            </w:pPr>
          </w:p>
        </w:tc>
        <w:tc>
          <w:tcPr>
            <w:tcW w:w="6280" w:type="dxa"/>
            <w:vAlign w:val="bottom"/>
            <w:gridSpan w:val="4"/>
          </w:tcPr>
          <w:p>
            <w:pPr>
              <w:ind w:left="140"/>
              <w:spacing w:after="0"/>
              <w:rPr>
                <w:sz w:val="20"/>
                <w:szCs w:val="20"/>
                <w:color w:val="auto"/>
              </w:rPr>
            </w:pPr>
            <w:r>
              <w:rPr>
                <w:rFonts w:ascii="Arial" w:cs="Arial" w:eastAsia="Arial" w:hAnsi="Arial"/>
                <w:sz w:val="13"/>
                <w:szCs w:val="13"/>
                <w:b w:val="1"/>
                <w:bCs w:val="1"/>
                <w:color w:val="auto"/>
              </w:rPr>
              <w:t>SPECIFICATIONS MADE BELOW, BUT IF NO CHOICE IS INDICATED, THIS PROXY WILL BE VOTED</w:t>
            </w:r>
          </w:p>
        </w:tc>
        <w:tc>
          <w:tcPr>
            <w:tcW w:w="0" w:type="dxa"/>
            <w:vAlign w:val="bottom"/>
          </w:tcPr>
          <w:p>
            <w:pPr>
              <w:spacing w:after="0"/>
              <w:rPr>
                <w:sz w:val="1"/>
                <w:szCs w:val="1"/>
                <w:color w:val="auto"/>
              </w:rPr>
            </w:pPr>
          </w:p>
        </w:tc>
      </w:tr>
      <w:tr>
        <w:trPr>
          <w:trHeight w:val="90"/>
        </w:trPr>
        <w:tc>
          <w:tcPr>
            <w:tcW w:w="4720" w:type="dxa"/>
            <w:vAlign w:val="bottom"/>
            <w:gridSpan w:val="7"/>
            <w:vMerge w:val="restart"/>
          </w:tcPr>
          <w:p>
            <w:pPr>
              <w:ind w:left="40"/>
              <w:spacing w:after="0"/>
              <w:rPr>
                <w:sz w:val="20"/>
                <w:szCs w:val="20"/>
                <w:color w:val="auto"/>
              </w:rPr>
            </w:pPr>
            <w:r>
              <w:rPr>
                <w:rFonts w:ascii="Arial" w:cs="Arial" w:eastAsia="Arial" w:hAnsi="Arial"/>
                <w:sz w:val="14"/>
                <w:szCs w:val="14"/>
                <w:color w:val="auto"/>
                <w:w w:val="94"/>
              </w:rPr>
              <w:t>to the registered name(s) on the account may not be submitted via this method.</w:t>
            </w:r>
          </w:p>
        </w:tc>
        <w:tc>
          <w:tcPr>
            <w:tcW w:w="320" w:type="dxa"/>
            <w:vAlign w:val="bottom"/>
            <w:tcBorders>
              <w:right w:val="single" w:sz="8" w:color="auto"/>
            </w:tcBorders>
          </w:tcPr>
          <w:p>
            <w:pPr>
              <w:spacing w:after="0"/>
              <w:rPr>
                <w:sz w:val="7"/>
                <w:szCs w:val="7"/>
                <w:color w:val="auto"/>
              </w:rPr>
            </w:pPr>
          </w:p>
        </w:tc>
        <w:tc>
          <w:tcPr>
            <w:tcW w:w="6280" w:type="dxa"/>
            <w:vAlign w:val="bottom"/>
            <w:gridSpan w:val="4"/>
          </w:tcPr>
          <w:p>
            <w:pPr>
              <w:ind w:left="140"/>
              <w:spacing w:after="0" w:line="90" w:lineRule="exact"/>
              <w:rPr>
                <w:sz w:val="20"/>
                <w:szCs w:val="20"/>
                <w:color w:val="auto"/>
              </w:rPr>
            </w:pPr>
            <w:r>
              <w:rPr>
                <w:rFonts w:ascii="Arial" w:cs="Arial" w:eastAsia="Arial" w:hAnsi="Arial"/>
                <w:sz w:val="9"/>
                <w:szCs w:val="9"/>
                <w:b w:val="1"/>
                <w:bCs w:val="1"/>
                <w:color w:val="auto"/>
              </w:rPr>
              <w:t>"FOR"ALL DIRECTOR NOMINEES IN PROPOSAL 1 AND "FOR" PROPOSALS 2, 3, 4 AND 5, AND IN</w:t>
            </w:r>
          </w:p>
        </w:tc>
        <w:tc>
          <w:tcPr>
            <w:tcW w:w="0" w:type="dxa"/>
            <w:vAlign w:val="bottom"/>
          </w:tcPr>
          <w:p>
            <w:pPr>
              <w:spacing w:after="0"/>
              <w:rPr>
                <w:sz w:val="1"/>
                <w:szCs w:val="1"/>
                <w:color w:val="auto"/>
              </w:rPr>
            </w:pPr>
          </w:p>
        </w:tc>
      </w:tr>
      <w:tr>
        <w:trPr>
          <w:trHeight w:val="101"/>
        </w:trPr>
        <w:tc>
          <w:tcPr>
            <w:tcW w:w="4720" w:type="dxa"/>
            <w:vAlign w:val="bottom"/>
            <w:gridSpan w:val="7"/>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28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auto"/>
                <w:w w:val="99"/>
              </w:rPr>
              <w:t>THE DISCRETION OF THE PROXIES WITH RESPECT TO ANY OTHER MATTER AS MAY PROPERLY</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28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COME BEFORE THE ANNUAL MEETING OR ANY POSTPONEMENTS OR ADJOURNMENTS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3560" w:type="dxa"/>
            <w:vAlign w:val="bottom"/>
          </w:tcPr>
          <w:p>
            <w:pPr>
              <w:ind w:left="140"/>
              <w:spacing w:after="0"/>
              <w:rPr>
                <w:sz w:val="20"/>
                <w:szCs w:val="20"/>
                <w:color w:val="auto"/>
              </w:rPr>
            </w:pPr>
            <w:r>
              <w:rPr>
                <w:rFonts w:ascii="Arial" w:cs="Arial" w:eastAsia="Arial" w:hAnsi="Arial"/>
                <w:sz w:val="13"/>
                <w:szCs w:val="13"/>
                <w:b w:val="1"/>
                <w:bCs w:val="1"/>
                <w:color w:val="auto"/>
              </w:rPr>
              <w:t>THEREOF.</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95" w:right="259" w:bottom="1440" w:gutter="0" w:footer="0" w:header="0"/>
        </w:sect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Signature of Stockholder</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2"/>
        </w:trPr>
        <w:tc>
          <w:tcPr>
            <w:tcW w:w="17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color w:val="auto"/>
                <w:w w:val="99"/>
              </w:rPr>
              <w:t>Signature of Stockholder</w:t>
            </w:r>
          </w:p>
        </w:tc>
        <w:tc>
          <w:tcPr>
            <w:tcW w:w="2040" w:type="dxa"/>
            <w:vAlign w:val="bottom"/>
            <w:tcBorders>
              <w:top w:val="single" w:sz="8" w:color="auto"/>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120" w:type="dxa"/>
            <w:vAlign w:val="bottom"/>
            <w:tcBorders>
              <w:right w:val="single" w:sz="8" w:color="auto"/>
            </w:tcBorders>
          </w:tcPr>
          <w:p>
            <w:pPr>
              <w:spacing w:after="0"/>
              <w:rPr>
                <w:sz w:val="17"/>
                <w:szCs w:val="17"/>
                <w:color w:val="auto"/>
              </w:rPr>
            </w:pPr>
          </w:p>
        </w:tc>
        <w:tc>
          <w:tcPr>
            <w:tcW w:w="11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200" w:type="dxa"/>
            <w:vAlign w:val="bottom"/>
            <w:gridSpan w:val="7"/>
          </w:tcPr>
          <w:p>
            <w:pPr>
              <w:ind w:left="20"/>
              <w:spacing w:after="0"/>
              <w:rPr>
                <w:sz w:val="20"/>
                <w:szCs w:val="20"/>
                <w:color w:val="auto"/>
              </w:rPr>
            </w:pPr>
            <w:r>
              <w:rPr>
                <w:rFonts w:ascii="Arial" w:cs="Arial" w:eastAsia="Arial" w:hAnsi="Arial"/>
                <w:sz w:val="14"/>
                <w:szCs w:val="14"/>
                <w:color w:val="auto"/>
                <w:w w:val="95"/>
              </w:rPr>
              <w:t>Please sign exactly as your name or names appear on this Proxy. When shares are held jointly, each holder should sign. When signing as</w:t>
            </w:r>
          </w:p>
        </w:tc>
        <w:tc>
          <w:tcPr>
            <w:tcW w:w="1140" w:type="dxa"/>
            <w:vAlign w:val="bottom"/>
            <w:vMerge w:val="restart"/>
          </w:tcPr>
          <w:p>
            <w:pPr>
              <w:ind w:left="1000"/>
              <w:spacing w:after="0"/>
              <w:rPr>
                <w:sz w:val="20"/>
                <w:szCs w:val="20"/>
                <w:color w:val="auto"/>
              </w:rPr>
            </w:pPr>
            <w:r>
              <w:rPr>
                <w:rFonts w:ascii="Arial" w:cs="Arial" w:eastAsia="Arial" w:hAnsi="Arial"/>
                <w:sz w:val="18"/>
                <w:szCs w:val="18"/>
                <w:color w:val="auto"/>
                <w:w w:val="99"/>
              </w:rPr>
              <w:t>n</w:t>
            </w:r>
          </w:p>
        </w:tc>
        <w:tc>
          <w:tcPr>
            <w:tcW w:w="0" w:type="dxa"/>
            <w:vAlign w:val="bottom"/>
          </w:tcPr>
          <w:p>
            <w:pPr>
              <w:spacing w:after="0"/>
              <w:rPr>
                <w:sz w:val="1"/>
                <w:szCs w:val="1"/>
                <w:color w:val="auto"/>
              </w:rPr>
            </w:pPr>
          </w:p>
        </w:tc>
      </w:tr>
      <w:tr>
        <w:trPr>
          <w:trHeight w:val="161"/>
        </w:trPr>
        <w:tc>
          <w:tcPr>
            <w:tcW w:w="8200" w:type="dxa"/>
            <w:vAlign w:val="bottom"/>
            <w:gridSpan w:val="7"/>
          </w:tcPr>
          <w:p>
            <w:pPr>
              <w:ind w:left="20"/>
              <w:spacing w:after="0"/>
              <w:rPr>
                <w:sz w:val="20"/>
                <w:szCs w:val="20"/>
                <w:color w:val="auto"/>
              </w:rPr>
            </w:pPr>
            <w:r>
              <w:rPr>
                <w:rFonts w:ascii="Arial" w:cs="Arial" w:eastAsia="Arial" w:hAnsi="Arial"/>
                <w:sz w:val="14"/>
                <w:szCs w:val="14"/>
                <w:color w:val="auto"/>
                <w:w w:val="95"/>
              </w:rPr>
              <w:t>executor, administrator, attorney, trustee or guardian, please give full title as such. If the signer is a corporation, please sign full corporate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60" w:space="320"/>
            <w:col w:w="9320"/>
          </w:cols>
          <w:pgMar w:left="240" w:top="1395" w:right="2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sectPr>
      <w:pgSz w:w="11900" w:h="16838" w:orient="portrait"/>
      <w:cols w:equalWidth="0" w:num="1">
        <w:col w:w="11400"/>
      </w:cols>
      <w:pgMar w:left="240" w:top="139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x"/>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x"/>
      <w:numFmt w:val="bullet"/>
      <w:start w:val="1"/>
    </w:lvl>
  </w:abstractNum>
  <w:abstractNum w:abstractNumId="3">
    <w:nsid w:val="1F48EAA1"/>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5"/>
    </w:lvl>
    <w:lvl w:ilvl="4">
      <w:lvlJc w:val="left"/>
      <w:lvlText w:val="(%5)"/>
      <w:numFmt w:val="decimal"/>
      <w:start w:val="2"/>
    </w:lvl>
  </w:abstractNum>
  <w:abstractNum w:abstractNumId="4">
    <w:nsid w:val="1381823A"/>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5">
    <w:nsid w:val="5DB70AE5"/>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6">
    <w:nsid w:val="100F8FCA"/>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lvl w:ilvl="3">
      <w:lvlJc w:val="left"/>
      <w:lvlText w:val="%4"/>
      <w:numFmt w:val="decimal"/>
      <w:start w:val="1"/>
    </w:lvl>
  </w:abstractNum>
  <w:abstractNum w:abstractNumId="7">
    <w:nsid w:val="6590700B"/>
    <w:multiLevelType w:val="hybridMultilevel"/>
    <w:lvl w:ilvl="0">
      <w:lvlJc w:val="left"/>
      <w:lvlText w:val="%1:"/>
      <w:numFmt w:val="upperLetter"/>
      <w:start w:val="17"/>
    </w:lvl>
  </w:abstractNum>
  <w:abstractNum w:abstractNumId="8">
    <w:nsid w:val="15014ACB"/>
    <w:multiLevelType w:val="hybridMultilevel"/>
    <w:lvl w:ilvl="0">
      <w:lvlJc w:val="left"/>
      <w:lvlText w:val="%1:"/>
      <w:numFmt w:val="upperLetter"/>
      <w:start w:val="1"/>
    </w:lvl>
  </w:abstractNum>
  <w:abstractNum w:abstractNumId="9">
    <w:nsid w:val="5F5E7FD0"/>
    <w:multiLevelType w:val="hybridMultilevel"/>
    <w:lvl w:ilvl="0">
      <w:lvlJc w:val="left"/>
      <w:lvlText w:val="%1:"/>
      <w:numFmt w:val="upperLetter"/>
      <w:start w:val="17"/>
    </w:lvl>
  </w:abstractNum>
  <w:abstractNum w:abstractNumId="10">
    <w:nsid w:val="98A3148"/>
    <w:multiLevelType w:val="hybridMultilevel"/>
    <w:lvl w:ilvl="0">
      <w:lvlJc w:val="left"/>
      <w:lvlText w:val="%1:"/>
      <w:numFmt w:val="upperLetter"/>
      <w:start w:val="1"/>
    </w:lvl>
    <w:lvl w:ilvl="1">
      <w:lvlJc w:val="left"/>
      <w:lvlText w:val="•"/>
      <w:numFmt w:val="bullet"/>
      <w:start w:val="1"/>
    </w:lvl>
  </w:abstractNum>
  <w:abstractNum w:abstractNumId="11">
    <w:nsid w:val="799D0247"/>
    <w:multiLevelType w:val="hybridMultilevel"/>
    <w:lvl w:ilvl="0">
      <w:lvlJc w:val="left"/>
      <w:lvlText w:val="%1:"/>
      <w:numFmt w:val="upperLetter"/>
      <w:start w:val="17"/>
    </w:lvl>
  </w:abstractNum>
  <w:abstractNum w:abstractNumId="12">
    <w:nsid w:val="6B94764"/>
    <w:multiLevelType w:val="hybridMultilevel"/>
    <w:lvl w:ilvl="0">
      <w:lvlJc w:val="left"/>
      <w:lvlText w:val="%1:"/>
      <w:numFmt w:val="upperLetter"/>
      <w:start w:val="1"/>
    </w:lvl>
    <w:lvl w:ilvl="1">
      <w:lvlJc w:val="left"/>
      <w:lvlText w:val="(%2)"/>
      <w:numFmt w:val="lowerRoman"/>
      <w:start w:val="2"/>
    </w:lvl>
  </w:abstractNum>
  <w:abstractNum w:abstractNumId="13">
    <w:nsid w:val="42C296BD"/>
    <w:multiLevelType w:val="hybridMultilevel"/>
    <w:lvl w:ilvl="0">
      <w:lvlJc w:val="left"/>
      <w:lvlText w:val="%1:"/>
      <w:numFmt w:val="upperLetter"/>
      <w:start w:val="17"/>
    </w:lvl>
  </w:abstractNum>
  <w:abstractNum w:abstractNumId="14">
    <w:nsid w:val="168E121F"/>
    <w:multiLevelType w:val="hybridMultilevel"/>
    <w:lvl w:ilvl="0">
      <w:lvlJc w:val="left"/>
      <w:lvlText w:val="%1:"/>
      <w:numFmt w:val="upperLetter"/>
      <w:start w:val="1"/>
    </w:lvl>
  </w:abstractNum>
  <w:abstractNum w:abstractNumId="15">
    <w:nsid w:val="1EBA5D23"/>
    <w:multiLevelType w:val="hybridMultilevel"/>
    <w:lvl w:ilvl="0">
      <w:lvlJc w:val="left"/>
      <w:lvlText w:val="%1:"/>
      <w:numFmt w:val="upperLetter"/>
      <w:start w:val="17"/>
    </w:lvl>
  </w:abstractNum>
  <w:abstractNum w:abstractNumId="16">
    <w:nsid w:val="661E3F1E"/>
    <w:multiLevelType w:val="hybridMultilevel"/>
    <w:lvl w:ilvl="0">
      <w:lvlJc w:val="left"/>
      <w:lvlText w:val="%1:"/>
      <w:numFmt w:val="upperLetter"/>
      <w:start w:val="1"/>
    </w:lvl>
  </w:abstractNum>
  <w:abstractNum w:abstractNumId="17">
    <w:nsid w:val="5DC79EA8"/>
    <w:multiLevelType w:val="hybridMultilevel"/>
    <w:lvl w:ilvl="0">
      <w:lvlJc w:val="left"/>
      <w:lvlText w:val="%1:"/>
      <w:numFmt w:val="upperLetter"/>
      <w:start w:val="17"/>
    </w:lvl>
  </w:abstractNum>
  <w:abstractNum w:abstractNumId="18">
    <w:nsid w:val="540A471C"/>
    <w:multiLevelType w:val="hybridMultilevel"/>
    <w:lvl w:ilvl="0">
      <w:lvlJc w:val="left"/>
      <w:lvlText w:val="%1:"/>
      <w:numFmt w:val="upperLetter"/>
      <w:start w:val="1"/>
    </w:lvl>
  </w:abstractNum>
  <w:abstractNum w:abstractNumId="19">
    <w:nsid w:val="7BD3EE7B"/>
    <w:multiLevelType w:val="hybridMultilevel"/>
    <w:lvl w:ilvl="0">
      <w:lvlJc w:val="left"/>
      <w:lvlText w:val="%1:"/>
      <w:numFmt w:val="upperLetter"/>
      <w:start w:val="17"/>
    </w:lvl>
  </w:abstractNum>
  <w:abstractNum w:abstractNumId="20">
    <w:nsid w:val="51D9C564"/>
    <w:multiLevelType w:val="hybridMultilevel"/>
    <w:lvl w:ilvl="0">
      <w:lvlJc w:val="left"/>
      <w:lvlText w:val="%1:"/>
      <w:numFmt w:val="upperLetter"/>
      <w:start w:val="1"/>
    </w:lvl>
  </w:abstractNum>
  <w:abstractNum w:abstractNumId="21">
    <w:nsid w:val="613EFDC5"/>
    <w:multiLevelType w:val="hybridMultilevel"/>
    <w:lvl w:ilvl="0">
      <w:lvlJc w:val="left"/>
      <w:lvlText w:val="%1:"/>
      <w:numFmt w:val="upperLetter"/>
      <w:start w:val="17"/>
    </w:lvl>
  </w:abstractNum>
  <w:abstractNum w:abstractNumId="22">
    <w:nsid w:val="BF72B14"/>
    <w:multiLevelType w:val="hybridMultilevel"/>
    <w:lvl w:ilvl="0">
      <w:lvlJc w:val="left"/>
      <w:lvlText w:val="%1:"/>
      <w:numFmt w:val="upperLetter"/>
      <w:start w:val="1"/>
    </w:lvl>
  </w:abstractNum>
  <w:abstractNum w:abstractNumId="23">
    <w:nsid w:val="11447B73"/>
    <w:multiLevelType w:val="hybridMultilevel"/>
    <w:lvl w:ilvl="0">
      <w:lvlJc w:val="left"/>
      <w:lvlText w:val="%1:"/>
      <w:numFmt w:val="upperLetter"/>
      <w:start w:val="17"/>
    </w:lvl>
  </w:abstractNum>
  <w:abstractNum w:abstractNumId="24">
    <w:nsid w:val="42963E5A"/>
    <w:multiLevelType w:val="hybridMultilevel"/>
    <w:lvl w:ilvl="0">
      <w:lvlJc w:val="left"/>
      <w:lvlText w:val="%1:"/>
      <w:numFmt w:val="upperLetter"/>
      <w:start w:val="1"/>
    </w:lvl>
  </w:abstractNum>
  <w:abstractNum w:abstractNumId="25">
    <w:nsid w:val="A0382C5"/>
    <w:multiLevelType w:val="hybridMultilevel"/>
    <w:lvl w:ilvl="0">
      <w:lvlJc w:val="left"/>
      <w:lvlText w:val="%1:"/>
      <w:numFmt w:val="upperLetter"/>
      <w:start w:val="17"/>
    </w:lvl>
  </w:abstractNum>
  <w:abstractNum w:abstractNumId="26">
    <w:nsid w:val="8F2B15E"/>
    <w:multiLevelType w:val="hybridMultilevel"/>
    <w:lvl w:ilvl="0">
      <w:lvlJc w:val="left"/>
      <w:lvlText w:val="%1:"/>
      <w:numFmt w:val="upperLetter"/>
      <w:start w:val="1"/>
    </w:lvl>
  </w:abstractNum>
  <w:abstractNum w:abstractNumId="27">
    <w:nsid w:val="1A32234B"/>
    <w:multiLevelType w:val="hybridMultilevel"/>
    <w:lvl w:ilvl="0">
      <w:lvlJc w:val="left"/>
      <w:lvlText w:val="%1:"/>
      <w:numFmt w:val="upperLetter"/>
      <w:start w:val="17"/>
    </w:lvl>
  </w:abstractNum>
  <w:abstractNum w:abstractNumId="28">
    <w:nsid w:val="3B0FD379"/>
    <w:multiLevelType w:val="hybridMultilevel"/>
    <w:lvl w:ilvl="0">
      <w:lvlJc w:val="left"/>
      <w:lvlText w:val="%1:"/>
      <w:numFmt w:val="upperLetter"/>
      <w:start w:val="1"/>
    </w:lvl>
    <w:lvl w:ilvl="1">
      <w:lvlJc w:val="left"/>
      <w:lvlText w:val="•"/>
      <w:numFmt w:val="bullet"/>
      <w:start w:val="1"/>
    </w:lvl>
  </w:abstractNum>
  <w:abstractNum w:abstractNumId="29">
    <w:nsid w:val="68EB2F63"/>
    <w:multiLevelType w:val="hybridMultilevel"/>
    <w:lvl w:ilvl="0">
      <w:lvlJc w:val="left"/>
      <w:lvlText w:val="%1:"/>
      <w:numFmt w:val="upperLetter"/>
      <w:start w:val="17"/>
    </w:lvl>
  </w:abstractNum>
  <w:abstractNum w:abstractNumId="30">
    <w:nsid w:val="4962813B"/>
    <w:multiLevelType w:val="hybridMultilevel"/>
    <w:lvl w:ilvl="0">
      <w:lvlJc w:val="left"/>
      <w:lvlText w:val="%1:"/>
      <w:numFmt w:val="upperLetter"/>
      <w:start w:val="1"/>
    </w:lvl>
  </w:abstractNum>
  <w:abstractNum w:abstractNumId="31">
    <w:nsid w:val="60B6DF70"/>
    <w:multiLevelType w:val="hybridMultilevel"/>
    <w:lvl w:ilvl="0">
      <w:lvlJc w:val="left"/>
      <w:lvlText w:val="%1:"/>
      <w:numFmt w:val="upperLetter"/>
      <w:start w:val="17"/>
    </w:lvl>
  </w:abstractNum>
  <w:abstractNum w:abstractNumId="32">
    <w:nsid w:val="6A5EE64"/>
    <w:multiLevelType w:val="hybridMultilevel"/>
    <w:lvl w:ilvl="0">
      <w:lvlJc w:val="left"/>
      <w:lvlText w:val="%1:"/>
      <w:numFmt w:val="upperLetter"/>
      <w:start w:val="1"/>
    </w:lvl>
  </w:abstractNum>
  <w:abstractNum w:abstractNumId="33">
    <w:nsid w:val="14330624"/>
    <w:multiLevelType w:val="hybridMultilevel"/>
    <w:lvl w:ilvl="0">
      <w:lvlJc w:val="left"/>
      <w:lvlText w:val="%1:"/>
      <w:numFmt w:val="upperLetter"/>
      <w:start w:val="17"/>
    </w:lvl>
  </w:abstractNum>
  <w:abstractNum w:abstractNumId="34">
    <w:nsid w:val="7FFFCA11"/>
    <w:multiLevelType w:val="hybridMultilevel"/>
    <w:lvl w:ilvl="0">
      <w:lvlJc w:val="left"/>
      <w:lvlText w:val="%1:"/>
      <w:numFmt w:val="upperLetter"/>
      <w:start w:val="1"/>
    </w:lvl>
  </w:abstractNum>
  <w:abstractNum w:abstractNumId="35">
    <w:nsid w:val="1A27709E"/>
    <w:multiLevelType w:val="hybridMultilevel"/>
    <w:lvl w:ilvl="0">
      <w:lvlJc w:val="left"/>
      <w:lvlText w:val="%1:"/>
      <w:numFmt w:val="upperLetter"/>
      <w:start w:val="17"/>
    </w:lvl>
  </w:abstractNum>
  <w:abstractNum w:abstractNumId="36">
    <w:nsid w:val="71EA1109"/>
    <w:multiLevelType w:val="hybridMultilevel"/>
    <w:lvl w:ilvl="0">
      <w:lvlJc w:val="left"/>
      <w:lvlText w:val="%1:"/>
      <w:numFmt w:val="upperLetter"/>
      <w:start w:val="1"/>
    </w:lvl>
  </w:abstractNum>
  <w:abstractNum w:abstractNumId="37">
    <w:nsid w:val="100F59DC"/>
    <w:multiLevelType w:val="hybridMultilevel"/>
    <w:lvl w:ilvl="0">
      <w:lvlJc w:val="left"/>
      <w:lvlText w:val="%1:"/>
      <w:numFmt w:val="upperLetter"/>
      <w:start w:val="17"/>
    </w:lvl>
  </w:abstractNum>
  <w:abstractNum w:abstractNumId="38">
    <w:nsid w:val="7FB7E0AA"/>
    <w:multiLevelType w:val="hybridMultilevel"/>
    <w:lvl w:ilvl="0">
      <w:lvlJc w:val="left"/>
      <w:lvlText w:val="%1:"/>
      <w:numFmt w:val="upperLetter"/>
      <w:start w:val="1"/>
    </w:lvl>
  </w:abstractNum>
  <w:abstractNum w:abstractNumId="39">
    <w:nsid w:val="6EB5BD4"/>
    <w:multiLevelType w:val="hybridMultilevel"/>
    <w:lvl w:ilvl="0">
      <w:lvlJc w:val="left"/>
      <w:lvlText w:val="%1:"/>
      <w:numFmt w:val="upperLetter"/>
      <w:start w:val="17"/>
    </w:lvl>
  </w:abstractNum>
  <w:abstractNum w:abstractNumId="40">
    <w:nsid w:val="6F6DD9AC"/>
    <w:multiLevelType w:val="hybridMultilevel"/>
    <w:lvl w:ilvl="0">
      <w:lvlJc w:val="left"/>
      <w:lvlText w:val="%1:"/>
      <w:numFmt w:val="upperLetter"/>
      <w:start w:val="1"/>
    </w:lvl>
  </w:abstractNum>
  <w:abstractNum w:abstractNumId="41">
    <w:nsid w:val="94211F2"/>
    <w:multiLevelType w:val="hybridMultilevel"/>
    <w:lvl w:ilvl="0">
      <w:lvlJc w:val="left"/>
      <w:lvlText w:val="%1:"/>
      <w:numFmt w:val="upperLetter"/>
      <w:start w:val="17"/>
    </w:lvl>
  </w:abstractNum>
  <w:abstractNum w:abstractNumId="42">
    <w:nsid w:val="885E1B"/>
    <w:multiLevelType w:val="hybridMultilevel"/>
    <w:lvl w:ilvl="0">
      <w:lvlJc w:val="left"/>
      <w:lvlText w:val="%1:"/>
      <w:numFmt w:val="upperLetter"/>
      <w:start w:val="1"/>
    </w:lvl>
  </w:abstractNum>
  <w:abstractNum w:abstractNumId="43">
    <w:nsid w:val="76272110"/>
    <w:multiLevelType w:val="hybridMultilevel"/>
    <w:lvl w:ilvl="0">
      <w:lvlJc w:val="left"/>
      <w:lvlText w:val="M"/>
      <w:numFmt w:val="bullet"/>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1)"/>
      <w:numFmt w:val="lowerRoman"/>
      <w:start w:val="5"/>
    </w:lvl>
  </w:abstractNum>
  <w:abstractNum w:abstractNumId="47">
    <w:nsid w:val="3222E7CD"/>
    <w:multiLevelType w:val="hybridMultilevel"/>
    <w:lvl w:ilvl="0">
      <w:lvlJc w:val="left"/>
      <w:lvlText w:val="(%1)"/>
      <w:numFmt w:val="decimal"/>
      <w:start w:val="1"/>
    </w:lvl>
  </w:abstractNum>
  <w:abstractNum w:abstractNumId="48">
    <w:nsid w:val="74DE0EE3"/>
    <w:multiLevelType w:val="hybridMultilevel"/>
    <w:lvl w:ilvl="0">
      <w:lvlJc w:val="left"/>
      <w:lvlText w:val="(%1)"/>
      <w:numFmt w:val="decimal"/>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ü"/>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
      <w:numFmt w:val="bullet"/>
      <w:start w:val="1"/>
    </w:lvl>
    <w:lvl w:ilvl="1">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1)"/>
      <w:numFmt w:val="decimal"/>
      <w:start w:val="1"/>
    </w:lvl>
  </w:abstractNum>
  <w:abstractNum w:abstractNumId="62">
    <w:nsid w:val="5FB8370B"/>
    <w:multiLevelType w:val="hybridMultilevel"/>
    <w:lvl w:ilvl="0">
      <w:lvlJc w:val="left"/>
      <w:lvlText w:val="•"/>
      <w:numFmt w:val="bullet"/>
      <w:start w:val="1"/>
    </w:lvl>
    <w:lvl w:ilvl="1">
      <w:lvlJc w:val="left"/>
      <w:lvlText w:val="◦"/>
      <w:numFmt w:val="bullet"/>
      <w:start w:val="1"/>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1"/>
    </w:lvl>
  </w:abstractNum>
  <w:abstractNum w:abstractNumId="65">
    <w:nsid w:val="5FB8011C"/>
    <w:multiLevelType w:val="hybridMultilevel"/>
    <w:lvl w:ilvl="0">
      <w:lvlJc w:val="left"/>
      <w:lvlText w:val="(%1)"/>
      <w:numFmt w:val="decimal"/>
      <w:start w:val="4"/>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2"/>
    </w:lvl>
  </w:abstractNum>
  <w:abstractNum w:abstractNumId="71">
    <w:nsid w:val="5F3534A4"/>
    <w:multiLevelType w:val="hybridMultilevel"/>
    <w:lvl w:ilvl="0">
      <w:lvlJc w:val="left"/>
      <w:lvlText w:val="(%1)"/>
      <w:numFmt w:val="decimal"/>
      <w:start w:val="3"/>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1)"/>
      <w:numFmt w:val="decimal"/>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1)"/>
      <w:numFmt w:val="lowerRoman"/>
      <w:start w:val="20"/>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
      <w:numFmt w:val="bullet"/>
      <w:start w:val="1"/>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1)"/>
      <w:numFmt w:val="decimal"/>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4">
    <w:nsid w:val="23D86AAC"/>
    <w:multiLevelType w:val="hybridMultilevel"/>
    <w:lvl w:ilvl="0">
      <w:lvlJc w:val="left"/>
      <w:lvlText w:val="(%1)"/>
      <w:numFmt w:val="lowerLetter"/>
      <w:start w:val="8"/>
    </w:lvl>
    <w:lvl w:ilvl="1">
      <w:lvlJc w:val="left"/>
      <w:lvlText w:val="(%2)"/>
      <w:numFmt w:val="lowerRoman"/>
      <w:start w:val="1"/>
    </w:lvl>
  </w:abstractNum>
  <w:abstractNum w:abstractNumId="95">
    <w:nsid w:val="45E6D486"/>
    <w:multiLevelType w:val="hybridMultilevel"/>
    <w:lvl w:ilvl="0">
      <w:lvlJc w:val="left"/>
      <w:lvlText w:val="(%1)"/>
      <w:numFmt w:val="lowerLetter"/>
      <w:start w:val="19"/>
    </w:lvl>
  </w:abstractNum>
  <w:abstractNum w:abstractNumId="96">
    <w:nsid w:val="5C10FE21"/>
    <w:multiLevelType w:val="hybridMultilevel"/>
    <w:lvl w:ilvl="0">
      <w:lvlJc w:val="left"/>
      <w:lvlText w:val="(%1)"/>
      <w:numFmt w:val="lowerLetter"/>
      <w:start w:val="27"/>
    </w:lvl>
  </w:abstractNum>
  <w:abstractNum w:abstractNumId="97">
    <w:nsid w:val="E7FFA2B"/>
    <w:multiLevelType w:val="hybridMultilevel"/>
    <w:lvl w:ilvl="0">
      <w:lvlJc w:val="left"/>
      <w:lvlText w:val="%1."/>
      <w:numFmt w:val="decimal"/>
      <w:start w:val="2"/>
    </w:lvl>
  </w:abstractNum>
  <w:abstractNum w:abstractNumId="98">
    <w:nsid w:val="3C5991A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99">
    <w:nsid w:val="4BD859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100">
    <w:nsid w:val="78DF6A5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1">
    <w:nsid w:val="39B7AAA2"/>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02">
    <w:nsid w:val="2B0D8D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3">
    <w:nsid w:val="6C80EC70"/>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4">
    <w:nsid w:val="379E21B5"/>
    <w:multiLevelType w:val="hybridMultilevel"/>
    <w:lvl w:ilvl="0">
      <w:lvlJc w:val="left"/>
      <w:lvlText w:val="%1."/>
      <w:numFmt w:val="decimal"/>
      <w:start w:val="1"/>
    </w:lvl>
  </w:abstractNum>
  <w:abstractNum w:abstractNumId="105">
    <w:nsid w:val="69E37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6">
    <w:nsid w:val="2C2717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07">
    <w:nsid w:val="4C9B090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08">
    <w:nsid w:val="6AA7B75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09">
    <w:nsid w:val="1DF029D3"/>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0">
    <w:nsid w:val="5675FF36"/>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1">
    <w:nsid w:val="3DD1509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2">
    <w:nsid w:val="3DB012B3"/>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113">
    <w:nsid w:val="2708C9AF"/>
    <w:multiLevelType w:val="hybridMultilevel"/>
    <w:lvl w:ilvl="0">
      <w:lvlJc w:val="left"/>
      <w:lvlText w:val="%1."/>
      <w:numFmt w:val="decimal"/>
      <w:start w:val="9"/>
    </w:lvl>
    <w:lvl w:ilvl="1">
      <w:lvlJc w:val="left"/>
      <w:lvlText w:val="%2."/>
      <w:numFmt w:val="decimal"/>
      <w:start w:val="1"/>
    </w:lvl>
  </w:abstractNum>
  <w:abstractNum w:abstractNumId="114">
    <w:nsid w:val="5B25ACE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15">
    <w:nsid w:val="175DFCF0"/>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16">
    <w:nsid w:val="4F97E3E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7">
    <w:nsid w:val="53B0A9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18">
    <w:nsid w:val="34FD6B4F"/>
    <w:multiLevelType w:val="hybridMultilevel"/>
    <w:lvl w:ilvl="0">
      <w:lvlJc w:val="left"/>
      <w:lvlText w:val="(%1)"/>
      <w:numFmt w:val="lowerLetter"/>
      <w:start w:val="18"/>
    </w:lvl>
  </w:abstractNum>
  <w:abstractNum w:abstractNumId="119">
    <w:nsid w:val="5915FF32"/>
    <w:multiLevelType w:val="hybridMultilevel"/>
    <w:lvl w:ilvl="0">
      <w:lvlJc w:val="left"/>
      <w:lvlText w:val="%1"/>
      <w:numFmt w:val="decimal"/>
      <w:start w:val="1"/>
    </w:lvl>
    <w:lvl w:ilvl="1">
      <w:lvlJc w:val="left"/>
      <w:lvlText w:val="%2."/>
      <w:numFmt w:val="decimal"/>
      <w:start w:val="3"/>
    </w:lvl>
  </w:abstractNum>
  <w:abstractNum w:abstractNumId="120">
    <w:nsid w:val="56438D15"/>
    <w:multiLevelType w:val="hybridMultilevel"/>
    <w:lvl w:ilvl="0">
      <w:lvlJc w:val="left"/>
      <w:lvlText w:val="%1."/>
      <w:numFmt w:val="decimal"/>
      <w:start w:val="13"/>
    </w:lvl>
    <w:lvl w:ilvl="1">
      <w:lvlJc w:val="left"/>
      <w:lvlText w:val="%2."/>
      <w:numFmt w:val="decimal"/>
      <w:start w:val="1"/>
    </w:lvl>
  </w:abstractNum>
  <w:abstractNum w:abstractNumId="121">
    <w:nsid w:val="519E3149"/>
    <w:multiLevelType w:val="hybridMultilevel"/>
    <w:lvl w:ilvl="0">
      <w:lvlJc w:val="left"/>
      <w:lvlText w:val="%1."/>
      <w:numFmt w:val="decimal"/>
      <w:start w:val="15"/>
    </w:lvl>
  </w:abstractNum>
  <w:abstractNum w:abstractNumId="122">
    <w:nsid w:val="2C6E4AFD"/>
    <w:multiLevelType w:val="hybridMultilevel"/>
    <w:lvl w:ilvl="0">
      <w:lvlJc w:val="left"/>
      <w:lvlText w:val="%1."/>
      <w:numFmt w:val="decimal"/>
      <w:start w:val="16"/>
    </w:lvl>
    <w:lvl w:ilvl="1">
      <w:lvlJc w:val="left"/>
      <w:lvlText w:val="%2."/>
      <w:numFmt w:val="decimal"/>
      <w:start w:val="1"/>
    </w:lvl>
  </w:abstractNum>
  <w:abstractNum w:abstractNumId="123">
    <w:nsid w:val="17A1B58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24">
    <w:nsid w:val="4DF72E4E"/>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125">
    <w:nsid w:val="5046B5A9"/>
    <w:multiLevelType w:val="hybridMultilevel"/>
    <w:lvl w:ilvl="0">
      <w:lvlJc w:val="left"/>
      <w:lvlText w:val="%1."/>
      <w:numFmt w:val="decimal"/>
      <w:start w:val="18"/>
    </w:lvl>
  </w:abstractNum>
  <w:abstractNum w:abstractNumId="126">
    <w:nsid w:val="5D888A08"/>
    <w:multiLevelType w:val="hybridMultilevel"/>
    <w:lvl w:ilvl="0">
      <w:lvlJc w:val="left"/>
      <w:lvlText w:val="%1."/>
      <w:numFmt w:val="decimal"/>
      <w:start w:val="19"/>
    </w:lvl>
  </w:abstractNum>
  <w:abstractNum w:abstractNumId="127">
    <w:nsid w:val="2A082C70"/>
    <w:multiLevelType w:val="hybridMultilevel"/>
    <w:lvl w:ilvl="0">
      <w:lvlJc w:val="left"/>
      <w:lvlText w:val="%1."/>
      <w:numFmt w:val="decimal"/>
      <w:start w:val="20"/>
    </w:lvl>
  </w:abstractNum>
  <w:abstractNum w:abstractNumId="128">
    <w:nsid w:val="5EC6AFD4"/>
    <w:multiLevelType w:val="hybridMultilevel"/>
    <w:lvl w:ilvl="0">
      <w:lvlJc w:val="left"/>
      <w:lvlText w:val="%1."/>
      <w:numFmt w:val="decimal"/>
      <w:start w:val="21"/>
    </w:lvl>
  </w:abstractNum>
  <w:abstractNum w:abstractNumId="129">
    <w:nsid w:val="19E21BB2"/>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2019-12-20T16:34:51Z</dcterms:created>
  <dcterms:modified xsi:type="dcterms:W3CDTF">2019-12-20T16:34:51Z</dcterms:modified>
</cp:coreProperties>
</file>