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6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Exchange Act of 1934</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earliest event reported):</w:t>
      </w:r>
    </w:p>
    <w:p>
      <w:pPr>
        <w:jc w:val="center"/>
        <w:ind w:right="-19"/>
        <w:spacing w:after="0"/>
        <w:rPr>
          <w:sz w:val="20"/>
          <w:szCs w:val="20"/>
          <w:color w:val="auto"/>
        </w:rPr>
      </w:pPr>
      <w:r>
        <w:rPr>
          <w:rFonts w:ascii="Arial" w:cs="Arial" w:eastAsia="Arial" w:hAnsi="Arial"/>
          <w:sz w:val="20"/>
          <w:szCs w:val="20"/>
          <w:b w:val="1"/>
          <w:bCs w:val="1"/>
          <w:color w:val="auto"/>
        </w:rPr>
        <w:t>February 5, 2020</w:t>
      </w:r>
    </w:p>
    <w:p>
      <w:pPr>
        <w:spacing w:after="0" w:line="297" w:lineRule="exact"/>
        <w:rPr>
          <w:sz w:val="24"/>
          <w:szCs w:val="24"/>
          <w:color w:val="auto"/>
        </w:rPr>
      </w:pPr>
    </w:p>
    <w:p>
      <w:pPr>
        <w:ind w:left="366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WESTWOOD HOLDINGS GROUP, INC.</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ind w:left="3660"/>
        <w:spacing w:after="0"/>
        <w:rPr>
          <w:sz w:val="20"/>
          <w:szCs w:val="20"/>
          <w:color w:val="auto"/>
        </w:rPr>
      </w:pPr>
      <w:r>
        <w:rPr>
          <w:rFonts w:ascii="Arial" w:cs="Arial" w:eastAsia="Arial" w:hAnsi="Arial"/>
          <w:sz w:val="10"/>
          <w:szCs w:val="10"/>
          <w:b w:val="1"/>
          <w:bCs w:val="1"/>
          <w:color w:val="auto"/>
        </w:rPr>
        <w:t>____________________________________________________________________________</w:t>
      </w:r>
    </w:p>
    <w:p>
      <w:pPr>
        <w:sectPr>
          <w:pgSz w:w="11900" w:h="16838" w:orient="portrait"/>
          <w:cols w:equalWidth="0" w:num="1">
            <w:col w:w="11400"/>
          </w:cols>
          <w:pgMar w:left="240" w:top="995" w:right="259" w:bottom="1440" w:gutter="0" w:footer="0" w:header="0"/>
        </w:sectPr>
      </w:pPr>
    </w:p>
    <w:p>
      <w:pPr>
        <w:spacing w:after="0" w:line="200" w:lineRule="exact"/>
        <w:rPr>
          <w:sz w:val="24"/>
          <w:szCs w:val="24"/>
          <w:color w:val="auto"/>
        </w:rPr>
      </w:pPr>
    </w:p>
    <w:p>
      <w:pPr>
        <w:spacing w:after="0" w:line="326"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6"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001-31234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75-2969997</w:t>
      </w:r>
    </w:p>
    <w:p>
      <w:pPr>
        <w:spacing w:after="0" w:line="112" w:lineRule="exact"/>
        <w:rPr>
          <w:sz w:val="24"/>
          <w:szCs w:val="24"/>
          <w:color w:val="auto"/>
        </w:rPr>
      </w:pPr>
    </w:p>
    <w:p>
      <w:pPr>
        <w:sectPr>
          <w:pgSz w:w="11900" w:h="16838" w:orient="portrait"/>
          <w:cols w:equalWidth="0" w:num="3">
            <w:col w:w="4580" w:space="720"/>
            <w:col w:w="3020" w:space="720"/>
            <w:col w:w="2360"/>
          </w:cols>
          <w:pgMar w:left="240" w:top="995" w:right="259" w:bottom="1440" w:gutter="0" w:footer="0" w:header="0"/>
          <w:type w:val="continuous"/>
        </w:sectPr>
      </w:pPr>
    </w:p>
    <w:p>
      <w:pPr>
        <w:ind w:left="500"/>
        <w:spacing w:after="0"/>
        <w:rPr>
          <w:sz w:val="20"/>
          <w:szCs w:val="20"/>
          <w:color w:val="auto"/>
        </w:rPr>
      </w:pPr>
      <w:r>
        <w:rPr>
          <w:rFonts w:ascii="Arial" w:cs="Arial" w:eastAsia="Arial" w:hAnsi="Arial"/>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3">
            <w:col w:w="4120" w:space="720"/>
            <w:col w:w="2840" w:space="720"/>
            <w:col w:w="3000"/>
          </w:cols>
          <w:pgMar w:left="240" w:top="995" w:right="259" w:bottom="1440" w:gutter="0" w:footer="0" w:header="0"/>
          <w:type w:val="continuous"/>
        </w:sectPr>
      </w:pPr>
    </w:p>
    <w:p>
      <w:pPr>
        <w:spacing w:after="0" w:line="200" w:lineRule="exact"/>
        <w:rPr>
          <w:sz w:val="24"/>
          <w:szCs w:val="24"/>
          <w:color w:val="auto"/>
        </w:rPr>
      </w:pP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200 Crescent Court, Suite 1200</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Dallas, Texas 75201</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(Address of principal executive offices)</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(214) 756-6900</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w:t>
      </w:r>
      <w:r>
        <w:rPr>
          <w:rFonts w:ascii="Arial" w:cs="Arial" w:eastAsia="Arial" w:hAnsi="Arial"/>
          <w:sz w:val="15"/>
          <w:szCs w:val="15"/>
          <w:i w:val="1"/>
          <w:iCs w:val="1"/>
          <w:color w:val="auto"/>
        </w:rPr>
        <w:t>see</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o Written communications pursuant to Rule 425 under the Securities Act (17 CFR 230.425)</w:t>
      </w:r>
    </w:p>
    <w:p>
      <w:pPr>
        <w:spacing w:after="0" w:line="26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o Soliciting material pursuant to Rule 14a-12 under the Exchange Act (17 CFR 240.14a-12)</w:t>
      </w:r>
    </w:p>
    <w:p>
      <w:pPr>
        <w:spacing w:after="0" w:line="26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o Pre-commencement communications pursuant to Rule 14d-2(b) under the Exchange Act (17 CFR 240.14d-2(b))</w:t>
      </w:r>
    </w:p>
    <w:p>
      <w:pPr>
        <w:spacing w:after="0" w:line="26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o 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02" w:lineRule="exact"/>
        <w:rPr>
          <w:sz w:val="24"/>
          <w:szCs w:val="24"/>
          <w:color w:val="auto"/>
        </w:rPr>
      </w:pPr>
    </w:p>
    <w:tbl>
      <w:tblPr>
        <w:tblLayout w:type="fixed"/>
        <w:tblInd w:w="520" w:type="dxa"/>
        <w:tblCellMar>
          <w:top w:w="0" w:type="dxa"/>
          <w:left w:w="0" w:type="dxa"/>
          <w:bottom w:w="0" w:type="dxa"/>
          <w:right w:w="0" w:type="dxa"/>
        </w:tblCellMar>
      </w:tblPr>
      <w:tr>
        <w:trPr>
          <w:trHeight w:val="172"/>
        </w:trPr>
        <w:tc>
          <w:tcPr>
            <w:tcW w:w="7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Title of each class:</w:t>
            </w:r>
          </w:p>
        </w:tc>
        <w:tc>
          <w:tcPr>
            <w:tcW w:w="1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Trading Symbol:</w:t>
            </w: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Name of each exchange on which registered:</w:t>
            </w:r>
          </w:p>
        </w:tc>
      </w:tr>
      <w:tr>
        <w:trPr>
          <w:trHeight w:val="229"/>
        </w:trPr>
        <w:tc>
          <w:tcPr>
            <w:tcW w:w="3680" w:type="dxa"/>
            <w:vAlign w:val="bottom"/>
            <w:gridSpan w:val="3"/>
          </w:tcPr>
          <w:p>
            <w:pPr>
              <w:jc w:val="center"/>
              <w:ind w:right="960"/>
              <w:spacing w:after="0"/>
              <w:rPr>
                <w:sz w:val="20"/>
                <w:szCs w:val="20"/>
                <w:color w:val="auto"/>
              </w:rPr>
            </w:pPr>
            <w:r>
              <w:rPr>
                <w:rFonts w:ascii="Arial" w:cs="Arial" w:eastAsia="Arial" w:hAnsi="Arial"/>
                <w:sz w:val="15"/>
                <w:szCs w:val="15"/>
                <w:b w:val="1"/>
                <w:bCs w:val="1"/>
                <w:color w:val="auto"/>
                <w:w w:val="91"/>
              </w:rPr>
              <w:t>Common Stock, par value $0.01 per share</w:t>
            </w:r>
          </w:p>
        </w:tc>
        <w:tc>
          <w:tcPr>
            <w:tcW w:w="940" w:type="dxa"/>
            <w:vAlign w:val="bottom"/>
          </w:tcPr>
          <w:p>
            <w:pPr>
              <w:spacing w:after="0"/>
              <w:rPr>
                <w:sz w:val="19"/>
                <w:szCs w:val="19"/>
                <w:color w:val="auto"/>
              </w:rPr>
            </w:pPr>
          </w:p>
        </w:tc>
        <w:tc>
          <w:tcPr>
            <w:tcW w:w="2020" w:type="dxa"/>
            <w:vAlign w:val="bottom"/>
            <w:gridSpan w:val="2"/>
          </w:tcPr>
          <w:p>
            <w:pPr>
              <w:jc w:val="center"/>
              <w:ind w:right="900"/>
              <w:spacing w:after="0"/>
              <w:rPr>
                <w:sz w:val="20"/>
                <w:szCs w:val="20"/>
                <w:color w:val="auto"/>
              </w:rPr>
            </w:pPr>
            <w:r>
              <w:rPr>
                <w:rFonts w:ascii="Arial" w:cs="Arial" w:eastAsia="Arial" w:hAnsi="Arial"/>
                <w:sz w:val="15"/>
                <w:szCs w:val="15"/>
                <w:b w:val="1"/>
                <w:bCs w:val="1"/>
                <w:color w:val="auto"/>
              </w:rPr>
              <w:t>WHG</w:t>
            </w:r>
          </w:p>
        </w:tc>
        <w:tc>
          <w:tcPr>
            <w:tcW w:w="900" w:type="dxa"/>
            <w:vAlign w:val="bottom"/>
          </w:tcPr>
          <w:p>
            <w:pPr>
              <w:spacing w:after="0"/>
              <w:rPr>
                <w:sz w:val="19"/>
                <w:szCs w:val="19"/>
                <w:color w:val="auto"/>
              </w:rPr>
            </w:pPr>
          </w:p>
        </w:tc>
        <w:tc>
          <w:tcPr>
            <w:tcW w:w="2900" w:type="dxa"/>
            <w:vAlign w:val="bottom"/>
          </w:tcPr>
          <w:p>
            <w:pPr>
              <w:jc w:val="center"/>
              <w:spacing w:after="0"/>
              <w:rPr>
                <w:sz w:val="20"/>
                <w:szCs w:val="20"/>
                <w:color w:val="auto"/>
              </w:rPr>
            </w:pPr>
            <w:r>
              <w:rPr>
                <w:rFonts w:ascii="Arial" w:cs="Arial" w:eastAsia="Arial" w:hAnsi="Arial"/>
                <w:sz w:val="15"/>
                <w:szCs w:val="15"/>
                <w:b w:val="1"/>
                <w:bCs w:val="1"/>
                <w:color w:val="auto"/>
                <w:w w:val="91"/>
              </w:rPr>
              <w:t>New York Stock Exchange</w:t>
            </w:r>
          </w:p>
        </w:tc>
      </w:tr>
    </w:tbl>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the Securities Exchange Act of 1934 (§ 240.12b-2 of this chapter).</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o</w:t>
      </w:r>
    </w:p>
    <w:p>
      <w:pPr>
        <w:spacing w:after="0" w:line="258" w:lineRule="exact"/>
        <w:rPr>
          <w:sz w:val="24"/>
          <w:szCs w:val="24"/>
          <w:color w:val="auto"/>
        </w:rPr>
      </w:pPr>
    </w:p>
    <w:p>
      <w:pPr>
        <w:ind w:right="1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995"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ITEM 2.02: RESULTS OF OPERATIONS AND FINANCIAL CONDITION</w:t>
      </w:r>
    </w:p>
    <w:p>
      <w:pPr>
        <w:spacing w:after="0" w:line="243"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accordance with Securities and Exchange Commission Release No. 34-47583, the following information, which is being furnished pursuant to the requirements of Item 2.02, “Results of Operations and Financial Condition,” is being reported under Item 7.01, “Regulation FD Disclosure.”</w:t>
      </w:r>
    </w:p>
    <w:p>
      <w:pPr>
        <w:spacing w:after="0" w:line="213" w:lineRule="exact"/>
        <w:rPr>
          <w:sz w:val="20"/>
          <w:szCs w:val="20"/>
          <w:color w:val="auto"/>
        </w:rPr>
      </w:pPr>
    </w:p>
    <w:p>
      <w:pPr>
        <w:ind w:right="120"/>
        <w:spacing w:after="0" w:line="316" w:lineRule="auto"/>
        <w:rPr>
          <w:sz w:val="20"/>
          <w:szCs w:val="20"/>
          <w:color w:val="auto"/>
        </w:rPr>
      </w:pPr>
      <w:r>
        <w:rPr>
          <w:rFonts w:ascii="Arial" w:cs="Arial" w:eastAsia="Arial" w:hAnsi="Arial"/>
          <w:sz w:val="18"/>
          <w:szCs w:val="18"/>
          <w:color w:val="auto"/>
        </w:rPr>
        <w:t>On February 5, 2020, Westwood Holdings Group, Inc. (“Westwood”) issued a press release entitled “Westwood Holdings Group, Inc. Reports Fourth Quarter and Fiscal Year 2019 Results”, a copy of which is furnished with this Current Report on Form 8-K as Exhibit 99.1.</w:t>
      </w:r>
    </w:p>
    <w:p>
      <w:pPr>
        <w:spacing w:after="0" w:line="15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ITEM 7.01: REGULATION FD DISCLOSURE</w:t>
      </w:r>
    </w:p>
    <w:p>
      <w:pPr>
        <w:spacing w:after="0" w:line="243"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Westwood announced today that its Board of Directors has approved the payment of a quarterly cash dividend of $0.43 per common share, payable on April 1, 2020 to stockholders of record on March 6, 2020.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 Exhibits: The following exhibit is furnished with this report:</w:t>
      </w:r>
    </w:p>
    <w:p>
      <w:pPr>
        <w:spacing w:after="0" w:line="295" w:lineRule="exact"/>
        <w:rPr>
          <w:sz w:val="20"/>
          <w:szCs w:val="20"/>
          <w:color w:val="auto"/>
        </w:rPr>
      </w:pPr>
    </w:p>
    <w:p>
      <w:pPr>
        <w:ind w:left="20"/>
        <w:spacing w:after="0"/>
        <w:tabs>
          <w:tab w:leader="none" w:pos="208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54"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Press Release dated February 5, 2020, entitled “Westwood Holdings Group, Inc. Reports Fourth Quarter and Fiscal Year 2019</w:t>
      </w:r>
    </w:p>
    <w:p>
      <w:pPr>
        <w:spacing w:after="0" w:line="8" w:lineRule="exact"/>
        <w:rPr>
          <w:sz w:val="20"/>
          <w:szCs w:val="20"/>
          <w:color w:val="auto"/>
        </w:rPr>
      </w:pPr>
    </w:p>
    <w:p>
      <w:pPr>
        <w:ind w:left="20"/>
        <w:spacing w:after="0"/>
        <w:tabs>
          <w:tab w:leader="none" w:pos="2080" w:val="left"/>
        </w:tabs>
        <w:rPr>
          <w:rFonts w:ascii="Arial" w:cs="Arial" w:eastAsia="Arial" w:hAnsi="Arial"/>
          <w:sz w:val="18"/>
          <w:szCs w:val="18"/>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color w:val="0000FF"/>
        </w:rPr>
        <w:tab/>
      </w:r>
      <w:r>
        <w:rPr>
          <w:rFonts w:ascii="Arial" w:cs="Arial" w:eastAsia="Arial" w:hAnsi="Arial"/>
          <w:sz w:val="16"/>
          <w:szCs w:val="16"/>
          <w:color w:val="0000FF"/>
        </w:rPr>
        <w:t>Results”.</w:t>
      </w:r>
    </w:p>
    <w:p>
      <w:pPr>
        <w:sectPr>
          <w:pgSz w:w="11900" w:h="16838" w:orient="portrait"/>
          <w:cols w:equalWidth="0" w:num="1">
            <w:col w:w="11380"/>
          </w:cols>
          <w:pgMar w:left="240" w:top="892"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February 5, 2020</w:t>
      </w:r>
    </w:p>
    <w:p>
      <w:pPr>
        <w:spacing w:after="0" w:line="200" w:lineRule="exact"/>
        <w:rPr>
          <w:sz w:val="20"/>
          <w:szCs w:val="20"/>
          <w:color w:val="auto"/>
        </w:rPr>
      </w:pPr>
    </w:p>
    <w:p>
      <w:pPr>
        <w:spacing w:after="0" w:line="28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WESTWOOD HOLDINGS GROUP, INC.</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Murray Forbes III</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Murray Forbes III</w:t>
      </w:r>
    </w:p>
    <w:p>
      <w:pPr>
        <w:ind w:left="4540"/>
        <w:spacing w:after="0"/>
        <w:rPr>
          <w:sz w:val="20"/>
          <w:szCs w:val="20"/>
          <w:color w:val="auto"/>
        </w:rPr>
      </w:pPr>
      <w:r>
        <w:rPr>
          <w:rFonts w:ascii="Arial" w:cs="Arial" w:eastAsia="Arial" w:hAnsi="Arial"/>
          <w:sz w:val="20"/>
          <w:szCs w:val="20"/>
          <w:color w:val="auto"/>
        </w:rPr>
        <w:t>Chief Financial Officer and Treasurer</w:t>
      </w:r>
    </w:p>
    <w:p>
      <w:pPr>
        <w:sectPr>
          <w:pgSz w:w="11900" w:h="16838" w:orient="portrait"/>
          <w:cols w:equalWidth="0" w:num="1">
            <w:col w:w="11420"/>
          </w:cols>
          <w:pgMar w:left="240" w:top="892"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2644775</wp:posOffset>
            </wp:positionH>
            <wp:positionV relativeFrom="page">
              <wp:posOffset>732155</wp:posOffset>
            </wp:positionV>
            <wp:extent cx="227266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7266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Westwood Holdings Group, Inc. Reports Fourth Quarter and Fiscal Year 2019 Results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Strong Investment Performance Across the Board</w:t>
      </w:r>
    </w:p>
    <w:p>
      <w:pPr>
        <w:spacing w:after="0" w:line="258"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Dallas, TX, February 5, 2020 – Westwood Holdings Group, Inc. (NYSE: WHG) today reported fourth quarter earnings. Highlights from the quarter include:</w:t>
      </w:r>
    </w:p>
    <w:p>
      <w:pPr>
        <w:spacing w:after="0" w:line="161" w:lineRule="exact"/>
        <w:rPr>
          <w:sz w:val="20"/>
          <w:szCs w:val="20"/>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Revenues of $18.6 million compared with $19.9 million in the third quarter and $26.1 million a year ago.</w:t>
      </w:r>
    </w:p>
    <w:p>
      <w:pPr>
        <w:spacing w:after="0" w:line="165" w:lineRule="exact"/>
        <w:rPr>
          <w:rFonts w:ascii="Arial" w:cs="Arial" w:eastAsia="Arial" w:hAnsi="Arial"/>
          <w:sz w:val="22"/>
          <w:szCs w:val="22"/>
          <w:color w:val="auto"/>
        </w:rPr>
      </w:pPr>
    </w:p>
    <w:p>
      <w:pPr>
        <w:ind w:left="660" w:right="260" w:hanging="328"/>
        <w:spacing w:after="0" w:line="25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Net income of $2.5 million compared with $1.1 million in the third quarter and $5.4 million in the fourth quarter of 2018. Non-GAAP Economic Earnings of $5.4 million, compared with $3.9 million in the third quarter and $9.5 million in the fourth quarter of 2018.</w:t>
      </w:r>
    </w:p>
    <w:p>
      <w:pPr>
        <w:spacing w:after="0" w:line="131" w:lineRule="exact"/>
        <w:rPr>
          <w:rFonts w:ascii="Arial" w:cs="Arial" w:eastAsia="Arial" w:hAnsi="Arial"/>
          <w:sz w:val="22"/>
          <w:szCs w:val="22"/>
          <w:color w:val="auto"/>
        </w:rPr>
      </w:pPr>
    </w:p>
    <w:p>
      <w:pPr>
        <w:ind w:left="660" w:right="40" w:hanging="328"/>
        <w:spacing w:after="0" w:line="250"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Our LargeCap Value, SMidCap, SmallCap Value, AllCap Value, Alternative Income, Emerging Markets, Emerging Markets SMidCap, Income Opportunity and Alternative Income strategies beat their primary benchmarks for the year, with our Alternative Income strategy achieving a top decile institutional ranking, and SMidCap, SmallCap Value and Income Opportunity strategies achieving top quartile institutional rankings.</w:t>
      </w:r>
    </w:p>
    <w:p>
      <w:pPr>
        <w:spacing w:after="0" w:line="134" w:lineRule="exact"/>
        <w:rPr>
          <w:rFonts w:ascii="Arial" w:cs="Arial" w:eastAsia="Arial" w:hAnsi="Arial"/>
          <w:sz w:val="22"/>
          <w:szCs w:val="22"/>
          <w:color w:val="auto"/>
        </w:rPr>
      </w:pPr>
    </w:p>
    <w:p>
      <w:pPr>
        <w:ind w:left="660" w:right="560" w:hanging="328"/>
        <w:spacing w:after="0" w:line="26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Repurchased 42,171 shares of our common stock in the fourth quarter for an aggregate purchase price of $1.1 million, bringing the 2019 total to 85,559 shares repurchased for $2.4 million.</w:t>
      </w:r>
    </w:p>
    <w:p>
      <w:pPr>
        <w:spacing w:after="0" w:line="120" w:lineRule="exact"/>
        <w:rPr>
          <w:rFonts w:ascii="Arial" w:cs="Arial" w:eastAsia="Arial" w:hAnsi="Arial"/>
          <w:sz w:val="22"/>
          <w:szCs w:val="22"/>
          <w:color w:val="auto"/>
        </w:rPr>
      </w:pPr>
    </w:p>
    <w:p>
      <w:pPr>
        <w:ind w:left="660" w:right="220" w:hanging="328"/>
        <w:spacing w:after="0" w:line="26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At year-end, Westwood had $100.1 million in cash and short-term investments, stockholders' equity of $148.3 million and no debt.</w:t>
      </w:r>
    </w:p>
    <w:p>
      <w:pPr>
        <w:spacing w:after="0" w:line="121"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Revenues of $18.6 million decreased $7.5 million from last year's fourth quarter on lower average assets (AUM) due to net outflows, partially offset by market appreciation. Revenues were lower than the third quarter of 2019 primarily due to lower other revenues.</w:t>
      </w:r>
    </w:p>
    <w:p>
      <w:pPr>
        <w:spacing w:after="0" w:line="159" w:lineRule="exact"/>
        <w:rPr>
          <w:sz w:val="20"/>
          <w:szCs w:val="20"/>
          <w:color w:val="auto"/>
        </w:rPr>
      </w:pPr>
    </w:p>
    <w:p>
      <w:pPr>
        <w:jc w:val="both"/>
        <w:ind w:right="320"/>
        <w:spacing w:after="0" w:line="253" w:lineRule="auto"/>
        <w:rPr>
          <w:sz w:val="20"/>
          <w:szCs w:val="20"/>
          <w:color w:val="auto"/>
        </w:rPr>
      </w:pPr>
      <w:r>
        <w:rPr>
          <w:rFonts w:ascii="Arial" w:cs="Arial" w:eastAsia="Arial" w:hAnsi="Arial"/>
          <w:sz w:val="22"/>
          <w:szCs w:val="22"/>
          <w:color w:val="auto"/>
        </w:rPr>
        <w:t>AUM at December 31, 2019 totaled $15.2 billion, versus $16.6 billion at December 31, 2018 and $15.0 billion at September 30, 2019. The year-over-year decrease was primarily due to Institutional net outflows; the increase from the third quarter 2019 was primarily due to market appreciation.</w:t>
      </w:r>
    </w:p>
    <w:p>
      <w:pPr>
        <w:spacing w:after="0" w:line="172"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Fourth quarter 2019 net income of $2.5 million was lower than fourth quarter 2018 net income of $5.4 million primarily due to lower revenues and foreign currency transaction losses, partially offset by lower incentive compensation expense and by unrealized gains on private investments. Diluted earnings per share (EPS) of $0.30 compared to $0.64 for the fourth quarter of 2018. Non-GAAP Economic Earnings were $5.4 million, or $0.64 per share, a decrease from $9.5 million, or $1.12 per share, in 2018's fourth quarter.</w:t>
      </w:r>
    </w:p>
    <w:p>
      <w:pPr>
        <w:spacing w:after="0" w:line="13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Fourth quarter 2019 net income of $2.5 million increased from third quarter 2019 net income of $1.1 million due to unrealized gains on private investments, partially offset by foreign currency transaction losses. Diluted EPS of $0.30 compared to $0.13 for the third quarter. Non-GAAP Economic Earnings were $5.4 million, or $0.64 per share, up from $3.9 million, or $0.46 per share for the third quarter.</w:t>
      </w:r>
    </w:p>
    <w:p>
      <w:pPr>
        <w:sectPr>
          <w:pgSz w:w="11900" w:h="16838" w:orient="portrait"/>
          <w:cols w:equalWidth="0" w:num="1">
            <w:col w:w="11420"/>
          </w:cols>
          <w:pgMar w:left="240" w:top="1440" w:right="239" w:bottom="1440" w:gutter="0" w:footer="0" w:header="0"/>
        </w:sectPr>
      </w:pPr>
    </w:p>
    <w:bookmarkStart w:id="4" w:name="page5"/>
    <w:bookmarkEnd w:id="4"/>
    <w:p>
      <w:pPr>
        <w:ind w:right="360"/>
        <w:spacing w:after="0" w:line="253" w:lineRule="auto"/>
        <w:rPr>
          <w:sz w:val="20"/>
          <w:szCs w:val="20"/>
          <w:color w:val="auto"/>
        </w:rPr>
      </w:pPr>
      <w:r>
        <w:rPr>
          <w:rFonts w:ascii="Arial" w:cs="Arial" w:eastAsia="Arial" w:hAnsi="Arial"/>
          <w:sz w:val="22"/>
          <w:szCs w:val="22"/>
          <w:color w:val="auto"/>
        </w:rPr>
        <w:t>Fiscal year 2019 revenues of $84.1 million were lower than 2018 revenues of $122.3 million due to a $32.3 million decrease in asset-based advisory fees and a $3.5 million decrease in Trust fees, both reflecting lower average AUM, and a $2.2 million decrease in performance-based advisory fees.</w:t>
      </w:r>
    </w:p>
    <w:p>
      <w:pPr>
        <w:spacing w:after="0" w:line="172" w:lineRule="exact"/>
        <w:rPr>
          <w:sz w:val="20"/>
          <w:szCs w:val="20"/>
          <w:color w:val="auto"/>
        </w:rPr>
      </w:pPr>
    </w:p>
    <w:p>
      <w:pPr>
        <w:ind w:right="320"/>
        <w:spacing w:after="0" w:line="312" w:lineRule="auto"/>
        <w:rPr>
          <w:sz w:val="20"/>
          <w:szCs w:val="20"/>
          <w:color w:val="auto"/>
        </w:rPr>
      </w:pPr>
      <w:r>
        <w:rPr>
          <w:rFonts w:ascii="Arial" w:cs="Arial" w:eastAsia="Arial" w:hAnsi="Arial"/>
          <w:sz w:val="19"/>
          <w:szCs w:val="19"/>
          <w:color w:val="auto"/>
        </w:rPr>
        <w:t>2019 net income of $5.9 million decreased from $26.8 million in 2018 primarily due to lower revenues and foreign currency transaction losses, offset by lower incentive compensation expense and unrealized gains on private investments. Diluted EPS of $0.70 compared with $3.13 for 2018. Economic EPS of $2.15 compared with $5.14 in 2018.</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Brian Casey, Westwood’s President and CEO, commented, “We were very pleased to see all of our US Value and Multi-Asset strategies delivering some of their best years of outperformance. Our institutional sales team continues to ramp up activity, and our intermediary sales group posted its best monthly sales for the past three years in December. Our progress in developing distribution and creating efficiencies through technological innovation validates the investments we have been making to reposition our platform for long term growth. We are very encouraged that attractive M&amp;A opportunities continue to surface, and our business platform is well positioned for an accretive acquisition. We fully expect our business to resume its growth trajectory through emerging and proven avenues. To increase our financial flexibility, we are shifting our capital return approach for shareholders by increasing our current available share repurchase program by $10 million to a total of $12.9 million while reducing our dividend payout."</w:t>
      </w:r>
    </w:p>
    <w:p>
      <w:pPr>
        <w:spacing w:after="0" w:line="207" w:lineRule="exact"/>
        <w:rPr>
          <w:sz w:val="20"/>
          <w:szCs w:val="20"/>
          <w:color w:val="auto"/>
        </w:rPr>
      </w:pPr>
    </w:p>
    <w:p>
      <w:pPr>
        <w:ind w:right="700"/>
        <w:spacing w:after="0" w:line="263" w:lineRule="auto"/>
        <w:rPr>
          <w:sz w:val="20"/>
          <w:szCs w:val="20"/>
          <w:color w:val="auto"/>
        </w:rPr>
      </w:pPr>
      <w:r>
        <w:rPr>
          <w:rFonts w:ascii="Arial" w:cs="Arial" w:eastAsia="Arial" w:hAnsi="Arial"/>
          <w:sz w:val="22"/>
          <w:szCs w:val="22"/>
          <w:color w:val="auto"/>
        </w:rPr>
        <w:t>Westwood’s Board of Directors declared a quarterly cash dividend of $0.43 per common share, payable on April 1, 2020 to stockholders of record on March 6, 2020.</w:t>
      </w:r>
    </w:p>
    <w:p>
      <w:pPr>
        <w:spacing w:after="0" w:line="202"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Economic Earnings and Economic EPS are non-GAAP performance measures and are explained and reconciled with the most comparable GAAP numbers in the attached tables.</w:t>
      </w:r>
    </w:p>
    <w:p>
      <w:pPr>
        <w:spacing w:after="0" w:line="202"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Westwood will host a conference call to discuss fourth quarter and fiscal year 2019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February 13, 2020 by dialing 855-859-2056 (U.S. and Canada) or 404-537-3406 (international) and entering the passcode 3591568.</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w:t>
      </w:r>
    </w:p>
    <w:p>
      <w:pPr>
        <w:spacing w:after="0" w:line="253" w:lineRule="exact"/>
        <w:rPr>
          <w:sz w:val="20"/>
          <w:szCs w:val="20"/>
          <w:color w:val="auto"/>
        </w:rPr>
      </w:pPr>
    </w:p>
    <w:p>
      <w:pPr>
        <w:ind w:right="100"/>
        <w:spacing w:after="0" w:line="259" w:lineRule="auto"/>
        <w:rPr>
          <w:sz w:val="20"/>
          <w:szCs w:val="20"/>
          <w:color w:val="auto"/>
        </w:rPr>
      </w:pPr>
      <w:r>
        <w:rPr>
          <w:rFonts w:ascii="Arial" w:cs="Arial" w:eastAsia="Arial" w:hAnsi="Arial"/>
          <w:sz w:val="21"/>
          <w:szCs w:val="21"/>
          <w:color w:val="auto"/>
        </w:rPr>
        <w:t>Westwood Holdings Group, Inc. provides investment management services to institutional investors, private wealth clients and financial intermediaries. The firm has $15.2 billion in assets under management, of which $2.3 billion are in values-based, global-sanctions compliant and socially responsible investment mandates as of December 31, 2019. Westwood offers a range of investment strategies including U.S. equities, Multi-Asset, Emerging Markets equities, Global Convertible securities and Master Limited Partnerships (MLPs) portfolios. Access to these strategies is available through separate accounts, the Westwood Funds® family of mutual funds, UCITS funds and other pooled vehicles. Westwood benefits from significant, broad-based employee ownership and trades on the New York Stock Exchange under the symbol “WHG.” Based in Dallas, Westwood also maintains offices in Toronto, Boston and Houston.</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ectPr>
          <w:pgSz w:w="11900" w:h="16838" w:orient="portrait"/>
          <w:cols w:equalWidth="0" w:num="1">
            <w:col w:w="11360"/>
          </w:cols>
          <w:pgMar w:left="240" w:top="1009" w:right="299" w:bottom="1440" w:gutter="0" w:footer="0" w:header="0"/>
        </w:sectPr>
      </w:pPr>
    </w:p>
    <w:bookmarkStart w:id="5" w:name="page6"/>
    <w:bookmarkEnd w:id="5"/>
    <w:p>
      <w:pPr>
        <w:spacing w:after="0" w:line="285"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“forecast,”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assets under management; regulations adversely affecting the financial services industry; competition in the investment management industry; our assets under management include investments in foreign companies; our ability to develop and market new investment strategies successfully; our relationships with current and potential customers; our ability to retain qualified personnel; our ability to perform operational tasks; our ability to maintain effective cyber security; our ability to identify and execute on our strategic initiatives; our ability to select and oversee third party vendors; our ability to maintain effective information systems; litigation risks; our ability to properly address conflicts of interest; our ability to maintain adequate insurance coverage; our ability to maintain an effective system of internal controls; our ability to maintain our fee structure in light of competitive fee pressures; our relationships with investment consulting firms; the significant concentration of our revenues in a small number of customers; and the other risks detailed from time to time in Westwood’s SEC filings, including, but not limited to, its annual report on Form 10-K for the year ended December 31, 2018 and its quarterly reports on Form 10-Q for the quarters ended March 31, 2019, June 30, 2019, and September 30, 2019.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360"/>
          </w:cols>
          <w:pgMar w:left="240" w:top="901" w:right="29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51"/>
              <w:spacing w:after="0"/>
              <w:rPr>
                <w:sz w:val="20"/>
                <w:szCs w:val="20"/>
                <w:color w:val="auto"/>
              </w:rPr>
            </w:pPr>
            <w:r>
              <w:rPr>
                <w:rFonts w:ascii="Arial" w:cs="Arial" w:eastAsia="Arial" w:hAnsi="Arial"/>
                <w:sz w:val="16"/>
                <w:szCs w:val="16"/>
                <w:b w:val="1"/>
                <w:bCs w:val="1"/>
                <w:color w:val="auto"/>
                <w:w w:val="96"/>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71"/>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451"/>
              <w:spacing w:after="0"/>
              <w:rPr>
                <w:sz w:val="20"/>
                <w:szCs w:val="20"/>
                <w:color w:val="auto"/>
              </w:rPr>
            </w:pPr>
            <w:r>
              <w:rPr>
                <w:rFonts w:ascii="Arial" w:cs="Arial" w:eastAsia="Arial" w:hAnsi="Arial"/>
                <w:sz w:val="16"/>
                <w:szCs w:val="16"/>
                <w:b w:val="1"/>
                <w:bCs w:val="1"/>
                <w:color w:val="auto"/>
              </w:rPr>
              <w:t>2018</w:t>
            </w:r>
          </w:p>
        </w:tc>
      </w:tr>
      <w:tr>
        <w:trPr>
          <w:trHeight w:val="33"/>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Advisory fees:</w:t>
            </w: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Asset-based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12,768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19,388</w:t>
            </w:r>
          </w:p>
        </w:tc>
      </w:tr>
      <w:tr>
        <w:trPr>
          <w:trHeight w:val="243"/>
        </w:trPr>
        <w:tc>
          <w:tcPr>
            <w:tcW w:w="6900" w:type="dxa"/>
            <w:vAlign w:val="bottom"/>
          </w:tcPr>
          <w:p>
            <w:pPr>
              <w:ind w:left="660"/>
              <w:spacing w:after="0"/>
              <w:rPr>
                <w:sz w:val="20"/>
                <w:szCs w:val="20"/>
                <w:color w:val="auto"/>
              </w:rPr>
            </w:pPr>
            <w:r>
              <w:rPr>
                <w:rFonts w:ascii="Arial" w:cs="Arial" w:eastAsia="Arial" w:hAnsi="Arial"/>
                <w:sz w:val="18"/>
                <w:szCs w:val="18"/>
                <w:color w:val="auto"/>
              </w:rPr>
              <w:t>Performance-based</w:t>
            </w: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Trust fees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6,688</w:t>
            </w: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43</w:t>
            </w: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26,119</w:t>
            </w:r>
          </w:p>
        </w:tc>
      </w:tr>
      <w:tr>
        <w:trPr>
          <w:trHeight w:val="250"/>
        </w:trPr>
        <w:tc>
          <w:tcPr>
            <w:tcW w:w="69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Employee compensation and benefits</w:t>
            </w: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12,092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12,072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13,102</w:t>
            </w: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535</w:t>
            </w: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Westwood mutual funds</w:t>
            </w: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842</w:t>
            </w: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Information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2,350</w:t>
            </w: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Professional services</w:t>
            </w: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1,106</w:t>
            </w: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2,264</w:t>
            </w: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(Gain) loss on foreign currency transactions</w:t>
            </w: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center"/>
              <w:ind w:left="431"/>
              <w:spacing w:after="0"/>
              <w:rPr>
                <w:sz w:val="20"/>
                <w:szCs w:val="20"/>
                <w:color w:val="auto"/>
              </w:rPr>
            </w:pPr>
            <w:r>
              <w:rPr>
                <w:rFonts w:ascii="Arial" w:cs="Arial" w:eastAsia="Arial" w:hAnsi="Arial"/>
                <w:sz w:val="18"/>
                <w:szCs w:val="18"/>
                <w:color w:val="auto"/>
                <w:w w:val="91"/>
              </w:rPr>
              <w:t>(1,968)</w:t>
            </w: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9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18,231</w:t>
            </w: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Net operating income</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7,888</w:t>
            </w: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Unrealized gains on private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Investment income</w:t>
            </w: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7,888</w:t>
            </w: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2,475</w:t>
            </w:r>
          </w:p>
        </w:tc>
      </w:tr>
      <w:tr>
        <w:trPr>
          <w:trHeight w:val="237"/>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5,413</w:t>
            </w:r>
          </w:p>
        </w:tc>
      </w:tr>
      <w:tr>
        <w:trPr>
          <w:trHeight w:val="27"/>
        </w:trPr>
        <w:tc>
          <w:tcPr>
            <w:tcW w:w="6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7"/>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center"/>
              <w:ind w:left="431"/>
              <w:spacing w:after="0"/>
              <w:rPr>
                <w:sz w:val="20"/>
                <w:szCs w:val="20"/>
                <w:color w:val="auto"/>
              </w:rPr>
            </w:pPr>
            <w:r>
              <w:rPr>
                <w:rFonts w:ascii="Arial" w:cs="Arial" w:eastAsia="Arial" w:hAnsi="Arial"/>
                <w:sz w:val="18"/>
                <w:szCs w:val="18"/>
                <w:color w:val="auto"/>
                <w:w w:val="91"/>
              </w:rPr>
              <w:t>(2,057)</w:t>
            </w: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9"/>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3,356</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0.65</w:t>
            </w: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0.64</w:t>
            </w:r>
          </w:p>
        </w:tc>
      </w:tr>
      <w:tr>
        <w:trPr>
          <w:trHeight w:val="203"/>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3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8,389,322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8,432,598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center"/>
              <w:ind w:left="391"/>
              <w:spacing w:after="0"/>
              <w:rPr>
                <w:sz w:val="20"/>
                <w:szCs w:val="20"/>
                <w:color w:val="auto"/>
              </w:rPr>
            </w:pPr>
            <w:r>
              <w:rPr>
                <w:rFonts w:ascii="Arial" w:cs="Arial" w:eastAsia="Arial" w:hAnsi="Arial"/>
                <w:sz w:val="18"/>
                <w:szCs w:val="18"/>
                <w:color w:val="auto"/>
                <w:w w:val="89"/>
              </w:rPr>
              <w:t>8,383,972</w:t>
            </w: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8,449,689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left="391"/>
              <w:spacing w:after="0"/>
              <w:rPr>
                <w:sz w:val="20"/>
                <w:szCs w:val="20"/>
                <w:color w:val="auto"/>
              </w:rPr>
            </w:pPr>
            <w:r>
              <w:rPr>
                <w:rFonts w:ascii="Arial" w:cs="Arial" w:eastAsia="Arial" w:hAnsi="Arial"/>
                <w:sz w:val="18"/>
                <w:szCs w:val="18"/>
                <w:color w:val="auto"/>
                <w:w w:val="89"/>
              </w:rPr>
              <w:t>8,503,522</w:t>
            </w:r>
          </w:p>
        </w:tc>
      </w:tr>
      <w:tr>
        <w:trPr>
          <w:trHeight w:val="203"/>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Economic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5,418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9,515</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Economic EPS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0.64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1.12</w:t>
            </w: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3"/>
        </w:trPr>
        <w:tc>
          <w:tcPr>
            <w:tcW w:w="6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0.72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51"/>
              <w:spacing w:after="0"/>
              <w:rPr>
                <w:sz w:val="20"/>
                <w:szCs w:val="20"/>
                <w:color w:val="auto"/>
              </w:rPr>
            </w:pPr>
            <w:r>
              <w:rPr>
                <w:rFonts w:ascii="Arial" w:cs="Arial" w:eastAsia="Arial" w:hAnsi="Arial"/>
                <w:sz w:val="18"/>
                <w:szCs w:val="18"/>
                <w:color w:val="auto"/>
              </w:rPr>
              <w:t>0.72</w:t>
            </w:r>
          </w:p>
        </w:tc>
      </w:tr>
    </w:tbl>
    <w:p>
      <w:pPr>
        <w:sectPr>
          <w:pgSz w:w="11900" w:h="16838" w:orient="portrait"/>
          <w:cols w:equalWidth="0" w:num="1">
            <w:col w:w="11360"/>
          </w:cols>
          <w:pgMar w:left="240" w:top="895" w:right="29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8" w:lineRule="exact"/>
        <w:rPr>
          <w:sz w:val="20"/>
          <w:szCs w:val="20"/>
          <w:color w:val="auto"/>
        </w:rPr>
      </w:pPr>
    </w:p>
    <w:p>
      <w:pPr>
        <w:ind w:right="3440"/>
        <w:spacing w:after="0"/>
        <w:rPr>
          <w:sz w:val="20"/>
          <w:szCs w:val="20"/>
          <w:color w:val="auto"/>
        </w:rPr>
      </w:pPr>
      <w:r>
        <w:rPr>
          <w:rFonts w:ascii="Arial" w:cs="Arial" w:eastAsia="Arial" w:hAnsi="Arial"/>
          <w:sz w:val="22"/>
          <w:szCs w:val="22"/>
          <w:b w:val="1"/>
          <w:bCs w:val="1"/>
          <w:color w:val="auto"/>
        </w:rPr>
        <w:t xml:space="preserve">CONDENSED CONSOLIDATED STATEMENTS OF COMPREHENSIVE INCOME </w:t>
      </w:r>
      <w:r>
        <w:rPr>
          <w:rFonts w:ascii="Arial" w:cs="Arial" w:eastAsia="Arial" w:hAnsi="Arial"/>
          <w:sz w:val="19"/>
          <w:szCs w:val="19"/>
          <w:b w:val="1"/>
          <w:bCs w:val="1"/>
          <w:color w:val="auto"/>
        </w:rPr>
        <w:t>(in thousands, except per share and share amounts) (unaudited)</w:t>
      </w: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530"/>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90"/>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Advisory fees: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Asset-based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57,033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89,367</w:t>
            </w:r>
          </w:p>
        </w:tc>
        <w:tc>
          <w:tcPr>
            <w:tcW w:w="0" w:type="dxa"/>
            <w:vAlign w:val="bottom"/>
          </w:tcPr>
          <w:p>
            <w:pPr>
              <w:spacing w:after="0"/>
              <w:rPr>
                <w:sz w:val="1"/>
                <w:szCs w:val="1"/>
                <w:color w:val="auto"/>
              </w:rPr>
            </w:pPr>
          </w:p>
        </w:tc>
      </w:tr>
      <w:tr>
        <w:trPr>
          <w:trHeight w:val="243"/>
        </w:trPr>
        <w:tc>
          <w:tcPr>
            <w:tcW w:w="8320" w:type="dxa"/>
            <w:vAlign w:val="bottom"/>
          </w:tcPr>
          <w:p>
            <w:pPr>
              <w:ind w:left="640"/>
              <w:spacing w:after="0"/>
              <w:rPr>
                <w:sz w:val="20"/>
                <w:szCs w:val="20"/>
                <w:color w:val="auto"/>
              </w:rPr>
            </w:pPr>
            <w:r>
              <w:rPr>
                <w:rFonts w:ascii="Arial" w:cs="Arial" w:eastAsia="Arial" w:hAnsi="Arial"/>
                <w:sz w:val="18"/>
                <w:szCs w:val="18"/>
                <w:color w:val="auto"/>
              </w:rPr>
              <w:t>Performance-based</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Trust fees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25,483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28,953</w:t>
            </w: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84,079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122,300</w:t>
            </w:r>
          </w:p>
        </w:tc>
        <w:tc>
          <w:tcPr>
            <w:tcW w:w="0" w:type="dxa"/>
            <w:vAlign w:val="bottom"/>
          </w:tcPr>
          <w:p>
            <w:pPr>
              <w:spacing w:after="0"/>
              <w:rPr>
                <w:sz w:val="1"/>
                <w:szCs w:val="1"/>
                <w:color w:val="auto"/>
              </w:rPr>
            </w:pPr>
          </w:p>
        </w:tc>
      </w:tr>
      <w:tr>
        <w:trPr>
          <w:trHeight w:val="250"/>
        </w:trPr>
        <w:tc>
          <w:tcPr>
            <w:tcW w:w="83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Employee compensation and benefits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50,152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59,959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Westwood mutual funds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3,097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3,808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Information 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9,103</w:t>
            </w: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9,516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9,564</w:t>
            </w: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(Gain) loss on foreign currency transactions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center"/>
              <w:ind w:left="290"/>
              <w:spacing w:after="0"/>
              <w:rPr>
                <w:sz w:val="20"/>
                <w:szCs w:val="20"/>
                <w:color w:val="auto"/>
              </w:rPr>
            </w:pPr>
            <w:r>
              <w:rPr>
                <w:rFonts w:ascii="Arial" w:cs="Arial" w:eastAsia="Arial" w:hAnsi="Arial"/>
                <w:sz w:val="18"/>
                <w:szCs w:val="18"/>
                <w:color w:val="auto"/>
                <w:w w:val="91"/>
              </w:rPr>
              <w:t>(2,791)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79,435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86,362</w:t>
            </w: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r>
              <w:rPr>
                <w:rFonts w:ascii="Arial" w:cs="Arial" w:eastAsia="Arial" w:hAnsi="Arial"/>
                <w:sz w:val="18"/>
                <w:szCs w:val="18"/>
                <w:b w:val="1"/>
                <w:bCs w:val="1"/>
                <w:color w:val="auto"/>
              </w:rPr>
              <w:t>Net operating income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4,644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35,938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Gain on sale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Unrealized gains on private investments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3,296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Investment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36,462</w:t>
            </w: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9,711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5,911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26,751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(3,119)</w:t>
            </w: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7,851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23,632</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2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2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8,408,017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89"/>
              </w:rPr>
              <w:t>8,365,360</w:t>
            </w:r>
          </w:p>
        </w:tc>
        <w:tc>
          <w:tcPr>
            <w:tcW w:w="0" w:type="dxa"/>
            <w:vAlign w:val="bottom"/>
          </w:tcPr>
          <w:p>
            <w:pPr>
              <w:spacing w:after="0"/>
              <w:rPr>
                <w:sz w:val="1"/>
                <w:szCs w:val="1"/>
                <w:color w:val="auto"/>
              </w:rPr>
            </w:pPr>
          </w:p>
        </w:tc>
      </w:tr>
      <w:tr>
        <w:trPr>
          <w:trHeight w:val="243"/>
        </w:trPr>
        <w:tc>
          <w:tcPr>
            <w:tcW w:w="83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8,463,239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center"/>
              <w:ind w:left="290"/>
              <w:spacing w:after="0"/>
              <w:rPr>
                <w:sz w:val="20"/>
                <w:szCs w:val="20"/>
                <w:color w:val="auto"/>
              </w:rPr>
            </w:pPr>
            <w:r>
              <w:rPr>
                <w:rFonts w:ascii="Arial" w:cs="Arial" w:eastAsia="Arial" w:hAnsi="Arial"/>
                <w:sz w:val="18"/>
                <w:szCs w:val="18"/>
                <w:color w:val="auto"/>
                <w:w w:val="89"/>
              </w:rPr>
              <w:t>8,547,370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20" w:type="dxa"/>
            <w:vAlign w:val="bottom"/>
          </w:tcPr>
          <w:p>
            <w:pPr>
              <w:spacing w:after="0"/>
              <w:rPr>
                <w:sz w:val="20"/>
                <w:szCs w:val="20"/>
                <w:color w:val="auto"/>
              </w:rPr>
            </w:pPr>
            <w:r>
              <w:rPr>
                <w:rFonts w:ascii="Arial" w:cs="Arial" w:eastAsia="Arial" w:hAnsi="Arial"/>
                <w:sz w:val="18"/>
                <w:szCs w:val="18"/>
                <w:color w:val="auto"/>
              </w:rPr>
              <w:t>Economic Earnings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18,179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43,943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Economic EPS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57"/>
        </w:trPr>
        <w:tc>
          <w:tcPr>
            <w:tcW w:w="8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8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40" w:top="895" w:right="259" w:bottom="1440" w:gutter="0" w:footer="0" w:header="0"/>
        </w:sectPr>
      </w:pPr>
    </w:p>
    <w:bookmarkStart w:id="8" w:name="page9"/>
    <w:bookmarkEnd w:id="8"/>
    <w:p>
      <w:pPr>
        <w:ind w:right="536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49,766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52,449</w:t>
            </w:r>
          </w:p>
        </w:tc>
        <w:tc>
          <w:tcPr>
            <w:tcW w:w="0" w:type="dxa"/>
            <w:vAlign w:val="bottom"/>
          </w:tcPr>
          <w:p>
            <w:pPr>
              <w:spacing w:after="0"/>
              <w:rPr>
                <w:sz w:val="1"/>
                <w:szCs w:val="1"/>
                <w:color w:val="auto"/>
              </w:rPr>
            </w:pPr>
          </w:p>
        </w:tc>
      </w:tr>
      <w:tr>
        <w:trPr>
          <w:trHeight w:val="243"/>
        </w:trPr>
        <w:tc>
          <w:tcPr>
            <w:tcW w:w="82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13,177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18,429</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Investments, at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50,324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65,781</w:t>
            </w:r>
          </w:p>
        </w:tc>
        <w:tc>
          <w:tcPr>
            <w:tcW w:w="0" w:type="dxa"/>
            <w:vAlign w:val="bottom"/>
          </w:tcPr>
          <w:p>
            <w:pPr>
              <w:spacing w:after="0"/>
              <w:rPr>
                <w:sz w:val="1"/>
                <w:szCs w:val="1"/>
                <w:color w:val="auto"/>
              </w:rPr>
            </w:pPr>
          </w:p>
        </w:tc>
      </w:tr>
      <w:tr>
        <w:trPr>
          <w:trHeight w:val="243"/>
        </w:trPr>
        <w:tc>
          <w:tcPr>
            <w:tcW w:w="8280" w:type="dxa"/>
            <w:vAlign w:val="bottom"/>
          </w:tcPr>
          <w:p>
            <w:pPr>
              <w:ind w:left="32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37"/>
        </w:trPr>
        <w:tc>
          <w:tcPr>
            <w:tcW w:w="828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116,961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139,739</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Noncurrent investments at fair value</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8,698</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of $7,395 and $6,462</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4,454</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178,707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199,183</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2,518</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7,710</w:t>
            </w:r>
          </w:p>
        </w:tc>
        <w:tc>
          <w:tcPr>
            <w:tcW w:w="0" w:type="dxa"/>
            <w:vAlign w:val="bottom"/>
          </w:tcPr>
          <w:p>
            <w:pPr>
              <w:spacing w:after="0"/>
              <w:rPr>
                <w:sz w:val="1"/>
                <w:szCs w:val="1"/>
                <w:color w:val="auto"/>
              </w:rPr>
            </w:pPr>
          </w:p>
        </w:tc>
      </w:tr>
      <w:tr>
        <w:trPr>
          <w:trHeight w:val="243"/>
        </w:trPr>
        <w:tc>
          <w:tcPr>
            <w:tcW w:w="8280" w:type="dxa"/>
            <w:vAlign w:val="bottom"/>
          </w:tcPr>
          <w:p>
            <w:pPr>
              <w:ind w:left="320"/>
              <w:spacing w:after="0"/>
              <w:rPr>
                <w:sz w:val="20"/>
                <w:szCs w:val="20"/>
                <w:color w:val="auto"/>
              </w:rPr>
            </w:pPr>
            <w:r>
              <w:rPr>
                <w:rFonts w:ascii="Arial" w:cs="Arial" w:eastAsia="Arial" w:hAnsi="Arial"/>
                <w:sz w:val="18"/>
                <w:szCs w:val="18"/>
                <w:color w:val="auto"/>
              </w:rPr>
              <w:t>Compensation and benefits payable</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9,975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15,102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43"/>
        </w:trPr>
        <w:tc>
          <w:tcPr>
            <w:tcW w:w="828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27,127</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Accrued dividends</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7,762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37"/>
        </w:trPr>
        <w:tc>
          <w:tcPr>
            <w:tcW w:w="8280" w:type="dxa"/>
            <w:vAlign w:val="bottom"/>
          </w:tcPr>
          <w:p>
            <w:pPr>
              <w:ind w:left="64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9,065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10,907</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38,034</w:t>
            </w:r>
          </w:p>
        </w:tc>
        <w:tc>
          <w:tcPr>
            <w:tcW w:w="0" w:type="dxa"/>
            <w:vAlign w:val="bottom"/>
          </w:tcPr>
          <w:p>
            <w:pPr>
              <w:spacing w:after="0"/>
              <w:rPr>
                <w:sz w:val="1"/>
                <w:szCs w:val="1"/>
                <w:color w:val="auto"/>
              </w:rPr>
            </w:pPr>
          </w:p>
        </w:tc>
      </w:tr>
      <w:tr>
        <w:trPr>
          <w:trHeight w:val="183"/>
        </w:trPr>
        <w:tc>
          <w:tcPr>
            <w:tcW w:w="82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320"/>
              <w:spacing w:after="0"/>
              <w:rPr>
                <w:sz w:val="20"/>
                <w:szCs w:val="20"/>
                <w:color w:val="auto"/>
              </w:rPr>
            </w:pPr>
            <w:r>
              <w:rPr>
                <w:rFonts w:ascii="Arial" w:cs="Arial" w:eastAsia="Arial" w:hAnsi="Arial"/>
                <w:sz w:val="18"/>
                <w:szCs w:val="18"/>
                <w:color w:val="auto"/>
                <w:w w:val="90"/>
              </w:rPr>
              <w:t>Common stock, $0.01 par value, authorized 25,000,000 shares, issued 10,306,570 and outstanding 8,881,086</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20"/>
              <w:spacing w:after="0"/>
              <w:rPr>
                <w:sz w:val="20"/>
                <w:szCs w:val="20"/>
                <w:color w:val="auto"/>
              </w:rPr>
            </w:pPr>
            <w:r>
              <w:rPr>
                <w:rFonts w:ascii="Arial" w:cs="Arial" w:eastAsia="Arial" w:hAnsi="Arial"/>
                <w:sz w:val="18"/>
                <w:szCs w:val="18"/>
                <w:color w:val="auto"/>
                <w:w w:val="92"/>
              </w:rPr>
              <w:t>shares at December 31, 2019; issued 10,182,583 and outstanding 8,904,902 shares at December 31, 2018</w:t>
            </w:r>
          </w:p>
        </w:tc>
        <w:tc>
          <w:tcPr>
            <w:tcW w:w="1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194,116</w:t>
            </w:r>
          </w:p>
        </w:tc>
        <w:tc>
          <w:tcPr>
            <w:tcW w:w="0" w:type="dxa"/>
            <w:vAlign w:val="bottom"/>
          </w:tcPr>
          <w:p>
            <w:pPr>
              <w:spacing w:after="0"/>
              <w:rPr>
                <w:sz w:val="1"/>
                <w:szCs w:val="1"/>
                <w:color w:val="auto"/>
              </w:rPr>
            </w:pPr>
          </w:p>
        </w:tc>
      </w:tr>
      <w:tr>
        <w:trPr>
          <w:trHeight w:val="243"/>
        </w:trPr>
        <w:tc>
          <w:tcPr>
            <w:tcW w:w="8280" w:type="dxa"/>
            <w:vAlign w:val="bottom"/>
          </w:tcPr>
          <w:p>
            <w:pPr>
              <w:ind w:left="320"/>
              <w:spacing w:after="0"/>
              <w:rPr>
                <w:sz w:val="20"/>
                <w:szCs w:val="20"/>
                <w:color w:val="auto"/>
              </w:rPr>
            </w:pPr>
            <w:r>
              <w:rPr>
                <w:rFonts w:ascii="Arial" w:cs="Arial" w:eastAsia="Arial" w:hAnsi="Arial"/>
                <w:sz w:val="18"/>
                <w:szCs w:val="18"/>
                <w:color w:val="auto"/>
                <w:w w:val="92"/>
              </w:rPr>
              <w:t>Treasury stock, at cost – 1,425,483 shares at December 31, 2019; 1,277,681 shares at December 31, 2018</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(63,281)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(58,711)</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10,967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27"/>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148,287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161,149</w:t>
            </w:r>
          </w:p>
        </w:tc>
        <w:tc>
          <w:tcPr>
            <w:tcW w:w="0" w:type="dxa"/>
            <w:vAlign w:val="bottom"/>
          </w:tcPr>
          <w:p>
            <w:pPr>
              <w:spacing w:after="0"/>
              <w:rPr>
                <w:sz w:val="1"/>
                <w:szCs w:val="1"/>
                <w:color w:val="auto"/>
              </w:rPr>
            </w:pPr>
          </w:p>
        </w:tc>
      </w:tr>
      <w:tr>
        <w:trPr>
          <w:trHeight w:val="264"/>
        </w:trPr>
        <w:tc>
          <w:tcPr>
            <w:tcW w:w="828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178,707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199,183</w:t>
            </w:r>
          </w:p>
        </w:tc>
        <w:tc>
          <w:tcPr>
            <w:tcW w:w="0" w:type="dxa"/>
            <w:vAlign w:val="bottom"/>
          </w:tcPr>
          <w:p>
            <w:pPr>
              <w:spacing w:after="0"/>
              <w:rPr>
                <w:sz w:val="1"/>
                <w:szCs w:val="1"/>
                <w:color w:val="auto"/>
              </w:rPr>
            </w:pPr>
          </w:p>
        </w:tc>
      </w:tr>
      <w:tr>
        <w:trPr>
          <w:trHeight w:val="21"/>
        </w:trPr>
        <w:tc>
          <w:tcPr>
            <w:tcW w:w="8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95" w:right="25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rPr>
          <w:sz w:val="20"/>
          <w:szCs w:val="20"/>
          <w:color w:val="auto"/>
        </w:rPr>
      </w:pPr>
      <w:r>
        <w:rPr>
          <w:rFonts w:ascii="Arial" w:cs="Arial" w:eastAsia="Arial" w:hAnsi="Arial"/>
          <w:sz w:val="20"/>
          <w:szCs w:val="20"/>
          <w:b w:val="1"/>
          <w:bCs w:val="1"/>
          <w:color w:val="auto"/>
        </w:rPr>
        <w:t>(in thousands)</w:t>
      </w:r>
    </w:p>
    <w:p>
      <w:pPr>
        <w:spacing w:after="0"/>
        <w:rPr>
          <w:sz w:val="20"/>
          <w:szCs w:val="20"/>
          <w:color w:val="auto"/>
        </w:rPr>
      </w:pPr>
      <w:r>
        <w:rPr>
          <w:rFonts w:ascii="Arial" w:cs="Arial" w:eastAsia="Arial" w:hAnsi="Arial"/>
          <w:sz w:val="20"/>
          <w:szCs w:val="20"/>
          <w:b w:val="1"/>
          <w:bCs w:val="1"/>
          <w:color w:val="auto"/>
        </w:rPr>
        <w:t>(unaudited)</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4"/>
        </w:trPr>
        <w:tc>
          <w:tcPr>
            <w:tcW w:w="832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5,911</w:t>
            </w:r>
          </w:p>
        </w:tc>
        <w:tc>
          <w:tcPr>
            <w:tcW w:w="120" w:type="dxa"/>
            <w:vAlign w:val="bottom"/>
          </w:tcPr>
          <w:p>
            <w:pPr>
              <w:spacing w:after="0"/>
              <w:rPr>
                <w:sz w:val="19"/>
                <w:szCs w:val="19"/>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26,751</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320" w:type="dxa"/>
            <w:vAlign w:val="bottom"/>
          </w:tcPr>
          <w:p>
            <w:pPr>
              <w:ind w:left="64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898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867</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1,672</w:t>
            </w:r>
          </w:p>
        </w:tc>
      </w:tr>
      <w:tr>
        <w:trPr>
          <w:trHeight w:val="224"/>
        </w:trPr>
        <w:tc>
          <w:tcPr>
            <w:tcW w:w="8320" w:type="dxa"/>
            <w:vAlign w:val="bottom"/>
          </w:tcPr>
          <w:p>
            <w:pPr>
              <w:ind w:left="640"/>
              <w:spacing w:after="0"/>
              <w:rPr>
                <w:sz w:val="20"/>
                <w:szCs w:val="20"/>
                <w:color w:val="auto"/>
              </w:rPr>
            </w:pPr>
            <w:r>
              <w:rPr>
                <w:rFonts w:ascii="Arial" w:cs="Arial" w:eastAsia="Arial" w:hAnsi="Arial"/>
                <w:sz w:val="16"/>
                <w:szCs w:val="16"/>
                <w:color w:val="auto"/>
              </w:rPr>
              <w:t>Unrealized (gains) losses on investments</w:t>
            </w: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737</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15,283</w:t>
            </w:r>
          </w:p>
        </w:tc>
      </w:tr>
      <w:tr>
        <w:trPr>
          <w:trHeight w:val="224"/>
        </w:trPr>
        <w:tc>
          <w:tcPr>
            <w:tcW w:w="8320" w:type="dxa"/>
            <w:vAlign w:val="bottom"/>
          </w:tcPr>
          <w:p>
            <w:pPr>
              <w:ind w:left="64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2,906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(1,749)</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Gain on sale of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(524)</w:t>
            </w:r>
          </w:p>
        </w:tc>
      </w:tr>
      <w:tr>
        <w:trPr>
          <w:trHeight w:val="224"/>
        </w:trPr>
        <w:tc>
          <w:tcPr>
            <w:tcW w:w="8320" w:type="dxa"/>
            <w:vAlign w:val="bottom"/>
          </w:tcPr>
          <w:p>
            <w:pPr>
              <w:ind w:left="640"/>
              <w:spacing w:after="0"/>
              <w:rPr>
                <w:sz w:val="20"/>
                <w:szCs w:val="20"/>
                <w:color w:val="auto"/>
              </w:rPr>
            </w:pPr>
            <w:r>
              <w:rPr>
                <w:rFonts w:ascii="Arial" w:cs="Arial" w:eastAsia="Arial" w:hAnsi="Arial"/>
                <w:sz w:val="16"/>
                <w:szCs w:val="16"/>
                <w:color w:val="auto"/>
              </w:rPr>
              <w:t>Non-cash lease expense</w:t>
            </w:r>
          </w:p>
        </w:tc>
        <w:tc>
          <w:tcPr>
            <w:tcW w:w="3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1,151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1,062</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320" w:type="dxa"/>
            <w:vAlign w:val="bottom"/>
          </w:tcPr>
          <w:p>
            <w:pPr>
              <w:ind w:left="640"/>
              <w:spacing w:after="0"/>
              <w:rPr>
                <w:sz w:val="20"/>
                <w:szCs w:val="20"/>
                <w:color w:val="auto"/>
              </w:rPr>
            </w:pPr>
            <w:r>
              <w:rPr>
                <w:rFonts w:ascii="Arial" w:cs="Arial" w:eastAsia="Arial" w:hAnsi="Arial"/>
                <w:sz w:val="16"/>
                <w:szCs w:val="16"/>
                <w:color w:val="auto"/>
              </w:rPr>
              <w:t>Net (purchases) sales of investments – trading securities</w:t>
            </w:r>
          </w:p>
        </w:tc>
        <w:tc>
          <w:tcPr>
            <w:tcW w:w="3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15,811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(15,194)</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5,404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2,678</w:t>
            </w:r>
          </w:p>
        </w:tc>
      </w:tr>
      <w:tr>
        <w:trPr>
          <w:trHeight w:val="224"/>
        </w:trPr>
        <w:tc>
          <w:tcPr>
            <w:tcW w:w="8320" w:type="dxa"/>
            <w:vAlign w:val="bottom"/>
          </w:tcPr>
          <w:p>
            <w:pPr>
              <w:ind w:left="64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3,755</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w:t>
            </w:r>
          </w:p>
        </w:tc>
      </w:tr>
      <w:tr>
        <w:trPr>
          <w:trHeight w:val="224"/>
        </w:trPr>
        <w:tc>
          <w:tcPr>
            <w:tcW w:w="8320" w:type="dxa"/>
            <w:vAlign w:val="bottom"/>
          </w:tcPr>
          <w:p>
            <w:pPr>
              <w:ind w:left="640"/>
              <w:spacing w:after="0"/>
              <w:rPr>
                <w:sz w:val="20"/>
                <w:szCs w:val="20"/>
                <w:color w:val="auto"/>
              </w:rPr>
            </w:pPr>
            <w:r>
              <w:rPr>
                <w:rFonts w:ascii="Arial" w:cs="Arial" w:eastAsia="Arial" w:hAnsi="Arial"/>
                <w:sz w:val="16"/>
                <w:szCs w:val="16"/>
                <w:color w:val="auto"/>
              </w:rPr>
              <w:t>Compensation and benefits payable</w:t>
            </w: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(5,018)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(3,636)</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Income taxes payable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1,643</w:t>
            </w:r>
          </w:p>
        </w:tc>
      </w:tr>
      <w:tr>
        <w:trPr>
          <w:trHeight w:val="224"/>
        </w:trPr>
        <w:tc>
          <w:tcPr>
            <w:tcW w:w="8320" w:type="dxa"/>
            <w:vAlign w:val="bottom"/>
          </w:tcPr>
          <w:p>
            <w:pPr>
              <w:ind w:left="64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(1,217)</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32,172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31,484</w:t>
            </w:r>
          </w:p>
        </w:tc>
      </w:tr>
      <w:tr>
        <w:trPr>
          <w:trHeight w:val="224"/>
        </w:trPr>
        <w:tc>
          <w:tcPr>
            <w:tcW w:w="83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property, equipment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(991)</w:t>
            </w:r>
          </w:p>
        </w:tc>
      </w:tr>
      <w:tr>
        <w:trPr>
          <w:trHeight w:val="224"/>
        </w:trPr>
        <w:tc>
          <w:tcPr>
            <w:tcW w:w="8320" w:type="dxa"/>
            <w:vAlign w:val="bottom"/>
          </w:tcPr>
          <w:p>
            <w:pPr>
              <w:ind w:left="320"/>
              <w:spacing w:after="0"/>
              <w:rPr>
                <w:sz w:val="20"/>
                <w:szCs w:val="20"/>
                <w:color w:val="auto"/>
              </w:rPr>
            </w:pPr>
            <w:r>
              <w:rPr>
                <w:rFonts w:ascii="Arial" w:cs="Arial" w:eastAsia="Arial" w:hAnsi="Arial"/>
                <w:sz w:val="16"/>
                <w:szCs w:val="16"/>
                <w:color w:val="auto"/>
              </w:rPr>
              <w:t>Proceeds from Omaha divestiture</w:t>
            </w:r>
          </w:p>
        </w:tc>
        <w:tc>
          <w:tcPr>
            <w:tcW w:w="3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10,013</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investments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(5,425)</w:t>
            </w:r>
          </w:p>
        </w:tc>
      </w:tr>
      <w:tr>
        <w:trPr>
          <w:trHeight w:val="224"/>
        </w:trPr>
        <w:tc>
          <w:tcPr>
            <w:tcW w:w="8320" w:type="dxa"/>
            <w:vAlign w:val="bottom"/>
          </w:tcPr>
          <w:p>
            <w:pPr>
              <w:ind w:left="320"/>
              <w:spacing w:after="0"/>
              <w:rPr>
                <w:sz w:val="20"/>
                <w:szCs w:val="20"/>
                <w:color w:val="auto"/>
              </w:rPr>
            </w:pPr>
            <w:r>
              <w:rPr>
                <w:rFonts w:ascii="Arial" w:cs="Arial" w:eastAsia="Arial" w:hAnsi="Arial"/>
                <w:sz w:val="16"/>
                <w:szCs w:val="16"/>
                <w:color w:val="auto"/>
              </w:rPr>
              <w:t>Additions to internally developed software</w:t>
            </w: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3,597</w:t>
            </w:r>
          </w:p>
        </w:tc>
      </w:tr>
      <w:tr>
        <w:trPr>
          <w:trHeight w:val="224"/>
        </w:trPr>
        <w:tc>
          <w:tcPr>
            <w:tcW w:w="832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treasury stock</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w:t>
            </w:r>
          </w:p>
        </w:tc>
      </w:tr>
      <w:tr>
        <w:trPr>
          <w:trHeight w:val="224"/>
        </w:trPr>
        <w:tc>
          <w:tcPr>
            <w:tcW w:w="8320" w:type="dxa"/>
            <w:vAlign w:val="bottom"/>
          </w:tcPr>
          <w:p>
            <w:pPr>
              <w:ind w:left="320"/>
              <w:spacing w:after="0"/>
              <w:rPr>
                <w:sz w:val="20"/>
                <w:szCs w:val="20"/>
                <w:color w:val="auto"/>
              </w:rPr>
            </w:pPr>
            <w:r>
              <w:rPr>
                <w:rFonts w:ascii="Arial" w:cs="Arial" w:eastAsia="Arial" w:hAnsi="Arial"/>
                <w:sz w:val="16"/>
                <w:szCs w:val="16"/>
                <w:color w:val="auto"/>
              </w:rPr>
              <w:t>Purchases of treasury stock for employee stock plans</w:t>
            </w: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(726)</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Restricted stock returned for payment of taxes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(4,768)</w:t>
            </w:r>
          </w:p>
        </w:tc>
      </w:tr>
      <w:tr>
        <w:trPr>
          <w:trHeight w:val="224"/>
        </w:trPr>
        <w:tc>
          <w:tcPr>
            <w:tcW w:w="8320" w:type="dxa"/>
            <w:vAlign w:val="bottom"/>
          </w:tcPr>
          <w:p>
            <w:pPr>
              <w:ind w:left="320"/>
              <w:spacing w:after="0"/>
              <w:rPr>
                <w:sz w:val="20"/>
                <w:szCs w:val="20"/>
                <w:color w:val="auto"/>
              </w:rPr>
            </w:pPr>
            <w:r>
              <w:rPr>
                <w:rFonts w:ascii="Arial" w:cs="Arial" w:eastAsia="Arial" w:hAnsi="Arial"/>
                <w:sz w:val="16"/>
                <w:szCs w:val="16"/>
                <w:color w:val="auto"/>
              </w:rPr>
              <w:t>Cash dividends</w:t>
            </w: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(26,089)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(24,621)</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(34,115)</w:t>
            </w:r>
          </w:p>
        </w:tc>
      </w:tr>
      <w:tr>
        <w:trPr>
          <w:trHeight w:val="224"/>
        </w:trPr>
        <w:tc>
          <w:tcPr>
            <w:tcW w:w="8320" w:type="dxa"/>
            <w:vAlign w:val="bottom"/>
          </w:tcPr>
          <w:p>
            <w:pPr>
              <w:ind w:left="320"/>
              <w:spacing w:after="0"/>
              <w:rPr>
                <w:sz w:val="20"/>
                <w:szCs w:val="20"/>
                <w:color w:val="auto"/>
              </w:rPr>
            </w:pPr>
            <w:r>
              <w:rPr>
                <w:rFonts w:ascii="Arial" w:cs="Arial" w:eastAsia="Arial" w:hAnsi="Arial"/>
                <w:sz w:val="16"/>
                <w:szCs w:val="16"/>
                <w:color w:val="auto"/>
              </w:rPr>
              <w:t>Effect of currency rate changes on cash</w:t>
            </w:r>
          </w:p>
        </w:tc>
        <w:tc>
          <w:tcPr>
            <w:tcW w:w="3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(2,766)</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(1,800)</w:t>
            </w:r>
          </w:p>
        </w:tc>
      </w:tr>
      <w:tr>
        <w:trPr>
          <w:trHeight w:val="224"/>
        </w:trPr>
        <w:tc>
          <w:tcPr>
            <w:tcW w:w="83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52,449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54,249</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52,449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7"/>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8320" w:type="dxa"/>
            <w:vAlign w:val="bottom"/>
          </w:tcPr>
          <w:p>
            <w:pPr>
              <w:ind w:left="320"/>
              <w:spacing w:after="0"/>
              <w:rPr>
                <w:sz w:val="20"/>
                <w:szCs w:val="20"/>
                <w:color w:val="auto"/>
              </w:rPr>
            </w:pPr>
            <w:r>
              <w:rPr>
                <w:rFonts w:ascii="Arial" w:cs="Arial" w:eastAsia="Arial" w:hAnsi="Arial"/>
                <w:sz w:val="16"/>
                <w:szCs w:val="16"/>
                <w:color w:val="auto"/>
              </w:rPr>
              <w:t>Cash paid during the period for income taxes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1,431</w:t>
            </w:r>
          </w:p>
        </w:tc>
        <w:tc>
          <w:tcPr>
            <w:tcW w:w="120" w:type="dxa"/>
            <w:vAlign w:val="bottom"/>
          </w:tcPr>
          <w:p>
            <w:pPr>
              <w:spacing w:after="0"/>
              <w:rPr>
                <w:sz w:val="19"/>
                <w:szCs w:val="19"/>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9,766</w:t>
            </w:r>
          </w:p>
        </w:tc>
      </w:tr>
      <w:tr>
        <w:trPr>
          <w:trHeight w:val="33"/>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83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dividends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9,286</w:t>
            </w:r>
          </w:p>
        </w:tc>
      </w:tr>
      <w:tr>
        <w:trPr>
          <w:trHeight w:val="224"/>
        </w:trPr>
        <w:tc>
          <w:tcPr>
            <w:tcW w:w="8320" w:type="dxa"/>
            <w:vAlign w:val="bottom"/>
          </w:tcPr>
          <w:p>
            <w:pPr>
              <w:ind w:left="320"/>
              <w:spacing w:after="0"/>
              <w:rPr>
                <w:sz w:val="20"/>
                <w:szCs w:val="20"/>
                <w:color w:val="auto"/>
              </w:rPr>
            </w:pPr>
            <w:r>
              <w:rPr>
                <w:rFonts w:ascii="Arial" w:cs="Arial" w:eastAsia="Arial" w:hAnsi="Arial"/>
                <w:sz w:val="16"/>
                <w:szCs w:val="16"/>
                <w:color w:val="auto"/>
              </w:rPr>
              <w:t>Tenant allowance included in Property and equipment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237</w:t>
            </w:r>
          </w:p>
        </w:tc>
      </w:tr>
    </w:tbl>
    <w:p>
      <w:pPr>
        <w:sectPr>
          <w:pgSz w:w="11900" w:h="16838" w:orient="portrait"/>
          <w:cols w:equalWidth="0" w:num="1">
            <w:col w:w="11400"/>
          </w:cols>
          <w:pgMar w:left="240" w:top="895" w:right="259" w:bottom="1440" w:gutter="0" w:footer="0" w:header="0"/>
        </w:sectPr>
      </w:pPr>
    </w:p>
    <w:bookmarkStart w:id="10" w:name="page11"/>
    <w:bookmarkEnd w:id="10"/>
    <w:p>
      <w:pPr>
        <w:ind w:right="5360"/>
        <w:spacing w:after="0" w:line="261" w:lineRule="auto"/>
        <w:rPr>
          <w:sz w:val="20"/>
          <w:szCs w:val="20"/>
          <w:color w:val="auto"/>
        </w:rPr>
      </w:pPr>
      <w:r>
        <w:rPr>
          <w:rFonts w:ascii="Arial" w:cs="Arial" w:eastAsia="Arial" w:hAnsi="Arial"/>
          <w:sz w:val="21"/>
          <w:szCs w:val="21"/>
          <w:b w:val="1"/>
          <w:bCs w:val="1"/>
          <w:color w:val="auto"/>
        </w:rPr>
        <w:t>WESTWOOD HOLDINGS GROUP, INC. AND SUBSIDIARIES Reconciliation of Net Income to Economic Earnings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2"/>
              <w:spacing w:after="0"/>
              <w:rPr>
                <w:sz w:val="20"/>
                <w:szCs w:val="20"/>
                <w:color w:val="auto"/>
              </w:rPr>
            </w:pPr>
            <w:r>
              <w:rPr>
                <w:rFonts w:ascii="Arial" w:cs="Arial" w:eastAsia="Arial" w:hAnsi="Arial"/>
                <w:sz w:val="16"/>
                <w:szCs w:val="16"/>
                <w:b w:val="1"/>
                <w:bCs w:val="1"/>
                <w:color w:val="auto"/>
                <w:w w:val="94"/>
              </w:rPr>
              <w:t>December 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180" w:type="dxa"/>
            <w:vAlign w:val="bottom"/>
          </w:tcPr>
          <w:p>
            <w:pPr>
              <w:spacing w:after="0"/>
              <w:rPr>
                <w:sz w:val="18"/>
                <w:szCs w:val="18"/>
                <w:color w:val="auto"/>
              </w:rPr>
            </w:pPr>
          </w:p>
        </w:tc>
        <w:tc>
          <w:tcPr>
            <w:tcW w:w="12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52"/>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ind w:left="38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r>
      <w:tr>
        <w:trPr>
          <w:trHeight w:val="33"/>
        </w:trPr>
        <w:tc>
          <w:tcPr>
            <w:tcW w:w="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2,541</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5,413</w:t>
            </w:r>
          </w:p>
        </w:tc>
      </w:tr>
      <w:tr>
        <w:trPr>
          <w:trHeight w:val="243"/>
        </w:trPr>
        <w:tc>
          <w:tcPr>
            <w:tcW w:w="20" w:type="dxa"/>
            <w:vAlign w:val="bottom"/>
          </w:tcPr>
          <w:p>
            <w:pPr>
              <w:spacing w:after="0"/>
              <w:rPr>
                <w:sz w:val="21"/>
                <w:szCs w:val="21"/>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 Stock-based compensation expense</w:t>
            </w:r>
          </w:p>
        </w:tc>
        <w:tc>
          <w:tcPr>
            <w:tcW w:w="1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2,373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2,249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3,625</w:t>
            </w: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417</w:t>
            </w:r>
          </w:p>
        </w:tc>
      </w:tr>
      <w:tr>
        <w:trPr>
          <w:trHeight w:val="243"/>
        </w:trPr>
        <w:tc>
          <w:tcPr>
            <w:tcW w:w="20" w:type="dxa"/>
            <w:vAlign w:val="bottom"/>
          </w:tcPr>
          <w:p>
            <w:pPr>
              <w:spacing w:after="0"/>
              <w:rPr>
                <w:sz w:val="21"/>
                <w:szCs w:val="21"/>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 Tax benefit from goodwill amortization</w:t>
            </w:r>
          </w:p>
        </w:tc>
        <w:tc>
          <w:tcPr>
            <w:tcW w:w="16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60</w:t>
            </w:r>
          </w:p>
        </w:tc>
      </w:tr>
      <w:tr>
        <w:trPr>
          <w:trHeight w:val="27"/>
        </w:trPr>
        <w:tc>
          <w:tcPr>
            <w:tcW w:w="20" w:type="dxa"/>
            <w:vAlign w:val="bottom"/>
            <w:tcBorders>
              <w:bottom w:val="single" w:sz="8" w:color="CCEEFF"/>
            </w:tcBorders>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Economic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5,418</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3,871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9,515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8,449,689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8,470,673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8,503,522</w:t>
            </w:r>
          </w:p>
        </w:tc>
      </w:tr>
      <w:tr>
        <w:trPr>
          <w:trHeight w:val="243"/>
        </w:trPr>
        <w:tc>
          <w:tcPr>
            <w:tcW w:w="20" w:type="dxa"/>
            <w:vAlign w:val="bottom"/>
          </w:tcPr>
          <w:p>
            <w:pPr>
              <w:spacing w:after="0"/>
              <w:rPr>
                <w:sz w:val="21"/>
                <w:szCs w:val="21"/>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Economic EPS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0.64</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0.46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1.12</w:t>
            </w:r>
          </w:p>
        </w:tc>
      </w:tr>
      <w:tr>
        <w:trPr>
          <w:trHeight w:val="629"/>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5"/>
          </w:tcPr>
          <w:p>
            <w:pPr>
              <w:ind w:left="360"/>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ind w:left="340"/>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452"/>
              <w:spacing w:after="0"/>
              <w:rPr>
                <w:sz w:val="20"/>
                <w:szCs w:val="20"/>
                <w:color w:val="auto"/>
              </w:rPr>
            </w:pPr>
            <w:r>
              <w:rPr>
                <w:rFonts w:ascii="Arial" w:cs="Arial" w:eastAsia="Arial" w:hAnsi="Arial"/>
                <w:sz w:val="16"/>
                <w:szCs w:val="16"/>
                <w:b w:val="1"/>
                <w:bCs w:val="1"/>
                <w:color w:val="auto"/>
              </w:rPr>
              <w:t>2018</w:t>
            </w:r>
          </w:p>
        </w:tc>
      </w:tr>
      <w:tr>
        <w:trPr>
          <w:trHeight w:val="33"/>
        </w:trPr>
        <w:tc>
          <w:tcPr>
            <w:tcW w:w="2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5,911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26,751</w:t>
            </w:r>
          </w:p>
        </w:tc>
      </w:tr>
      <w:tr>
        <w:trPr>
          <w:trHeight w:val="243"/>
        </w:trPr>
        <w:tc>
          <w:tcPr>
            <w:tcW w:w="20" w:type="dxa"/>
            <w:vAlign w:val="bottom"/>
          </w:tcPr>
          <w:p>
            <w:pPr>
              <w:spacing w:after="0"/>
              <w:rPr>
                <w:sz w:val="21"/>
                <w:szCs w:val="21"/>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 Stock-based compensation expense</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10,305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15,283</w:t>
            </w:r>
          </w:p>
        </w:tc>
      </w:tr>
      <w:tr>
        <w:trPr>
          <w:trHeight w:val="27"/>
        </w:trPr>
        <w:tc>
          <w:tcPr>
            <w:tcW w:w="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1,672</w:t>
            </w:r>
          </w:p>
        </w:tc>
      </w:tr>
      <w:tr>
        <w:trPr>
          <w:trHeight w:val="243"/>
        </w:trPr>
        <w:tc>
          <w:tcPr>
            <w:tcW w:w="20" w:type="dxa"/>
            <w:vAlign w:val="bottom"/>
          </w:tcPr>
          <w:p>
            <w:pPr>
              <w:spacing w:after="0"/>
              <w:rPr>
                <w:sz w:val="21"/>
                <w:szCs w:val="21"/>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 Tax benefit from goodwill amortization</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237</w:t>
            </w:r>
          </w:p>
        </w:tc>
      </w:tr>
      <w:tr>
        <w:trPr>
          <w:trHeight w:val="27"/>
        </w:trPr>
        <w:tc>
          <w:tcPr>
            <w:tcW w:w="20" w:type="dxa"/>
            <w:vAlign w:val="bottom"/>
          </w:tcPr>
          <w:p>
            <w:pPr>
              <w:spacing w:after="0"/>
              <w:rPr>
                <w:sz w:val="2"/>
                <w:szCs w:val="2"/>
                <w:color w:val="auto"/>
              </w:rPr>
            </w:pPr>
          </w:p>
        </w:tc>
        <w:tc>
          <w:tcPr>
            <w:tcW w:w="70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4"/>
        </w:trPr>
        <w:tc>
          <w:tcPr>
            <w:tcW w:w="20" w:type="dxa"/>
            <w:vAlign w:val="bottom"/>
          </w:tcPr>
          <w:p>
            <w:pPr>
              <w:spacing w:after="0"/>
              <w:rPr>
                <w:sz w:val="24"/>
                <w:szCs w:val="24"/>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Economic Earnings</w:t>
            </w: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18,179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43,943</w:t>
            </w:r>
          </w:p>
        </w:tc>
      </w:tr>
      <w:tr>
        <w:trPr>
          <w:trHeight w:val="20"/>
        </w:trPr>
        <w:tc>
          <w:tcPr>
            <w:tcW w:w="20" w:type="dxa"/>
            <w:vAlign w:val="bottom"/>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8,463,239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8,547,370</w:t>
            </w:r>
          </w:p>
        </w:tc>
      </w:tr>
      <w:tr>
        <w:trPr>
          <w:trHeight w:val="243"/>
        </w:trPr>
        <w:tc>
          <w:tcPr>
            <w:tcW w:w="20" w:type="dxa"/>
            <w:vAlign w:val="bottom"/>
          </w:tcPr>
          <w:p>
            <w:pPr>
              <w:spacing w:after="0"/>
              <w:rPr>
                <w:sz w:val="21"/>
                <w:szCs w:val="21"/>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Economic EPS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5.14</w:t>
            </w:r>
          </w:p>
        </w:tc>
      </w:tr>
    </w:tbl>
    <w:p>
      <w:pPr>
        <w:spacing w:after="0" w:line="370" w:lineRule="exact"/>
        <w:rPr>
          <w:sz w:val="20"/>
          <w:szCs w:val="20"/>
          <w:color w:val="auto"/>
        </w:rPr>
      </w:pPr>
    </w:p>
    <w:p>
      <w:pPr>
        <w:ind w:right="140"/>
        <w:spacing w:after="0" w:line="292" w:lineRule="auto"/>
        <w:rPr>
          <w:sz w:val="20"/>
          <w:szCs w:val="20"/>
          <w:color w:val="auto"/>
        </w:rPr>
      </w:pPr>
      <w:r>
        <w:rPr>
          <w:rFonts w:ascii="Arial" w:cs="Arial" w:eastAsia="Arial" w:hAnsi="Arial"/>
          <w:sz w:val="19"/>
          <w:szCs w:val="19"/>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Management reviews Economic Earnings and Economic EPS to evaluate Westwood’s ongoing performance, allocate resources, and review our dividend policy. We believe that these non-GAAP performance measures, while not substitutes for GAAP net income or earnings per share, are useful for management and investors when evaluating Westwood’s underlying operating and financial performance and its available resources. We do not advocate that investors consider these non-GAAP measures without also considering financial information prepared in accordance with GAAP.</w:t>
      </w:r>
    </w:p>
    <w:p>
      <w:pPr>
        <w:spacing w:after="0" w:line="179" w:lineRule="exact"/>
        <w:rPr>
          <w:sz w:val="20"/>
          <w:szCs w:val="20"/>
          <w:color w:val="auto"/>
        </w:rPr>
      </w:pPr>
    </w:p>
    <w:p>
      <w:pPr>
        <w:ind w:right="60"/>
        <w:spacing w:after="0" w:line="247" w:lineRule="auto"/>
        <w:rPr>
          <w:sz w:val="20"/>
          <w:szCs w:val="20"/>
          <w:color w:val="auto"/>
        </w:rPr>
      </w:pPr>
      <w:r>
        <w:rPr>
          <w:rFonts w:ascii="Arial" w:cs="Arial" w:eastAsia="Arial" w:hAnsi="Arial"/>
          <w:sz w:val="22"/>
          <w:szCs w:val="22"/>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400"/>
      </w:cols>
      <w:pgMar w:left="240" w:top="89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2020-02-05T15:25:49Z</dcterms:created>
  <dcterms:modified xsi:type="dcterms:W3CDTF">2020-02-05T15:25:49Z</dcterms:modified>
</cp:coreProperties>
</file>